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As filed with the Securities and Exchange Commission on February 27, 2026</w:t>
      </w:r>
    </w:p>
    <w:p>
      <w:pPr>
        <w:ind w:left="6980"/>
        <w:spacing w:after="0"/>
        <w:rPr>
          <w:sz w:val="20"/>
          <w:szCs w:val="20"/>
          <w:color w:val="auto"/>
        </w:rPr>
      </w:pPr>
      <w:r>
        <w:rPr>
          <w:rFonts w:ascii="Times New Roman" w:cs="Times New Roman" w:eastAsia="Times New Roman" w:hAnsi="Times New Roman"/>
          <w:sz w:val="11"/>
          <w:szCs w:val="11"/>
          <w:b w:val="1"/>
          <w:bCs w:val="1"/>
          <w:color w:val="auto"/>
        </w:rPr>
        <w:t xml:space="preserve">Securities Act File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202565</wp:posOffset>
            </wp:positionH>
            <wp:positionV relativeFrom="paragraph">
              <wp:posOffset>33655</wp:posOffset>
            </wp:positionV>
            <wp:extent cx="531558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15585" cy="6350"/>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66040</wp:posOffset>
            </wp:positionV>
            <wp:extent cx="531558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15585" cy="6350"/>
                    </a:xfrm>
                    <a:prstGeom prst="rect">
                      <a:avLst/>
                    </a:prstGeom>
                    <a:noFill/>
                  </pic:spPr>
                </pic:pic>
              </a:graphicData>
            </a:graphic>
          </wp:anchor>
        </w:drawing>
      </w:r>
    </w:p>
    <w:p>
      <w:pPr>
        <w:spacing w:after="0" w:line="1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2299970</wp:posOffset>
            </wp:positionH>
            <wp:positionV relativeFrom="paragraph">
              <wp:posOffset>118745</wp:posOffset>
            </wp:positionV>
            <wp:extent cx="112014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0140" cy="6350"/>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N-2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REGISTRATION STATEMENT</w:t>
      </w:r>
    </w:p>
    <w:tbl>
      <w:tblPr>
        <w:tblLayout w:type="fixed"/>
        <w:tblInd w:w="3380" w:type="dxa"/>
        <w:tblCellMar>
          <w:top w:w="0" w:type="dxa"/>
          <w:left w:w="0" w:type="dxa"/>
          <w:bottom w:w="0" w:type="dxa"/>
          <w:right w:w="0" w:type="dxa"/>
        </w:tblCellMar>
      </w:tblPr>
      <w:tr>
        <w:trPr>
          <w:trHeight w:val="157"/>
        </w:trPr>
        <w:tc>
          <w:tcPr>
            <w:tcW w:w="3700" w:type="dxa"/>
            <w:vAlign w:val="bottom"/>
          </w:tcPr>
          <w:p>
            <w:pPr>
              <w:ind w:left="860"/>
              <w:spacing w:after="0" w:line="157" w:lineRule="exact"/>
              <w:rPr>
                <w:sz w:val="20"/>
                <w:szCs w:val="20"/>
                <w:color w:val="auto"/>
              </w:rPr>
            </w:pPr>
            <w:r>
              <w:rPr>
                <w:rFonts w:ascii="Times New Roman" w:cs="Times New Roman" w:eastAsia="Times New Roman" w:hAnsi="Times New Roman"/>
                <w:sz w:val="15"/>
                <w:szCs w:val="15"/>
                <w:b w:val="1"/>
                <w:bCs w:val="1"/>
                <w:i w:val="1"/>
                <w:iCs w:val="1"/>
                <w:color w:val="auto"/>
              </w:rPr>
              <w:t>UNDER</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700" w:type="dxa"/>
            <w:vAlign w:val="bottom"/>
          </w:tcPr>
          <w:p>
            <w:pPr>
              <w:ind w:left="60"/>
              <w:spacing w:after="0"/>
              <w:rPr>
                <w:sz w:val="20"/>
                <w:szCs w:val="20"/>
                <w:color w:val="auto"/>
              </w:rPr>
            </w:pPr>
            <w:r>
              <w:rPr>
                <w:rFonts w:ascii="Times New Roman" w:cs="Times New Roman" w:eastAsia="Times New Roman" w:hAnsi="Times New Roman"/>
                <w:sz w:val="15"/>
                <w:szCs w:val="15"/>
                <w:b w:val="1"/>
                <w:bCs w:val="1"/>
                <w:i w:val="1"/>
                <w:iCs w:val="1"/>
                <w:color w:val="auto"/>
              </w:rPr>
              <w:t>THE SECURITIES ACT OF 1933</w:t>
            </w:r>
          </w:p>
        </w:tc>
        <w:tc>
          <w:tcPr>
            <w:tcW w:w="1600" w:type="dxa"/>
            <w:vAlign w:val="bottom"/>
            <w:vMerge w:val="restart"/>
          </w:tcPr>
          <w:p>
            <w:pPr>
              <w:ind w:left="148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61"/>
        </w:trPr>
        <w:tc>
          <w:tcPr>
            <w:tcW w:w="3700" w:type="dxa"/>
            <w:vAlign w:val="bottom"/>
          </w:tcPr>
          <w:p>
            <w:pPr>
              <w:ind w:left="40"/>
              <w:spacing w:after="0" w:line="161" w:lineRule="exact"/>
              <w:rPr>
                <w:sz w:val="20"/>
                <w:szCs w:val="20"/>
                <w:color w:val="auto"/>
              </w:rPr>
            </w:pPr>
            <w:r>
              <w:rPr>
                <w:rFonts w:ascii="Times New Roman" w:cs="Times New Roman" w:eastAsia="Times New Roman" w:hAnsi="Times New Roman"/>
                <w:sz w:val="15"/>
                <w:szCs w:val="15"/>
                <w:b w:val="1"/>
                <w:bCs w:val="1"/>
                <w:color w:val="auto"/>
              </w:rPr>
              <w:t>Pre-Effective Amendment No.</w:t>
            </w: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Post-Effective Amendment No.</w:t>
            </w:r>
          </w:p>
        </w:tc>
        <w:tc>
          <w:tcPr>
            <w:tcW w:w="1600" w:type="dxa"/>
            <w:vAlign w:val="bottom"/>
          </w:tcPr>
          <w:p>
            <w:pPr>
              <w:ind w:left="148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2299970</wp:posOffset>
            </wp:positionH>
            <wp:positionV relativeFrom="paragraph">
              <wp:posOffset>97155</wp:posOffset>
            </wp:positionV>
            <wp:extent cx="112014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0140" cy="6350"/>
                    </a:xfrm>
                    <a:prstGeom prst="rect">
                      <a:avLst/>
                    </a:prstGeom>
                    <a:noFill/>
                  </pic:spPr>
                </pic:pic>
              </a:graphicData>
            </a:graphic>
          </wp:anchor>
        </w:drawing>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FIDUS INVESTMENT CORPORATION</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2299970</wp:posOffset>
            </wp:positionH>
            <wp:positionV relativeFrom="paragraph">
              <wp:posOffset>105410</wp:posOffset>
            </wp:positionV>
            <wp:extent cx="112014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0140" cy="6350"/>
                    </a:xfrm>
                    <a:prstGeom prst="rect">
                      <a:avLst/>
                    </a:prstGeom>
                    <a:noFill/>
                  </pic:spPr>
                </pic:pic>
              </a:graphicData>
            </a:graphic>
          </wp:anchor>
        </w:drawing>
      </w:r>
    </w:p>
    <w:p>
      <w:pPr>
        <w:spacing w:after="0" w:line="21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1"/>
          <w:szCs w:val="11"/>
          <w:b w:val="1"/>
          <w:bCs w:val="1"/>
          <w:color w:val="auto"/>
        </w:rPr>
        <w:t>1603 Orrington Avenue, Suite 1005</w:t>
      </w:r>
    </w:p>
    <w:p>
      <w:pPr>
        <w:ind w:left="3940"/>
        <w:spacing w:after="0" w:line="218" w:lineRule="auto"/>
        <w:rPr>
          <w:sz w:val="20"/>
          <w:szCs w:val="20"/>
          <w:color w:val="auto"/>
        </w:rPr>
      </w:pPr>
      <w:r>
        <w:rPr>
          <w:rFonts w:ascii="Times New Roman" w:cs="Times New Roman" w:eastAsia="Times New Roman" w:hAnsi="Times New Roman"/>
          <w:sz w:val="11"/>
          <w:szCs w:val="11"/>
          <w:b w:val="1"/>
          <w:bCs w:val="1"/>
          <w:color w:val="auto"/>
        </w:rPr>
        <w:t>Evanston, Illinois 60201</w:t>
      </w:r>
    </w:p>
    <w:p>
      <w:pPr>
        <w:jc w:val="center"/>
        <w:ind w:right="19"/>
        <w:spacing w:after="0" w:line="236" w:lineRule="auto"/>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(847) 859-3940</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2299970</wp:posOffset>
            </wp:positionH>
            <wp:positionV relativeFrom="paragraph">
              <wp:posOffset>112395</wp:posOffset>
            </wp:positionV>
            <wp:extent cx="112014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20140" cy="6350"/>
                    </a:xfrm>
                    <a:prstGeom prst="rect">
                      <a:avLst/>
                    </a:prstGeom>
                    <a:noFill/>
                  </pic:spPr>
                </pic:pic>
              </a:graphicData>
            </a:graphic>
          </wp:anchor>
        </w:drawing>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Edward H. Ross</w:t>
      </w:r>
    </w:p>
    <w:p>
      <w:pPr>
        <w:jc w:val="center"/>
        <w:ind w:right="19"/>
        <w:spacing w:after="0" w:line="214" w:lineRule="auto"/>
        <w:rPr>
          <w:sz w:val="20"/>
          <w:szCs w:val="20"/>
          <w:color w:val="auto"/>
        </w:rPr>
      </w:pPr>
      <w:r>
        <w:rPr>
          <w:rFonts w:ascii="Times New Roman" w:cs="Times New Roman" w:eastAsia="Times New Roman" w:hAnsi="Times New Roman"/>
          <w:sz w:val="11"/>
          <w:szCs w:val="11"/>
          <w:b w:val="1"/>
          <w:bCs w:val="1"/>
          <w:color w:val="auto"/>
        </w:rPr>
        <w:t>Chief Executive Officer</w:t>
      </w:r>
    </w:p>
    <w:p>
      <w:pPr>
        <w:jc w:val="center"/>
        <w:ind w:right="19"/>
        <w:spacing w:after="0" w:line="214" w:lineRule="auto"/>
        <w:rPr>
          <w:sz w:val="20"/>
          <w:szCs w:val="20"/>
          <w:color w:val="auto"/>
        </w:rPr>
      </w:pPr>
      <w:r>
        <w:rPr>
          <w:rFonts w:ascii="Times New Roman" w:cs="Times New Roman" w:eastAsia="Times New Roman" w:hAnsi="Times New Roman"/>
          <w:sz w:val="11"/>
          <w:szCs w:val="11"/>
          <w:b w:val="1"/>
          <w:bCs w:val="1"/>
          <w:color w:val="auto"/>
        </w:rPr>
        <w:t>1603 Orrington Avenue, Suite 1005</w:t>
      </w:r>
    </w:p>
    <w:p>
      <w:pPr>
        <w:jc w:val="center"/>
        <w:ind w:right="19"/>
        <w:spacing w:after="0" w:line="218" w:lineRule="auto"/>
        <w:rPr>
          <w:sz w:val="20"/>
          <w:szCs w:val="20"/>
          <w:color w:val="auto"/>
        </w:rPr>
      </w:pPr>
      <w:r>
        <w:rPr>
          <w:rFonts w:ascii="Times New Roman" w:cs="Times New Roman" w:eastAsia="Times New Roman" w:hAnsi="Times New Roman"/>
          <w:sz w:val="11"/>
          <w:szCs w:val="11"/>
          <w:b w:val="1"/>
          <w:bCs w:val="1"/>
          <w:color w:val="auto"/>
        </w:rPr>
        <w:t>Evanston, Illinois 60201</w:t>
      </w:r>
    </w:p>
    <w:p>
      <w:pPr>
        <w:jc w:val="center"/>
        <w:ind w:right="19"/>
        <w:spacing w:after="0" w:line="237" w:lineRule="auto"/>
        <w:rPr>
          <w:sz w:val="20"/>
          <w:szCs w:val="20"/>
          <w:color w:val="auto"/>
        </w:rPr>
      </w:pPr>
      <w:r>
        <w:rPr>
          <w:rFonts w:ascii="Times New Roman" w:cs="Times New Roman" w:eastAsia="Times New Roman" w:hAnsi="Times New Roman"/>
          <w:sz w:val="10"/>
          <w:szCs w:val="10"/>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2299970</wp:posOffset>
            </wp:positionH>
            <wp:positionV relativeFrom="paragraph">
              <wp:posOffset>106045</wp:posOffset>
            </wp:positionV>
            <wp:extent cx="112014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20140" cy="6350"/>
                    </a:xfrm>
                    <a:prstGeom prst="rect">
                      <a:avLst/>
                    </a:prstGeom>
                    <a:noFill/>
                  </pic:spPr>
                </pic:pic>
              </a:graphicData>
            </a:graphic>
          </wp:anchor>
        </w:drawing>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i w:val="1"/>
          <w:iCs w:val="1"/>
          <w:color w:val="auto"/>
        </w:rPr>
        <w:t>COPIES TO:</w:t>
      </w:r>
    </w:p>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Steven B. Boehm, Esq.</w:t>
      </w:r>
    </w:p>
    <w:p>
      <w:pPr>
        <w:jc w:val="center"/>
        <w:ind w:right="19"/>
        <w:spacing w:after="0" w:line="214" w:lineRule="auto"/>
        <w:rPr>
          <w:sz w:val="20"/>
          <w:szCs w:val="20"/>
          <w:color w:val="auto"/>
        </w:rPr>
      </w:pPr>
      <w:r>
        <w:rPr>
          <w:rFonts w:ascii="Times New Roman" w:cs="Times New Roman" w:eastAsia="Times New Roman" w:hAnsi="Times New Roman"/>
          <w:sz w:val="11"/>
          <w:szCs w:val="11"/>
          <w:b w:val="1"/>
          <w:bCs w:val="1"/>
          <w:color w:val="auto"/>
        </w:rPr>
        <w:t>Payam Siadatpour, Esq.</w:t>
      </w:r>
    </w:p>
    <w:p>
      <w:pPr>
        <w:jc w:val="center"/>
        <w:ind w:right="19"/>
        <w:spacing w:after="0" w:line="214" w:lineRule="auto"/>
        <w:rPr>
          <w:sz w:val="20"/>
          <w:szCs w:val="20"/>
          <w:color w:val="auto"/>
        </w:rPr>
      </w:pPr>
      <w:r>
        <w:rPr>
          <w:rFonts w:ascii="Times New Roman" w:cs="Times New Roman" w:eastAsia="Times New Roman" w:hAnsi="Times New Roman"/>
          <w:sz w:val="11"/>
          <w:szCs w:val="11"/>
          <w:b w:val="1"/>
          <w:bCs w:val="1"/>
          <w:color w:val="auto"/>
        </w:rPr>
        <w:t>Sara Sabour Nasseri, Esq.</w:t>
      </w:r>
    </w:p>
    <w:p>
      <w:pPr>
        <w:jc w:val="center"/>
        <w:ind w:right="19"/>
        <w:spacing w:after="0" w:line="214" w:lineRule="auto"/>
        <w:rPr>
          <w:sz w:val="20"/>
          <w:szCs w:val="20"/>
          <w:color w:val="auto"/>
        </w:rPr>
      </w:pPr>
      <w:r>
        <w:rPr>
          <w:rFonts w:ascii="Times New Roman" w:cs="Times New Roman" w:eastAsia="Times New Roman" w:hAnsi="Times New Roman"/>
          <w:sz w:val="11"/>
          <w:szCs w:val="11"/>
          <w:b w:val="1"/>
          <w:bCs w:val="1"/>
          <w:color w:val="auto"/>
        </w:rPr>
        <w:t>Eversheds Sutherland (US) LLP</w:t>
      </w:r>
    </w:p>
    <w:p>
      <w:pPr>
        <w:jc w:val="center"/>
        <w:ind w:right="19"/>
        <w:spacing w:after="0" w:line="215" w:lineRule="auto"/>
        <w:rPr>
          <w:sz w:val="20"/>
          <w:szCs w:val="20"/>
          <w:color w:val="auto"/>
        </w:rPr>
      </w:pPr>
      <w:r>
        <w:rPr>
          <w:rFonts w:ascii="Times New Roman" w:cs="Times New Roman" w:eastAsia="Times New Roman" w:hAnsi="Times New Roman"/>
          <w:sz w:val="11"/>
          <w:szCs w:val="11"/>
          <w:b w:val="1"/>
          <w:bCs w:val="1"/>
          <w:color w:val="auto"/>
        </w:rPr>
        <w:t>700 Sixth Street, NW, Suite 700</w:t>
      </w:r>
    </w:p>
    <w:p>
      <w:pPr>
        <w:jc w:val="center"/>
        <w:ind w:right="19"/>
        <w:spacing w:after="0" w:line="214" w:lineRule="auto"/>
        <w:rPr>
          <w:sz w:val="20"/>
          <w:szCs w:val="20"/>
          <w:color w:val="auto"/>
        </w:rPr>
      </w:pPr>
      <w:r>
        <w:rPr>
          <w:rFonts w:ascii="Times New Roman" w:cs="Times New Roman" w:eastAsia="Times New Roman" w:hAnsi="Times New Roman"/>
          <w:sz w:val="11"/>
          <w:szCs w:val="11"/>
          <w:b w:val="1"/>
          <w:bCs w:val="1"/>
          <w:color w:val="auto"/>
        </w:rPr>
        <w:t>Washington, D.C. 20001-3980</w:t>
      </w: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(202) 383-0100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2299970</wp:posOffset>
            </wp:positionH>
            <wp:positionV relativeFrom="paragraph">
              <wp:posOffset>105410</wp:posOffset>
            </wp:positionV>
            <wp:extent cx="112014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20140" cy="6350"/>
                    </a:xfrm>
                    <a:prstGeom prst="rect">
                      <a:avLst/>
                    </a:prstGeom>
                    <a:noFill/>
                  </pic:spPr>
                </pic:pic>
              </a:graphicData>
            </a:graphic>
          </wp:anchor>
        </w:drawing>
      </w:r>
    </w:p>
    <w:p>
      <w:pPr>
        <w:spacing w:after="0" w:line="219"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1"/>
          <w:szCs w:val="11"/>
          <w:b w:val="1"/>
          <w:bCs w:val="1"/>
          <w:color w:val="auto"/>
        </w:rPr>
        <w:t xml:space="preserve">Approximate Date of Commencement of Proposed Public Offering: </w:t>
      </w:r>
      <w:r>
        <w:rPr>
          <w:rFonts w:ascii="Times New Roman" w:cs="Times New Roman" w:eastAsia="Times New Roman" w:hAnsi="Times New Roman"/>
          <w:sz w:val="11"/>
          <w:szCs w:val="11"/>
          <w:color w:val="auto"/>
        </w:rPr>
        <w:t>From time to time after the effective date of the Registration Statement.</w:t>
      </w:r>
    </w:p>
    <w:p>
      <w:pPr>
        <w:spacing w:after="0" w:line="81" w:lineRule="exact"/>
        <w:rPr>
          <w:sz w:val="24"/>
          <w:szCs w:val="24"/>
          <w:color w:val="auto"/>
        </w:rPr>
      </w:pPr>
    </w:p>
    <w:p>
      <w:pPr>
        <w:ind w:left="640" w:hanging="321"/>
        <w:spacing w:after="0"/>
        <w:tabs>
          <w:tab w:leader="none" w:pos="64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Check box if the only securities being registered on this Form are being offered pursuant to dividend or interest reinvestment plans.</w:t>
      </w:r>
    </w:p>
    <w:p>
      <w:pPr>
        <w:spacing w:after="0" w:line="99" w:lineRule="exact"/>
        <w:rPr>
          <w:sz w:val="24"/>
          <w:szCs w:val="24"/>
          <w:color w:val="auto"/>
        </w:rPr>
      </w:pPr>
    </w:p>
    <w:p>
      <w:pPr>
        <w:ind w:left="640" w:right="419" w:hanging="321"/>
        <w:spacing w:after="0" w:line="242" w:lineRule="auto"/>
        <w:tabs>
          <w:tab w:leader="none" w:pos="640" w:val="left"/>
        </w:tabs>
        <w:numPr>
          <w:ilvl w:val="0"/>
          <w:numId w:val="2"/>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Check box if any securities being registered on this Form will be offered on a delayed or continuous basis in reliance on Rule 415 under the Securities Act of 1933 (“Securities Act”), other than securities offered in connection with a dividend reinvestment plan.</w:t>
      </w:r>
    </w:p>
    <w:p>
      <w:pPr>
        <w:spacing w:after="0" w:line="62" w:lineRule="exact"/>
        <w:rPr>
          <w:rFonts w:ascii="MS PGothic" w:cs="MS PGothic" w:eastAsia="MS PGothic" w:hAnsi="MS PGothic"/>
          <w:sz w:val="11"/>
          <w:szCs w:val="11"/>
          <w:color w:val="auto"/>
        </w:rPr>
      </w:pPr>
    </w:p>
    <w:p>
      <w:pPr>
        <w:ind w:left="640" w:hanging="321"/>
        <w:spacing w:after="0"/>
        <w:tabs>
          <w:tab w:leader="none" w:pos="640" w:val="left"/>
        </w:tabs>
        <w:numPr>
          <w:ilvl w:val="0"/>
          <w:numId w:val="2"/>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Check box if this Form is a registration statement pursuant to General Instruction A.2 or a post-effective amendment thereto.</w:t>
      </w:r>
    </w:p>
    <w:p>
      <w:pPr>
        <w:spacing w:after="0" w:line="99" w:lineRule="exact"/>
        <w:rPr>
          <w:rFonts w:ascii="MS PGothic" w:cs="MS PGothic" w:eastAsia="MS PGothic" w:hAnsi="MS PGothic"/>
          <w:sz w:val="11"/>
          <w:szCs w:val="11"/>
          <w:color w:val="auto"/>
        </w:rPr>
      </w:pPr>
    </w:p>
    <w:p>
      <w:pPr>
        <w:ind w:left="640" w:right="399" w:hanging="321"/>
        <w:spacing w:after="0" w:line="242" w:lineRule="auto"/>
        <w:tabs>
          <w:tab w:leader="none" w:pos="640" w:val="left"/>
        </w:tabs>
        <w:numPr>
          <w:ilvl w:val="0"/>
          <w:numId w:val="2"/>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Check box if this Form is a registration statement pursuant to General Instruction B or a post-effective amendment thereto that will become effective upon filing with the Commission pursuant to Rule 462(e) under the Securities Act.</w:t>
      </w:r>
    </w:p>
    <w:p>
      <w:pPr>
        <w:spacing w:after="0" w:line="63" w:lineRule="exact"/>
        <w:rPr>
          <w:sz w:val="24"/>
          <w:szCs w:val="24"/>
          <w:color w:val="auto"/>
        </w:rPr>
      </w:pPr>
    </w:p>
    <w:p>
      <w:pPr>
        <w:ind w:left="640" w:right="739" w:hanging="321"/>
        <w:spacing w:after="0" w:line="242" w:lineRule="auto"/>
        <w:tabs>
          <w:tab w:leader="none" w:pos="640" w:val="left"/>
        </w:tabs>
        <w:numPr>
          <w:ilvl w:val="0"/>
          <w:numId w:val="3"/>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Check box if this Form is a post-effective amendment to a registration statement filed pursuant to General Instruction B to register additional securities or additional classes of securities pursuant to Rule 413(b) under the Securities Act.</w:t>
      </w:r>
    </w:p>
    <w:p>
      <w:pPr>
        <w:spacing w:after="0" w:line="5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1"/>
          <w:szCs w:val="11"/>
          <w:b w:val="1"/>
          <w:bCs w:val="1"/>
          <w:color w:val="auto"/>
        </w:rPr>
        <w:t>It is proposed that this filing will become effective (check appropriate box):</w:t>
      </w:r>
    </w:p>
    <w:p>
      <w:pPr>
        <w:spacing w:after="0" w:line="81" w:lineRule="exact"/>
        <w:rPr>
          <w:sz w:val="24"/>
          <w:szCs w:val="24"/>
          <w:color w:val="auto"/>
        </w:rPr>
      </w:pPr>
    </w:p>
    <w:p>
      <w:pPr>
        <w:ind w:left="640" w:hanging="321"/>
        <w:spacing w:after="0"/>
        <w:tabs>
          <w:tab w:leader="none" w:pos="640" w:val="left"/>
        </w:tabs>
        <w:numPr>
          <w:ilvl w:val="0"/>
          <w:numId w:val="4"/>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when declared effective pursuant to Section 8(c) of the Securities Act.</w:t>
      </w:r>
    </w:p>
    <w:p>
      <w:pPr>
        <w:spacing w:after="0" w:line="87"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1"/>
          <w:szCs w:val="11"/>
          <w:b w:val="1"/>
          <w:bCs w:val="1"/>
          <w:color w:val="auto"/>
        </w:rPr>
        <w:t>If appropriate, check the following box:</w:t>
      </w:r>
    </w:p>
    <w:p>
      <w:pPr>
        <w:spacing w:after="0" w:line="81" w:lineRule="exact"/>
        <w:rPr>
          <w:sz w:val="24"/>
          <w:szCs w:val="24"/>
          <w:color w:val="auto"/>
        </w:rPr>
      </w:pPr>
    </w:p>
    <w:p>
      <w:pPr>
        <w:ind w:left="640" w:hanging="321"/>
        <w:spacing w:after="0"/>
        <w:tabs>
          <w:tab w:leader="none" w:pos="640" w:val="left"/>
        </w:tabs>
        <w:numPr>
          <w:ilvl w:val="0"/>
          <w:numId w:val="5"/>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This [post-effective] amendment designates a new effective date for a previously filed [post-effective amendment] [registration statement].</w:t>
      </w:r>
    </w:p>
    <w:p>
      <w:pPr>
        <w:spacing w:after="0" w:line="97" w:lineRule="exact"/>
        <w:rPr>
          <w:rFonts w:ascii="MS PGothic" w:cs="MS PGothic" w:eastAsia="MS PGothic" w:hAnsi="MS PGothic"/>
          <w:sz w:val="11"/>
          <w:szCs w:val="11"/>
          <w:color w:val="auto"/>
        </w:rPr>
      </w:pPr>
    </w:p>
    <w:p>
      <w:pPr>
        <w:ind w:left="640" w:hanging="321"/>
        <w:spacing w:after="0"/>
        <w:tabs>
          <w:tab w:leader="none" w:pos="640" w:val="left"/>
        </w:tabs>
        <w:numPr>
          <w:ilvl w:val="0"/>
          <w:numId w:val="5"/>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This Form is filed to register additional securities for an offering pursuant to Rule 462(b) under the Securities Act, and the Securities Act registration statement number of the earlier</w:t>
      </w:r>
    </w:p>
    <w:p>
      <w:pPr>
        <w:ind w:left="640"/>
        <w:spacing w:after="0"/>
        <w:rPr>
          <w:sz w:val="20"/>
          <w:szCs w:val="20"/>
          <w:color w:val="auto"/>
        </w:rPr>
      </w:pPr>
      <w:r>
        <w:rPr>
          <w:rFonts w:ascii="Times New Roman" w:cs="Times New Roman" w:eastAsia="Times New Roman" w:hAnsi="Times New Roman"/>
          <w:sz w:val="11"/>
          <w:szCs w:val="11"/>
          <w:color w:val="auto"/>
        </w:rPr>
        <w:t>effective registration statement for the same offering is: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1969770</wp:posOffset>
            </wp:positionH>
            <wp:positionV relativeFrom="paragraph">
              <wp:posOffset>-11430</wp:posOffset>
            </wp:positionV>
            <wp:extent cx="27749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7495" cy="6350"/>
                    </a:xfrm>
                    <a:prstGeom prst="rect">
                      <a:avLst/>
                    </a:prstGeom>
                    <a:noFill/>
                  </pic:spPr>
                </pic:pic>
              </a:graphicData>
            </a:graphic>
          </wp:anchor>
        </w:drawing>
      </w:r>
    </w:p>
    <w:p>
      <w:pPr>
        <w:spacing w:after="0" w:line="47" w:lineRule="exact"/>
        <w:rPr>
          <w:sz w:val="24"/>
          <w:szCs w:val="24"/>
          <w:color w:val="auto"/>
        </w:rPr>
      </w:pPr>
    </w:p>
    <w:p>
      <w:pPr>
        <w:ind w:left="640" w:hanging="321"/>
        <w:spacing w:after="0"/>
        <w:tabs>
          <w:tab w:leader="none" w:pos="640" w:val="left"/>
        </w:tabs>
        <w:numPr>
          <w:ilvl w:val="0"/>
          <w:numId w:val="6"/>
        </w:numPr>
        <w:rPr>
          <w:rFonts w:ascii="MS PGothic" w:cs="MS PGothic" w:eastAsia="MS PGothic" w:hAnsi="MS PGothic"/>
          <w:sz w:val="10"/>
          <w:szCs w:val="10"/>
          <w:color w:val="auto"/>
        </w:rPr>
      </w:pPr>
      <w:r>
        <w:rPr>
          <w:rFonts w:ascii="Times New Roman" w:cs="Times New Roman" w:eastAsia="Times New Roman" w:hAnsi="Times New Roman"/>
          <w:sz w:val="10"/>
          <w:szCs w:val="10"/>
          <w:color w:val="auto"/>
        </w:rPr>
        <w:t>This Form is a post-effective amendment filed pursuant to Rule 462(c) under the Securities Act, and the Securities Act registration statement number of the earlier effective registration</w:t>
      </w:r>
    </w:p>
    <w:p>
      <w:pPr>
        <w:spacing w:after="0" w:line="10"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1"/>
          <w:szCs w:val="11"/>
          <w:color w:val="auto"/>
        </w:rPr>
        <w:t>statement for the same offering is: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1377315</wp:posOffset>
            </wp:positionH>
            <wp:positionV relativeFrom="paragraph">
              <wp:posOffset>-11430</wp:posOffset>
            </wp:positionV>
            <wp:extent cx="27749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7495" cy="6350"/>
                    </a:xfrm>
                    <a:prstGeom prst="rect">
                      <a:avLst/>
                    </a:prstGeom>
                    <a:noFill/>
                  </pic:spPr>
                </pic:pic>
              </a:graphicData>
            </a:graphic>
          </wp:anchor>
        </w:drawing>
      </w:r>
    </w:p>
    <w:p>
      <w:pPr>
        <w:spacing w:after="0" w:line="47" w:lineRule="exact"/>
        <w:rPr>
          <w:sz w:val="24"/>
          <w:szCs w:val="24"/>
          <w:color w:val="auto"/>
        </w:rPr>
      </w:pPr>
    </w:p>
    <w:p>
      <w:pPr>
        <w:ind w:left="640" w:right="859" w:hanging="321"/>
        <w:spacing w:after="0" w:line="242" w:lineRule="auto"/>
        <w:tabs>
          <w:tab w:leader="none" w:pos="640" w:val="left"/>
        </w:tabs>
        <w:numPr>
          <w:ilvl w:val="0"/>
          <w:numId w:val="7"/>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This Form is a post-effective amendment filed pursuant to Rule 462(d) under the Securities Act, and the Securities Act registration statement number of the earlier effective registration statement for the same offering is: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1710690</wp:posOffset>
            </wp:positionH>
            <wp:positionV relativeFrom="paragraph">
              <wp:posOffset>-13970</wp:posOffset>
            </wp:positionV>
            <wp:extent cx="27749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7495" cy="6350"/>
                    </a:xfrm>
                    <a:prstGeom prst="rect">
                      <a:avLst/>
                    </a:prstGeom>
                    <a:noFill/>
                  </pic:spPr>
                </pic:pic>
              </a:graphicData>
            </a:graphic>
          </wp:anchor>
        </w:drawing>
      </w:r>
    </w:p>
    <w:p>
      <w:pPr>
        <w:spacing w:after="0" w:line="3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1"/>
          <w:szCs w:val="11"/>
          <w:b w:val="1"/>
          <w:bCs w:val="1"/>
          <w:color w:val="auto"/>
        </w:rPr>
        <w:t>Check each box that appropriately characterizes the Registrant:</w:t>
      </w:r>
    </w:p>
    <w:p>
      <w:pPr>
        <w:spacing w:after="0" w:line="81" w:lineRule="exact"/>
        <w:rPr>
          <w:sz w:val="24"/>
          <w:szCs w:val="24"/>
          <w:color w:val="auto"/>
        </w:rPr>
      </w:pPr>
    </w:p>
    <w:p>
      <w:pPr>
        <w:ind w:left="640" w:hanging="321"/>
        <w:spacing w:after="0"/>
        <w:tabs>
          <w:tab w:leader="none" w:pos="640" w:val="left"/>
        </w:tabs>
        <w:numPr>
          <w:ilvl w:val="0"/>
          <w:numId w:val="8"/>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Registered Closed-End Fund (closed-end company that is registered under the Investment Company Act of 1940 (“Investment Company Act”)).</w:t>
      </w:r>
    </w:p>
    <w:p>
      <w:pPr>
        <w:spacing w:after="0" w:line="99" w:lineRule="exact"/>
        <w:rPr>
          <w:sz w:val="24"/>
          <w:szCs w:val="24"/>
          <w:color w:val="auto"/>
        </w:rPr>
      </w:pPr>
    </w:p>
    <w:p>
      <w:pPr>
        <w:ind w:left="640" w:hanging="321"/>
        <w:spacing w:after="0"/>
        <w:tabs>
          <w:tab w:leader="none" w:pos="640" w:val="left"/>
        </w:tabs>
        <w:numPr>
          <w:ilvl w:val="0"/>
          <w:numId w:val="9"/>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Business Development Company (closed-end company that intends or has elected to be regulated as a business development company under the Investment Company Act).</w:t>
      </w:r>
    </w:p>
    <w:p>
      <w:pPr>
        <w:spacing w:after="0" w:line="99" w:lineRule="exact"/>
        <w:rPr>
          <w:sz w:val="24"/>
          <w:szCs w:val="24"/>
          <w:color w:val="auto"/>
        </w:rPr>
      </w:pPr>
    </w:p>
    <w:p>
      <w:pPr>
        <w:ind w:left="640" w:hanging="321"/>
        <w:spacing w:after="0"/>
        <w:tabs>
          <w:tab w:leader="none" w:pos="640" w:val="left"/>
        </w:tabs>
        <w:numPr>
          <w:ilvl w:val="0"/>
          <w:numId w:val="10"/>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Interval Fund (Registered Closed-End Fund or a Business Development Company that makes periodic repurchase offers under Rule 23c-3 under the Investment Company Act).</w:t>
      </w:r>
    </w:p>
    <w:p>
      <w:pPr>
        <w:spacing w:after="0" w:line="99" w:lineRule="exact"/>
        <w:rPr>
          <w:sz w:val="24"/>
          <w:szCs w:val="24"/>
          <w:color w:val="auto"/>
        </w:rPr>
      </w:pPr>
    </w:p>
    <w:p>
      <w:pPr>
        <w:ind w:left="640" w:hanging="321"/>
        <w:spacing w:after="0"/>
        <w:tabs>
          <w:tab w:leader="none" w:pos="640" w:val="left"/>
        </w:tabs>
        <w:numPr>
          <w:ilvl w:val="0"/>
          <w:numId w:val="1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A.2 Qualified (qualified to register securities pursuant to General Instruction A.2 of this Form).</w:t>
      </w:r>
    </w:p>
    <w:p>
      <w:pPr>
        <w:spacing w:after="0" w:line="99" w:lineRule="exact"/>
        <w:rPr>
          <w:rFonts w:ascii="MS PGothic" w:cs="MS PGothic" w:eastAsia="MS PGothic" w:hAnsi="MS PGothic"/>
          <w:sz w:val="11"/>
          <w:szCs w:val="11"/>
          <w:color w:val="auto"/>
        </w:rPr>
      </w:pPr>
    </w:p>
    <w:p>
      <w:pPr>
        <w:ind w:left="640" w:hanging="321"/>
        <w:spacing w:after="0"/>
        <w:tabs>
          <w:tab w:leader="none" w:pos="640" w:val="left"/>
        </w:tabs>
        <w:numPr>
          <w:ilvl w:val="0"/>
          <w:numId w:val="1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Well-Known Seasoned Issuer (as defined by Rule 405 under the Securities Act).</w:t>
      </w:r>
    </w:p>
    <w:p>
      <w:pPr>
        <w:spacing w:after="0" w:line="99" w:lineRule="exact"/>
        <w:rPr>
          <w:sz w:val="24"/>
          <w:szCs w:val="24"/>
          <w:color w:val="auto"/>
        </w:rPr>
      </w:pPr>
    </w:p>
    <w:p>
      <w:pPr>
        <w:ind w:left="640" w:hanging="321"/>
        <w:spacing w:after="0"/>
        <w:tabs>
          <w:tab w:leader="none" w:pos="640" w:val="left"/>
        </w:tabs>
        <w:numPr>
          <w:ilvl w:val="0"/>
          <w:numId w:val="12"/>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Emerging Growth Company (as defined by Rule 12b-2 under the Securities Exchange Act of 1934 (“Exchange Act”).</w:t>
      </w:r>
    </w:p>
    <w:p>
      <w:pPr>
        <w:spacing w:after="0" w:line="99" w:lineRule="exact"/>
        <w:rPr>
          <w:rFonts w:ascii="MS PGothic" w:cs="MS PGothic" w:eastAsia="MS PGothic" w:hAnsi="MS PGothic"/>
          <w:sz w:val="11"/>
          <w:szCs w:val="11"/>
          <w:color w:val="auto"/>
        </w:rPr>
      </w:pPr>
    </w:p>
    <w:p>
      <w:pPr>
        <w:ind w:left="640" w:right="679" w:hanging="321"/>
        <w:spacing w:after="0" w:line="242" w:lineRule="auto"/>
        <w:tabs>
          <w:tab w:leader="none" w:pos="640" w:val="left"/>
        </w:tabs>
        <w:numPr>
          <w:ilvl w:val="0"/>
          <w:numId w:val="12"/>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If an Emerging Growth Company, indicate by check mark if the Registrant has elected not to use the extended transition period for complying with any new or revised financial accounting standards provided pursuant to Section 7(a)(2)(B) of Securities Act.</w:t>
      </w:r>
    </w:p>
    <w:p>
      <w:pPr>
        <w:spacing w:after="0" w:line="62" w:lineRule="exact"/>
        <w:rPr>
          <w:rFonts w:ascii="MS PGothic" w:cs="MS PGothic" w:eastAsia="MS PGothic" w:hAnsi="MS PGothic"/>
          <w:sz w:val="11"/>
          <w:szCs w:val="11"/>
          <w:color w:val="auto"/>
        </w:rPr>
      </w:pPr>
    </w:p>
    <w:p>
      <w:pPr>
        <w:ind w:left="640" w:hanging="321"/>
        <w:spacing w:after="0"/>
        <w:tabs>
          <w:tab w:leader="none" w:pos="640" w:val="left"/>
        </w:tabs>
        <w:numPr>
          <w:ilvl w:val="0"/>
          <w:numId w:val="12"/>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New Registrant (registered or regulated under the Investment Company Act for less than 12 calendar months preceding this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2299970</wp:posOffset>
            </wp:positionH>
            <wp:positionV relativeFrom="paragraph">
              <wp:posOffset>132715</wp:posOffset>
            </wp:positionV>
            <wp:extent cx="112014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20140" cy="6350"/>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262890</wp:posOffset>
            </wp:positionV>
            <wp:extent cx="531558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15585" cy="6350"/>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295275</wp:posOffset>
            </wp:positionV>
            <wp:extent cx="531558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15585" cy="6350"/>
                    </a:xfrm>
                    <a:prstGeom prst="rect">
                      <a:avLst/>
                    </a:prstGeom>
                    <a:noFill/>
                  </pic:spPr>
                </pic:pic>
              </a:graphicData>
            </a:graphic>
          </wp:anchor>
        </w:drawing>
      </w:r>
    </w:p>
    <w:p>
      <w:pPr>
        <w:sectPr>
          <w:pgSz w:w="11900" w:h="16838" w:orient="portrait"/>
          <w:cols w:equalWidth="0" w:num="1">
            <w:col w:w="9019"/>
          </w:cols>
          <w:pgMar w:left="1440" w:top="202" w:right="1440" w:bottom="1440" w:gutter="0" w:footer="0" w:header="0"/>
        </w:sectPr>
      </w:pPr>
    </w:p>
    <w:bookmarkStart w:id="1" w:name="page2"/>
    <w:bookmarkEnd w:id="1"/>
    <w:p>
      <w:pPr>
        <w:ind w:left="32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45085"/>
                    </a:xfrm>
                    <a:prstGeom prst="rect">
                      <a:avLst/>
                    </a:prstGeom>
                    <a:noFill/>
                  </pic:spPr>
                </pic:pic>
              </a:graphicData>
            </a:graphic>
          </wp:anchor>
        </w:drawing>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2404110</wp:posOffset>
            </wp:positionH>
            <wp:positionV relativeFrom="paragraph">
              <wp:posOffset>81915</wp:posOffset>
            </wp:positionV>
            <wp:extent cx="918210" cy="469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18210" cy="46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Preferred Stock</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Subscription Rights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Debt Securities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2299970</wp:posOffset>
            </wp:positionH>
            <wp:positionV relativeFrom="paragraph">
              <wp:posOffset>119380</wp:posOffset>
            </wp:positionV>
            <wp:extent cx="112014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20140" cy="6350"/>
                    </a:xfrm>
                    <a:prstGeom prst="rect">
                      <a:avLst/>
                    </a:prstGeom>
                    <a:noFill/>
                  </pic:spPr>
                </pic:pic>
              </a:graphicData>
            </a:graphic>
          </wp:anchor>
        </w:drawing>
      </w:r>
    </w:p>
    <w:p>
      <w:pPr>
        <w:spacing w:after="0" w:line="243" w:lineRule="exact"/>
        <w:rPr>
          <w:sz w:val="20"/>
          <w:szCs w:val="20"/>
          <w:color w:val="auto"/>
        </w:rPr>
      </w:pPr>
    </w:p>
    <w:p>
      <w:pPr>
        <w:ind w:left="320" w:right="379" w:firstLine="335"/>
        <w:spacing w:after="0" w:line="224" w:lineRule="auto"/>
        <w:rPr>
          <w:sz w:val="20"/>
          <w:szCs w:val="20"/>
          <w:color w:val="auto"/>
        </w:rPr>
      </w:pPr>
      <w:r>
        <w:rPr>
          <w:rFonts w:ascii="Times New Roman" w:cs="Times New Roman" w:eastAsia="Times New Roman" w:hAnsi="Times New Roman"/>
          <w:sz w:val="11"/>
          <w:szCs w:val="11"/>
          <w:color w:val="auto"/>
        </w:rPr>
        <w:t>We may offer, from time to time, in one or more offerings or series, our common stock, preferred stock, subscription rights to purchase shares of our common stock, debt securities, or warrants representing rights to purchase shares of our common stock, preferred stock, or debt securities, which we refer to collectively as the “securities.” We may sell our common stock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w:t>
      </w:r>
    </w:p>
    <w:p>
      <w:pPr>
        <w:spacing w:after="0" w:line="56" w:lineRule="exact"/>
        <w:rPr>
          <w:sz w:val="20"/>
          <w:szCs w:val="20"/>
          <w:color w:val="auto"/>
        </w:rPr>
      </w:pPr>
    </w:p>
    <w:p>
      <w:pPr>
        <w:ind w:left="320" w:right="339" w:firstLine="335"/>
        <w:spacing w:after="0" w:line="223" w:lineRule="auto"/>
        <w:rPr>
          <w:sz w:val="20"/>
          <w:szCs w:val="20"/>
          <w:color w:val="auto"/>
        </w:rPr>
      </w:pPr>
      <w:r>
        <w:rPr>
          <w:rFonts w:ascii="Times New Roman" w:cs="Times New Roman" w:eastAsia="Times New Roman" w:hAnsi="Times New Roman"/>
          <w:sz w:val="11"/>
          <w:szCs w:val="11"/>
          <w:color w:val="auto"/>
        </w:rPr>
        <w:t>We may offer shares of common stock at a discount to net asset value per share in certain circumstances. On June 11, 2025, our common stockholders voted to allow us to sell or otherwise issue common stock at a price below net asset value per share for a period of one year ending on the earlier of June 11, 2026 or the date of our 2026 Annual Meeting of Stockholders. Our stockholders are being asked to consider and approve a similar proposal at our 2026 Annual Meeting of Stockholders. Sales of common stock at prices below net asset value per share dilute the interests of existing stockholders, have the effect of reducing our net asset value per share and may reduce our market price per share. In addition, continuous sales of common stock below net asset value may have a negative impact on total returns and could have a negative impact on the market price of our shares of common stock. See “Risk Factors” in Part I, Item 1A in our most recent Annual Report on Form 10-K and in Part II, Item 1A of any subsequent Quarterly Report on Form 10-Q for more information.</w:t>
      </w:r>
    </w:p>
    <w:p>
      <w:pPr>
        <w:spacing w:after="0" w:line="54" w:lineRule="exact"/>
        <w:rPr>
          <w:sz w:val="20"/>
          <w:szCs w:val="20"/>
          <w:color w:val="auto"/>
        </w:rPr>
      </w:pPr>
    </w:p>
    <w:p>
      <w:pPr>
        <w:ind w:left="320" w:right="379" w:firstLine="335"/>
        <w:spacing w:after="0" w:line="224" w:lineRule="auto"/>
        <w:rPr>
          <w:sz w:val="20"/>
          <w:szCs w:val="20"/>
          <w:color w:val="auto"/>
        </w:rPr>
      </w:pPr>
      <w:r>
        <w:rPr>
          <w:rFonts w:ascii="Times New Roman" w:cs="Times New Roman" w:eastAsia="Times New Roman" w:hAnsi="Times New Roman"/>
          <w:sz w:val="11"/>
          <w:szCs w:val="11"/>
          <w:color w:val="auto"/>
        </w:rPr>
        <w:t>Our stockholders specified that the cumulative number of shares sold in each offering during the one-year period ending on the earlier of June 11, 2026 or the date of our 2026 Annual Meeting of Stockholders may not exceed 25.0% of our outstanding common stock immediately prior to such sale. In addition, we cannot issue shares of our common stock below net asset value unless our board of directors determines that it would be in our and our stockholders’ best interests to do so. Shares of closed-end investment companies such as us frequently trade at a discount to their net asset value. This risk is separate and distinct from the risk that our net asset value per share may decline. We cannot predict whether our common stock will trade above, at or below net asset value. You should read this prospectus and the applicable prospectus supplement carefully before you invest in our common stock.</w:t>
      </w:r>
    </w:p>
    <w:p>
      <w:pPr>
        <w:spacing w:after="0" w:line="56" w:lineRule="exact"/>
        <w:rPr>
          <w:sz w:val="20"/>
          <w:szCs w:val="20"/>
          <w:color w:val="auto"/>
        </w:rPr>
      </w:pPr>
    </w:p>
    <w:p>
      <w:pPr>
        <w:ind w:left="320" w:right="339" w:firstLine="335"/>
        <w:spacing w:after="0" w:line="223" w:lineRule="auto"/>
        <w:rPr>
          <w:sz w:val="20"/>
          <w:szCs w:val="20"/>
          <w:color w:val="auto"/>
        </w:rPr>
      </w:pPr>
      <w:r>
        <w:rPr>
          <w:rFonts w:ascii="Times New Roman" w:cs="Times New Roman" w:eastAsia="Times New Roman" w:hAnsi="Times New Roman"/>
          <w:sz w:val="11"/>
          <w:szCs w:val="11"/>
          <w:color w:val="auto"/>
        </w:rPr>
        <w:t>We provide customized debt and equity financing solutions to lower middle-market companies, which we define as U.S. based companies having revenues between $10.0 million and $150.0 million. We are an externally managed, closed-end, non-diversified management investment company that has elected to be regulated as a business development company under the Investment Company Act of 1940, as amended.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w:t>
      </w:r>
    </w:p>
    <w:p>
      <w:pPr>
        <w:spacing w:after="0" w:line="52" w:lineRule="exact"/>
        <w:rPr>
          <w:sz w:val="20"/>
          <w:szCs w:val="20"/>
          <w:color w:val="auto"/>
        </w:rPr>
      </w:pPr>
    </w:p>
    <w:p>
      <w:pPr>
        <w:ind w:left="320" w:right="399" w:firstLine="335"/>
        <w:spacing w:after="0" w:line="233" w:lineRule="auto"/>
        <w:rPr>
          <w:sz w:val="20"/>
          <w:szCs w:val="20"/>
          <w:color w:val="auto"/>
        </w:rPr>
      </w:pPr>
      <w:r>
        <w:rPr>
          <w:rFonts w:ascii="Times New Roman" w:cs="Times New Roman" w:eastAsia="Times New Roman" w:hAnsi="Times New Roman"/>
          <w:sz w:val="11"/>
          <w:szCs w:val="11"/>
          <w:b w:val="1"/>
          <w:bCs w:val="1"/>
          <w:color w:val="auto"/>
        </w:rPr>
        <w:t>We generally invest in securities that would be rated below investment grade if they were rated. Below investment grade securities, which are often referred to as “high yield” or “junk,” have speculative characteristics with respect to our capacity to pay interest and repay principal. See “Risk Factors” in Part I, Item 1A in our most recent Annual Report on Form 10-K and in Part II, Item 1A of any subsequent Quarterly Report on Form 10-Q for more information.</w:t>
      </w:r>
    </w:p>
    <w:p>
      <w:pPr>
        <w:spacing w:after="0" w:line="54" w:lineRule="exact"/>
        <w:rPr>
          <w:sz w:val="20"/>
          <w:szCs w:val="20"/>
          <w:color w:val="auto"/>
        </w:rPr>
      </w:pPr>
    </w:p>
    <w:p>
      <w:pPr>
        <w:ind w:left="320" w:right="519" w:firstLine="335"/>
        <w:spacing w:after="0" w:line="242" w:lineRule="auto"/>
        <w:rPr>
          <w:sz w:val="20"/>
          <w:szCs w:val="20"/>
          <w:color w:val="auto"/>
        </w:rPr>
      </w:pPr>
      <w:r>
        <w:rPr>
          <w:rFonts w:ascii="Times New Roman" w:cs="Times New Roman" w:eastAsia="Times New Roman" w:hAnsi="Times New Roman"/>
          <w:sz w:val="11"/>
          <w:szCs w:val="11"/>
          <w:color w:val="auto"/>
        </w:rPr>
        <w:t>Our common stock is listed on the Nasdaq Global Select Market under the symbol “FDUS.” On February 24, 2026, the last reported sale price of our common stock on the Nasdaq Global Select Market was $18.30 per share.</w:t>
      </w:r>
    </w:p>
    <w:p>
      <w:pPr>
        <w:spacing w:after="0" w:line="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color w:val="auto"/>
        </w:rPr>
        <w:t>Fidus Investment Advisors, LLC serves as our investment advisor and as our administrator.</w:t>
      </w:r>
    </w:p>
    <w:p>
      <w:pPr>
        <w:spacing w:after="0" w:line="68" w:lineRule="exact"/>
        <w:rPr>
          <w:sz w:val="20"/>
          <w:szCs w:val="20"/>
          <w:color w:val="auto"/>
        </w:rPr>
      </w:pPr>
    </w:p>
    <w:p>
      <w:pPr>
        <w:ind w:left="320" w:right="339" w:firstLine="335"/>
        <w:spacing w:after="0" w:line="219" w:lineRule="auto"/>
        <w:rPr>
          <w:sz w:val="20"/>
          <w:szCs w:val="20"/>
          <w:color w:val="auto"/>
        </w:rPr>
      </w:pPr>
      <w:r>
        <w:rPr>
          <w:rFonts w:ascii="Times New Roman" w:cs="Times New Roman" w:eastAsia="Times New Roman" w:hAnsi="Times New Roman"/>
          <w:sz w:val="11"/>
          <w:szCs w:val="11"/>
          <w:color w:val="auto"/>
        </w:rPr>
        <w:t xml:space="preserve">This prospectus describes some of the general terms that may apply to an offering of our securities. We will provide the specific terms of these offerings and securities in one or more supplements to this prospectus. We also may authorize one or more free writing prospectuses to be provided to you in connection with these offerings. The prospectus supplement and any related free writing prospectus also may add, update, or change information contained in this prospectus. You should carefully read this prospectus, the applicable prospectus supplement, and any related free writing prospectus, and the documents incorporated by reference, before buying any of the securities being offered. We file annual, quarterly and current reports, proxy statements and other information with the Securities and Exchange Commission, which is available free of charge upon written or oral request by contacting us by mail at 1603 Orrington Avenue, Suite 1005, Evanston, Illinois 60201, Attention: Investor Relations, by accessing our website at </w:t>
      </w:r>
      <w:r>
        <w:rPr>
          <w:rFonts w:ascii="Times New Roman" w:cs="Times New Roman" w:eastAsia="Times New Roman" w:hAnsi="Times New Roman"/>
          <w:sz w:val="11"/>
          <w:szCs w:val="11"/>
          <w:i w:val="1"/>
          <w:iCs w:val="1"/>
          <w:color w:val="auto"/>
        </w:rPr>
        <w:t>www.fdus.com</w:t>
      </w:r>
      <w:r>
        <w:rPr>
          <w:rFonts w:ascii="Times New Roman" w:cs="Times New Roman" w:eastAsia="Times New Roman" w:hAnsi="Times New Roman"/>
          <w:sz w:val="11"/>
          <w:szCs w:val="11"/>
          <w:color w:val="auto"/>
        </w:rPr>
        <w:t xml:space="preserve">, by calling us collect at (847) 859-3940 or by sending an e-mail to us at investorrelations@fdus.com. The Securities and Exchange Commission also maintains a website at </w:t>
      </w:r>
      <w:r>
        <w:rPr>
          <w:rFonts w:ascii="Times New Roman" w:cs="Times New Roman" w:eastAsia="Times New Roman" w:hAnsi="Times New Roman"/>
          <w:sz w:val="11"/>
          <w:szCs w:val="11"/>
          <w:i w:val="1"/>
          <w:iCs w:val="1"/>
          <w:color w:val="auto"/>
        </w:rPr>
        <w:t>www.sec.gov</w:t>
      </w:r>
      <w:r>
        <w:rPr>
          <w:rFonts w:ascii="Times New Roman" w:cs="Times New Roman" w:eastAsia="Times New Roman" w:hAnsi="Times New Roman"/>
          <w:sz w:val="11"/>
          <w:szCs w:val="11"/>
          <w:color w:val="auto"/>
        </w:rPr>
        <w:t xml:space="preserve"> that contains such information, including the documents incorporated by reference into this prospectus. Information contained on our website is not incorporated by reference into this prospectus or any supplements to this prospectus, and you should not consider that information to be part of this prospectus or any supplements to this prospectus. The contact information provided above may be used by you to make investor inquiries. This prospectus should be retained for future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2299970</wp:posOffset>
            </wp:positionH>
            <wp:positionV relativeFrom="paragraph">
              <wp:posOffset>105410</wp:posOffset>
            </wp:positionV>
            <wp:extent cx="112014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20140" cy="6350"/>
                    </a:xfrm>
                    <a:prstGeom prst="rect">
                      <a:avLst/>
                    </a:prstGeom>
                    <a:noFill/>
                  </pic:spPr>
                </pic:pic>
              </a:graphicData>
            </a:graphic>
          </wp:anchor>
        </w:drawing>
      </w:r>
    </w:p>
    <w:p>
      <w:pPr>
        <w:spacing w:after="0" w:line="225" w:lineRule="exact"/>
        <w:rPr>
          <w:sz w:val="20"/>
          <w:szCs w:val="20"/>
          <w:color w:val="auto"/>
        </w:rPr>
      </w:pPr>
    </w:p>
    <w:p>
      <w:pPr>
        <w:ind w:left="320" w:right="559" w:firstLine="335"/>
        <w:spacing w:after="0" w:line="275" w:lineRule="auto"/>
        <w:rPr>
          <w:sz w:val="20"/>
          <w:szCs w:val="20"/>
          <w:color w:val="auto"/>
        </w:rPr>
      </w:pPr>
      <w:r>
        <w:rPr>
          <w:rFonts w:ascii="Times New Roman" w:cs="Times New Roman" w:eastAsia="Times New Roman" w:hAnsi="Times New Roman"/>
          <w:sz w:val="12"/>
          <w:szCs w:val="12"/>
          <w:b w:val="1"/>
          <w:bCs w:val="1"/>
          <w:i w:val="1"/>
          <w:iCs w:val="1"/>
          <w:color w:val="auto"/>
        </w:rPr>
        <w:t>An investment in our securities is very risky and highly speculative. Shares of closed-end investment companies, including BDCs, frequently trade at a discount to their net asset value. In addition, the companies in which we invest are subject to special risks. See “</w:t>
      </w:r>
      <w:r>
        <w:rPr>
          <w:rFonts w:ascii="Times New Roman" w:cs="Times New Roman" w:eastAsia="Times New Roman" w:hAnsi="Times New Roman"/>
          <w:sz w:val="12"/>
          <w:szCs w:val="12"/>
          <w:b w:val="1"/>
          <w:bCs w:val="1"/>
          <w:i w:val="1"/>
          <w:iCs w:val="1"/>
          <w:u w:val="single" w:color="auto"/>
          <w:color w:val="0000EE"/>
        </w:rPr>
        <w:t>Risk Factors</w:t>
      </w:r>
      <w:r>
        <w:rPr>
          <w:rFonts w:ascii="Times New Roman" w:cs="Times New Roman" w:eastAsia="Times New Roman" w:hAnsi="Times New Roman"/>
          <w:sz w:val="12"/>
          <w:szCs w:val="12"/>
          <w:b w:val="1"/>
          <w:bCs w:val="1"/>
          <w:i w:val="1"/>
          <w:iCs w:val="1"/>
          <w:color w:val="auto"/>
        </w:rPr>
        <w:t>” beginning on page 9 of this prospectus, in Part I, Item 1A of our most recent Annual Report on Form 10-K, in Part II, Item 1A of any subsequent Quarterly Report on Form 10-Q and in, or incorporated by reference into, the applicable prospectus supplement and in any free writing prospectuses we may authorize for use in connection with a specific offering, and under similar headings in the other documents that are incorporated by reference into this prospectus, to read about factors you should consider, including the risk of leverage, before investing in our securities.</w:t>
      </w:r>
    </w:p>
    <w:p>
      <w:pPr>
        <w:spacing w:after="0" w:line="50" w:lineRule="exact"/>
        <w:rPr>
          <w:sz w:val="20"/>
          <w:szCs w:val="20"/>
          <w:color w:val="auto"/>
        </w:rPr>
      </w:pPr>
    </w:p>
    <w:p>
      <w:pPr>
        <w:ind w:left="320" w:right="539" w:firstLine="335"/>
        <w:spacing w:after="0" w:line="246" w:lineRule="auto"/>
        <w:rPr>
          <w:sz w:val="20"/>
          <w:szCs w:val="20"/>
          <w:color w:val="auto"/>
        </w:rPr>
      </w:pPr>
      <w:r>
        <w:rPr>
          <w:rFonts w:ascii="Times New Roman" w:cs="Times New Roman" w:eastAsia="Times New Roman" w:hAnsi="Times New Roman"/>
          <w:sz w:val="11"/>
          <w:szCs w:val="11"/>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b w:val="1"/>
          <w:bCs w:val="1"/>
          <w:color w:val="auto"/>
        </w:rPr>
        <w:t>This prospectus may not be used to consummate sales of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2299970</wp:posOffset>
            </wp:positionH>
            <wp:positionV relativeFrom="paragraph">
              <wp:posOffset>114300</wp:posOffset>
            </wp:positionV>
            <wp:extent cx="112014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20140" cy="6350"/>
                    </a:xfrm>
                    <a:prstGeom prst="rect">
                      <a:avLst/>
                    </a:prstGeom>
                    <a:noFill/>
                  </pic:spPr>
                </pic:pic>
              </a:graphicData>
            </a:graphic>
          </wp:anchor>
        </w:drawing>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The date of this prospectus is February 27, 2026</w:t>
      </w:r>
    </w:p>
    <w:p>
      <w:pPr>
        <w:sectPr>
          <w:pgSz w:w="11900" w:h="16838" w:orient="portrait"/>
          <w:cols w:equalWidth="0" w:num="1">
            <w:col w:w="9019"/>
          </w:cols>
          <w:pgMar w:left="1440" w:top="254" w:right="1440" w:bottom="1440" w:gutter="0" w:footer="0" w:header="0"/>
        </w:sectPr>
      </w:pPr>
    </w:p>
    <w:bookmarkStart w:id="2" w:name="page3"/>
    <w:bookmarkEnd w:id="2"/>
    <w:tbl>
      <w:tblPr>
        <w:tblLayout w:type="fixed"/>
        <w:tblInd w:w="320" w:type="dxa"/>
        <w:tblCellMar>
          <w:top w:w="0" w:type="dxa"/>
          <w:left w:w="0" w:type="dxa"/>
          <w:bottom w:w="0" w:type="dxa"/>
          <w:right w:w="0" w:type="dxa"/>
        </w:tblCellMar>
      </w:tblPr>
      <w:tr>
        <w:trPr>
          <w:trHeight w:val="180"/>
        </w:trPr>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760" w:type="dxa"/>
            <w:vAlign w:val="bottom"/>
          </w:tcPr>
          <w:p>
            <w:pPr>
              <w:spacing w:after="0"/>
              <w:rPr>
                <w:sz w:val="15"/>
                <w:szCs w:val="15"/>
                <w:color w:val="auto"/>
              </w:rPr>
            </w:pPr>
          </w:p>
        </w:tc>
      </w:tr>
      <w:tr>
        <w:trPr>
          <w:trHeight w:val="319"/>
        </w:trPr>
        <w:tc>
          <w:tcPr>
            <w:tcW w:w="11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4"/>
                <w:szCs w:val="14"/>
                <w:color w:val="0000EE"/>
                <w:w w:val="96"/>
              </w:rPr>
              <w:t>Prospectus Summary</w:t>
            </w:r>
          </w:p>
        </w:tc>
        <w:tc>
          <w:tcPr>
            <w:tcW w:w="5400" w:type="dxa"/>
            <w:vAlign w:val="bottom"/>
            <w:gridSpan w:val="18"/>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44"/>
        </w:trPr>
        <w:tc>
          <w:tcPr>
            <w:tcW w:w="740" w:type="dxa"/>
            <w:vAlign w:val="bottom"/>
            <w:tcBorders>
              <w:bottom w:val="single" w:sz="8" w:color="0000EE"/>
            </w:tcBorders>
            <w:gridSpan w:val="4"/>
          </w:tcPr>
          <w:p>
            <w:pPr>
              <w:spacing w:after="0" w:line="144" w:lineRule="exact"/>
              <w:rPr>
                <w:sz w:val="20"/>
                <w:szCs w:val="20"/>
                <w:color w:val="auto"/>
              </w:rPr>
            </w:pPr>
            <w:r>
              <w:rPr>
                <w:rFonts w:ascii="Times New Roman" w:cs="Times New Roman" w:eastAsia="Times New Roman" w:hAnsi="Times New Roman"/>
                <w:sz w:val="14"/>
                <w:szCs w:val="14"/>
                <w:color w:val="0000EE"/>
                <w:w w:val="97"/>
              </w:rPr>
              <w:t>The Offering</w:t>
            </w:r>
          </w:p>
        </w:tc>
        <w:tc>
          <w:tcPr>
            <w:tcW w:w="5820" w:type="dxa"/>
            <w:vAlign w:val="bottom"/>
            <w:gridSpan w:val="27"/>
          </w:tcPr>
          <w:p>
            <w:pPr>
              <w:spacing w:after="0"/>
              <w:rPr>
                <w:sz w:val="12"/>
                <w:szCs w:val="12"/>
                <w:color w:val="auto"/>
              </w:rPr>
            </w:pPr>
          </w:p>
        </w:tc>
        <w:tc>
          <w:tcPr>
            <w:tcW w:w="17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4</w:t>
            </w:r>
          </w:p>
        </w:tc>
      </w:tr>
      <w:tr>
        <w:trPr>
          <w:trHeight w:val="144"/>
        </w:trPr>
        <w:tc>
          <w:tcPr>
            <w:tcW w:w="1040" w:type="dxa"/>
            <w:vAlign w:val="bottom"/>
            <w:tcBorders>
              <w:bottom w:val="single" w:sz="8" w:color="0000EE"/>
            </w:tcBorders>
            <w:gridSpan w:val="9"/>
          </w:tcPr>
          <w:p>
            <w:pPr>
              <w:spacing w:after="0" w:line="144" w:lineRule="exact"/>
              <w:rPr>
                <w:sz w:val="20"/>
                <w:szCs w:val="20"/>
                <w:color w:val="auto"/>
              </w:rPr>
            </w:pPr>
            <w:r>
              <w:rPr>
                <w:rFonts w:ascii="Times New Roman" w:cs="Times New Roman" w:eastAsia="Times New Roman" w:hAnsi="Times New Roman"/>
                <w:sz w:val="14"/>
                <w:szCs w:val="14"/>
                <w:color w:val="0000EE"/>
                <w:w w:val="96"/>
              </w:rPr>
              <w:t>Fees and Expenses</w:t>
            </w:r>
          </w:p>
        </w:tc>
        <w:tc>
          <w:tcPr>
            <w:tcW w:w="5520" w:type="dxa"/>
            <w:vAlign w:val="bottom"/>
            <w:gridSpan w:val="22"/>
          </w:tcPr>
          <w:p>
            <w:pPr>
              <w:spacing w:after="0"/>
              <w:rPr>
                <w:sz w:val="12"/>
                <w:szCs w:val="12"/>
                <w:color w:val="auto"/>
              </w:rPr>
            </w:pPr>
          </w:p>
        </w:tc>
        <w:tc>
          <w:tcPr>
            <w:tcW w:w="17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8</w:t>
            </w:r>
          </w:p>
        </w:tc>
      </w:tr>
      <w:tr>
        <w:trPr>
          <w:trHeight w:val="144"/>
        </w:trPr>
        <w:tc>
          <w:tcPr>
            <w:tcW w:w="6560" w:type="dxa"/>
            <w:vAlign w:val="bottom"/>
            <w:gridSpan w:val="31"/>
          </w:tcPr>
          <w:p>
            <w:pPr>
              <w:spacing w:after="0" w:line="144" w:lineRule="exact"/>
              <w:rPr>
                <w:sz w:val="20"/>
                <w:szCs w:val="20"/>
                <w:color w:val="auto"/>
              </w:rPr>
            </w:pPr>
            <w:r>
              <w:rPr>
                <w:rFonts w:ascii="Times New Roman" w:cs="Times New Roman" w:eastAsia="Times New Roman" w:hAnsi="Times New Roman"/>
                <w:sz w:val="14"/>
                <w:szCs w:val="14"/>
                <w:color w:val="0000EE"/>
              </w:rPr>
              <w:t>Risk Factors</w:t>
            </w:r>
          </w:p>
        </w:tc>
        <w:tc>
          <w:tcPr>
            <w:tcW w:w="17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9</w:t>
            </w:r>
          </w:p>
        </w:tc>
      </w:tr>
      <w:tr>
        <w:trPr>
          <w:trHeight w:val="20"/>
        </w:trPr>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44"/>
        </w:trPr>
        <w:tc>
          <w:tcPr>
            <w:tcW w:w="6560" w:type="dxa"/>
            <w:vAlign w:val="bottom"/>
            <w:gridSpan w:val="31"/>
          </w:tcPr>
          <w:p>
            <w:pPr>
              <w:spacing w:after="0" w:line="144"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17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10</w:t>
            </w:r>
          </w:p>
        </w:tc>
      </w:tr>
      <w:tr>
        <w:trPr>
          <w:trHeight w:val="144"/>
        </w:trPr>
        <w:tc>
          <w:tcPr>
            <w:tcW w:w="2940" w:type="dxa"/>
            <w:vAlign w:val="bottom"/>
            <w:tcBorders>
              <w:top w:val="single" w:sz="8" w:color="0000EE"/>
            </w:tcBorders>
            <w:gridSpan w:val="28"/>
          </w:tcPr>
          <w:p>
            <w:pPr>
              <w:spacing w:after="0" w:line="144" w:lineRule="exact"/>
              <w:rPr>
                <w:sz w:val="20"/>
                <w:szCs w:val="20"/>
                <w:color w:val="auto"/>
              </w:rPr>
            </w:pPr>
            <w:r>
              <w:rPr>
                <w:rFonts w:ascii="Times New Roman" w:cs="Times New Roman" w:eastAsia="Times New Roman" w:hAnsi="Times New Roman"/>
                <w:sz w:val="14"/>
                <w:szCs w:val="14"/>
                <w:color w:val="0000EE"/>
              </w:rPr>
              <w:t>Use of Proceeds</w:t>
            </w:r>
          </w:p>
        </w:tc>
        <w:tc>
          <w:tcPr>
            <w:tcW w:w="3620" w:type="dxa"/>
            <w:vAlign w:val="bottom"/>
            <w:gridSpan w:val="3"/>
          </w:tcPr>
          <w:p>
            <w:pPr>
              <w:spacing w:after="0"/>
              <w:rPr>
                <w:sz w:val="12"/>
                <w:szCs w:val="12"/>
                <w:color w:val="auto"/>
              </w:rPr>
            </w:pPr>
          </w:p>
        </w:tc>
        <w:tc>
          <w:tcPr>
            <w:tcW w:w="17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12</w:t>
            </w: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44"/>
        </w:trPr>
        <w:tc>
          <w:tcPr>
            <w:tcW w:w="1700" w:type="dxa"/>
            <w:vAlign w:val="bottom"/>
            <w:tcBorders>
              <w:bottom w:val="single" w:sz="8" w:color="0000EE"/>
            </w:tcBorders>
            <w:gridSpan w:val="17"/>
          </w:tcPr>
          <w:p>
            <w:pPr>
              <w:spacing w:after="0" w:line="144" w:lineRule="exact"/>
              <w:rPr>
                <w:sz w:val="20"/>
                <w:szCs w:val="20"/>
                <w:color w:val="auto"/>
              </w:rPr>
            </w:pPr>
            <w:r>
              <w:rPr>
                <w:rFonts w:ascii="Times New Roman" w:cs="Times New Roman" w:eastAsia="Times New Roman" w:hAnsi="Times New Roman"/>
                <w:sz w:val="14"/>
                <w:szCs w:val="14"/>
                <w:color w:val="0000EE"/>
                <w:w w:val="96"/>
              </w:rPr>
              <w:t>Price Range of Common Stock</w:t>
            </w:r>
          </w:p>
        </w:tc>
        <w:tc>
          <w:tcPr>
            <w:tcW w:w="4860" w:type="dxa"/>
            <w:vAlign w:val="bottom"/>
            <w:gridSpan w:val="14"/>
          </w:tcPr>
          <w:p>
            <w:pPr>
              <w:spacing w:after="0"/>
              <w:rPr>
                <w:sz w:val="12"/>
                <w:szCs w:val="12"/>
                <w:color w:val="auto"/>
              </w:rPr>
            </w:pPr>
          </w:p>
        </w:tc>
        <w:tc>
          <w:tcPr>
            <w:tcW w:w="17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13</w:t>
            </w:r>
          </w:p>
        </w:tc>
      </w:tr>
      <w:tr>
        <w:trPr>
          <w:trHeight w:val="144"/>
        </w:trPr>
        <w:tc>
          <w:tcPr>
            <w:tcW w:w="1120" w:type="dxa"/>
            <w:vAlign w:val="bottom"/>
            <w:tcBorders>
              <w:bottom w:val="single" w:sz="8" w:color="0000EE"/>
            </w:tcBorders>
            <w:gridSpan w:val="11"/>
          </w:tcPr>
          <w:p>
            <w:pPr>
              <w:spacing w:after="0" w:line="144" w:lineRule="exact"/>
              <w:rPr>
                <w:sz w:val="20"/>
                <w:szCs w:val="20"/>
                <w:color w:val="auto"/>
              </w:rPr>
            </w:pPr>
            <w:r>
              <w:rPr>
                <w:rFonts w:ascii="Times New Roman" w:cs="Times New Roman" w:eastAsia="Times New Roman" w:hAnsi="Times New Roman"/>
                <w:sz w:val="14"/>
                <w:szCs w:val="14"/>
                <w:color w:val="0000EE"/>
                <w:w w:val="95"/>
              </w:rPr>
              <w:t>Financial Highlights</w:t>
            </w:r>
          </w:p>
        </w:tc>
        <w:tc>
          <w:tcPr>
            <w:tcW w:w="5440" w:type="dxa"/>
            <w:vAlign w:val="bottom"/>
            <w:gridSpan w:val="20"/>
          </w:tcPr>
          <w:p>
            <w:pPr>
              <w:spacing w:after="0"/>
              <w:rPr>
                <w:sz w:val="12"/>
                <w:szCs w:val="12"/>
                <w:color w:val="auto"/>
              </w:rPr>
            </w:pPr>
          </w:p>
        </w:tc>
        <w:tc>
          <w:tcPr>
            <w:tcW w:w="17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14</w:t>
            </w:r>
          </w:p>
        </w:tc>
      </w:tr>
      <w:tr>
        <w:trPr>
          <w:trHeight w:val="144"/>
        </w:trPr>
        <w:tc>
          <w:tcPr>
            <w:tcW w:w="6560" w:type="dxa"/>
            <w:vAlign w:val="bottom"/>
            <w:gridSpan w:val="31"/>
          </w:tcPr>
          <w:p>
            <w:pPr>
              <w:spacing w:after="0" w:line="144" w:lineRule="exact"/>
              <w:rPr>
                <w:sz w:val="20"/>
                <w:szCs w:val="20"/>
                <w:color w:val="auto"/>
              </w:rPr>
            </w:pPr>
            <w:r>
              <w:rPr>
                <w:rFonts w:ascii="Times New Roman" w:cs="Times New Roman" w:eastAsia="Times New Roman" w:hAnsi="Times New Roman"/>
                <w:sz w:val="14"/>
                <w:szCs w:val="14"/>
                <w:color w:val="0000EE"/>
              </w:rPr>
              <w:t>Management’s Discussion and Analysis of Financial Condition and Results of Operations</w:t>
            </w:r>
          </w:p>
        </w:tc>
        <w:tc>
          <w:tcPr>
            <w:tcW w:w="17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15</w:t>
            </w:r>
          </w:p>
        </w:tc>
      </w:tr>
      <w:tr>
        <w:trPr>
          <w:trHeight w:val="144"/>
        </w:trPr>
        <w:tc>
          <w:tcPr>
            <w:tcW w:w="4900" w:type="dxa"/>
            <w:vAlign w:val="bottom"/>
            <w:tcBorders>
              <w:top w:val="single" w:sz="8" w:color="0000EE"/>
            </w:tcBorders>
            <w:gridSpan w:val="30"/>
          </w:tcPr>
          <w:p>
            <w:pPr>
              <w:spacing w:after="0" w:line="144" w:lineRule="exact"/>
              <w:rPr>
                <w:sz w:val="20"/>
                <w:szCs w:val="20"/>
                <w:color w:val="auto"/>
              </w:rPr>
            </w:pPr>
            <w:r>
              <w:rPr>
                <w:rFonts w:ascii="Times New Roman" w:cs="Times New Roman" w:eastAsia="Times New Roman" w:hAnsi="Times New Roman"/>
                <w:sz w:val="14"/>
                <w:szCs w:val="14"/>
                <w:color w:val="0000EE"/>
              </w:rPr>
              <w:t>Senior Securities</w:t>
            </w:r>
          </w:p>
        </w:tc>
        <w:tc>
          <w:tcPr>
            <w:tcW w:w="1660" w:type="dxa"/>
            <w:vAlign w:val="bottom"/>
          </w:tcPr>
          <w:p>
            <w:pPr>
              <w:spacing w:after="0"/>
              <w:rPr>
                <w:sz w:val="12"/>
                <w:szCs w:val="12"/>
                <w:color w:val="auto"/>
              </w:rPr>
            </w:pPr>
          </w:p>
        </w:tc>
        <w:tc>
          <w:tcPr>
            <w:tcW w:w="17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16</w:t>
            </w:r>
          </w:p>
        </w:tc>
      </w:tr>
      <w:tr>
        <w:trPr>
          <w:trHeight w:val="144"/>
        </w:trPr>
        <w:tc>
          <w:tcPr>
            <w:tcW w:w="780" w:type="dxa"/>
            <w:vAlign w:val="bottom"/>
            <w:tcBorders>
              <w:top w:val="single" w:sz="8" w:color="0000EE"/>
              <w:bottom w:val="single" w:sz="8" w:color="0000EE"/>
            </w:tcBorders>
            <w:gridSpan w:val="6"/>
          </w:tcPr>
          <w:p>
            <w:pPr>
              <w:spacing w:after="0" w:line="144" w:lineRule="exact"/>
              <w:rPr>
                <w:sz w:val="20"/>
                <w:szCs w:val="20"/>
                <w:color w:val="auto"/>
              </w:rPr>
            </w:pPr>
            <w:r>
              <w:rPr>
                <w:rFonts w:ascii="Times New Roman" w:cs="Times New Roman" w:eastAsia="Times New Roman" w:hAnsi="Times New Roman"/>
                <w:sz w:val="14"/>
                <w:szCs w:val="14"/>
                <w:color w:val="0000EE"/>
                <w:w w:val="95"/>
              </w:rPr>
              <w:t>The Company</w:t>
            </w:r>
          </w:p>
        </w:tc>
        <w:tc>
          <w:tcPr>
            <w:tcW w:w="140" w:type="dxa"/>
            <w:vAlign w:val="bottom"/>
            <w:tcBorders>
              <w:top w:val="single" w:sz="8" w:color="0000EE"/>
            </w:tcBorders>
            <w:gridSpan w:val="2"/>
          </w:tcPr>
          <w:p>
            <w:pPr>
              <w:spacing w:after="0"/>
              <w:rPr>
                <w:sz w:val="12"/>
                <w:szCs w:val="12"/>
                <w:color w:val="auto"/>
              </w:rPr>
            </w:pPr>
          </w:p>
        </w:tc>
        <w:tc>
          <w:tcPr>
            <w:tcW w:w="5640" w:type="dxa"/>
            <w:vAlign w:val="bottom"/>
            <w:gridSpan w:val="23"/>
          </w:tcPr>
          <w:p>
            <w:pPr>
              <w:spacing w:after="0"/>
              <w:rPr>
                <w:sz w:val="12"/>
                <w:szCs w:val="12"/>
                <w:color w:val="auto"/>
              </w:rPr>
            </w:pPr>
          </w:p>
        </w:tc>
        <w:tc>
          <w:tcPr>
            <w:tcW w:w="17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17</w:t>
            </w:r>
          </w:p>
        </w:tc>
      </w:tr>
      <w:tr>
        <w:trPr>
          <w:trHeight w:val="144"/>
        </w:trPr>
        <w:tc>
          <w:tcPr>
            <w:tcW w:w="1140" w:type="dxa"/>
            <w:vAlign w:val="bottom"/>
            <w:tcBorders>
              <w:bottom w:val="single" w:sz="8" w:color="0000EE"/>
            </w:tcBorders>
            <w:gridSpan w:val="12"/>
          </w:tcPr>
          <w:p>
            <w:pPr>
              <w:spacing w:after="0" w:line="144" w:lineRule="exact"/>
              <w:rPr>
                <w:sz w:val="20"/>
                <w:szCs w:val="20"/>
                <w:color w:val="auto"/>
              </w:rPr>
            </w:pPr>
            <w:r>
              <w:rPr>
                <w:rFonts w:ascii="Times New Roman" w:cs="Times New Roman" w:eastAsia="Times New Roman" w:hAnsi="Times New Roman"/>
                <w:sz w:val="14"/>
                <w:szCs w:val="14"/>
                <w:color w:val="0000EE"/>
                <w:w w:val="96"/>
              </w:rPr>
              <w:t>Portfolio Companies</w:t>
            </w:r>
          </w:p>
        </w:tc>
        <w:tc>
          <w:tcPr>
            <w:tcW w:w="5420" w:type="dxa"/>
            <w:vAlign w:val="bottom"/>
            <w:gridSpan w:val="19"/>
          </w:tcPr>
          <w:p>
            <w:pPr>
              <w:spacing w:after="0"/>
              <w:rPr>
                <w:sz w:val="12"/>
                <w:szCs w:val="12"/>
                <w:color w:val="auto"/>
              </w:rPr>
            </w:pPr>
          </w:p>
        </w:tc>
        <w:tc>
          <w:tcPr>
            <w:tcW w:w="17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18</w:t>
            </w:r>
          </w:p>
        </w:tc>
      </w:tr>
      <w:tr>
        <w:trPr>
          <w:trHeight w:val="144"/>
        </w:trPr>
        <w:tc>
          <w:tcPr>
            <w:tcW w:w="720" w:type="dxa"/>
            <w:vAlign w:val="bottom"/>
            <w:tcBorders>
              <w:bottom w:val="single" w:sz="8" w:color="0000EE"/>
            </w:tcBorders>
            <w:gridSpan w:val="3"/>
          </w:tcPr>
          <w:p>
            <w:pPr>
              <w:spacing w:after="0" w:line="144" w:lineRule="exact"/>
              <w:rPr>
                <w:sz w:val="20"/>
                <w:szCs w:val="20"/>
                <w:color w:val="auto"/>
              </w:rPr>
            </w:pPr>
            <w:r>
              <w:rPr>
                <w:rFonts w:ascii="Times New Roman" w:cs="Times New Roman" w:eastAsia="Times New Roman" w:hAnsi="Times New Roman"/>
                <w:sz w:val="14"/>
                <w:szCs w:val="14"/>
                <w:color w:val="0000EE"/>
                <w:w w:val="95"/>
              </w:rPr>
              <w:t>Management</w:t>
            </w:r>
          </w:p>
        </w:tc>
        <w:tc>
          <w:tcPr>
            <w:tcW w:w="5840" w:type="dxa"/>
            <w:vAlign w:val="bottom"/>
            <w:gridSpan w:val="28"/>
          </w:tcPr>
          <w:p>
            <w:pPr>
              <w:spacing w:after="0"/>
              <w:rPr>
                <w:sz w:val="12"/>
                <w:szCs w:val="12"/>
                <w:color w:val="auto"/>
              </w:rPr>
            </w:pPr>
          </w:p>
        </w:tc>
        <w:tc>
          <w:tcPr>
            <w:tcW w:w="17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37</w:t>
            </w:r>
          </w:p>
        </w:tc>
      </w:tr>
      <w:tr>
        <w:trPr>
          <w:trHeight w:val="144"/>
        </w:trPr>
        <w:tc>
          <w:tcPr>
            <w:tcW w:w="6560" w:type="dxa"/>
            <w:vAlign w:val="bottom"/>
            <w:gridSpan w:val="31"/>
          </w:tcPr>
          <w:p>
            <w:pPr>
              <w:spacing w:after="0" w:line="144" w:lineRule="exact"/>
              <w:rPr>
                <w:sz w:val="20"/>
                <w:szCs w:val="20"/>
                <w:color w:val="auto"/>
              </w:rPr>
            </w:pPr>
            <w:r>
              <w:rPr>
                <w:rFonts w:ascii="Times New Roman" w:cs="Times New Roman" w:eastAsia="Times New Roman" w:hAnsi="Times New Roman"/>
                <w:sz w:val="14"/>
                <w:szCs w:val="14"/>
                <w:color w:val="0000EE"/>
              </w:rPr>
              <w:t>Management and Other Agreements</w:t>
            </w:r>
          </w:p>
        </w:tc>
        <w:tc>
          <w:tcPr>
            <w:tcW w:w="17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38</w:t>
            </w:r>
          </w:p>
        </w:tc>
      </w:tr>
      <w:tr>
        <w:trPr>
          <w:trHeight w:val="20"/>
        </w:trPr>
        <w:tc>
          <w:tcPr>
            <w:tcW w:w="600" w:type="dxa"/>
            <w:vAlign w:val="bottom"/>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44"/>
        </w:trPr>
        <w:tc>
          <w:tcPr>
            <w:tcW w:w="2600" w:type="dxa"/>
            <w:vAlign w:val="bottom"/>
            <w:tcBorders>
              <w:bottom w:val="single" w:sz="8" w:color="0000EE"/>
            </w:tcBorders>
            <w:gridSpan w:val="24"/>
          </w:tcPr>
          <w:p>
            <w:pPr>
              <w:spacing w:after="0" w:line="144" w:lineRule="exact"/>
              <w:rPr>
                <w:sz w:val="20"/>
                <w:szCs w:val="20"/>
                <w:color w:val="auto"/>
              </w:rPr>
            </w:pPr>
            <w:r>
              <w:rPr>
                <w:rFonts w:ascii="Times New Roman" w:cs="Times New Roman" w:eastAsia="Times New Roman" w:hAnsi="Times New Roman"/>
                <w:sz w:val="14"/>
                <w:szCs w:val="14"/>
                <w:color w:val="0000EE"/>
                <w:w w:val="96"/>
              </w:rPr>
              <w:t>Certain Relationships and Related Transactions</w:t>
            </w:r>
          </w:p>
        </w:tc>
        <w:tc>
          <w:tcPr>
            <w:tcW w:w="3960" w:type="dxa"/>
            <w:vAlign w:val="bottom"/>
            <w:gridSpan w:val="7"/>
          </w:tcPr>
          <w:p>
            <w:pPr>
              <w:spacing w:after="0"/>
              <w:rPr>
                <w:sz w:val="12"/>
                <w:szCs w:val="12"/>
                <w:color w:val="auto"/>
              </w:rPr>
            </w:pPr>
          </w:p>
        </w:tc>
        <w:tc>
          <w:tcPr>
            <w:tcW w:w="17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39</w:t>
            </w:r>
          </w:p>
        </w:tc>
      </w:tr>
      <w:tr>
        <w:trPr>
          <w:trHeight w:val="144"/>
        </w:trPr>
        <w:tc>
          <w:tcPr>
            <w:tcW w:w="6560" w:type="dxa"/>
            <w:vAlign w:val="bottom"/>
            <w:gridSpan w:val="31"/>
          </w:tcPr>
          <w:p>
            <w:pPr>
              <w:spacing w:after="0" w:line="144" w:lineRule="exact"/>
              <w:rPr>
                <w:sz w:val="20"/>
                <w:szCs w:val="20"/>
                <w:color w:val="auto"/>
              </w:rPr>
            </w:pPr>
            <w:r>
              <w:rPr>
                <w:rFonts w:ascii="Times New Roman" w:cs="Times New Roman" w:eastAsia="Times New Roman" w:hAnsi="Times New Roman"/>
                <w:sz w:val="14"/>
                <w:szCs w:val="14"/>
                <w:color w:val="0000EE"/>
              </w:rPr>
              <w:t>Control Persons and Principal Stockholders</w:t>
            </w:r>
          </w:p>
        </w:tc>
        <w:tc>
          <w:tcPr>
            <w:tcW w:w="17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40</w:t>
            </w:r>
          </w:p>
        </w:tc>
      </w:tr>
      <w:tr>
        <w:trPr>
          <w:trHeight w:val="20"/>
        </w:trPr>
        <w:tc>
          <w:tcPr>
            <w:tcW w:w="600" w:type="dxa"/>
            <w:vAlign w:val="bottom"/>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44"/>
        </w:trPr>
        <w:tc>
          <w:tcPr>
            <w:tcW w:w="2640" w:type="dxa"/>
            <w:vAlign w:val="bottom"/>
            <w:tcBorders>
              <w:bottom w:val="single" w:sz="8" w:color="0000EE"/>
            </w:tcBorders>
            <w:gridSpan w:val="25"/>
          </w:tcPr>
          <w:p>
            <w:pPr>
              <w:spacing w:after="0" w:line="144" w:lineRule="exact"/>
              <w:rPr>
                <w:sz w:val="20"/>
                <w:szCs w:val="20"/>
                <w:color w:val="auto"/>
              </w:rPr>
            </w:pPr>
            <w:r>
              <w:rPr>
                <w:rFonts w:ascii="Times New Roman" w:cs="Times New Roman" w:eastAsia="Times New Roman" w:hAnsi="Times New Roman"/>
                <w:sz w:val="14"/>
                <w:szCs w:val="14"/>
                <w:color w:val="0000EE"/>
                <w:w w:val="96"/>
              </w:rPr>
              <w:t>Sales of Common Stock Below Net Asset Value</w:t>
            </w:r>
          </w:p>
        </w:tc>
        <w:tc>
          <w:tcPr>
            <w:tcW w:w="3920" w:type="dxa"/>
            <w:vAlign w:val="bottom"/>
            <w:gridSpan w:val="6"/>
          </w:tcPr>
          <w:p>
            <w:pPr>
              <w:spacing w:after="0"/>
              <w:rPr>
                <w:sz w:val="12"/>
                <w:szCs w:val="12"/>
                <w:color w:val="auto"/>
              </w:rPr>
            </w:pPr>
          </w:p>
        </w:tc>
        <w:tc>
          <w:tcPr>
            <w:tcW w:w="17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41</w:t>
            </w:r>
          </w:p>
        </w:tc>
      </w:tr>
      <w:tr>
        <w:trPr>
          <w:trHeight w:val="144"/>
        </w:trPr>
        <w:tc>
          <w:tcPr>
            <w:tcW w:w="1580" w:type="dxa"/>
            <w:vAlign w:val="bottom"/>
            <w:tcBorders>
              <w:bottom w:val="single" w:sz="8" w:color="0000EE"/>
            </w:tcBorders>
            <w:gridSpan w:val="16"/>
          </w:tcPr>
          <w:p>
            <w:pPr>
              <w:spacing w:after="0" w:line="144" w:lineRule="exact"/>
              <w:rPr>
                <w:sz w:val="20"/>
                <w:szCs w:val="20"/>
                <w:color w:val="auto"/>
              </w:rPr>
            </w:pPr>
            <w:r>
              <w:rPr>
                <w:rFonts w:ascii="Times New Roman" w:cs="Times New Roman" w:eastAsia="Times New Roman" w:hAnsi="Times New Roman"/>
                <w:sz w:val="14"/>
                <w:szCs w:val="14"/>
                <w:color w:val="0000EE"/>
                <w:w w:val="96"/>
              </w:rPr>
              <w:t>Dividend Reinvestment Plan</w:t>
            </w:r>
          </w:p>
        </w:tc>
        <w:tc>
          <w:tcPr>
            <w:tcW w:w="4980" w:type="dxa"/>
            <w:vAlign w:val="bottom"/>
            <w:gridSpan w:val="15"/>
          </w:tcPr>
          <w:p>
            <w:pPr>
              <w:spacing w:after="0"/>
              <w:rPr>
                <w:sz w:val="12"/>
                <w:szCs w:val="12"/>
                <w:color w:val="auto"/>
              </w:rPr>
            </w:pPr>
          </w:p>
        </w:tc>
        <w:tc>
          <w:tcPr>
            <w:tcW w:w="17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45</w:t>
            </w:r>
          </w:p>
        </w:tc>
      </w:tr>
      <w:tr>
        <w:trPr>
          <w:trHeight w:val="144"/>
        </w:trPr>
        <w:tc>
          <w:tcPr>
            <w:tcW w:w="2660" w:type="dxa"/>
            <w:vAlign w:val="bottom"/>
            <w:tcBorders>
              <w:bottom w:val="single" w:sz="8" w:color="0000EE"/>
            </w:tcBorders>
            <w:gridSpan w:val="26"/>
          </w:tcPr>
          <w:p>
            <w:pPr>
              <w:spacing w:after="0" w:line="144" w:lineRule="exact"/>
              <w:rPr>
                <w:sz w:val="20"/>
                <w:szCs w:val="20"/>
                <w:color w:val="auto"/>
              </w:rPr>
            </w:pPr>
            <w:r>
              <w:rPr>
                <w:rFonts w:ascii="Times New Roman" w:cs="Times New Roman" w:eastAsia="Times New Roman" w:hAnsi="Times New Roman"/>
                <w:sz w:val="14"/>
                <w:szCs w:val="14"/>
                <w:color w:val="0000EE"/>
                <w:w w:val="96"/>
              </w:rPr>
              <w:t>Certain U.S. Federal Income Tax Considerations</w:t>
            </w:r>
          </w:p>
        </w:tc>
        <w:tc>
          <w:tcPr>
            <w:tcW w:w="3900" w:type="dxa"/>
            <w:vAlign w:val="bottom"/>
            <w:gridSpan w:val="5"/>
          </w:tcPr>
          <w:p>
            <w:pPr>
              <w:spacing w:after="0"/>
              <w:rPr>
                <w:sz w:val="12"/>
                <w:szCs w:val="12"/>
                <w:color w:val="auto"/>
              </w:rPr>
            </w:pPr>
          </w:p>
        </w:tc>
        <w:tc>
          <w:tcPr>
            <w:tcW w:w="17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47</w:t>
            </w:r>
          </w:p>
        </w:tc>
      </w:tr>
      <w:tr>
        <w:trPr>
          <w:trHeight w:val="144"/>
        </w:trPr>
        <w:tc>
          <w:tcPr>
            <w:tcW w:w="6560" w:type="dxa"/>
            <w:vAlign w:val="bottom"/>
            <w:gridSpan w:val="31"/>
          </w:tcPr>
          <w:p>
            <w:pPr>
              <w:spacing w:after="0" w:line="144" w:lineRule="exact"/>
              <w:rPr>
                <w:sz w:val="20"/>
                <w:szCs w:val="20"/>
                <w:color w:val="auto"/>
              </w:rPr>
            </w:pPr>
            <w:r>
              <w:rPr>
                <w:rFonts w:ascii="Times New Roman" w:cs="Times New Roman" w:eastAsia="Times New Roman" w:hAnsi="Times New Roman"/>
                <w:sz w:val="14"/>
                <w:szCs w:val="14"/>
                <w:color w:val="0000EE"/>
              </w:rPr>
              <w:t>Description of Our Capital Stock</w:t>
            </w:r>
          </w:p>
        </w:tc>
        <w:tc>
          <w:tcPr>
            <w:tcW w:w="17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57</w:t>
            </w:r>
          </w:p>
        </w:tc>
      </w:tr>
      <w:tr>
        <w:trPr>
          <w:trHeight w:val="20"/>
        </w:trPr>
        <w:tc>
          <w:tcPr>
            <w:tcW w:w="600" w:type="dxa"/>
            <w:vAlign w:val="bottom"/>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44"/>
        </w:trPr>
        <w:tc>
          <w:tcPr>
            <w:tcW w:w="1980" w:type="dxa"/>
            <w:vAlign w:val="bottom"/>
            <w:tcBorders>
              <w:bottom w:val="single" w:sz="8" w:color="0000EE"/>
            </w:tcBorders>
            <w:gridSpan w:val="20"/>
          </w:tcPr>
          <w:p>
            <w:pPr>
              <w:spacing w:after="0" w:line="144" w:lineRule="exact"/>
              <w:rPr>
                <w:sz w:val="20"/>
                <w:szCs w:val="20"/>
                <w:color w:val="auto"/>
              </w:rPr>
            </w:pPr>
            <w:r>
              <w:rPr>
                <w:rFonts w:ascii="Times New Roman" w:cs="Times New Roman" w:eastAsia="Times New Roman" w:hAnsi="Times New Roman"/>
                <w:sz w:val="14"/>
                <w:szCs w:val="14"/>
                <w:color w:val="0000EE"/>
                <w:w w:val="98"/>
              </w:rPr>
              <w:t>Description of Our Preferred Stock</w:t>
            </w:r>
          </w:p>
        </w:tc>
        <w:tc>
          <w:tcPr>
            <w:tcW w:w="4580" w:type="dxa"/>
            <w:vAlign w:val="bottom"/>
            <w:gridSpan w:val="11"/>
          </w:tcPr>
          <w:p>
            <w:pPr>
              <w:spacing w:after="0"/>
              <w:rPr>
                <w:sz w:val="12"/>
                <w:szCs w:val="12"/>
                <w:color w:val="auto"/>
              </w:rPr>
            </w:pPr>
          </w:p>
        </w:tc>
        <w:tc>
          <w:tcPr>
            <w:tcW w:w="17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64</w:t>
            </w:r>
          </w:p>
        </w:tc>
      </w:tr>
      <w:tr>
        <w:trPr>
          <w:trHeight w:val="144"/>
        </w:trPr>
        <w:tc>
          <w:tcPr>
            <w:tcW w:w="6560" w:type="dxa"/>
            <w:vAlign w:val="bottom"/>
            <w:gridSpan w:val="31"/>
          </w:tcPr>
          <w:p>
            <w:pPr>
              <w:spacing w:after="0" w:line="144" w:lineRule="exact"/>
              <w:rPr>
                <w:sz w:val="20"/>
                <w:szCs w:val="20"/>
                <w:color w:val="auto"/>
              </w:rPr>
            </w:pPr>
            <w:r>
              <w:rPr>
                <w:rFonts w:ascii="Times New Roman" w:cs="Times New Roman" w:eastAsia="Times New Roman" w:hAnsi="Times New Roman"/>
                <w:sz w:val="14"/>
                <w:szCs w:val="14"/>
                <w:color w:val="0000EE"/>
              </w:rPr>
              <w:t>Description of Our Subscription Rights</w:t>
            </w:r>
          </w:p>
        </w:tc>
        <w:tc>
          <w:tcPr>
            <w:tcW w:w="17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66</w:t>
            </w:r>
          </w:p>
        </w:tc>
      </w:tr>
      <w:tr>
        <w:trPr>
          <w:trHeight w:val="144"/>
        </w:trPr>
        <w:tc>
          <w:tcPr>
            <w:tcW w:w="2140" w:type="dxa"/>
            <w:vAlign w:val="bottom"/>
            <w:tcBorders>
              <w:top w:val="single" w:sz="8" w:color="0000EE"/>
            </w:tcBorders>
            <w:gridSpan w:val="21"/>
          </w:tcPr>
          <w:p>
            <w:pPr>
              <w:spacing w:after="0" w:line="144" w:lineRule="exact"/>
              <w:rPr>
                <w:sz w:val="20"/>
                <w:szCs w:val="20"/>
                <w:color w:val="auto"/>
              </w:rPr>
            </w:pPr>
            <w:r>
              <w:rPr>
                <w:rFonts w:ascii="Times New Roman" w:cs="Times New Roman" w:eastAsia="Times New Roman" w:hAnsi="Times New Roman"/>
                <w:sz w:val="14"/>
                <w:szCs w:val="14"/>
                <w:color w:val="0000EE"/>
              </w:rPr>
              <w:t>Description of Our Debt Securities</w:t>
            </w:r>
          </w:p>
        </w:tc>
        <w:tc>
          <w:tcPr>
            <w:tcW w:w="4420" w:type="dxa"/>
            <w:vAlign w:val="bottom"/>
            <w:gridSpan w:val="10"/>
          </w:tcPr>
          <w:p>
            <w:pPr>
              <w:spacing w:after="0"/>
              <w:rPr>
                <w:sz w:val="12"/>
                <w:szCs w:val="12"/>
                <w:color w:val="auto"/>
              </w:rPr>
            </w:pPr>
          </w:p>
        </w:tc>
        <w:tc>
          <w:tcPr>
            <w:tcW w:w="17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68</w:t>
            </w:r>
          </w:p>
        </w:tc>
      </w:tr>
      <w:tr>
        <w:trPr>
          <w:trHeight w:val="144"/>
        </w:trPr>
        <w:tc>
          <w:tcPr>
            <w:tcW w:w="1560" w:type="dxa"/>
            <w:vAlign w:val="bottom"/>
            <w:tcBorders>
              <w:top w:val="single" w:sz="8" w:color="0000EE"/>
              <w:bottom w:val="single" w:sz="8" w:color="0000EE"/>
            </w:tcBorders>
            <w:gridSpan w:val="15"/>
          </w:tcPr>
          <w:p>
            <w:pPr>
              <w:spacing w:after="0" w:line="144" w:lineRule="exact"/>
              <w:rPr>
                <w:sz w:val="20"/>
                <w:szCs w:val="20"/>
                <w:color w:val="auto"/>
              </w:rPr>
            </w:pPr>
            <w:r>
              <w:rPr>
                <w:rFonts w:ascii="Times New Roman" w:cs="Times New Roman" w:eastAsia="Times New Roman" w:hAnsi="Times New Roman"/>
                <w:sz w:val="14"/>
                <w:szCs w:val="14"/>
                <w:color w:val="0000EE"/>
                <w:w w:val="95"/>
              </w:rPr>
              <w:t>Description of Our Warrants</w:t>
            </w:r>
          </w:p>
        </w:tc>
        <w:tc>
          <w:tcPr>
            <w:tcW w:w="340" w:type="dxa"/>
            <w:vAlign w:val="bottom"/>
            <w:tcBorders>
              <w:top w:val="single" w:sz="8" w:color="0000EE"/>
            </w:tcBorders>
            <w:gridSpan w:val="4"/>
          </w:tcPr>
          <w:p>
            <w:pPr>
              <w:spacing w:after="0"/>
              <w:rPr>
                <w:sz w:val="12"/>
                <w:szCs w:val="12"/>
                <w:color w:val="auto"/>
              </w:rPr>
            </w:pPr>
          </w:p>
        </w:tc>
        <w:tc>
          <w:tcPr>
            <w:tcW w:w="4660" w:type="dxa"/>
            <w:vAlign w:val="bottom"/>
            <w:gridSpan w:val="12"/>
          </w:tcPr>
          <w:p>
            <w:pPr>
              <w:spacing w:after="0"/>
              <w:rPr>
                <w:sz w:val="12"/>
                <w:szCs w:val="12"/>
                <w:color w:val="auto"/>
              </w:rPr>
            </w:pPr>
          </w:p>
        </w:tc>
        <w:tc>
          <w:tcPr>
            <w:tcW w:w="17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82</w:t>
            </w:r>
          </w:p>
        </w:tc>
      </w:tr>
      <w:tr>
        <w:trPr>
          <w:trHeight w:val="144"/>
        </w:trPr>
        <w:tc>
          <w:tcPr>
            <w:tcW w:w="600" w:type="dxa"/>
            <w:vAlign w:val="bottom"/>
            <w:tcBorders>
              <w:bottom w:val="single" w:sz="8" w:color="0000EE"/>
            </w:tcBorders>
          </w:tcPr>
          <w:p>
            <w:pPr>
              <w:spacing w:after="0" w:line="144" w:lineRule="exact"/>
              <w:rPr>
                <w:sz w:val="20"/>
                <w:szCs w:val="20"/>
                <w:color w:val="auto"/>
              </w:rPr>
            </w:pPr>
            <w:r>
              <w:rPr>
                <w:rFonts w:ascii="Times New Roman" w:cs="Times New Roman" w:eastAsia="Times New Roman" w:hAnsi="Times New Roman"/>
                <w:sz w:val="14"/>
                <w:szCs w:val="14"/>
                <w:color w:val="0000EE"/>
                <w:w w:val="94"/>
              </w:rPr>
              <w:t>Regulation</w:t>
            </w:r>
          </w:p>
        </w:tc>
        <w:tc>
          <w:tcPr>
            <w:tcW w:w="5960" w:type="dxa"/>
            <w:vAlign w:val="bottom"/>
            <w:gridSpan w:val="30"/>
          </w:tcPr>
          <w:p>
            <w:pPr>
              <w:spacing w:after="0"/>
              <w:rPr>
                <w:sz w:val="12"/>
                <w:szCs w:val="12"/>
                <w:color w:val="auto"/>
              </w:rPr>
            </w:pPr>
          </w:p>
        </w:tc>
        <w:tc>
          <w:tcPr>
            <w:tcW w:w="17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84</w:t>
            </w:r>
          </w:p>
        </w:tc>
      </w:tr>
      <w:tr>
        <w:trPr>
          <w:trHeight w:val="144"/>
        </w:trPr>
        <w:tc>
          <w:tcPr>
            <w:tcW w:w="6560" w:type="dxa"/>
            <w:vAlign w:val="bottom"/>
            <w:gridSpan w:val="31"/>
          </w:tcPr>
          <w:p>
            <w:pPr>
              <w:spacing w:after="0" w:line="144" w:lineRule="exact"/>
              <w:rPr>
                <w:sz w:val="20"/>
                <w:szCs w:val="20"/>
                <w:color w:val="auto"/>
              </w:rPr>
            </w:pPr>
            <w:r>
              <w:rPr>
                <w:rFonts w:ascii="Times New Roman" w:cs="Times New Roman" w:eastAsia="Times New Roman" w:hAnsi="Times New Roman"/>
                <w:sz w:val="14"/>
                <w:szCs w:val="14"/>
                <w:color w:val="0000EE"/>
              </w:rPr>
              <w:t>Plan of Distribution</w:t>
            </w:r>
          </w:p>
        </w:tc>
        <w:tc>
          <w:tcPr>
            <w:tcW w:w="17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85</w:t>
            </w:r>
          </w:p>
        </w:tc>
      </w:tr>
      <w:tr>
        <w:trPr>
          <w:trHeight w:val="20"/>
        </w:trPr>
        <w:tc>
          <w:tcPr>
            <w:tcW w:w="760" w:type="dxa"/>
            <w:vAlign w:val="bottom"/>
            <w:gridSpan w:val="5"/>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44"/>
        </w:trPr>
        <w:tc>
          <w:tcPr>
            <w:tcW w:w="6560" w:type="dxa"/>
            <w:vAlign w:val="bottom"/>
            <w:gridSpan w:val="31"/>
          </w:tcPr>
          <w:p>
            <w:pPr>
              <w:spacing w:after="0" w:line="144" w:lineRule="exact"/>
              <w:rPr>
                <w:sz w:val="20"/>
                <w:szCs w:val="20"/>
                <w:color w:val="auto"/>
              </w:rPr>
            </w:pPr>
            <w:r>
              <w:rPr>
                <w:rFonts w:ascii="Times New Roman" w:cs="Times New Roman" w:eastAsia="Times New Roman" w:hAnsi="Times New Roman"/>
                <w:sz w:val="14"/>
                <w:szCs w:val="14"/>
                <w:color w:val="0000EE"/>
              </w:rPr>
              <w:t>Custodian, Transfer and Dividend Paying Agent and Registrar</w:t>
            </w:r>
          </w:p>
        </w:tc>
        <w:tc>
          <w:tcPr>
            <w:tcW w:w="17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88</w:t>
            </w:r>
          </w:p>
        </w:tc>
      </w:tr>
      <w:tr>
        <w:trPr>
          <w:trHeight w:val="144"/>
        </w:trPr>
        <w:tc>
          <w:tcPr>
            <w:tcW w:w="3400" w:type="dxa"/>
            <w:vAlign w:val="bottom"/>
            <w:tcBorders>
              <w:top w:val="single" w:sz="8" w:color="0000EE"/>
            </w:tcBorders>
            <w:gridSpan w:val="29"/>
          </w:tcPr>
          <w:p>
            <w:pPr>
              <w:spacing w:after="0" w:line="144" w:lineRule="exact"/>
              <w:rPr>
                <w:sz w:val="20"/>
                <w:szCs w:val="20"/>
                <w:color w:val="auto"/>
              </w:rPr>
            </w:pPr>
            <w:r>
              <w:rPr>
                <w:rFonts w:ascii="Times New Roman" w:cs="Times New Roman" w:eastAsia="Times New Roman" w:hAnsi="Times New Roman"/>
                <w:sz w:val="14"/>
                <w:szCs w:val="14"/>
                <w:color w:val="0000EE"/>
              </w:rPr>
              <w:t>Brokerage Allocation and Other Practices</w:t>
            </w:r>
          </w:p>
        </w:tc>
        <w:tc>
          <w:tcPr>
            <w:tcW w:w="3160" w:type="dxa"/>
            <w:vAlign w:val="bottom"/>
            <w:gridSpan w:val="2"/>
          </w:tcPr>
          <w:p>
            <w:pPr>
              <w:spacing w:after="0"/>
              <w:rPr>
                <w:sz w:val="12"/>
                <w:szCs w:val="12"/>
                <w:color w:val="auto"/>
              </w:rPr>
            </w:pPr>
          </w:p>
        </w:tc>
        <w:tc>
          <w:tcPr>
            <w:tcW w:w="17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89</w:t>
            </w:r>
          </w:p>
        </w:tc>
      </w:tr>
      <w:tr>
        <w:trPr>
          <w:trHeight w:val="144"/>
        </w:trPr>
        <w:tc>
          <w:tcPr>
            <w:tcW w:w="2280" w:type="dxa"/>
            <w:vAlign w:val="bottom"/>
            <w:tcBorders>
              <w:top w:val="single" w:sz="8" w:color="0000EE"/>
            </w:tcBorders>
            <w:gridSpan w:val="22"/>
          </w:tcPr>
          <w:p>
            <w:pPr>
              <w:spacing w:after="0" w:line="144" w:lineRule="exact"/>
              <w:rPr>
                <w:sz w:val="20"/>
                <w:szCs w:val="20"/>
                <w:color w:val="auto"/>
              </w:rPr>
            </w:pPr>
            <w:r>
              <w:rPr>
                <w:rFonts w:ascii="Times New Roman" w:cs="Times New Roman" w:eastAsia="Times New Roman" w:hAnsi="Times New Roman"/>
                <w:sz w:val="14"/>
                <w:szCs w:val="14"/>
                <w:color w:val="0000EE"/>
              </w:rPr>
              <w:t>Legal Matters</w:t>
            </w:r>
          </w:p>
        </w:tc>
        <w:tc>
          <w:tcPr>
            <w:tcW w:w="4280" w:type="dxa"/>
            <w:vAlign w:val="bottom"/>
            <w:gridSpan w:val="9"/>
          </w:tcPr>
          <w:p>
            <w:pPr>
              <w:spacing w:after="0"/>
              <w:rPr>
                <w:sz w:val="12"/>
                <w:szCs w:val="12"/>
                <w:color w:val="auto"/>
              </w:rPr>
            </w:pPr>
          </w:p>
        </w:tc>
        <w:tc>
          <w:tcPr>
            <w:tcW w:w="17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90</w:t>
            </w:r>
          </w:p>
        </w:tc>
      </w:tr>
      <w:tr>
        <w:trPr>
          <w:trHeight w:val="20"/>
        </w:trPr>
        <w:tc>
          <w:tcPr>
            <w:tcW w:w="760" w:type="dxa"/>
            <w:vAlign w:val="bottom"/>
            <w:gridSpan w:val="5"/>
            <w:shd w:val="clear" w:color="auto" w:fill="0000EE"/>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c>
          <w:tcPr>
            <w:tcW w:w="1440" w:type="dxa"/>
            <w:vAlign w:val="bottom"/>
            <w:gridSpan w:val="1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44"/>
        </w:trPr>
        <w:tc>
          <w:tcPr>
            <w:tcW w:w="6560" w:type="dxa"/>
            <w:vAlign w:val="bottom"/>
            <w:gridSpan w:val="31"/>
          </w:tcPr>
          <w:p>
            <w:pPr>
              <w:spacing w:after="0" w:line="144" w:lineRule="exact"/>
              <w:rPr>
                <w:sz w:val="20"/>
                <w:szCs w:val="20"/>
                <w:color w:val="auto"/>
              </w:rPr>
            </w:pPr>
            <w:r>
              <w:rPr>
                <w:rFonts w:ascii="Times New Roman" w:cs="Times New Roman" w:eastAsia="Times New Roman" w:hAnsi="Times New Roman"/>
                <w:sz w:val="14"/>
                <w:szCs w:val="14"/>
                <w:color w:val="0000EE"/>
              </w:rPr>
              <w:t>Independent Registered Public Accounting Firm</w:t>
            </w:r>
          </w:p>
        </w:tc>
        <w:tc>
          <w:tcPr>
            <w:tcW w:w="17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91</w:t>
            </w:r>
          </w:p>
        </w:tc>
      </w:tr>
      <w:tr>
        <w:trPr>
          <w:trHeight w:val="144"/>
        </w:trPr>
        <w:tc>
          <w:tcPr>
            <w:tcW w:w="2640" w:type="dxa"/>
            <w:vAlign w:val="bottom"/>
            <w:tcBorders>
              <w:top w:val="single" w:sz="8" w:color="0000EE"/>
            </w:tcBorders>
            <w:gridSpan w:val="25"/>
          </w:tcPr>
          <w:p>
            <w:pPr>
              <w:spacing w:after="0" w:line="144" w:lineRule="exact"/>
              <w:rPr>
                <w:sz w:val="20"/>
                <w:szCs w:val="20"/>
                <w:color w:val="auto"/>
              </w:rPr>
            </w:pPr>
            <w:r>
              <w:rPr>
                <w:rFonts w:ascii="Times New Roman" w:cs="Times New Roman" w:eastAsia="Times New Roman" w:hAnsi="Times New Roman"/>
                <w:sz w:val="14"/>
                <w:szCs w:val="14"/>
                <w:color w:val="0000EE"/>
              </w:rPr>
              <w:t>Available Information</w:t>
            </w:r>
          </w:p>
        </w:tc>
        <w:tc>
          <w:tcPr>
            <w:tcW w:w="3920" w:type="dxa"/>
            <w:vAlign w:val="bottom"/>
            <w:gridSpan w:val="6"/>
          </w:tcPr>
          <w:p>
            <w:pPr>
              <w:spacing w:after="0"/>
              <w:rPr>
                <w:sz w:val="12"/>
                <w:szCs w:val="12"/>
                <w:color w:val="auto"/>
              </w:rPr>
            </w:pPr>
          </w:p>
        </w:tc>
        <w:tc>
          <w:tcPr>
            <w:tcW w:w="17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92</w:t>
            </w:r>
          </w:p>
        </w:tc>
      </w:tr>
      <w:tr>
        <w:trPr>
          <w:trHeight w:val="20"/>
        </w:trPr>
        <w:tc>
          <w:tcPr>
            <w:tcW w:w="1200" w:type="dxa"/>
            <w:vAlign w:val="bottom"/>
            <w:gridSpan w:val="14"/>
            <w:shd w:val="clear" w:color="auto" w:fill="0000EE"/>
          </w:tcPr>
          <w:p>
            <w:pPr>
              <w:spacing w:after="0" w:line="20" w:lineRule="exact"/>
              <w:rPr>
                <w:sz w:val="1"/>
                <w:szCs w:val="1"/>
                <w:color w:val="auto"/>
              </w:rPr>
            </w:pPr>
          </w:p>
        </w:tc>
        <w:tc>
          <w:tcPr>
            <w:tcW w:w="1580" w:type="dxa"/>
            <w:vAlign w:val="bottom"/>
            <w:gridSpan w:val="13"/>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44"/>
        </w:trPr>
        <w:tc>
          <w:tcPr>
            <w:tcW w:w="2780" w:type="dxa"/>
            <w:vAlign w:val="bottom"/>
            <w:tcBorders>
              <w:bottom w:val="single" w:sz="8" w:color="0000EE"/>
            </w:tcBorders>
            <w:gridSpan w:val="27"/>
          </w:tcPr>
          <w:p>
            <w:pPr>
              <w:spacing w:after="0" w:line="144" w:lineRule="exact"/>
              <w:rPr>
                <w:sz w:val="20"/>
                <w:szCs w:val="20"/>
                <w:color w:val="auto"/>
              </w:rPr>
            </w:pPr>
            <w:r>
              <w:rPr>
                <w:rFonts w:ascii="Times New Roman" w:cs="Times New Roman" w:eastAsia="Times New Roman" w:hAnsi="Times New Roman"/>
                <w:sz w:val="14"/>
                <w:szCs w:val="14"/>
                <w:color w:val="0000EE"/>
                <w:w w:val="97"/>
              </w:rPr>
              <w:t>Incorporation of Certain Information by Reference</w:t>
            </w:r>
          </w:p>
        </w:tc>
        <w:tc>
          <w:tcPr>
            <w:tcW w:w="3780" w:type="dxa"/>
            <w:vAlign w:val="bottom"/>
            <w:gridSpan w:val="4"/>
          </w:tcPr>
          <w:p>
            <w:pPr>
              <w:spacing w:after="0"/>
              <w:rPr>
                <w:sz w:val="12"/>
                <w:szCs w:val="12"/>
                <w:color w:val="auto"/>
              </w:rPr>
            </w:pPr>
          </w:p>
        </w:tc>
        <w:tc>
          <w:tcPr>
            <w:tcW w:w="17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93</w:t>
            </w:r>
          </w:p>
        </w:tc>
      </w:tr>
    </w:tbl>
    <w:p>
      <w:pPr>
        <w:jc w:val="right"/>
        <w:spacing w:after="0" w:line="144" w:lineRule="exact"/>
        <w:rPr>
          <w:sz w:val="20"/>
          <w:szCs w:val="20"/>
          <w:color w:val="auto"/>
        </w:rPr>
        <w:sectPr>
          <w:pgSz w:w="11900" w:h="16838" w:orient="portrait"/>
          <w:cols w:equalWidth="0" w:num="1">
            <w:col w:w="9019"/>
          </w:cols>
          <w:pgMar w:left="1440" w:top="256" w:right="1440" w:bottom="1440" w:gutter="0" w:footer="0" w:header="0"/>
        </w:sect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45085"/>
                    </a:xfrm>
                    <a:prstGeom prst="rect">
                      <a:avLst/>
                    </a:prstGeom>
                    <a:noFill/>
                  </pic:spPr>
                </pic:pic>
              </a:graphicData>
            </a:graphic>
          </wp:anchor>
        </w:drawing>
      </w: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45085"/>
                    </a:xfrm>
                    <a:prstGeom prst="rect">
                      <a:avLst/>
                    </a:prstGeom>
                    <a:noFill/>
                  </pic:spPr>
                </pic:pic>
              </a:graphicData>
            </a:graphic>
          </wp:anchor>
        </w:drawing>
        <w:t>ABOUT THIS PROSPECTUS</w:t>
      </w:r>
    </w:p>
    <w:p>
      <w:pPr>
        <w:spacing w:after="0" w:line="171" w:lineRule="exact"/>
        <w:rPr>
          <w:sz w:val="20"/>
          <w:szCs w:val="20"/>
          <w:color w:val="auto"/>
        </w:rPr>
      </w:pPr>
    </w:p>
    <w:p>
      <w:pPr>
        <w:ind w:left="320" w:right="359" w:firstLine="335"/>
        <w:spacing w:after="0" w:line="246" w:lineRule="auto"/>
        <w:rPr>
          <w:sz w:val="20"/>
          <w:szCs w:val="20"/>
          <w:color w:val="auto"/>
        </w:rPr>
      </w:pPr>
      <w:r>
        <w:rPr>
          <w:rFonts w:ascii="Times New Roman" w:cs="Times New Roman" w:eastAsia="Times New Roman" w:hAnsi="Times New Roman"/>
          <w:sz w:val="14"/>
          <w:szCs w:val="14"/>
          <w:color w:val="auto"/>
        </w:rPr>
        <w:t>This prospectus is part of an automatic shelf registration statement that we have filed with the Securities and Exchange Commission (the “SEC”) as a “well-known seasoned issuer” as defined in Rule 405 under the Securities Act of 1933, as amended (the “Securities Act”). Under this shelf registration statement, which constitutes a delayed offering in reliance on Rule 415 under the Securities Act, we may offer, from time to time, in one or more offerings, our common stock, preferred stock, subscription rights to purchase shares of our common stock, debt securities or warrants representing rights to purchase shares of our common stock, preferred stock or debt securities, on terms to be determined at the time of the offering. Our securities may be offered at prices and on terms described in one or more supplements to this prospectus. This prospectus provides you with a general description of our securities and the offerings thereof that we may make pursuant to this prospectus. Each time we use this prospectus to offer our securities, we will provide a prospectus supplement that will contain specific information about the terms of that offering. We also may authorize one or more free writing prospectuses to be provided to you that may contain material information relating to such offerings. In a prospectus supplement or free writing prospectus, we may also add, update or change any of the information contained in this prospectus or in the documents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Before buying any of the securities being offered, you should carefully read both this prospectus and the applicable prospectus supplement and any related free writing prospectus, together with any additional information described in the sections titled “Available Information,” “Incorporation of Certain Information by Reference,” “Summary” and “Risk Factors” in this prospectus.</w:t>
      </w:r>
    </w:p>
    <w:p>
      <w:pPr>
        <w:spacing w:after="0" w:line="151" w:lineRule="exact"/>
        <w:rPr>
          <w:sz w:val="20"/>
          <w:szCs w:val="20"/>
          <w:color w:val="auto"/>
        </w:rPr>
      </w:pPr>
    </w:p>
    <w:p>
      <w:pPr>
        <w:ind w:left="320" w:right="419" w:firstLine="335"/>
        <w:spacing w:after="0" w:line="248" w:lineRule="auto"/>
        <w:rPr>
          <w:sz w:val="20"/>
          <w:szCs w:val="20"/>
          <w:color w:val="auto"/>
        </w:rPr>
      </w:pPr>
      <w:r>
        <w:rPr>
          <w:rFonts w:ascii="Times New Roman" w:cs="Times New Roman" w:eastAsia="Times New Roman" w:hAnsi="Times New Roman"/>
          <w:sz w:val="14"/>
          <w:szCs w:val="14"/>
          <w:color w:val="auto"/>
        </w:rPr>
        <w:t>This prospectus may contain estimates and information concerning our industry, including market size and growth rates of the markets in which we participate, that are based on industry publications and reports. This information involves many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a variety of factors, including those described in the section titled “Risk Factors” in this prospectus, in Part I, Item 1A of our most recent Annual Report on Form 10-K and in Part II, Item 1A of any subsequent Quarterly Report on Form 10-Q, that could cause results to differ materially from those expressed in these publications and reports.</w:t>
      </w:r>
    </w:p>
    <w:p>
      <w:pPr>
        <w:spacing w:after="0" w:line="149" w:lineRule="exact"/>
        <w:rPr>
          <w:sz w:val="20"/>
          <w:szCs w:val="20"/>
          <w:color w:val="auto"/>
        </w:rPr>
      </w:pPr>
    </w:p>
    <w:p>
      <w:pPr>
        <w:ind w:left="320" w:right="439" w:firstLine="335"/>
        <w:spacing w:after="0" w:line="277" w:lineRule="auto"/>
        <w:rPr>
          <w:sz w:val="20"/>
          <w:szCs w:val="20"/>
          <w:color w:val="auto"/>
        </w:rPr>
      </w:pPr>
      <w:r>
        <w:rPr>
          <w:rFonts w:ascii="Times New Roman" w:cs="Times New Roman" w:eastAsia="Times New Roman" w:hAnsi="Times New Roman"/>
          <w:sz w:val="13"/>
          <w:szCs w:val="13"/>
          <w:color w:val="auto"/>
        </w:rPr>
        <w:t>This prospectus includes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in the section titled “Available Information” in this prospectus.</w:t>
      </w:r>
    </w:p>
    <w:p>
      <w:pPr>
        <w:spacing w:after="0" w:line="127" w:lineRule="exact"/>
        <w:rPr>
          <w:sz w:val="20"/>
          <w:szCs w:val="20"/>
          <w:color w:val="auto"/>
        </w:rPr>
      </w:pPr>
    </w:p>
    <w:p>
      <w:pPr>
        <w:ind w:left="320" w:right="339" w:firstLine="335"/>
        <w:spacing w:after="0" w:line="268" w:lineRule="auto"/>
        <w:rPr>
          <w:sz w:val="20"/>
          <w:szCs w:val="20"/>
          <w:color w:val="auto"/>
        </w:rPr>
      </w:pPr>
      <w:r>
        <w:rPr>
          <w:rFonts w:ascii="Times New Roman" w:cs="Times New Roman" w:eastAsia="Times New Roman" w:hAnsi="Times New Roman"/>
          <w:sz w:val="13"/>
          <w:szCs w:val="13"/>
          <w:b w:val="1"/>
          <w:bCs w:val="1"/>
          <w:color w:val="auto"/>
        </w:rPr>
        <w:t>You should rely only on the information included or incorporated by reference in this prospectus, any prospectus supplement or in any free writing prospectus prepared by or on behalf of us or to which we have referred you. We have not authorized any dealer, salesperson or other person to provide you with different information or to make representations as to matters not stated in this prospectus or in any free writing prospectus prepared by or on behalf of us or to which we have referred you. We take no responsibility for, and can provide no assurance as to the reliability of, any other information that others may give you. If anyone provides you with different or inconsistent information, you should not rely on it. This prospectus, any applicable prospectus supplement and any free writing prospectus prepared by or on behalf of us or to which we have referred you do not constitute an offer to sell, or a solicitation of an offer to buy, any securities by any person in any jurisdiction where it is unlawful for that person to make such an offer or solicitation or to any person in any jurisdiction to whom it is unlawful to make such an offer or solicitation. You should not assume that the information included or incorporated by reference in this prospectus or any prospectus supplement or in any such free writing prospectus is accurate as of any date other than their respective dates.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56"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45085"/>
                    </a:xfrm>
                    <a:prstGeom prst="rect">
                      <a:avLst/>
                    </a:prstGeom>
                    <a:noFill/>
                  </pic:spPr>
                </pic:pic>
              </a:graphicData>
            </a:graphic>
          </wp:anchor>
        </w:drawing>
        <w:t>PROSPECTUS SUMMARY</w:t>
      </w:r>
    </w:p>
    <w:p>
      <w:pPr>
        <w:spacing w:after="0" w:line="167" w:lineRule="exact"/>
        <w:rPr>
          <w:sz w:val="20"/>
          <w:szCs w:val="20"/>
          <w:color w:val="auto"/>
        </w:rPr>
      </w:pPr>
    </w:p>
    <w:p>
      <w:pPr>
        <w:ind w:left="320" w:right="339" w:firstLine="335"/>
        <w:spacing w:after="0" w:line="248" w:lineRule="auto"/>
        <w:rPr>
          <w:sz w:val="20"/>
          <w:szCs w:val="20"/>
          <w:color w:val="auto"/>
        </w:rPr>
      </w:pPr>
      <w:r>
        <w:rPr>
          <w:rFonts w:ascii="Times New Roman" w:cs="Times New Roman" w:eastAsia="Times New Roman" w:hAnsi="Times New Roman"/>
          <w:sz w:val="14"/>
          <w:szCs w:val="14"/>
          <w:i w:val="1"/>
          <w:iCs w:val="1"/>
          <w:color w:val="auto"/>
        </w:rPr>
        <w:t>The following summary contains basic information about offerings pursuant to this prospectus. It may not contain all the information that is important to you. For a more complete understanding of offerings pursuant to this prospectus, we encourage you to read this entire prospectus and the documents to which we have referred in this prospectus, together with any accompanying prospectus supplements or free writing prospectuses, including the risks set forth under the caption “Risk Factors” in Part I, Item 1A of our most recent Annual Report on Form 10-K, in Part II, Item 1A of any subsequent Quarterly Report on Form 10-Q, in this prospectus, the applicable prospectus supplement and any related free writing prospectus, and under similar headings in any other documents that are incorporated by reference into this prospectus and the applicable prospectus supplement. Before making your investment decision, you should also carefully read the information incorporated by reference into this prospectus, including our financial statements and related notes, as provided in sections titled “Available Information” and “Incorporation of Certain Information by Reference” in this prospectus.</w:t>
      </w:r>
    </w:p>
    <w:p>
      <w:pPr>
        <w:spacing w:after="0" w:line="144" w:lineRule="exact"/>
        <w:rPr>
          <w:sz w:val="20"/>
          <w:szCs w:val="20"/>
          <w:color w:val="auto"/>
        </w:rPr>
      </w:pPr>
    </w:p>
    <w:p>
      <w:pPr>
        <w:jc w:val="both"/>
        <w:ind w:left="320" w:right="459" w:firstLine="335"/>
        <w:spacing w:after="0" w:line="279" w:lineRule="auto"/>
        <w:rPr>
          <w:sz w:val="20"/>
          <w:szCs w:val="20"/>
          <w:color w:val="auto"/>
        </w:rPr>
      </w:pPr>
      <w:r>
        <w:rPr>
          <w:rFonts w:ascii="Times New Roman" w:cs="Times New Roman" w:eastAsia="Times New Roman" w:hAnsi="Times New Roman"/>
          <w:sz w:val="13"/>
          <w:szCs w:val="13"/>
          <w:i w:val="1"/>
          <w:iCs w:val="1"/>
          <w:color w:val="auto"/>
        </w:rPr>
        <w:t>Fidus Investment Corporation (“FIC”), a Maryland Corporation, operates as an externally managed business development company (“BDC”) under the Investment Company Act of 1940, as amended (the “1940 Act”). FIC completed its initial public offering, or IPO, in June 2011. In addition, FIC has elected to be treated as a regulated investment company (“RIC”) under Subchapter M of the Internal Revenue Code of 1986, as amended (the “Code”). As of December 31, 2025, our shares were listed on the NASDAQ Global Select Market under the symbol “FDUS.”</w:t>
      </w:r>
    </w:p>
    <w:p>
      <w:pPr>
        <w:spacing w:after="0" w:line="126" w:lineRule="exact"/>
        <w:rPr>
          <w:sz w:val="20"/>
          <w:szCs w:val="20"/>
          <w:color w:val="auto"/>
        </w:rPr>
      </w:pPr>
    </w:p>
    <w:p>
      <w:pPr>
        <w:ind w:left="320" w:right="419" w:firstLine="335"/>
        <w:spacing w:after="0" w:line="270" w:lineRule="auto"/>
        <w:rPr>
          <w:sz w:val="20"/>
          <w:szCs w:val="20"/>
          <w:color w:val="auto"/>
        </w:rPr>
      </w:pPr>
      <w:r>
        <w:rPr>
          <w:rFonts w:ascii="Times New Roman" w:cs="Times New Roman" w:eastAsia="Times New Roman" w:hAnsi="Times New Roman"/>
          <w:sz w:val="13"/>
          <w:szCs w:val="13"/>
          <w:i w:val="1"/>
          <w:iCs w:val="1"/>
          <w:color w:val="auto"/>
        </w:rPr>
        <w:t>FIC may make investments directly or through its two wholly-owned investment company subsidiaries, Fidus Mezzanine Capital III, L.P. (“Fund III”) and Fidus Mezzanine Capital IV, L.P. (“Fund IV” and together with Fund III, the “SBIC Funds”). Fidus Investment GP, LLC, the general partner of the Funds, is also a wholly owned subsidiary of FIC. Each SBIC Fund is licensed by the U.S. Small Business Administration (the “SBA”) as a small business investment company (“SBIC”). The SBIC Funds utilize the proceeds of the issuance of SBA-guaranteed debentures to enhance returns to our stockholders. We believe that utilizing both FIC and the SBIC Funds as investment vehicles provides us with access to a broader array of investment opportunities. Given our access to lower cost capital through the SBA’s SBIC debenture program, we expect that we will continue to make investments through the SBIC Funds until the earlier of the end of such fund’s investment period or when the fund reaches its borrowing limits under the SBA program. For two or more SBICs under common control, the maximum amount of outstanding SBA debentures cannot exceed $350.0 million.</w:t>
      </w:r>
    </w:p>
    <w:p>
      <w:pPr>
        <w:spacing w:after="0" w:line="132" w:lineRule="exact"/>
        <w:rPr>
          <w:sz w:val="20"/>
          <w:szCs w:val="20"/>
          <w:color w:val="auto"/>
        </w:rPr>
      </w:pPr>
    </w:p>
    <w:p>
      <w:pPr>
        <w:ind w:left="320" w:right="919" w:firstLine="335"/>
        <w:spacing w:after="0" w:line="272" w:lineRule="auto"/>
        <w:rPr>
          <w:sz w:val="20"/>
          <w:szCs w:val="20"/>
          <w:color w:val="auto"/>
        </w:rPr>
      </w:pPr>
      <w:r>
        <w:rPr>
          <w:rFonts w:ascii="Times New Roman" w:cs="Times New Roman" w:eastAsia="Times New Roman" w:hAnsi="Times New Roman"/>
          <w:sz w:val="14"/>
          <w:szCs w:val="14"/>
          <w:i w:val="1"/>
          <w:iCs w:val="1"/>
          <w:color w:val="auto"/>
        </w:rPr>
        <w:t>Unless otherwise noted in this prospectus, the terms “we,” “us,” “our,” the “Company,” “Fidus” and “FIC” refer to Fidus Investment Corporation and its consolidated subsidiaries.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i w:val="1"/>
          <w:iCs w:val="1"/>
          <w:color w:val="auto"/>
        </w:rPr>
        <w:t>As used in this prospectus, the term “our investment advisor” refers to Fidus Investment Advisors, LLC.</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Fidus Investment Corporation</w:t>
      </w:r>
    </w:p>
    <w:p>
      <w:pPr>
        <w:spacing w:after="0" w:line="89" w:lineRule="exact"/>
        <w:rPr>
          <w:sz w:val="20"/>
          <w:szCs w:val="20"/>
          <w:color w:val="auto"/>
        </w:rPr>
      </w:pPr>
    </w:p>
    <w:p>
      <w:pPr>
        <w:ind w:left="320" w:right="419" w:firstLine="335"/>
        <w:spacing w:after="0" w:line="249" w:lineRule="auto"/>
        <w:rPr>
          <w:sz w:val="20"/>
          <w:szCs w:val="20"/>
          <w:color w:val="auto"/>
        </w:rPr>
      </w:pPr>
      <w:r>
        <w:rPr>
          <w:rFonts w:ascii="Times New Roman" w:cs="Times New Roman" w:eastAsia="Times New Roman" w:hAnsi="Times New Roman"/>
          <w:sz w:val="14"/>
          <w:szCs w:val="14"/>
          <w:color w:val="auto"/>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w:t>
      </w:r>
    </w:p>
    <w:p>
      <w:pPr>
        <w:spacing w:after="0" w:line="147" w:lineRule="exact"/>
        <w:rPr>
          <w:sz w:val="20"/>
          <w:szCs w:val="20"/>
          <w:color w:val="auto"/>
        </w:rPr>
      </w:pPr>
    </w:p>
    <w:p>
      <w:pPr>
        <w:ind w:left="320" w:right="519" w:firstLine="335"/>
        <w:spacing w:after="0" w:line="266" w:lineRule="auto"/>
        <w:rPr>
          <w:sz w:val="20"/>
          <w:szCs w:val="20"/>
          <w:color w:val="auto"/>
        </w:rPr>
      </w:pPr>
      <w:r>
        <w:rPr>
          <w:rFonts w:ascii="Times New Roman" w:cs="Times New Roman" w:eastAsia="Times New Roman" w:hAnsi="Times New Roman"/>
          <w:sz w:val="14"/>
          <w:szCs w:val="14"/>
          <w:color w:val="auto"/>
        </w:rPr>
        <w:t>We invest in companies that possess some or all of the following attributes: predictable revenues; positive cash flows; defensible and/or leading market positions; diversified customer and supplier bases; and proven</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56" w:right="1440" w:bottom="1440" w:gutter="0" w:footer="0" w:header="0"/>
        </w:sectPr>
      </w:pPr>
    </w:p>
    <w:bookmarkStart w:id="5" w:name="page6"/>
    <w:bookmarkEnd w:id="5"/>
    <w:p>
      <w:pPr>
        <w:jc w:val="both"/>
        <w:ind w:left="460" w:right="599"/>
        <w:spacing w:after="0" w:line="28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1722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1722755"/>
                    </a:xfrm>
                    <a:prstGeom prst="rect">
                      <a:avLst/>
                    </a:prstGeom>
                    <a:noFill/>
                  </pic:spPr>
                </pic:pic>
              </a:graphicData>
            </a:graphic>
          </wp:anchor>
        </w:drawing>
        <w:t>management teams with strong operating discipline. We target companies in the lower middle-market with annual earnings, before interest, taxes, depreciation and amortization, or EBITDA, between $5.0 million and $30.0 million; however, we may from time to time opportunistically make investments in larger or smaller companies. Our investments typically range between $5.0 million and $35.0 million per portfolio company.</w:t>
      </w:r>
    </w:p>
    <w:p>
      <w:pPr>
        <w:spacing w:after="0" w:line="12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As of December 31, 2025, we had debt and equity investments in 103 portfolio companies with an aggregate fair value of $1.3 billion.</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See “Business” in Part I, Item 1 in our most recent Annual Report on Form 10-K for additional information about us.</w:t>
      </w:r>
    </w:p>
    <w:p>
      <w:pPr>
        <w:spacing w:after="0" w:line="2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Risk Associated with Our Business</w:t>
      </w:r>
    </w:p>
    <w:p>
      <w:pPr>
        <w:spacing w:after="0" w:line="89" w:lineRule="exact"/>
        <w:rPr>
          <w:sz w:val="20"/>
          <w:szCs w:val="20"/>
          <w:color w:val="auto"/>
        </w:rPr>
      </w:pPr>
    </w:p>
    <w:p>
      <w:pPr>
        <w:ind w:left="460" w:right="479" w:firstLine="324"/>
        <w:spacing w:after="0" w:line="252" w:lineRule="auto"/>
        <w:rPr>
          <w:sz w:val="20"/>
          <w:szCs w:val="20"/>
          <w:color w:val="auto"/>
        </w:rPr>
      </w:pPr>
      <w:r>
        <w:rPr>
          <w:rFonts w:ascii="Times New Roman" w:cs="Times New Roman" w:eastAsia="Times New Roman" w:hAnsi="Times New Roman"/>
          <w:sz w:val="14"/>
          <w:szCs w:val="14"/>
          <w:color w:val="auto"/>
        </w:rPr>
        <w:t>Our business is subject to numerous risks, as described in the section titled “Risk Factors” in the applicable prospectus supplement and in any free writing prospectuses we have authorized for use in connection with a specific offering, and under similar headings in the documents that are incorporated by reference into this prospectus, including the section titled “Risk Factors” included in our most recent Annual Report on Form 10-K, in any subsequent Quarterly Report on Form 10-Q, as well as in any of our subsequent SEC filings.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404"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8952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4895215"/>
                    </a:xfrm>
                    <a:prstGeom prst="rect">
                      <a:avLst/>
                    </a:prstGeom>
                    <a:noFill/>
                  </pic:spPr>
                </pic:pic>
              </a:graphicData>
            </a:graphic>
          </wp:anchor>
        </w:drawing>
        <w:t>THE OFFERING</w:t>
      </w:r>
    </w:p>
    <w:p>
      <w:pPr>
        <w:spacing w:after="0" w:line="171" w:lineRule="exact"/>
        <w:rPr>
          <w:sz w:val="20"/>
          <w:szCs w:val="20"/>
          <w:color w:val="auto"/>
        </w:rPr>
      </w:pPr>
    </w:p>
    <w:p>
      <w:pPr>
        <w:ind w:left="460" w:right="559" w:firstLine="324"/>
        <w:spacing w:after="0" w:line="252" w:lineRule="auto"/>
        <w:rPr>
          <w:sz w:val="20"/>
          <w:szCs w:val="20"/>
          <w:color w:val="auto"/>
        </w:rPr>
      </w:pPr>
      <w:r>
        <w:rPr>
          <w:rFonts w:ascii="Times New Roman" w:cs="Times New Roman" w:eastAsia="Times New Roman" w:hAnsi="Times New Roman"/>
          <w:sz w:val="14"/>
          <w:szCs w:val="14"/>
          <w:color w:val="auto"/>
        </w:rPr>
        <w:t>We may offer, from time to time, in one or more offerings, our common stock, preferred stock, subscription rights to purchase shares of our common stock, debt securities, or warrants representing rights to purchase shares of our common stock, preferred stock or debt securities on terms to be determined at the time of each offering and set forth in one or more supplements to this prospectus. Our securities may be offered at prices and on terms to be disclosed in one or more supplements to this prospectus and any related free writing prospectus.</w:t>
      </w:r>
    </w:p>
    <w:p>
      <w:pPr>
        <w:spacing w:after="0" w:line="145" w:lineRule="exact"/>
        <w:rPr>
          <w:sz w:val="20"/>
          <w:szCs w:val="20"/>
          <w:color w:val="auto"/>
        </w:rPr>
      </w:pPr>
    </w:p>
    <w:p>
      <w:pPr>
        <w:ind w:left="460" w:right="459" w:firstLine="324"/>
        <w:spacing w:after="0" w:line="247" w:lineRule="auto"/>
        <w:rPr>
          <w:sz w:val="20"/>
          <w:szCs w:val="20"/>
          <w:color w:val="auto"/>
        </w:rPr>
      </w:pPr>
      <w:r>
        <w:rPr>
          <w:rFonts w:ascii="Times New Roman" w:cs="Times New Roman" w:eastAsia="Times New Roman" w:hAnsi="Times New Roman"/>
          <w:sz w:val="14"/>
          <w:szCs w:val="14"/>
          <w:color w:val="auto"/>
        </w:rPr>
        <w:t>We may sell or otherwise issue shares of common stock at a discount to net asset value per share at prices approximating market value less selling expenses upon approval, in certain circumstances, of our board of directors, including a majority of our directors that are not “interested persons” of the Company, as defined in the 1940 Act. On June 11, 2025, our stockholders voted to allow us to issue common stock at a price below net asset value per share for a period of one year ended on the earlier of June 11, 2026 or the date of our 2026 Annual Meeting of Stockholders. Our stockholders are being asked to consider and approve a similar proposal at our 2026 Annual Meeting of Stockholders. Sales or other issuances of common stock at prices below net asset value per share dilute the interests of existing stockholders, have the effect of reducing our net asset value per share and may reduce our market price per share. See “Sales of Common Stock Below Net Asset Value” in this prospectus and in any accompanying prospectus supplement, if applicable.</w:t>
      </w:r>
    </w:p>
    <w:p>
      <w:pPr>
        <w:spacing w:after="0" w:line="152" w:lineRule="exact"/>
        <w:rPr>
          <w:sz w:val="20"/>
          <w:szCs w:val="20"/>
          <w:color w:val="auto"/>
        </w:rPr>
      </w:pPr>
    </w:p>
    <w:p>
      <w:pPr>
        <w:ind w:left="460" w:right="499" w:firstLine="324"/>
        <w:spacing w:after="0" w:line="252" w:lineRule="auto"/>
        <w:rPr>
          <w:sz w:val="20"/>
          <w:szCs w:val="20"/>
          <w:color w:val="auto"/>
        </w:rPr>
      </w:pPr>
      <w:r>
        <w:rPr>
          <w:rFonts w:ascii="Times New Roman" w:cs="Times New Roman" w:eastAsia="Times New Roman" w:hAnsi="Times New Roman"/>
          <w:sz w:val="14"/>
          <w:szCs w:val="14"/>
          <w:color w:val="auto"/>
        </w:rPr>
        <w:t>Our stockholders did not specify a maximum discount below net asset value at which we are able to sell or otherwise issue our common stock; however, we do not intend to sell or otherwise issue shares of our common stock below net asset value unless our board of directors determines that it would be in our stockholders’ best interest to do so. The level of net asset value dilution that could result from such an offering is not limited.</w:t>
      </w:r>
    </w:p>
    <w:p>
      <w:pPr>
        <w:spacing w:after="0" w:line="145" w:lineRule="exact"/>
        <w:rPr>
          <w:sz w:val="20"/>
          <w:szCs w:val="20"/>
          <w:color w:val="auto"/>
        </w:rPr>
      </w:pPr>
    </w:p>
    <w:p>
      <w:pPr>
        <w:ind w:left="460" w:right="519" w:firstLine="324"/>
        <w:spacing w:after="0" w:line="248" w:lineRule="auto"/>
        <w:rPr>
          <w:sz w:val="20"/>
          <w:szCs w:val="20"/>
          <w:color w:val="auto"/>
        </w:rPr>
      </w:pPr>
      <w:r>
        <w:rPr>
          <w:rFonts w:ascii="Times New Roman" w:cs="Times New Roman" w:eastAsia="Times New Roman" w:hAnsi="Times New Roman"/>
          <w:sz w:val="14"/>
          <w:szCs w:val="14"/>
          <w:color w:val="auto"/>
        </w:rPr>
        <w:t>Our securities may be offered directly to one or more purchasers, including to existing stockholders in a rights offering, by us or through agents designated from time to time by us, or to or through underwriters or dealers. The prospectus supplement relating to an offering and any free writing prospectus will disclose the terms of such offering, including the name or names of any agents or underwriters involved in the sale of our securities by us, the purchase price, and any fee, commission or discount arrangement between us and our agents or underwriters or among our underwriters or the basis upon which such amount may be calculated. See “Plan of Distribution” in this prospectus. We may not sell any of our securities through agents, underwriters or dealers without delivery of this prospectus and a prospectus supplement describing the method and terms of the offering of our securities.</w:t>
      </w:r>
    </w:p>
    <w:p>
      <w:pPr>
        <w:spacing w:after="0" w:line="14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Set forth below is additional information regarding offerings of securities pursuant to this prospectus:</w:t>
      </w:r>
    </w:p>
    <w:p>
      <w:pPr>
        <w:spacing w:after="0" w:line="188" w:lineRule="exact"/>
        <w:rPr>
          <w:sz w:val="20"/>
          <w:szCs w:val="20"/>
          <w:color w:val="auto"/>
        </w:rPr>
      </w:pPr>
    </w:p>
    <w:tbl>
      <w:tblPr>
        <w:tblLayout w:type="fixed"/>
        <w:tblInd w:w="320" w:type="dxa"/>
        <w:tblCellMar>
          <w:top w:w="0" w:type="dxa"/>
          <w:left w:w="0" w:type="dxa"/>
          <w:bottom w:w="0" w:type="dxa"/>
          <w:right w:w="0" w:type="dxa"/>
        </w:tblCellMar>
      </w:tblPr>
      <w:tr>
        <w:trPr>
          <w:trHeight w:val="164"/>
        </w:trPr>
        <w:tc>
          <w:tcPr>
            <w:tcW w:w="3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Nasdaq Global Select Market Ticker Symbol of</w:t>
            </w:r>
          </w:p>
        </w:tc>
        <w:tc>
          <w:tcPr>
            <w:tcW w:w="5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“FDUS”</w:t>
            </w:r>
          </w:p>
        </w:tc>
      </w:tr>
      <w:tr>
        <w:trPr>
          <w:trHeight w:val="176"/>
        </w:trPr>
        <w:tc>
          <w:tcPr>
            <w:tcW w:w="3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Common Stock</w:t>
            </w:r>
          </w:p>
        </w:tc>
        <w:tc>
          <w:tcPr>
            <w:tcW w:w="5280" w:type="dxa"/>
            <w:vAlign w:val="bottom"/>
          </w:tcPr>
          <w:p>
            <w:pPr>
              <w:spacing w:after="0"/>
              <w:rPr>
                <w:sz w:val="15"/>
                <w:szCs w:val="15"/>
                <w:color w:val="auto"/>
              </w:rPr>
            </w:pPr>
          </w:p>
        </w:tc>
      </w:tr>
      <w:tr>
        <w:trPr>
          <w:trHeight w:val="347"/>
        </w:trPr>
        <w:tc>
          <w:tcPr>
            <w:tcW w:w="3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Use of Proceeds</w:t>
            </w:r>
          </w:p>
        </w:tc>
        <w:tc>
          <w:tcPr>
            <w:tcW w:w="5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Unless otherwise specified in a prospectus supplement or in any free writing prospectus we</w:t>
            </w:r>
          </w:p>
        </w:tc>
      </w:tr>
      <w:tr>
        <w:trPr>
          <w:trHeight w:val="164"/>
        </w:trPr>
        <w:tc>
          <w:tcPr>
            <w:tcW w:w="3100" w:type="dxa"/>
            <w:vAlign w:val="bottom"/>
          </w:tcPr>
          <w:p>
            <w:pPr>
              <w:spacing w:after="0"/>
              <w:rPr>
                <w:sz w:val="14"/>
                <w:szCs w:val="14"/>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have authorized for us in connection with a specific offering, we intend to use the net</w:t>
            </w:r>
          </w:p>
        </w:tc>
      </w:tr>
      <w:tr>
        <w:trPr>
          <w:trHeight w:val="164"/>
        </w:trPr>
        <w:tc>
          <w:tcPr>
            <w:tcW w:w="3100" w:type="dxa"/>
            <w:vAlign w:val="bottom"/>
          </w:tcPr>
          <w:p>
            <w:pPr>
              <w:spacing w:after="0"/>
              <w:rPr>
                <w:sz w:val="14"/>
                <w:szCs w:val="14"/>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selling our securities to invest in lower middle-market companies in</w:t>
            </w:r>
          </w:p>
        </w:tc>
      </w:tr>
      <w:tr>
        <w:trPr>
          <w:trHeight w:val="164"/>
        </w:trPr>
        <w:tc>
          <w:tcPr>
            <w:tcW w:w="3100" w:type="dxa"/>
            <w:vAlign w:val="bottom"/>
          </w:tcPr>
          <w:p>
            <w:pPr>
              <w:spacing w:after="0"/>
              <w:rPr>
                <w:sz w:val="14"/>
                <w:szCs w:val="14"/>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accordance with our investment objective and strategies, to repay the outstanding</w:t>
            </w:r>
          </w:p>
        </w:tc>
      </w:tr>
      <w:tr>
        <w:trPr>
          <w:trHeight w:val="164"/>
        </w:trPr>
        <w:tc>
          <w:tcPr>
            <w:tcW w:w="3100" w:type="dxa"/>
            <w:vAlign w:val="bottom"/>
          </w:tcPr>
          <w:p>
            <w:pPr>
              <w:spacing w:after="0"/>
              <w:rPr>
                <w:sz w:val="14"/>
                <w:szCs w:val="14"/>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indebtedness (which will be subject to re-borrowing), and for working capital and general</w:t>
            </w:r>
          </w:p>
        </w:tc>
      </w:tr>
      <w:tr>
        <w:trPr>
          <w:trHeight w:val="176"/>
        </w:trPr>
        <w:tc>
          <w:tcPr>
            <w:tcW w:w="3100" w:type="dxa"/>
            <w:vAlign w:val="bottom"/>
          </w:tcPr>
          <w:p>
            <w:pPr>
              <w:spacing w:after="0"/>
              <w:rPr>
                <w:sz w:val="15"/>
                <w:szCs w:val="15"/>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corporate purposes. See “Use of Proceeds.”</w:t>
            </w:r>
          </w:p>
        </w:tc>
      </w:tr>
      <w:tr>
        <w:trPr>
          <w:trHeight w:val="337"/>
        </w:trPr>
        <w:tc>
          <w:tcPr>
            <w:tcW w:w="3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and Distributions</w:t>
            </w:r>
          </w:p>
        </w:tc>
        <w:tc>
          <w:tcPr>
            <w:tcW w:w="5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We pay quarterly distributions to our stockholders out of assets legally available for</w:t>
            </w:r>
          </w:p>
        </w:tc>
      </w:tr>
      <w:tr>
        <w:trPr>
          <w:trHeight w:val="164"/>
        </w:trPr>
        <w:tc>
          <w:tcPr>
            <w:tcW w:w="3100" w:type="dxa"/>
            <w:vAlign w:val="bottom"/>
          </w:tcPr>
          <w:p>
            <w:pPr>
              <w:spacing w:after="0"/>
              <w:rPr>
                <w:sz w:val="14"/>
                <w:szCs w:val="14"/>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distribution. Our distributions, if any, will be determined by our board of directors. Our</w:t>
            </w:r>
          </w:p>
        </w:tc>
      </w:tr>
      <w:tr>
        <w:trPr>
          <w:trHeight w:val="176"/>
        </w:trPr>
        <w:tc>
          <w:tcPr>
            <w:tcW w:w="3100" w:type="dxa"/>
            <w:vAlign w:val="bottom"/>
          </w:tcPr>
          <w:p>
            <w:pPr>
              <w:spacing w:after="0"/>
              <w:rPr>
                <w:sz w:val="15"/>
                <w:szCs w:val="15"/>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ability to declare</w:t>
            </w:r>
          </w:p>
        </w:tc>
      </w:tr>
      <w:tr>
        <w:trPr>
          <w:trHeight w:val="119"/>
        </w:trPr>
        <w:tc>
          <w:tcPr>
            <w:tcW w:w="3100" w:type="dxa"/>
            <w:vAlign w:val="bottom"/>
            <w:tcBorders>
              <w:bottom w:val="single" w:sz="8" w:color="auto"/>
            </w:tcBorders>
          </w:tcPr>
          <w:p>
            <w:pPr>
              <w:spacing w:after="0"/>
              <w:rPr>
                <w:sz w:val="10"/>
                <w:szCs w:val="10"/>
                <w:color w:val="auto"/>
              </w:rPr>
            </w:pPr>
          </w:p>
        </w:tc>
        <w:tc>
          <w:tcPr>
            <w:tcW w:w="5280" w:type="dxa"/>
            <w:vAlign w:val="bottom"/>
            <w:tcBorders>
              <w:bottom w:val="single" w:sz="8" w:color="auto"/>
            </w:tcBorders>
          </w:tcPr>
          <w:p>
            <w:pPr>
              <w:spacing w:after="0"/>
              <w:rPr>
                <w:sz w:val="10"/>
                <w:szCs w:val="10"/>
                <w:color w:val="auto"/>
              </w:rPr>
            </w:pPr>
          </w:p>
        </w:tc>
      </w:tr>
      <w:tr>
        <w:trPr>
          <w:trHeight w:val="271"/>
        </w:trPr>
        <w:tc>
          <w:tcPr>
            <w:tcW w:w="3100" w:type="dxa"/>
            <w:vAlign w:val="bottom"/>
          </w:tcPr>
          <w:p>
            <w:pPr>
              <w:spacing w:after="0"/>
              <w:rPr>
                <w:sz w:val="23"/>
                <w:szCs w:val="23"/>
                <w:color w:val="auto"/>
              </w:rPr>
            </w:pPr>
          </w:p>
        </w:tc>
        <w:tc>
          <w:tcPr>
            <w:tcW w:w="528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-4-</w:t>
            </w:r>
          </w:p>
        </w:tc>
      </w:tr>
    </w:tbl>
    <w:p>
      <w:pPr>
        <w:sectPr>
          <w:pgSz w:w="11900" w:h="16838" w:orient="portrait"/>
          <w:cols w:equalWidth="0" w:num="1">
            <w:col w:w="9019"/>
          </w:cols>
          <w:pgMar w:left="1440" w:top="400" w:right="1440"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45085"/>
                    </a:xfrm>
                    <a:prstGeom prst="rect">
                      <a:avLst/>
                    </a:prstGeom>
                    <a:noFill/>
                  </pic:spPr>
                </pic:pic>
              </a:graphicData>
            </a:graphic>
          </wp:anchor>
        </w:drawing>
      </w:r>
    </w:p>
    <w:tbl>
      <w:tblPr>
        <w:tblLayout w:type="fixed"/>
        <w:tblInd w:w="330" w:type="dxa"/>
        <w:tblCellMar>
          <w:top w:w="0" w:type="dxa"/>
          <w:left w:w="0" w:type="dxa"/>
          <w:bottom w:w="0" w:type="dxa"/>
          <w:right w:w="0" w:type="dxa"/>
        </w:tblCellMar>
      </w:tblPr>
      <w:tr>
        <w:trPr>
          <w:trHeight w:val="300"/>
        </w:trPr>
        <w:tc>
          <w:tcPr>
            <w:tcW w:w="2460" w:type="dxa"/>
            <w:vAlign w:val="bottom"/>
            <w:tcBorders>
              <w:top w:val="single" w:sz="8" w:color="auto"/>
              <w:left w:val="single" w:sz="8" w:color="auto"/>
            </w:tcBorders>
          </w:tcPr>
          <w:p>
            <w:pPr>
              <w:spacing w:after="0"/>
              <w:rPr>
                <w:sz w:val="24"/>
                <w:szCs w:val="24"/>
                <w:color w:val="auto"/>
              </w:rPr>
            </w:pPr>
          </w:p>
        </w:tc>
        <w:tc>
          <w:tcPr>
            <w:tcW w:w="5920" w:type="dxa"/>
            <w:vAlign w:val="bottom"/>
            <w:tcBorders>
              <w:top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distributions depends on our earnings, our overall financial condition (including our</w:t>
            </w:r>
          </w:p>
        </w:tc>
      </w:tr>
      <w:tr>
        <w:trPr>
          <w:trHeight w:val="164"/>
        </w:trPr>
        <w:tc>
          <w:tcPr>
            <w:tcW w:w="246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liquidity position), qualification for or maintenance of our RIC tax treatment and such</w:t>
            </w:r>
          </w:p>
        </w:tc>
      </w:tr>
      <w:tr>
        <w:trPr>
          <w:trHeight w:val="176"/>
        </w:trPr>
        <w:tc>
          <w:tcPr>
            <w:tcW w:w="2460" w:type="dxa"/>
            <w:vAlign w:val="bottom"/>
            <w:tcBorders>
              <w:left w:val="single" w:sz="8" w:color="auto"/>
            </w:tcBorders>
          </w:tcPr>
          <w:p>
            <w:pPr>
              <w:spacing w:after="0"/>
              <w:rPr>
                <w:sz w:val="15"/>
                <w:szCs w:val="15"/>
                <w:color w:val="auto"/>
              </w:rPr>
            </w:pPr>
          </w:p>
        </w:tc>
        <w:tc>
          <w:tcPr>
            <w:tcW w:w="59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other factors as our board of directors may deem relevant from time to time.</w:t>
            </w:r>
          </w:p>
        </w:tc>
      </w:tr>
      <w:tr>
        <w:trPr>
          <w:trHeight w:val="347"/>
        </w:trPr>
        <w:tc>
          <w:tcPr>
            <w:tcW w:w="2460" w:type="dxa"/>
            <w:vAlign w:val="bottom"/>
            <w:tcBorders>
              <w:left w:val="single" w:sz="8" w:color="auto"/>
            </w:tcBorders>
          </w:tcPr>
          <w:p>
            <w:pPr>
              <w:spacing w:after="0"/>
              <w:rPr>
                <w:sz w:val="24"/>
                <w:szCs w:val="24"/>
                <w:color w:val="auto"/>
              </w:rPr>
            </w:pPr>
          </w:p>
        </w:tc>
        <w:tc>
          <w:tcPr>
            <w:tcW w:w="59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When we make distributions, we will be required to determine the extent to which such</w:t>
            </w:r>
          </w:p>
        </w:tc>
      </w:tr>
      <w:tr>
        <w:trPr>
          <w:trHeight w:val="164"/>
        </w:trPr>
        <w:tc>
          <w:tcPr>
            <w:tcW w:w="246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distributions are paid out of current or accumulated earnings, recognized capital gains or</w:t>
            </w:r>
          </w:p>
        </w:tc>
      </w:tr>
      <w:tr>
        <w:trPr>
          <w:trHeight w:val="164"/>
        </w:trPr>
        <w:tc>
          <w:tcPr>
            <w:tcW w:w="246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capital. To the extent there is a return of capital, investors will be required to reduce their</w:t>
            </w:r>
          </w:p>
        </w:tc>
      </w:tr>
      <w:tr>
        <w:trPr>
          <w:trHeight w:val="164"/>
        </w:trPr>
        <w:tc>
          <w:tcPr>
            <w:tcW w:w="246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basis in our stock for U.S. federal income tax purposes. In the future, our distributions may</w:t>
            </w:r>
          </w:p>
        </w:tc>
      </w:tr>
      <w:tr>
        <w:trPr>
          <w:trHeight w:val="176"/>
        </w:trPr>
        <w:tc>
          <w:tcPr>
            <w:tcW w:w="2460" w:type="dxa"/>
            <w:vAlign w:val="bottom"/>
            <w:tcBorders>
              <w:left w:val="single" w:sz="8" w:color="auto"/>
            </w:tcBorders>
          </w:tcPr>
          <w:p>
            <w:pPr>
              <w:spacing w:after="0"/>
              <w:rPr>
                <w:sz w:val="15"/>
                <w:szCs w:val="15"/>
                <w:color w:val="auto"/>
              </w:rPr>
            </w:pPr>
          </w:p>
        </w:tc>
        <w:tc>
          <w:tcPr>
            <w:tcW w:w="59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include a return of capital.</w:t>
            </w:r>
          </w:p>
        </w:tc>
      </w:tr>
      <w:tr>
        <w:trPr>
          <w:trHeight w:val="337"/>
        </w:trPr>
        <w:tc>
          <w:tcPr>
            <w:tcW w:w="24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Dividend Reinvestment Plan</w:t>
            </w:r>
          </w:p>
        </w:tc>
        <w:tc>
          <w:tcPr>
            <w:tcW w:w="59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We have adopted a dividend reinvestment plan for our common stockholders, which is an</w:t>
            </w:r>
          </w:p>
        </w:tc>
      </w:tr>
      <w:tr>
        <w:trPr>
          <w:trHeight w:val="164"/>
        </w:trPr>
        <w:tc>
          <w:tcPr>
            <w:tcW w:w="246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“opt out” dividend reinvestment plan. Under this plan, if we declare a cash distribution, our</w:t>
            </w:r>
          </w:p>
        </w:tc>
      </w:tr>
      <w:tr>
        <w:trPr>
          <w:trHeight w:val="164"/>
        </w:trPr>
        <w:tc>
          <w:tcPr>
            <w:tcW w:w="246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stockholders who have not opted out of our dividend reinvestment plan will have their cash</w:t>
            </w:r>
          </w:p>
        </w:tc>
      </w:tr>
      <w:tr>
        <w:trPr>
          <w:trHeight w:val="164"/>
        </w:trPr>
        <w:tc>
          <w:tcPr>
            <w:tcW w:w="246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distribution automatically reinvested in additional shares of our common stock, rather than</w:t>
            </w:r>
          </w:p>
        </w:tc>
      </w:tr>
      <w:tr>
        <w:trPr>
          <w:trHeight w:val="164"/>
        </w:trPr>
        <w:tc>
          <w:tcPr>
            <w:tcW w:w="246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receiving the cash distribution. If a stockholder opts out, that stockholder will receive cash</w:t>
            </w:r>
          </w:p>
        </w:tc>
      </w:tr>
      <w:tr>
        <w:trPr>
          <w:trHeight w:val="164"/>
        </w:trPr>
        <w:tc>
          <w:tcPr>
            <w:tcW w:w="246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distributions. Stockholders who receive distributions in the form of shares of common</w:t>
            </w:r>
          </w:p>
        </w:tc>
      </w:tr>
      <w:tr>
        <w:trPr>
          <w:trHeight w:val="164"/>
        </w:trPr>
        <w:tc>
          <w:tcPr>
            <w:tcW w:w="246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stock generally are subject to the same U.S. federal income tax consequences as</w:t>
            </w:r>
          </w:p>
        </w:tc>
      </w:tr>
      <w:tr>
        <w:trPr>
          <w:trHeight w:val="164"/>
        </w:trPr>
        <w:tc>
          <w:tcPr>
            <w:tcW w:w="246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stockholders who elect to receive their distributions in cash; however, since their cash</w:t>
            </w:r>
          </w:p>
        </w:tc>
      </w:tr>
      <w:tr>
        <w:trPr>
          <w:trHeight w:val="164"/>
        </w:trPr>
        <w:tc>
          <w:tcPr>
            <w:tcW w:w="246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distributions will be reinvested, such stockholders will not receive cash with which to pay</w:t>
            </w:r>
          </w:p>
        </w:tc>
      </w:tr>
      <w:tr>
        <w:trPr>
          <w:trHeight w:val="176"/>
        </w:trPr>
        <w:tc>
          <w:tcPr>
            <w:tcW w:w="2460" w:type="dxa"/>
            <w:vAlign w:val="bottom"/>
            <w:tcBorders>
              <w:left w:val="single" w:sz="8" w:color="auto"/>
            </w:tcBorders>
          </w:tcPr>
          <w:p>
            <w:pPr>
              <w:spacing w:after="0"/>
              <w:rPr>
                <w:sz w:val="15"/>
                <w:szCs w:val="15"/>
                <w:color w:val="auto"/>
              </w:rPr>
            </w:pPr>
          </w:p>
        </w:tc>
        <w:tc>
          <w:tcPr>
            <w:tcW w:w="59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any applicable taxes on reinvested distributions. See “Dividend Reinvestment Plan.”</w:t>
            </w:r>
          </w:p>
        </w:tc>
      </w:tr>
      <w:tr>
        <w:trPr>
          <w:trHeight w:val="337"/>
        </w:trPr>
        <w:tc>
          <w:tcPr>
            <w:tcW w:w="24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Taxation</w:t>
            </w:r>
          </w:p>
        </w:tc>
        <w:tc>
          <w:tcPr>
            <w:tcW w:w="59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We have elected to be treated, and intend to qualify annually, as a RIC for U.S. federal</w:t>
            </w:r>
          </w:p>
        </w:tc>
      </w:tr>
      <w:tr>
        <w:trPr>
          <w:trHeight w:val="164"/>
        </w:trPr>
        <w:tc>
          <w:tcPr>
            <w:tcW w:w="246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income tax purposes. Accordingly, we generally will not be subject to U.S. federal income</w:t>
            </w:r>
          </w:p>
        </w:tc>
      </w:tr>
      <w:tr>
        <w:trPr>
          <w:trHeight w:val="164"/>
        </w:trPr>
        <w:tc>
          <w:tcPr>
            <w:tcW w:w="246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tax on any net ordinary income or realized net capital gains that we timely distribute to our</w:t>
            </w:r>
          </w:p>
        </w:tc>
      </w:tr>
      <w:tr>
        <w:trPr>
          <w:trHeight w:val="164"/>
        </w:trPr>
        <w:tc>
          <w:tcPr>
            <w:tcW w:w="246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stockholders. We will be subject to U.S. federal income tax imposed at corporate rates on</w:t>
            </w:r>
          </w:p>
        </w:tc>
      </w:tr>
      <w:tr>
        <w:trPr>
          <w:trHeight w:val="164"/>
        </w:trPr>
        <w:tc>
          <w:tcPr>
            <w:tcW w:w="246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any net ordinary income or realized net capital gains that we do not distribute to</w:t>
            </w:r>
          </w:p>
        </w:tc>
      </w:tr>
      <w:tr>
        <w:trPr>
          <w:trHeight w:val="164"/>
        </w:trPr>
        <w:tc>
          <w:tcPr>
            <w:tcW w:w="246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stockholders. To maintain our tax treatment as a RIC and the associated tax benefits, we</w:t>
            </w:r>
          </w:p>
        </w:tc>
      </w:tr>
      <w:tr>
        <w:trPr>
          <w:trHeight w:val="164"/>
        </w:trPr>
        <w:tc>
          <w:tcPr>
            <w:tcW w:w="246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must, among other things, meet specified source-of-income and asset diversification</w:t>
            </w:r>
          </w:p>
        </w:tc>
      </w:tr>
      <w:tr>
        <w:trPr>
          <w:trHeight w:val="164"/>
        </w:trPr>
        <w:tc>
          <w:tcPr>
            <w:tcW w:w="246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requirements and generally distribute annually at least 90% of our realized net ordinary</w:t>
            </w:r>
          </w:p>
        </w:tc>
      </w:tr>
      <w:tr>
        <w:trPr>
          <w:trHeight w:val="164"/>
        </w:trPr>
        <w:tc>
          <w:tcPr>
            <w:tcW w:w="246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income and realized net short-term capital gains, if any, in excess of our net long-term</w:t>
            </w:r>
          </w:p>
        </w:tc>
      </w:tr>
      <w:tr>
        <w:trPr>
          <w:trHeight w:val="164"/>
        </w:trPr>
        <w:tc>
          <w:tcPr>
            <w:tcW w:w="246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capital losses. In order to meet the 90% income requirement, we have established several</w:t>
            </w:r>
          </w:p>
        </w:tc>
      </w:tr>
      <w:tr>
        <w:trPr>
          <w:trHeight w:val="164"/>
        </w:trPr>
        <w:tc>
          <w:tcPr>
            <w:tcW w:w="246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subsidiaries that are treated as corporations for U.S. federal income tax purposes, and in the</w:t>
            </w:r>
          </w:p>
        </w:tc>
      </w:tr>
      <w:tr>
        <w:trPr>
          <w:trHeight w:val="164"/>
        </w:trPr>
        <w:tc>
          <w:tcPr>
            <w:tcW w:w="246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future may establish additional such subsidiaries, to hold assets from which we do not</w:t>
            </w:r>
          </w:p>
        </w:tc>
      </w:tr>
      <w:tr>
        <w:trPr>
          <w:trHeight w:val="164"/>
        </w:trPr>
        <w:tc>
          <w:tcPr>
            <w:tcW w:w="246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anticipate earning dividends, interest or other qualifying income under the 90% income</w:t>
            </w:r>
          </w:p>
        </w:tc>
      </w:tr>
      <w:tr>
        <w:trPr>
          <w:trHeight w:val="164"/>
        </w:trPr>
        <w:tc>
          <w:tcPr>
            <w:tcW w:w="246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requirement (the “Taxable Subsidiaries”). Each Taxable Subsidiary generally is subject to</w:t>
            </w:r>
          </w:p>
        </w:tc>
      </w:tr>
      <w:tr>
        <w:trPr>
          <w:trHeight w:val="164"/>
        </w:trPr>
        <w:tc>
          <w:tcPr>
            <w:tcW w:w="246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U.S. federal income tax imposed at corporate rates, and therefore we can expect to achieve</w:t>
            </w:r>
          </w:p>
        </w:tc>
      </w:tr>
      <w:tr>
        <w:trPr>
          <w:trHeight w:val="164"/>
        </w:trPr>
        <w:tc>
          <w:tcPr>
            <w:tcW w:w="2460" w:type="dxa"/>
            <w:vAlign w:val="bottom"/>
            <w:tcBorders>
              <w:left w:val="single" w:sz="8" w:color="auto"/>
            </w:tcBorders>
          </w:tcPr>
          <w:p>
            <w:pPr>
              <w:spacing w:after="0"/>
              <w:rPr>
                <w:sz w:val="14"/>
                <w:szCs w:val="14"/>
                <w:color w:val="auto"/>
              </w:rPr>
            </w:pPr>
          </w:p>
        </w:tc>
        <w:tc>
          <w:tcPr>
            <w:tcW w:w="59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a reduced after-tax yield on investments held through a Taxable Subsidiary. See “Price</w:t>
            </w:r>
          </w:p>
        </w:tc>
      </w:tr>
      <w:tr>
        <w:trPr>
          <w:trHeight w:val="176"/>
        </w:trPr>
        <w:tc>
          <w:tcPr>
            <w:tcW w:w="2460" w:type="dxa"/>
            <w:vAlign w:val="bottom"/>
            <w:tcBorders>
              <w:left w:val="single" w:sz="8" w:color="auto"/>
            </w:tcBorders>
          </w:tcPr>
          <w:p>
            <w:pPr>
              <w:spacing w:after="0"/>
              <w:rPr>
                <w:sz w:val="15"/>
                <w:szCs w:val="15"/>
                <w:color w:val="auto"/>
              </w:rPr>
            </w:pPr>
          </w:p>
        </w:tc>
        <w:tc>
          <w:tcPr>
            <w:tcW w:w="592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Range of Common Stock” and “Certain U.S. Federal Income Tax Considerations.”</w:t>
            </w:r>
          </w:p>
        </w:tc>
      </w:tr>
      <w:tr>
        <w:trPr>
          <w:trHeight w:val="119"/>
        </w:trPr>
        <w:tc>
          <w:tcPr>
            <w:tcW w:w="2460" w:type="dxa"/>
            <w:vAlign w:val="bottom"/>
            <w:tcBorders>
              <w:left w:val="single" w:sz="8" w:color="auto"/>
              <w:bottom w:val="single" w:sz="8" w:color="auto"/>
            </w:tcBorders>
          </w:tcPr>
          <w:p>
            <w:pPr>
              <w:spacing w:after="0"/>
              <w:rPr>
                <w:sz w:val="10"/>
                <w:szCs w:val="10"/>
                <w:color w:val="auto"/>
              </w:rPr>
            </w:pPr>
          </w:p>
        </w:tc>
        <w:tc>
          <w:tcPr>
            <w:tcW w:w="5920" w:type="dxa"/>
            <w:vAlign w:val="bottom"/>
            <w:tcBorders>
              <w:bottom w:val="single" w:sz="8" w:color="auto"/>
              <w:right w:val="single" w:sz="8" w:color="auto"/>
            </w:tcBorders>
          </w:tcPr>
          <w:p>
            <w:pPr>
              <w:spacing w:after="0"/>
              <w:rPr>
                <w:sz w:val="10"/>
                <w:szCs w:val="10"/>
                <w:color w:val="auto"/>
              </w:rPr>
            </w:pPr>
          </w:p>
        </w:tc>
      </w:tr>
      <w:tr>
        <w:trPr>
          <w:trHeight w:val="271"/>
        </w:trPr>
        <w:tc>
          <w:tcPr>
            <w:tcW w:w="2460" w:type="dxa"/>
            <w:vAlign w:val="bottom"/>
          </w:tcPr>
          <w:p>
            <w:pPr>
              <w:spacing w:after="0"/>
              <w:rPr>
                <w:sz w:val="23"/>
                <w:szCs w:val="23"/>
                <w:color w:val="auto"/>
              </w:rPr>
            </w:pPr>
          </w:p>
        </w:tc>
        <w:tc>
          <w:tcPr>
            <w:tcW w:w="5920" w:type="dxa"/>
            <w:vAlign w:val="bottom"/>
          </w:tcPr>
          <w:p>
            <w:pPr>
              <w:ind w:left="1640"/>
              <w:spacing w:after="0"/>
              <w:rPr>
                <w:sz w:val="20"/>
                <w:szCs w:val="20"/>
                <w:color w:val="auto"/>
              </w:rPr>
            </w:pPr>
            <w:r>
              <w:rPr>
                <w:rFonts w:ascii="Times New Roman" w:cs="Times New Roman" w:eastAsia="Times New Roman" w:hAnsi="Times New Roman"/>
                <w:sz w:val="14"/>
                <w:szCs w:val="14"/>
                <w:color w:val="auto"/>
              </w:rPr>
              <w:t>-5-</w:t>
            </w:r>
          </w:p>
        </w:tc>
      </w:tr>
    </w:tbl>
    <w:p>
      <w:pPr>
        <w:sectPr>
          <w:pgSz w:w="11900" w:h="16838" w:orient="portrait"/>
          <w:cols w:equalWidth="0" w:num="1">
            <w:col w:w="9019"/>
          </w:cols>
          <w:pgMar w:left="1440" w:top="248" w:right="1440"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45085"/>
                    </a:xfrm>
                    <a:prstGeom prst="rect">
                      <a:avLst/>
                    </a:prstGeom>
                    <a:noFill/>
                  </pic:spPr>
                </pic:pic>
              </a:graphicData>
            </a:graphic>
          </wp:anchor>
        </w:drawing>
      </w:r>
    </w:p>
    <w:tbl>
      <w:tblPr>
        <w:tblLayout w:type="fixed"/>
        <w:tblInd w:w="330" w:type="dxa"/>
        <w:tblCellMar>
          <w:top w:w="0" w:type="dxa"/>
          <w:left w:w="0" w:type="dxa"/>
          <w:bottom w:w="0" w:type="dxa"/>
          <w:right w:w="0" w:type="dxa"/>
        </w:tblCellMar>
      </w:tblPr>
      <w:tr>
        <w:trPr>
          <w:trHeight w:val="300"/>
        </w:trPr>
        <w:tc>
          <w:tcPr>
            <w:tcW w:w="2980" w:type="dxa"/>
            <w:vAlign w:val="bottom"/>
            <w:tcBorders>
              <w:top w:val="single" w:sz="8" w:color="auto"/>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Effective Trading at a Discount</w:t>
            </w:r>
          </w:p>
        </w:tc>
        <w:tc>
          <w:tcPr>
            <w:tcW w:w="540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Shares of closed-end investment companies, including business development companies,</w:t>
            </w:r>
          </w:p>
        </w:tc>
      </w:tr>
      <w:tr>
        <w:trPr>
          <w:trHeight w:val="164"/>
        </w:trPr>
        <w:tc>
          <w:tcPr>
            <w:tcW w:w="2980" w:type="dxa"/>
            <w:vAlign w:val="bottom"/>
            <w:tcBorders>
              <w:left w:val="single" w:sz="8" w:color="auto"/>
            </w:tcBorders>
          </w:tcPr>
          <w:p>
            <w:pPr>
              <w:spacing w:after="0"/>
              <w:rPr>
                <w:sz w:val="14"/>
                <w:szCs w:val="14"/>
                <w:color w:val="auto"/>
              </w:rPr>
            </w:pPr>
          </w:p>
        </w:tc>
        <w:tc>
          <w:tcPr>
            <w:tcW w:w="54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frequently trade at a discount to their net asset value. The risk that our shares may trade at a</w:t>
            </w:r>
          </w:p>
        </w:tc>
      </w:tr>
      <w:tr>
        <w:trPr>
          <w:trHeight w:val="164"/>
        </w:trPr>
        <w:tc>
          <w:tcPr>
            <w:tcW w:w="2980" w:type="dxa"/>
            <w:vAlign w:val="bottom"/>
            <w:tcBorders>
              <w:left w:val="single" w:sz="8" w:color="auto"/>
            </w:tcBorders>
          </w:tcPr>
          <w:p>
            <w:pPr>
              <w:spacing w:after="0"/>
              <w:rPr>
                <w:sz w:val="14"/>
                <w:szCs w:val="14"/>
                <w:color w:val="auto"/>
              </w:rPr>
            </w:pPr>
          </w:p>
        </w:tc>
        <w:tc>
          <w:tcPr>
            <w:tcW w:w="54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discount to our net asset value is separate and distinct from the risk that our net asset value</w:t>
            </w:r>
          </w:p>
        </w:tc>
      </w:tr>
      <w:tr>
        <w:trPr>
          <w:trHeight w:val="164"/>
        </w:trPr>
        <w:tc>
          <w:tcPr>
            <w:tcW w:w="2980" w:type="dxa"/>
            <w:vAlign w:val="bottom"/>
            <w:tcBorders>
              <w:left w:val="single" w:sz="8" w:color="auto"/>
            </w:tcBorders>
          </w:tcPr>
          <w:p>
            <w:pPr>
              <w:spacing w:after="0"/>
              <w:rPr>
                <w:sz w:val="14"/>
                <w:szCs w:val="14"/>
                <w:color w:val="auto"/>
              </w:rPr>
            </w:pPr>
          </w:p>
        </w:tc>
        <w:tc>
          <w:tcPr>
            <w:tcW w:w="54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per share may decline. We cannot predict whether our shares will trade above, at or below</w:t>
            </w:r>
          </w:p>
        </w:tc>
      </w:tr>
      <w:tr>
        <w:trPr>
          <w:trHeight w:val="176"/>
        </w:trPr>
        <w:tc>
          <w:tcPr>
            <w:tcW w:w="2980" w:type="dxa"/>
            <w:vAlign w:val="bottom"/>
            <w:tcBorders>
              <w:left w:val="single" w:sz="8" w:color="auto"/>
            </w:tcBorders>
          </w:tcPr>
          <w:p>
            <w:pPr>
              <w:spacing w:after="0"/>
              <w:rPr>
                <w:sz w:val="15"/>
                <w:szCs w:val="15"/>
                <w:color w:val="auto"/>
              </w:rPr>
            </w:pPr>
          </w:p>
        </w:tc>
        <w:tc>
          <w:tcPr>
            <w:tcW w:w="54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net asset value. See “Risk Factors.”</w:t>
            </w:r>
          </w:p>
        </w:tc>
      </w:tr>
      <w:tr>
        <w:trPr>
          <w:trHeight w:val="337"/>
        </w:trPr>
        <w:tc>
          <w:tcPr>
            <w:tcW w:w="29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Sales of Common Stock Below Net Asset Value</w:t>
            </w:r>
          </w:p>
        </w:tc>
        <w:tc>
          <w:tcPr>
            <w:tcW w:w="54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Generally, the offering price per share of our common stock, exclusive of any underwriting</w:t>
            </w:r>
          </w:p>
        </w:tc>
      </w:tr>
      <w:tr>
        <w:trPr>
          <w:trHeight w:val="164"/>
        </w:trPr>
        <w:tc>
          <w:tcPr>
            <w:tcW w:w="2980" w:type="dxa"/>
            <w:vAlign w:val="bottom"/>
            <w:tcBorders>
              <w:left w:val="single" w:sz="8" w:color="auto"/>
            </w:tcBorders>
          </w:tcPr>
          <w:p>
            <w:pPr>
              <w:spacing w:after="0"/>
              <w:rPr>
                <w:sz w:val="14"/>
                <w:szCs w:val="14"/>
                <w:color w:val="auto"/>
              </w:rPr>
            </w:pPr>
          </w:p>
        </w:tc>
        <w:tc>
          <w:tcPr>
            <w:tcW w:w="54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commissions or discounts, may not be less than the net asset value per share of our</w:t>
            </w:r>
          </w:p>
        </w:tc>
      </w:tr>
      <w:tr>
        <w:trPr>
          <w:trHeight w:val="164"/>
        </w:trPr>
        <w:tc>
          <w:tcPr>
            <w:tcW w:w="2980" w:type="dxa"/>
            <w:vAlign w:val="bottom"/>
            <w:tcBorders>
              <w:left w:val="single" w:sz="8" w:color="auto"/>
            </w:tcBorders>
          </w:tcPr>
          <w:p>
            <w:pPr>
              <w:spacing w:after="0"/>
              <w:rPr>
                <w:sz w:val="14"/>
                <w:szCs w:val="14"/>
                <w:color w:val="auto"/>
              </w:rPr>
            </w:pPr>
          </w:p>
        </w:tc>
        <w:tc>
          <w:tcPr>
            <w:tcW w:w="54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common stock at the time we make the offering except (1) in connection with a rights</w:t>
            </w:r>
          </w:p>
        </w:tc>
      </w:tr>
      <w:tr>
        <w:trPr>
          <w:trHeight w:val="164"/>
        </w:trPr>
        <w:tc>
          <w:tcPr>
            <w:tcW w:w="2980" w:type="dxa"/>
            <w:vAlign w:val="bottom"/>
            <w:tcBorders>
              <w:left w:val="single" w:sz="8" w:color="auto"/>
            </w:tcBorders>
          </w:tcPr>
          <w:p>
            <w:pPr>
              <w:spacing w:after="0"/>
              <w:rPr>
                <w:sz w:val="14"/>
                <w:szCs w:val="14"/>
                <w:color w:val="auto"/>
              </w:rPr>
            </w:pPr>
          </w:p>
        </w:tc>
        <w:tc>
          <w:tcPr>
            <w:tcW w:w="54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offering to our existing stockholders, (2) with the consent of the majority of our common</w:t>
            </w:r>
          </w:p>
        </w:tc>
      </w:tr>
      <w:tr>
        <w:trPr>
          <w:trHeight w:val="164"/>
        </w:trPr>
        <w:tc>
          <w:tcPr>
            <w:tcW w:w="2980" w:type="dxa"/>
            <w:vAlign w:val="bottom"/>
            <w:tcBorders>
              <w:left w:val="single" w:sz="8" w:color="auto"/>
            </w:tcBorders>
          </w:tcPr>
          <w:p>
            <w:pPr>
              <w:spacing w:after="0"/>
              <w:rPr>
                <w:sz w:val="14"/>
                <w:szCs w:val="14"/>
                <w:color w:val="auto"/>
              </w:rPr>
            </w:pPr>
          </w:p>
        </w:tc>
        <w:tc>
          <w:tcPr>
            <w:tcW w:w="54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stockholders and approval of our board of directors, or (3) under such circumstances as the</w:t>
            </w:r>
          </w:p>
        </w:tc>
      </w:tr>
      <w:tr>
        <w:trPr>
          <w:trHeight w:val="164"/>
        </w:trPr>
        <w:tc>
          <w:tcPr>
            <w:tcW w:w="2980" w:type="dxa"/>
            <w:vAlign w:val="bottom"/>
            <w:tcBorders>
              <w:left w:val="single" w:sz="8" w:color="auto"/>
            </w:tcBorders>
          </w:tcPr>
          <w:p>
            <w:pPr>
              <w:spacing w:after="0"/>
              <w:rPr>
                <w:sz w:val="14"/>
                <w:szCs w:val="14"/>
                <w:color w:val="auto"/>
              </w:rPr>
            </w:pPr>
          </w:p>
        </w:tc>
        <w:tc>
          <w:tcPr>
            <w:tcW w:w="54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SEC may permit. On June 11, 2025, our common stockholders voted to allow us to sell or</w:t>
            </w:r>
          </w:p>
        </w:tc>
      </w:tr>
      <w:tr>
        <w:trPr>
          <w:trHeight w:val="164"/>
        </w:trPr>
        <w:tc>
          <w:tcPr>
            <w:tcW w:w="2980" w:type="dxa"/>
            <w:vAlign w:val="bottom"/>
            <w:tcBorders>
              <w:left w:val="single" w:sz="8" w:color="auto"/>
            </w:tcBorders>
          </w:tcPr>
          <w:p>
            <w:pPr>
              <w:spacing w:after="0"/>
              <w:rPr>
                <w:sz w:val="14"/>
                <w:szCs w:val="14"/>
                <w:color w:val="auto"/>
              </w:rPr>
            </w:pPr>
          </w:p>
        </w:tc>
        <w:tc>
          <w:tcPr>
            <w:tcW w:w="54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otherwise issue common stock at a price below net asset value per share for a period of one</w:t>
            </w:r>
          </w:p>
        </w:tc>
      </w:tr>
      <w:tr>
        <w:trPr>
          <w:trHeight w:val="164"/>
        </w:trPr>
        <w:tc>
          <w:tcPr>
            <w:tcW w:w="2980" w:type="dxa"/>
            <w:vAlign w:val="bottom"/>
            <w:tcBorders>
              <w:left w:val="single" w:sz="8" w:color="auto"/>
            </w:tcBorders>
          </w:tcPr>
          <w:p>
            <w:pPr>
              <w:spacing w:after="0"/>
              <w:rPr>
                <w:sz w:val="14"/>
                <w:szCs w:val="14"/>
                <w:color w:val="auto"/>
              </w:rPr>
            </w:pPr>
          </w:p>
        </w:tc>
        <w:tc>
          <w:tcPr>
            <w:tcW w:w="54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year ending on the earlier of June 11, 2026 or our 2026 Annual Meeting of Stockholders.</w:t>
            </w:r>
          </w:p>
        </w:tc>
      </w:tr>
      <w:tr>
        <w:trPr>
          <w:trHeight w:val="164"/>
        </w:trPr>
        <w:tc>
          <w:tcPr>
            <w:tcW w:w="2980" w:type="dxa"/>
            <w:vAlign w:val="bottom"/>
            <w:tcBorders>
              <w:left w:val="single" w:sz="8" w:color="auto"/>
            </w:tcBorders>
          </w:tcPr>
          <w:p>
            <w:pPr>
              <w:spacing w:after="0"/>
              <w:rPr>
                <w:sz w:val="14"/>
                <w:szCs w:val="14"/>
                <w:color w:val="auto"/>
              </w:rPr>
            </w:pPr>
          </w:p>
        </w:tc>
        <w:tc>
          <w:tcPr>
            <w:tcW w:w="54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Our stockholders are being asked to consider and approve a similar proposal at our 2026</w:t>
            </w:r>
          </w:p>
        </w:tc>
      </w:tr>
      <w:tr>
        <w:trPr>
          <w:trHeight w:val="164"/>
        </w:trPr>
        <w:tc>
          <w:tcPr>
            <w:tcW w:w="2980" w:type="dxa"/>
            <w:vAlign w:val="bottom"/>
            <w:tcBorders>
              <w:left w:val="single" w:sz="8" w:color="auto"/>
            </w:tcBorders>
          </w:tcPr>
          <w:p>
            <w:pPr>
              <w:spacing w:after="0"/>
              <w:rPr>
                <w:sz w:val="14"/>
                <w:szCs w:val="14"/>
                <w:color w:val="auto"/>
              </w:rPr>
            </w:pPr>
          </w:p>
        </w:tc>
        <w:tc>
          <w:tcPr>
            <w:tcW w:w="54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Annual Meeting of Stockholders. Sales or other issuances by us of our common stock at a</w:t>
            </w:r>
          </w:p>
        </w:tc>
      </w:tr>
      <w:tr>
        <w:trPr>
          <w:trHeight w:val="164"/>
        </w:trPr>
        <w:tc>
          <w:tcPr>
            <w:tcW w:w="2980" w:type="dxa"/>
            <w:vAlign w:val="bottom"/>
            <w:tcBorders>
              <w:left w:val="single" w:sz="8" w:color="auto"/>
            </w:tcBorders>
          </w:tcPr>
          <w:p>
            <w:pPr>
              <w:spacing w:after="0"/>
              <w:rPr>
                <w:sz w:val="14"/>
                <w:szCs w:val="14"/>
                <w:color w:val="auto"/>
              </w:rPr>
            </w:pPr>
          </w:p>
        </w:tc>
        <w:tc>
          <w:tcPr>
            <w:tcW w:w="54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discount from our net asset value pose potential risks for our existing stockholders whether</w:t>
            </w:r>
          </w:p>
        </w:tc>
      </w:tr>
      <w:tr>
        <w:trPr>
          <w:trHeight w:val="164"/>
        </w:trPr>
        <w:tc>
          <w:tcPr>
            <w:tcW w:w="2980" w:type="dxa"/>
            <w:vAlign w:val="bottom"/>
            <w:tcBorders>
              <w:left w:val="single" w:sz="8" w:color="auto"/>
            </w:tcBorders>
          </w:tcPr>
          <w:p>
            <w:pPr>
              <w:spacing w:after="0"/>
              <w:rPr>
                <w:sz w:val="14"/>
                <w:szCs w:val="14"/>
                <w:color w:val="auto"/>
              </w:rPr>
            </w:pPr>
          </w:p>
        </w:tc>
        <w:tc>
          <w:tcPr>
            <w:tcW w:w="54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or not they participate in the offering, as well as for new investors who participate in the</w:t>
            </w:r>
          </w:p>
        </w:tc>
      </w:tr>
      <w:tr>
        <w:trPr>
          <w:trHeight w:val="164"/>
        </w:trPr>
        <w:tc>
          <w:tcPr>
            <w:tcW w:w="2980" w:type="dxa"/>
            <w:vAlign w:val="bottom"/>
            <w:tcBorders>
              <w:left w:val="single" w:sz="8" w:color="auto"/>
            </w:tcBorders>
          </w:tcPr>
          <w:p>
            <w:pPr>
              <w:spacing w:after="0"/>
              <w:rPr>
                <w:sz w:val="14"/>
                <w:szCs w:val="14"/>
                <w:color w:val="auto"/>
              </w:rPr>
            </w:pPr>
          </w:p>
        </w:tc>
        <w:tc>
          <w:tcPr>
            <w:tcW w:w="54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offering. See “Sales of Common Stock Below Net Asset Value” in this prospectus and in</w:t>
            </w:r>
          </w:p>
        </w:tc>
      </w:tr>
      <w:tr>
        <w:trPr>
          <w:trHeight w:val="176"/>
        </w:trPr>
        <w:tc>
          <w:tcPr>
            <w:tcW w:w="2980" w:type="dxa"/>
            <w:vAlign w:val="bottom"/>
            <w:tcBorders>
              <w:left w:val="single" w:sz="8" w:color="auto"/>
            </w:tcBorders>
          </w:tcPr>
          <w:p>
            <w:pPr>
              <w:spacing w:after="0"/>
              <w:rPr>
                <w:sz w:val="15"/>
                <w:szCs w:val="15"/>
                <w:color w:val="auto"/>
              </w:rPr>
            </w:pPr>
          </w:p>
        </w:tc>
        <w:tc>
          <w:tcPr>
            <w:tcW w:w="54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the prospectus supplement, if applicable.</w:t>
            </w:r>
          </w:p>
        </w:tc>
      </w:tr>
      <w:tr>
        <w:trPr>
          <w:trHeight w:val="337"/>
        </w:trPr>
        <w:tc>
          <w:tcPr>
            <w:tcW w:w="29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Leverage</w:t>
            </w:r>
          </w:p>
        </w:tc>
        <w:tc>
          <w:tcPr>
            <w:tcW w:w="54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We borrow funds to make additional investments. We use this practice, which is known as</w:t>
            </w:r>
          </w:p>
        </w:tc>
      </w:tr>
      <w:tr>
        <w:trPr>
          <w:trHeight w:val="164"/>
        </w:trPr>
        <w:tc>
          <w:tcPr>
            <w:tcW w:w="2980" w:type="dxa"/>
            <w:vAlign w:val="bottom"/>
            <w:tcBorders>
              <w:left w:val="single" w:sz="8" w:color="auto"/>
            </w:tcBorders>
          </w:tcPr>
          <w:p>
            <w:pPr>
              <w:spacing w:after="0"/>
              <w:rPr>
                <w:sz w:val="14"/>
                <w:szCs w:val="14"/>
                <w:color w:val="auto"/>
              </w:rPr>
            </w:pPr>
          </w:p>
        </w:tc>
        <w:tc>
          <w:tcPr>
            <w:tcW w:w="54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“leverage,” to attempt to increase returns to our stockholders, but it involves significant</w:t>
            </w:r>
          </w:p>
        </w:tc>
      </w:tr>
      <w:tr>
        <w:trPr>
          <w:trHeight w:val="164"/>
        </w:trPr>
        <w:tc>
          <w:tcPr>
            <w:tcW w:w="2980" w:type="dxa"/>
            <w:vAlign w:val="bottom"/>
            <w:tcBorders>
              <w:left w:val="single" w:sz="8" w:color="auto"/>
            </w:tcBorders>
          </w:tcPr>
          <w:p>
            <w:pPr>
              <w:spacing w:after="0"/>
              <w:rPr>
                <w:sz w:val="14"/>
                <w:szCs w:val="14"/>
                <w:color w:val="auto"/>
              </w:rPr>
            </w:pPr>
          </w:p>
        </w:tc>
        <w:tc>
          <w:tcPr>
            <w:tcW w:w="54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risks. See “Risk Factors,” “Senior Securities,” and “Regulation” below. We are currently</w:t>
            </w:r>
          </w:p>
        </w:tc>
      </w:tr>
      <w:tr>
        <w:trPr>
          <w:trHeight w:val="160"/>
        </w:trPr>
        <w:tc>
          <w:tcPr>
            <w:tcW w:w="2980" w:type="dxa"/>
            <w:vAlign w:val="bottom"/>
            <w:tcBorders>
              <w:left w:val="single" w:sz="8" w:color="auto"/>
            </w:tcBorders>
          </w:tcPr>
          <w:p>
            <w:pPr>
              <w:spacing w:after="0"/>
              <w:rPr>
                <w:sz w:val="13"/>
                <w:szCs w:val="13"/>
                <w:color w:val="auto"/>
              </w:rPr>
            </w:pPr>
          </w:p>
        </w:tc>
        <w:tc>
          <w:tcPr>
            <w:tcW w:w="54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allowed to borrow amounts such that our asset coverage, as calculated pursuant to the 1940</w:t>
            </w:r>
          </w:p>
        </w:tc>
      </w:tr>
      <w:tr>
        <w:trPr>
          <w:trHeight w:val="168"/>
        </w:trPr>
        <w:tc>
          <w:tcPr>
            <w:tcW w:w="2980" w:type="dxa"/>
            <w:vAlign w:val="bottom"/>
            <w:tcBorders>
              <w:left w:val="single" w:sz="8" w:color="auto"/>
            </w:tcBorders>
          </w:tcPr>
          <w:p>
            <w:pPr>
              <w:spacing w:after="0"/>
              <w:rPr>
                <w:sz w:val="14"/>
                <w:szCs w:val="14"/>
                <w:color w:val="auto"/>
              </w:rPr>
            </w:pPr>
          </w:p>
        </w:tc>
        <w:tc>
          <w:tcPr>
            <w:tcW w:w="54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Act, equals at least 150% after such borrowing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we are able to borrow up to two</w:t>
            </w:r>
          </w:p>
        </w:tc>
      </w:tr>
      <w:tr>
        <w:trPr>
          <w:trHeight w:val="164"/>
        </w:trPr>
        <w:tc>
          <w:tcPr>
            <w:tcW w:w="2980" w:type="dxa"/>
            <w:vAlign w:val="bottom"/>
            <w:tcBorders>
              <w:left w:val="single" w:sz="8" w:color="auto"/>
            </w:tcBorders>
          </w:tcPr>
          <w:p>
            <w:pPr>
              <w:spacing w:after="0"/>
              <w:rPr>
                <w:sz w:val="14"/>
                <w:szCs w:val="14"/>
                <w:color w:val="auto"/>
              </w:rPr>
            </w:pPr>
          </w:p>
        </w:tc>
        <w:tc>
          <w:tcPr>
            <w:tcW w:w="54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dollars for every dollar we have in assets less all liabilities and indebtedness not</w:t>
            </w:r>
          </w:p>
        </w:tc>
      </w:tr>
      <w:tr>
        <w:trPr>
          <w:trHeight w:val="164"/>
        </w:trPr>
        <w:tc>
          <w:tcPr>
            <w:tcW w:w="2980" w:type="dxa"/>
            <w:vAlign w:val="bottom"/>
            <w:tcBorders>
              <w:left w:val="single" w:sz="8" w:color="auto"/>
            </w:tcBorders>
          </w:tcPr>
          <w:p>
            <w:pPr>
              <w:spacing w:after="0"/>
              <w:rPr>
                <w:sz w:val="14"/>
                <w:szCs w:val="14"/>
                <w:color w:val="auto"/>
              </w:rPr>
            </w:pPr>
          </w:p>
        </w:tc>
        <w:tc>
          <w:tcPr>
            <w:tcW w:w="54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w w:val="99"/>
              </w:rPr>
              <w:t>represented by senior securities issued by us). See “Management’s Discussion and Analysis</w:t>
            </w:r>
          </w:p>
        </w:tc>
      </w:tr>
      <w:tr>
        <w:trPr>
          <w:trHeight w:val="164"/>
        </w:trPr>
        <w:tc>
          <w:tcPr>
            <w:tcW w:w="2980" w:type="dxa"/>
            <w:vAlign w:val="bottom"/>
            <w:tcBorders>
              <w:left w:val="single" w:sz="8" w:color="auto"/>
            </w:tcBorders>
          </w:tcPr>
          <w:p>
            <w:pPr>
              <w:spacing w:after="0"/>
              <w:rPr>
                <w:sz w:val="14"/>
                <w:szCs w:val="14"/>
                <w:color w:val="auto"/>
              </w:rPr>
            </w:pPr>
          </w:p>
        </w:tc>
        <w:tc>
          <w:tcPr>
            <w:tcW w:w="54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of Financial Condition and Results of Operations” in Part II, Item 7 our most recent Annual</w:t>
            </w:r>
          </w:p>
        </w:tc>
      </w:tr>
      <w:tr>
        <w:trPr>
          <w:trHeight w:val="176"/>
        </w:trPr>
        <w:tc>
          <w:tcPr>
            <w:tcW w:w="2980" w:type="dxa"/>
            <w:vAlign w:val="bottom"/>
            <w:tcBorders>
              <w:left w:val="single" w:sz="8" w:color="auto"/>
            </w:tcBorders>
          </w:tcPr>
          <w:p>
            <w:pPr>
              <w:spacing w:after="0"/>
              <w:rPr>
                <w:sz w:val="15"/>
                <w:szCs w:val="15"/>
                <w:color w:val="auto"/>
              </w:rPr>
            </w:pPr>
          </w:p>
        </w:tc>
        <w:tc>
          <w:tcPr>
            <w:tcW w:w="54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Report on Form 10-K.</w:t>
            </w:r>
          </w:p>
        </w:tc>
      </w:tr>
      <w:tr>
        <w:trPr>
          <w:trHeight w:val="337"/>
        </w:trPr>
        <w:tc>
          <w:tcPr>
            <w:tcW w:w="2980" w:type="dxa"/>
            <w:vAlign w:val="bottom"/>
            <w:tcBorders>
              <w:left w:val="single" w:sz="8" w:color="auto"/>
            </w:tcBorders>
          </w:tcPr>
          <w:p>
            <w:pPr>
              <w:spacing w:after="0"/>
              <w:rPr>
                <w:sz w:val="24"/>
                <w:szCs w:val="24"/>
                <w:color w:val="auto"/>
              </w:rPr>
            </w:pPr>
          </w:p>
        </w:tc>
        <w:tc>
          <w:tcPr>
            <w:tcW w:w="54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The amount of leverage that we employ at any particular time will depend on the</w:t>
            </w:r>
          </w:p>
        </w:tc>
      </w:tr>
      <w:tr>
        <w:trPr>
          <w:trHeight w:val="164"/>
        </w:trPr>
        <w:tc>
          <w:tcPr>
            <w:tcW w:w="2980" w:type="dxa"/>
            <w:vAlign w:val="bottom"/>
            <w:tcBorders>
              <w:left w:val="single" w:sz="8" w:color="auto"/>
            </w:tcBorders>
          </w:tcPr>
          <w:p>
            <w:pPr>
              <w:spacing w:after="0"/>
              <w:rPr>
                <w:sz w:val="14"/>
                <w:szCs w:val="14"/>
                <w:color w:val="auto"/>
              </w:rPr>
            </w:pPr>
          </w:p>
        </w:tc>
        <w:tc>
          <w:tcPr>
            <w:tcW w:w="54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assessment of market and other factors by our investment advisor’s investment committee</w:t>
            </w:r>
          </w:p>
        </w:tc>
      </w:tr>
      <w:tr>
        <w:trPr>
          <w:trHeight w:val="164"/>
        </w:trPr>
        <w:tc>
          <w:tcPr>
            <w:tcW w:w="2980" w:type="dxa"/>
            <w:vAlign w:val="bottom"/>
            <w:tcBorders>
              <w:left w:val="single" w:sz="8" w:color="auto"/>
            </w:tcBorders>
          </w:tcPr>
          <w:p>
            <w:pPr>
              <w:spacing w:after="0"/>
              <w:rPr>
                <w:sz w:val="14"/>
                <w:szCs w:val="14"/>
                <w:color w:val="auto"/>
              </w:rPr>
            </w:pPr>
          </w:p>
        </w:tc>
        <w:tc>
          <w:tcPr>
            <w:tcW w:w="54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and our board of directors at the time of any proposed borrowing. In addition, the SBA</w:t>
            </w:r>
          </w:p>
        </w:tc>
      </w:tr>
      <w:tr>
        <w:trPr>
          <w:trHeight w:val="164"/>
        </w:trPr>
        <w:tc>
          <w:tcPr>
            <w:tcW w:w="2980" w:type="dxa"/>
            <w:vAlign w:val="bottom"/>
            <w:tcBorders>
              <w:left w:val="single" w:sz="8" w:color="auto"/>
            </w:tcBorders>
          </w:tcPr>
          <w:p>
            <w:pPr>
              <w:spacing w:after="0"/>
              <w:rPr>
                <w:sz w:val="14"/>
                <w:szCs w:val="14"/>
                <w:color w:val="auto"/>
              </w:rPr>
            </w:pPr>
          </w:p>
        </w:tc>
        <w:tc>
          <w:tcPr>
            <w:tcW w:w="54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regulations currently limit the amount that is available to be borrowed by any SBIC and</w:t>
            </w:r>
          </w:p>
        </w:tc>
      </w:tr>
      <w:tr>
        <w:trPr>
          <w:trHeight w:val="164"/>
        </w:trPr>
        <w:tc>
          <w:tcPr>
            <w:tcW w:w="2980" w:type="dxa"/>
            <w:vAlign w:val="bottom"/>
            <w:tcBorders>
              <w:left w:val="single" w:sz="8" w:color="auto"/>
            </w:tcBorders>
          </w:tcPr>
          <w:p>
            <w:pPr>
              <w:spacing w:after="0"/>
              <w:rPr>
                <w:sz w:val="14"/>
                <w:szCs w:val="14"/>
                <w:color w:val="auto"/>
              </w:rPr>
            </w:pPr>
          </w:p>
        </w:tc>
        <w:tc>
          <w:tcPr>
            <w:tcW w:w="54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guaranteed by the SBA to 300% of an SBIC’s regulatory capital or $175.0 million,</w:t>
            </w:r>
          </w:p>
        </w:tc>
      </w:tr>
      <w:tr>
        <w:trPr>
          <w:trHeight w:val="164"/>
        </w:trPr>
        <w:tc>
          <w:tcPr>
            <w:tcW w:w="2980" w:type="dxa"/>
            <w:vAlign w:val="bottom"/>
            <w:tcBorders>
              <w:left w:val="single" w:sz="8" w:color="auto"/>
            </w:tcBorders>
          </w:tcPr>
          <w:p>
            <w:pPr>
              <w:spacing w:after="0"/>
              <w:rPr>
                <w:sz w:val="14"/>
                <w:szCs w:val="14"/>
                <w:color w:val="auto"/>
              </w:rPr>
            </w:pPr>
          </w:p>
        </w:tc>
        <w:tc>
          <w:tcPr>
            <w:tcW w:w="54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whichever is less. For two or more SBICs under common control, the maximum amount of</w:t>
            </w:r>
          </w:p>
        </w:tc>
      </w:tr>
      <w:tr>
        <w:trPr>
          <w:trHeight w:val="176"/>
        </w:trPr>
        <w:tc>
          <w:tcPr>
            <w:tcW w:w="2980" w:type="dxa"/>
            <w:vAlign w:val="bottom"/>
            <w:tcBorders>
              <w:left w:val="single" w:sz="8" w:color="auto"/>
            </w:tcBorders>
          </w:tcPr>
          <w:p>
            <w:pPr>
              <w:spacing w:after="0"/>
              <w:rPr>
                <w:sz w:val="15"/>
                <w:szCs w:val="15"/>
                <w:color w:val="auto"/>
              </w:rPr>
            </w:pPr>
          </w:p>
        </w:tc>
        <w:tc>
          <w:tcPr>
            <w:tcW w:w="54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outstanding SBA debentures cannot exceed $350.0 million.</w:t>
            </w:r>
          </w:p>
        </w:tc>
      </w:tr>
      <w:tr>
        <w:trPr>
          <w:trHeight w:val="119"/>
        </w:trPr>
        <w:tc>
          <w:tcPr>
            <w:tcW w:w="2980" w:type="dxa"/>
            <w:vAlign w:val="bottom"/>
            <w:tcBorders>
              <w:left w:val="single" w:sz="8" w:color="auto"/>
              <w:bottom w:val="single" w:sz="8" w:color="auto"/>
            </w:tcBorders>
          </w:tcPr>
          <w:p>
            <w:pPr>
              <w:spacing w:after="0"/>
              <w:rPr>
                <w:sz w:val="10"/>
                <w:szCs w:val="10"/>
                <w:color w:val="auto"/>
              </w:rPr>
            </w:pPr>
          </w:p>
        </w:tc>
        <w:tc>
          <w:tcPr>
            <w:tcW w:w="5400" w:type="dxa"/>
            <w:vAlign w:val="bottom"/>
            <w:tcBorders>
              <w:bottom w:val="single" w:sz="8" w:color="auto"/>
              <w:right w:val="single" w:sz="8" w:color="auto"/>
            </w:tcBorders>
          </w:tcPr>
          <w:p>
            <w:pPr>
              <w:spacing w:after="0"/>
              <w:rPr>
                <w:sz w:val="10"/>
                <w:szCs w:val="10"/>
                <w:color w:val="auto"/>
              </w:rPr>
            </w:pPr>
          </w:p>
        </w:tc>
      </w:tr>
      <w:tr>
        <w:trPr>
          <w:trHeight w:val="271"/>
        </w:trPr>
        <w:tc>
          <w:tcPr>
            <w:tcW w:w="2980" w:type="dxa"/>
            <w:vAlign w:val="bottom"/>
          </w:tcPr>
          <w:p>
            <w:pPr>
              <w:spacing w:after="0"/>
              <w:rPr>
                <w:sz w:val="23"/>
                <w:szCs w:val="23"/>
                <w:color w:val="auto"/>
              </w:rPr>
            </w:pPr>
          </w:p>
        </w:tc>
        <w:tc>
          <w:tcPr>
            <w:tcW w:w="54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-6-</w:t>
            </w:r>
          </w:p>
        </w:tc>
      </w:tr>
    </w:tbl>
    <w:p>
      <w:pPr>
        <w:sectPr>
          <w:pgSz w:w="11900" w:h="16838" w:orient="portrait"/>
          <w:cols w:equalWidth="0" w:num="1">
            <w:col w:w="9019"/>
          </w:cols>
          <w:pgMar w:left="1440" w:top="248" w:right="1440"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45085"/>
                    </a:xfrm>
                    <a:prstGeom prst="rect">
                      <a:avLst/>
                    </a:prstGeom>
                    <a:noFill/>
                  </pic:spPr>
                </pic:pic>
              </a:graphicData>
            </a:graphic>
          </wp:anchor>
        </w:drawing>
      </w:r>
    </w:p>
    <w:tbl>
      <w:tblPr>
        <w:tblLayout w:type="fixed"/>
        <w:tblInd w:w="330" w:type="dxa"/>
        <w:tblCellMar>
          <w:top w:w="0" w:type="dxa"/>
          <w:left w:w="0" w:type="dxa"/>
          <w:bottom w:w="0" w:type="dxa"/>
          <w:right w:w="0" w:type="dxa"/>
        </w:tblCellMar>
      </w:tblPr>
      <w:tr>
        <w:trPr>
          <w:trHeight w:val="300"/>
        </w:trPr>
        <w:tc>
          <w:tcPr>
            <w:tcW w:w="3060" w:type="dxa"/>
            <w:vAlign w:val="bottom"/>
            <w:tcBorders>
              <w:top w:val="single" w:sz="8" w:color="auto"/>
              <w:left w:val="single" w:sz="8" w:color="auto"/>
            </w:tcBorders>
          </w:tcPr>
          <w:p>
            <w:pPr>
              <w:spacing w:after="0"/>
              <w:rPr>
                <w:sz w:val="24"/>
                <w:szCs w:val="24"/>
                <w:color w:val="auto"/>
              </w:rPr>
            </w:pPr>
          </w:p>
        </w:tc>
        <w:tc>
          <w:tcPr>
            <w:tcW w:w="532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For more information, see “Risk Factors” in Part I, Item 1A of our most recent Annual</w:t>
            </w:r>
          </w:p>
        </w:tc>
      </w:tr>
      <w:tr>
        <w:trPr>
          <w:trHeight w:val="164"/>
        </w:trPr>
        <w:tc>
          <w:tcPr>
            <w:tcW w:w="306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Report on Form 10-K and “Business — Regulation” in Part I, Item 1 in our most recent</w:t>
            </w:r>
          </w:p>
        </w:tc>
      </w:tr>
      <w:tr>
        <w:trPr>
          <w:trHeight w:val="176"/>
        </w:trPr>
        <w:tc>
          <w:tcPr>
            <w:tcW w:w="3060" w:type="dxa"/>
            <w:vAlign w:val="bottom"/>
            <w:tcBorders>
              <w:left w:val="single" w:sz="8" w:color="auto"/>
            </w:tcBorders>
          </w:tcPr>
          <w:p>
            <w:pPr>
              <w:spacing w:after="0"/>
              <w:rPr>
                <w:sz w:val="15"/>
                <w:szCs w:val="15"/>
                <w:color w:val="auto"/>
              </w:rPr>
            </w:pPr>
          </w:p>
        </w:tc>
        <w:tc>
          <w:tcPr>
            <w:tcW w:w="53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Annual Report on Form 10-K.</w:t>
            </w:r>
          </w:p>
        </w:tc>
      </w:tr>
      <w:tr>
        <w:trPr>
          <w:trHeight w:val="337"/>
        </w:trPr>
        <w:tc>
          <w:tcPr>
            <w:tcW w:w="30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Available Information</w:t>
            </w:r>
          </w:p>
        </w:tc>
        <w:tc>
          <w:tcPr>
            <w:tcW w:w="53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under</w:t>
            </w:r>
          </w:p>
        </w:tc>
      </w:tr>
      <w:tr>
        <w:trPr>
          <w:trHeight w:val="164"/>
        </w:trPr>
        <w:tc>
          <w:tcPr>
            <w:tcW w:w="306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the Securities Exchange Act of 1934, as amended (the “Exchange Act”). This information</w:t>
            </w:r>
          </w:p>
        </w:tc>
      </w:tr>
      <w:tr>
        <w:trPr>
          <w:trHeight w:val="176"/>
        </w:trPr>
        <w:tc>
          <w:tcPr>
            <w:tcW w:w="3060" w:type="dxa"/>
            <w:vAlign w:val="bottom"/>
            <w:tcBorders>
              <w:left w:val="single" w:sz="8" w:color="auto"/>
            </w:tcBorders>
          </w:tcPr>
          <w:p>
            <w:pPr>
              <w:spacing w:after="0"/>
              <w:rPr>
                <w:sz w:val="15"/>
                <w:szCs w:val="15"/>
                <w:color w:val="auto"/>
              </w:rPr>
            </w:pPr>
          </w:p>
        </w:tc>
        <w:tc>
          <w:tcPr>
            <w:tcW w:w="53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is available on the SEC’s website at http://www.sec.gov.</w:t>
            </w:r>
          </w:p>
        </w:tc>
      </w:tr>
      <w:tr>
        <w:trPr>
          <w:trHeight w:val="337"/>
        </w:trPr>
        <w:tc>
          <w:tcPr>
            <w:tcW w:w="3060" w:type="dxa"/>
            <w:vAlign w:val="bottom"/>
            <w:tcBorders>
              <w:left w:val="single" w:sz="8" w:color="auto"/>
            </w:tcBorders>
          </w:tcPr>
          <w:p>
            <w:pPr>
              <w:spacing w:after="0"/>
              <w:rPr>
                <w:sz w:val="24"/>
                <w:szCs w:val="24"/>
                <w:color w:val="auto"/>
              </w:rPr>
            </w:pPr>
          </w:p>
        </w:tc>
        <w:tc>
          <w:tcPr>
            <w:tcW w:w="53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 xml:space="preserve">We maintain a website at </w:t>
            </w:r>
            <w:r>
              <w:rPr>
                <w:rFonts w:ascii="Times New Roman" w:cs="Times New Roman" w:eastAsia="Times New Roman" w:hAnsi="Times New Roman"/>
                <w:sz w:val="14"/>
                <w:szCs w:val="14"/>
                <w:i w:val="1"/>
                <w:iCs w:val="1"/>
                <w:color w:val="auto"/>
              </w:rPr>
              <w:t>www.fdus.com</w:t>
            </w:r>
            <w:r>
              <w:rPr>
                <w:rFonts w:ascii="Times New Roman" w:cs="Times New Roman" w:eastAsia="Times New Roman" w:hAnsi="Times New Roman"/>
                <w:sz w:val="14"/>
                <w:szCs w:val="14"/>
                <w:color w:val="auto"/>
              </w:rPr>
              <w:t xml:space="preserve"> and make all of our annual, quarterly and current</w:t>
            </w:r>
          </w:p>
        </w:tc>
      </w:tr>
      <w:tr>
        <w:trPr>
          <w:trHeight w:val="164"/>
        </w:trPr>
        <w:tc>
          <w:tcPr>
            <w:tcW w:w="306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reports, proxy statements and other information available, free of charge, on our website.</w:t>
            </w:r>
          </w:p>
        </w:tc>
      </w:tr>
      <w:tr>
        <w:trPr>
          <w:trHeight w:val="164"/>
        </w:trPr>
        <w:tc>
          <w:tcPr>
            <w:tcW w:w="306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Information contained on our website is not incorporated by reference into this prospectus</w:t>
            </w:r>
          </w:p>
        </w:tc>
      </w:tr>
      <w:tr>
        <w:trPr>
          <w:trHeight w:val="164"/>
        </w:trPr>
        <w:tc>
          <w:tcPr>
            <w:tcW w:w="306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or any prospectus supplement, and you should not consider that information to be part of</w:t>
            </w:r>
          </w:p>
        </w:tc>
      </w:tr>
      <w:tr>
        <w:trPr>
          <w:trHeight w:val="164"/>
        </w:trPr>
        <w:tc>
          <w:tcPr>
            <w:tcW w:w="306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this prospectus or any prospectus supplement. You may also obtain such information free</w:t>
            </w:r>
          </w:p>
        </w:tc>
      </w:tr>
      <w:tr>
        <w:trPr>
          <w:trHeight w:val="164"/>
        </w:trPr>
        <w:tc>
          <w:tcPr>
            <w:tcW w:w="306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of charge by contacting us by mail at 1603 Orrington Avenue, Suite 1005, Evanston,</w:t>
            </w:r>
          </w:p>
        </w:tc>
      </w:tr>
      <w:tr>
        <w:trPr>
          <w:trHeight w:val="164"/>
        </w:trPr>
        <w:tc>
          <w:tcPr>
            <w:tcW w:w="306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Illinois 60201, Attention: Investor Relations, by calling us collect at (847) 859-3940 or by</w:t>
            </w:r>
          </w:p>
        </w:tc>
      </w:tr>
      <w:tr>
        <w:trPr>
          <w:trHeight w:val="176"/>
        </w:trPr>
        <w:tc>
          <w:tcPr>
            <w:tcW w:w="3060" w:type="dxa"/>
            <w:vAlign w:val="bottom"/>
            <w:tcBorders>
              <w:left w:val="single" w:sz="8" w:color="auto"/>
            </w:tcBorders>
          </w:tcPr>
          <w:p>
            <w:pPr>
              <w:spacing w:after="0"/>
              <w:rPr>
                <w:sz w:val="15"/>
                <w:szCs w:val="15"/>
                <w:color w:val="auto"/>
              </w:rPr>
            </w:pPr>
          </w:p>
        </w:tc>
        <w:tc>
          <w:tcPr>
            <w:tcW w:w="53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sending an e-mail to us at investorrelations@fdus.com.</w:t>
            </w:r>
          </w:p>
        </w:tc>
      </w:tr>
      <w:tr>
        <w:trPr>
          <w:trHeight w:val="337"/>
        </w:trPr>
        <w:tc>
          <w:tcPr>
            <w:tcW w:w="30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Incorporation of Certain Information by Reference</w:t>
            </w:r>
          </w:p>
        </w:tc>
        <w:tc>
          <w:tcPr>
            <w:tcW w:w="53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This prospectus is part of a registration statement that we have filed with the SEC. We may</w:t>
            </w:r>
          </w:p>
        </w:tc>
      </w:tr>
      <w:tr>
        <w:trPr>
          <w:trHeight w:val="164"/>
        </w:trPr>
        <w:tc>
          <w:tcPr>
            <w:tcW w:w="306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“incorporate by reference” the information that we file with the SEC, which means that we</w:t>
            </w:r>
          </w:p>
        </w:tc>
      </w:tr>
      <w:tr>
        <w:trPr>
          <w:trHeight w:val="164"/>
        </w:trPr>
        <w:tc>
          <w:tcPr>
            <w:tcW w:w="306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can disclose important information to you by referring you to those documents. The</w:t>
            </w:r>
          </w:p>
        </w:tc>
      </w:tr>
      <w:tr>
        <w:trPr>
          <w:trHeight w:val="164"/>
        </w:trPr>
        <w:tc>
          <w:tcPr>
            <w:tcW w:w="306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information incorporated by reference is considered to comprise a part of this prospectus</w:t>
            </w:r>
          </w:p>
        </w:tc>
      </w:tr>
      <w:tr>
        <w:trPr>
          <w:trHeight w:val="164"/>
        </w:trPr>
        <w:tc>
          <w:tcPr>
            <w:tcW w:w="306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from the date we file that information. We incorporate by reference into this prospectus any</w:t>
            </w:r>
          </w:p>
        </w:tc>
      </w:tr>
      <w:tr>
        <w:trPr>
          <w:trHeight w:val="164"/>
        </w:trPr>
        <w:tc>
          <w:tcPr>
            <w:tcW w:w="306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filings under Section 13(a), 13(c), 14, or 15(d) of the Exchange Act filed by us with the</w:t>
            </w:r>
          </w:p>
        </w:tc>
      </w:tr>
      <w:tr>
        <w:trPr>
          <w:trHeight w:val="164"/>
        </w:trPr>
        <w:tc>
          <w:tcPr>
            <w:tcW w:w="306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SEC subsequent to the date of this prospectus until the offering is otherwise terminated will</w:t>
            </w:r>
          </w:p>
        </w:tc>
      </w:tr>
      <w:tr>
        <w:trPr>
          <w:trHeight w:val="164"/>
        </w:trPr>
        <w:tc>
          <w:tcPr>
            <w:tcW w:w="306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automatically update and, where applicable, supersede any information contained in this</w:t>
            </w:r>
          </w:p>
        </w:tc>
      </w:tr>
      <w:tr>
        <w:trPr>
          <w:trHeight w:val="164"/>
        </w:trPr>
        <w:tc>
          <w:tcPr>
            <w:tcW w:w="3060" w:type="dxa"/>
            <w:vAlign w:val="bottom"/>
            <w:tcBorders>
              <w:left w:val="single" w:sz="8" w:color="auto"/>
            </w:tcBorders>
          </w:tcPr>
          <w:p>
            <w:pPr>
              <w:spacing w:after="0"/>
              <w:rPr>
                <w:sz w:val="14"/>
                <w:szCs w:val="14"/>
                <w:color w:val="auto"/>
              </w:rPr>
            </w:pPr>
          </w:p>
        </w:tc>
        <w:tc>
          <w:tcPr>
            <w:tcW w:w="53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prospectus or incorporated by reference in this prospectus. See “Incorporation of Certain</w:t>
            </w:r>
          </w:p>
        </w:tc>
      </w:tr>
      <w:tr>
        <w:trPr>
          <w:trHeight w:val="176"/>
        </w:trPr>
        <w:tc>
          <w:tcPr>
            <w:tcW w:w="3060" w:type="dxa"/>
            <w:vAlign w:val="bottom"/>
            <w:tcBorders>
              <w:left w:val="single" w:sz="8" w:color="auto"/>
            </w:tcBorders>
          </w:tcPr>
          <w:p>
            <w:pPr>
              <w:spacing w:after="0"/>
              <w:rPr>
                <w:sz w:val="15"/>
                <w:szCs w:val="15"/>
                <w:color w:val="auto"/>
              </w:rPr>
            </w:pPr>
          </w:p>
        </w:tc>
        <w:tc>
          <w:tcPr>
            <w:tcW w:w="53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Information by Reference” in this prospectus for more information.</w:t>
            </w:r>
          </w:p>
        </w:tc>
      </w:tr>
      <w:tr>
        <w:trPr>
          <w:trHeight w:val="119"/>
        </w:trPr>
        <w:tc>
          <w:tcPr>
            <w:tcW w:w="3060" w:type="dxa"/>
            <w:vAlign w:val="bottom"/>
            <w:tcBorders>
              <w:left w:val="single" w:sz="8" w:color="auto"/>
              <w:bottom w:val="single" w:sz="8" w:color="auto"/>
            </w:tcBorders>
          </w:tcPr>
          <w:p>
            <w:pPr>
              <w:spacing w:after="0"/>
              <w:rPr>
                <w:sz w:val="10"/>
                <w:szCs w:val="10"/>
                <w:color w:val="auto"/>
              </w:rPr>
            </w:pPr>
          </w:p>
        </w:tc>
        <w:tc>
          <w:tcPr>
            <w:tcW w:w="5320" w:type="dxa"/>
            <w:vAlign w:val="bottom"/>
            <w:tcBorders>
              <w:bottom w:val="single" w:sz="8" w:color="auto"/>
              <w:right w:val="single" w:sz="8" w:color="auto"/>
            </w:tcBorders>
          </w:tcPr>
          <w:p>
            <w:pPr>
              <w:spacing w:after="0"/>
              <w:rPr>
                <w:sz w:val="10"/>
                <w:szCs w:val="10"/>
                <w:color w:val="auto"/>
              </w:rPr>
            </w:pPr>
          </w:p>
        </w:tc>
      </w:tr>
      <w:tr>
        <w:trPr>
          <w:trHeight w:val="271"/>
        </w:trPr>
        <w:tc>
          <w:tcPr>
            <w:tcW w:w="3060" w:type="dxa"/>
            <w:vAlign w:val="bottom"/>
          </w:tcPr>
          <w:p>
            <w:pPr>
              <w:spacing w:after="0"/>
              <w:rPr>
                <w:sz w:val="23"/>
                <w:szCs w:val="23"/>
                <w:color w:val="auto"/>
              </w:rPr>
            </w:pPr>
          </w:p>
        </w:tc>
        <w:tc>
          <w:tcPr>
            <w:tcW w:w="53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-7-</w:t>
            </w:r>
          </w:p>
        </w:tc>
      </w:tr>
    </w:tbl>
    <w:p>
      <w:pPr>
        <w:sectPr>
          <w:pgSz w:w="11900" w:h="16838" w:orient="portrait"/>
          <w:cols w:equalWidth="0" w:num="1">
            <w:col w:w="9019"/>
          </w:cols>
          <w:pgMar w:left="1440" w:top="248"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45085"/>
                    </a:xfrm>
                    <a:prstGeom prst="rect">
                      <a:avLst/>
                    </a:prstGeom>
                    <a:noFill/>
                  </pic:spPr>
                </pic:pic>
              </a:graphicData>
            </a:graphic>
          </wp:anchor>
        </w:drawing>
        <w:t>FEES AND EXPENSES</w:t>
      </w:r>
    </w:p>
    <w:p>
      <w:pPr>
        <w:spacing w:after="0" w:line="171" w:lineRule="exact"/>
        <w:rPr>
          <w:sz w:val="20"/>
          <w:szCs w:val="20"/>
          <w:color w:val="auto"/>
        </w:rPr>
      </w:pPr>
    </w:p>
    <w:p>
      <w:pPr>
        <w:ind w:left="320" w:right="519" w:firstLine="335"/>
        <w:spacing w:after="0" w:line="2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in “Item 5. Market for Registrant’s Common Equity, Related Stockholder Matters and Issuer Purchases of Equity Securities — Fees and Expenses” in Part II of our most recent </w:t>
      </w:r>
      <w:hyperlink r:id="rId36">
        <w:r>
          <w:rPr>
            <w:rFonts w:ascii="Times New Roman" w:cs="Times New Roman" w:eastAsia="Times New Roman" w:hAnsi="Times New Roman"/>
            <w:sz w:val="14"/>
            <w:szCs w:val="14"/>
            <w:u w:val="single" w:color="auto"/>
            <w:color w:val="0000EE"/>
          </w:rPr>
          <w:t>Annual Report on 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is incorporated by reference herein.</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56" w:right="144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03440" cy="45085"/>
                    </a:xfrm>
                    <a:prstGeom prst="rect">
                      <a:avLst/>
                    </a:prstGeom>
                    <a:noFill/>
                  </pic:spPr>
                </pic:pic>
              </a:graphicData>
            </a:graphic>
          </wp:anchor>
        </w:drawing>
        <w:t>RISK FACTORS</w:t>
      </w:r>
    </w:p>
    <w:p>
      <w:pPr>
        <w:spacing w:after="0" w:line="171" w:lineRule="exact"/>
        <w:rPr>
          <w:sz w:val="20"/>
          <w:szCs w:val="20"/>
          <w:color w:val="auto"/>
        </w:rPr>
      </w:pPr>
    </w:p>
    <w:p>
      <w:pPr>
        <w:ind w:left="320" w:right="339" w:firstLine="335"/>
        <w:spacing w:after="0" w:line="24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Investing in our securities involves a number of significant risks. In addition to the other information contained in this prospectus and any accompanying prospectus supplement, you should consider carefully the following information before making an investment in our securities. Before deciding whether to invest in our securities, you should carefully consider the risks and uncertainties described in the section titled “Risk Factors” in the applicable prospectus supplement and any related free writing prospectus, and discussed in the section titled “Risk Factors” in Part I, Item 1A of our most recent </w:t>
      </w:r>
      <w:hyperlink r:id="rId36">
        <w:r>
          <w:rPr>
            <w:rFonts w:ascii="Times New Roman" w:cs="Times New Roman" w:eastAsia="Times New Roman" w:hAnsi="Times New Roman"/>
            <w:sz w:val="14"/>
            <w:szCs w:val="14"/>
            <w:u w:val="single" w:color="auto"/>
            <w:color w:val="0000EE"/>
          </w:rPr>
          <w:t>Annual Report on 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and any subsequent filings we have made with the SEC that are incorporated by reference into this prospectus or any prospectus supplement, together with other information in this prospectus, the documents incorporated by reference in this prospectus or any prospectus supplement, and any free writing prospectus that we may authorize for use in connection with this offering. The risks and uncertainties described in these documents could materially adversely affect our business, financial condition and results of operations. The risks described in these documents are not the only ones we face. Additional risks and uncertainties that we are unaware of, or that we currently believe are not material, also may become important factors that could adversely affect our business. Past financial performance may not be a reliable indicator of future performance, and historical trends should not be used to anticipate results or trends in future periods. If any of these risks actually occurs, our business, reputation, financial condition, results of operations, revenue, and future prospects could be seriously harmed. This could cause our net asset value and the trading price of our securities to decline, resulting in a loss of all or part of your investment. Please also read carefully the section titled “Special Note Regarding Forward-Looking Statements” in this prospectus.</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56"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03440" cy="45085"/>
                    </a:xfrm>
                    <a:prstGeom prst="rect">
                      <a:avLst/>
                    </a:prstGeom>
                    <a:noFill/>
                  </pic:spPr>
                </pic:pic>
              </a:graphicData>
            </a:graphic>
          </wp:anchor>
        </w:drawing>
        <w:t>SPECIAL NOTE REGARDING FORWARD-LOOKING STATEMENTS</w:t>
      </w:r>
    </w:p>
    <w:p>
      <w:pPr>
        <w:spacing w:after="0" w:line="171" w:lineRule="exact"/>
        <w:rPr>
          <w:sz w:val="20"/>
          <w:szCs w:val="20"/>
          <w:color w:val="auto"/>
        </w:rPr>
      </w:pPr>
    </w:p>
    <w:p>
      <w:pPr>
        <w:ind w:left="320" w:right="339" w:firstLine="335"/>
        <w:spacing w:after="0" w:line="246" w:lineRule="auto"/>
        <w:rPr>
          <w:sz w:val="20"/>
          <w:szCs w:val="20"/>
          <w:color w:val="auto"/>
        </w:rPr>
      </w:pPr>
      <w:r>
        <w:rPr>
          <w:rFonts w:ascii="Times New Roman" w:cs="Times New Roman" w:eastAsia="Times New Roman" w:hAnsi="Times New Roman"/>
          <w:sz w:val="14"/>
          <w:szCs w:val="14"/>
          <w:color w:val="auto"/>
        </w:rPr>
        <w:t>This prospectus, including the documents that we incorporate by reference, herein, contains, and any applicable prospectus supplement or free writing prospectus, including the documents we incorporate by reference therein, may contain forward-looking statements including statements regarding our future financial condition, business strategy, and plans and objectives of management for future operations. All statements other than statements of historical facts, including statements regarding our future results of operations or financial condition, business strategy and plans, and objectives of management for future operations, are forward-looking statements. Any such forward-looking statements may involve substantial risks and uncertainties that may cause our actual results, performance or achievements to be materially different from future results, performance or achievements expressed or implied by any forward-looking statements.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“should,” “targets,” “projects” and variations of these words and similar expressions are intended to identify forward-looking statements. The forward-looking statements contained in this report involve risks and uncertainties, including statements as to:</w:t>
      </w:r>
    </w:p>
    <w:p>
      <w:pPr>
        <w:spacing w:after="0" w:line="83" w:lineRule="exact"/>
        <w:rPr>
          <w:sz w:val="20"/>
          <w:szCs w:val="20"/>
          <w:color w:val="auto"/>
        </w:rPr>
      </w:pPr>
    </w:p>
    <w:p>
      <w:pPr>
        <w:ind w:left="1060" w:hanging="331"/>
        <w:spacing w:after="0"/>
        <w:tabs>
          <w:tab w:leader="none" w:pos="1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operating results;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financial and lending markets;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prospects and the prospects of our portfolio companies, including our and their ability to achieve our respective objectives;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investments that we expect to make;</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contractual arrangements and relationships with third parties;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dependence of our future success on the general economy and its impact on the industries in which we invest;</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economic downturn and its impacts on the ability of our portfolio companies to operate and the investment opportunities available to us;</w:t>
      </w:r>
    </w:p>
    <w:p>
      <w:pPr>
        <w:spacing w:after="0" w:line="106" w:lineRule="exact"/>
        <w:rPr>
          <w:rFonts w:ascii="Times New Roman" w:cs="Times New Roman" w:eastAsia="Times New Roman" w:hAnsi="Times New Roman"/>
          <w:sz w:val="13"/>
          <w:szCs w:val="13"/>
          <w:color w:val="auto"/>
        </w:rPr>
      </w:pPr>
    </w:p>
    <w:p>
      <w:pPr>
        <w:ind w:left="1060" w:right="479" w:hanging="331"/>
        <w:spacing w:after="0" w:line="255" w:lineRule="auto"/>
        <w:tabs>
          <w:tab w:leader="none" w:pos="1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geopolitical conditions, including the ongoing conflict between Ukraine and Russia, turmoil in Europe and in the Middle East, and U.S. and China relations, and its impact on financial market volatility, global economic markets, and various sectors, industries and markets for commodities globally;</w:t>
      </w:r>
    </w:p>
    <w:p>
      <w:pPr>
        <w:spacing w:after="0" w:line="71" w:lineRule="exact"/>
        <w:rPr>
          <w:rFonts w:ascii="Times New Roman" w:cs="Times New Roman" w:eastAsia="Times New Roman" w:hAnsi="Times New Roman"/>
          <w:sz w:val="14"/>
          <w:szCs w:val="14"/>
          <w:color w:val="auto"/>
        </w:rPr>
      </w:pPr>
    </w:p>
    <w:p>
      <w:pPr>
        <w:ind w:left="1060" w:right="639" w:hanging="331"/>
        <w:spacing w:after="0" w:line="266" w:lineRule="auto"/>
        <w:tabs>
          <w:tab w:leader="none" w:pos="1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uncertainty associated with the imposition of tariffs and trade barriers and changes in trade policies and its impact on our portfolio companies and our financial condition;</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portfolio companies to achieve their objectives;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expected financing and investments;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adequacy of our cash resources and working capital;</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cash flows, if any, from the operations of our portfolio companies;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investment advisor to identify suitable investments for us and to monitor and administer our investments;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investment advisor to attract and retain highly talented professionals;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regulatory structure and tax treatment;</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operate as a BDC, and a RIC and the SBIC Funds to operate as an SBIC;</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form and amount of any dividend distributions;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56" w:right="1440" w:bottom="1440" w:gutter="0" w:footer="0" w:header="0"/>
        </w:sectPr>
      </w:pPr>
    </w:p>
    <w:bookmarkStart w:id="13" w:name="page14"/>
    <w:bookmarkEnd w:id="13"/>
    <w:p>
      <w:pPr>
        <w:ind w:left="1060" w:hanging="331"/>
        <w:spacing w:after="0"/>
        <w:tabs>
          <w:tab w:leader="none" w:pos="10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03440" cy="45085"/>
                    </a:xfrm>
                    <a:prstGeom prst="rect">
                      <a:avLst/>
                    </a:prstGeom>
                    <a:noFill/>
                  </pic:spPr>
                </pic:pic>
              </a:graphicData>
            </a:graphic>
          </wp:anchor>
        </w:drawing>
        <w:t>the impact of interest rate volatility and the elevated level of inflation on our business and portfolio companies;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valuation of any investments in portfolio companies, particularly those having no liquid trading market;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recover unrealized losses.</w:t>
      </w:r>
    </w:p>
    <w:p>
      <w:pPr>
        <w:spacing w:after="0" w:line="167" w:lineRule="exact"/>
        <w:rPr>
          <w:sz w:val="20"/>
          <w:szCs w:val="20"/>
          <w:color w:val="auto"/>
        </w:rPr>
      </w:pPr>
    </w:p>
    <w:p>
      <w:pPr>
        <w:jc w:val="both"/>
        <w:ind w:left="320" w:right="439" w:firstLine="335"/>
        <w:spacing w:after="0" w:line="255" w:lineRule="auto"/>
        <w:rPr>
          <w:sz w:val="20"/>
          <w:szCs w:val="20"/>
          <w:color w:val="auto"/>
        </w:rPr>
      </w:pPr>
      <w:r>
        <w:rPr>
          <w:rFonts w:ascii="Times New Roman" w:cs="Times New Roman" w:eastAsia="Times New Roman" w:hAnsi="Times New Roman"/>
          <w:sz w:val="14"/>
          <w:szCs w:val="14"/>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72" w:lineRule="exact"/>
        <w:rPr>
          <w:sz w:val="20"/>
          <w:szCs w:val="20"/>
          <w:color w:val="auto"/>
        </w:rPr>
      </w:pPr>
    </w:p>
    <w:p>
      <w:pPr>
        <w:ind w:left="1060" w:right="379" w:hanging="331"/>
        <w:spacing w:after="0" w:line="255" w:lineRule="auto"/>
        <w:tabs>
          <w:tab w:leader="none" w:pos="10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economic downturn and significant disruptions to our portfolio companies, including supply chain disruptions, labor shortages, and uncertainty associated with the imposition of tariffs, could impair our portfolio companies’ ability to continue to operate, which could lead to the loss of value in of some or all of our investments in such portfolio companies;</w:t>
      </w:r>
    </w:p>
    <w:p>
      <w:pPr>
        <w:spacing w:after="0" w:line="71"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contraction of available credit and/or an inability to access the equity markets could impair our lending and investment activities;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volatility could adversely affect our results, particularly because we use leverage as part of our investment strategy;</w:t>
      </w:r>
    </w:p>
    <w:p>
      <w:pPr>
        <w:spacing w:after="0" w:line="95" w:lineRule="exact"/>
        <w:rPr>
          <w:rFonts w:ascii="Times New Roman" w:cs="Times New Roman" w:eastAsia="Times New Roman" w:hAnsi="Times New Roman"/>
          <w:sz w:val="14"/>
          <w:szCs w:val="14"/>
          <w:color w:val="auto"/>
        </w:rPr>
      </w:pPr>
    </w:p>
    <w:p>
      <w:pPr>
        <w:ind w:left="1060" w:right="399" w:hanging="331"/>
        <w:spacing w:after="0" w:line="266" w:lineRule="auto"/>
        <w:tabs>
          <w:tab w:leader="none" w:pos="10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elevated level of inflation could adversely affect our business, results of operations and financial condition of our portfolio companies, which may, in turn, impact the valuation of such portfolio companies; and,</w:t>
      </w:r>
    </w:p>
    <w:p>
      <w:pPr>
        <w:spacing w:after="0" w:line="63" w:lineRule="exact"/>
        <w:rPr>
          <w:rFonts w:ascii="Times New Roman" w:cs="Times New Roman" w:eastAsia="Times New Roman" w:hAnsi="Times New Roman"/>
          <w:sz w:val="14"/>
          <w:szCs w:val="14"/>
          <w:color w:val="auto"/>
        </w:rPr>
      </w:pPr>
    </w:p>
    <w:p>
      <w:pPr>
        <w:ind w:left="1060" w:right="499" w:hanging="331"/>
        <w:spacing w:after="0" w:line="255" w:lineRule="auto"/>
        <w:tabs>
          <w:tab w:leader="none" w:pos="10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uncertainties and other factors we identify in the section titled “Risk Factors” in this prospectus and in Part I, Item 1A of our most recent Annual Report on Form 10-K, in Part II, Item 1A of any subsequent Quarterly Report on Form 10-Q, and those discussed in other documents we file with the SEC.</w:t>
      </w:r>
    </w:p>
    <w:p>
      <w:pPr>
        <w:spacing w:after="0" w:line="143" w:lineRule="exact"/>
        <w:rPr>
          <w:sz w:val="20"/>
          <w:szCs w:val="20"/>
          <w:color w:val="auto"/>
        </w:rPr>
      </w:pPr>
    </w:p>
    <w:p>
      <w:pPr>
        <w:ind w:left="320" w:right="339" w:firstLine="335"/>
        <w:spacing w:after="0" w:line="266" w:lineRule="auto"/>
        <w:rPr>
          <w:sz w:val="20"/>
          <w:szCs w:val="20"/>
          <w:color w:val="auto"/>
        </w:rPr>
      </w:pPr>
      <w:r>
        <w:rPr>
          <w:rFonts w:ascii="Times New Roman" w:cs="Times New Roman" w:eastAsia="Times New Roman" w:hAnsi="Times New Roman"/>
          <w:sz w:val="13"/>
          <w:szCs w:val="13"/>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debt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 These risks and uncertainties include those described or identified in “Risk Factors” in Part I, Item 1A of our most recent Annual Report on Form 10-K, in Part II, Item 1A of any subsequent Quarterly Report on Form 10-Q, and elsewhere in this prospectus, any applicable prospectus supplement or free writing prospectus, including the documents we incorporate by reference. You should not place undue reliance on these forward-looking statements, which are based on information available to us as of the applicable date of this prospectus, any applicable prospectus supplement or free writing prospectus, including any documents incorporated by reference, and while we believe such information forms, or will form,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on these statements. Except as otherwise required by federal securities laws, we do not undertake to publicly update or revise any forward-looking statements, whether as a result of new information, future events or otherwise. These forward-looking statements do not meet the safe harbor for forward-looking statements pursuant to Section 27A of the Securities Act or Section 21E of the Exchange Act.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60" w:right="1440"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03440" cy="45085"/>
                    </a:xfrm>
                    <a:prstGeom prst="rect">
                      <a:avLst/>
                    </a:prstGeom>
                    <a:noFill/>
                  </pic:spPr>
                </pic:pic>
              </a:graphicData>
            </a:graphic>
          </wp:anchor>
        </w:drawing>
        <w:t>USE OF PROCEEDS</w:t>
      </w:r>
    </w:p>
    <w:p>
      <w:pPr>
        <w:spacing w:after="0" w:line="171" w:lineRule="exact"/>
        <w:rPr>
          <w:sz w:val="20"/>
          <w:szCs w:val="20"/>
          <w:color w:val="auto"/>
        </w:rPr>
      </w:pPr>
    </w:p>
    <w:p>
      <w:pPr>
        <w:ind w:left="320" w:right="359" w:firstLine="335"/>
        <w:spacing w:after="0" w:line="26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Unless otherwise specified in a prospectus supplement or in any free writing prospectus we have authorized for us in connection with a specific offering, we intend to use the net proceeds from the sale of our securities to invest in lower middle-market companies in accordance with our investment objective and strategies, to repay the outstanding indebtedness (which will be subject to re-borrowing), and for working capital and general corporate purposes. We also will pay operating expenses, including management, incentive and administrative fees, and may pay other expenses, from the net proceeds of any offering. We plan to raise new equity when we have attractive investment opportunities available. Pending such use, we will invest the net proceeds of any offering primarily in short-term securities consistent with our BDC election and our election to be taxed as a RIC. See “Business — Regulation — Temporary Investments” in Part I, Item 1 in our most recent </w:t>
      </w:r>
      <w:hyperlink r:id="rId36">
        <w:r>
          <w:rPr>
            <w:rFonts w:ascii="Times New Roman" w:cs="Times New Roman" w:eastAsia="Times New Roman" w:hAnsi="Times New Roman"/>
            <w:sz w:val="13"/>
            <w:szCs w:val="13"/>
            <w:u w:val="single" w:color="auto"/>
            <w:color w:val="0000EE"/>
          </w:rPr>
          <w:t>Annual Report on Form 10-K</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for additional information about temporary investments we may make while waiting to make longer-term investments in pursuit of our investment objective. The applicable prospectus supplement or a free writing prospectus that we have authorized for use relating to an offering will more fully identify the use of the proceeds from such offering.</w:t>
      </w:r>
    </w:p>
    <w:p>
      <w:pPr>
        <w:spacing w:after="0" w:line="139" w:lineRule="exact"/>
        <w:rPr>
          <w:sz w:val="20"/>
          <w:szCs w:val="20"/>
          <w:color w:val="auto"/>
        </w:rPr>
      </w:pPr>
    </w:p>
    <w:p>
      <w:pPr>
        <w:ind w:left="320" w:right="399" w:firstLine="335"/>
        <w:spacing w:after="0" w:line="24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Pending such use, we will invest the net proceeds of this offering primarily in cash, cash equivalents, U.S. Government securities and other high-quality debt instruments that mature in one year or less, or “temporary investments,” as appropriate. These securities may have lower yields than our other investments and accordingly result in lower distributions, if any, by us during such period. See “Business — Regulation — Temporary Investments” in Part I, Item 1 in our most recent </w:t>
      </w:r>
      <w:hyperlink r:id="rId36">
        <w:r>
          <w:rPr>
            <w:rFonts w:ascii="Times New Roman" w:cs="Times New Roman" w:eastAsia="Times New Roman" w:hAnsi="Times New Roman"/>
            <w:sz w:val="14"/>
            <w:szCs w:val="14"/>
            <w:u w:val="single" w:color="auto"/>
            <w:color w:val="0000EE"/>
          </w:rPr>
          <w:t>Annual Report on Form 10-K</w:t>
        </w:r>
      </w:hyperlink>
      <w:r>
        <w:rPr>
          <w:rFonts w:ascii="Times New Roman" w:cs="Times New Roman" w:eastAsia="Times New Roman" w:hAnsi="Times New Roman"/>
          <w:sz w:val="14"/>
          <w:szCs w:val="14"/>
          <w:color w:val="auto"/>
        </w:rPr>
        <w:t>. Our ability to achieve our investment objective may be limited to the extent that the net proceeds from the offering, pending full investment, are held in interest bearing deposits or other short-term instruments that produce income at a rate less than our cost of capital.</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56" w:right="1440"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03440" cy="45085"/>
                    </a:xfrm>
                    <a:prstGeom prst="rect">
                      <a:avLst/>
                    </a:prstGeom>
                    <a:noFill/>
                  </pic:spPr>
                </pic:pic>
              </a:graphicData>
            </a:graphic>
          </wp:anchor>
        </w:drawing>
        <w:t>PRICE RANGE OF COMMON STOCK</w:t>
      </w:r>
    </w:p>
    <w:p>
      <w:pPr>
        <w:spacing w:after="0" w:line="171" w:lineRule="exact"/>
        <w:rPr>
          <w:sz w:val="20"/>
          <w:szCs w:val="20"/>
          <w:color w:val="auto"/>
        </w:rPr>
      </w:pPr>
    </w:p>
    <w:p>
      <w:pPr>
        <w:ind w:left="320" w:right="519" w:firstLine="335"/>
        <w:spacing w:after="0" w:line="2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in “Item 5. Market for Registrant’s Common Equity, Related Stockholder Matters and Issuer Purchases of Equity Securities — Price Range of Common Stock” in Part II of our most recent </w:t>
      </w:r>
      <w:hyperlink r:id="rId36">
        <w:r>
          <w:rPr>
            <w:rFonts w:ascii="Times New Roman" w:cs="Times New Roman" w:eastAsia="Times New Roman" w:hAnsi="Times New Roman"/>
            <w:sz w:val="14"/>
            <w:szCs w:val="14"/>
            <w:u w:val="single" w:color="auto"/>
            <w:color w:val="0000EE"/>
          </w:rPr>
          <w:t>Annual Report on 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is incorporated by reference herein.</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56" w:right="144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03440" cy="45085"/>
                    </a:xfrm>
                    <a:prstGeom prst="rect">
                      <a:avLst/>
                    </a:prstGeom>
                    <a:noFill/>
                  </pic:spPr>
                </pic:pic>
              </a:graphicData>
            </a:graphic>
          </wp:anchor>
        </w:drawing>
        <w:t>FINANCIAL HIGHLIGHTS</w:t>
      </w:r>
    </w:p>
    <w:p>
      <w:pPr>
        <w:spacing w:after="0" w:line="171" w:lineRule="exact"/>
        <w:rPr>
          <w:sz w:val="20"/>
          <w:szCs w:val="20"/>
          <w:color w:val="auto"/>
        </w:rPr>
      </w:pPr>
    </w:p>
    <w:p>
      <w:pPr>
        <w:ind w:left="320" w:right="339" w:firstLine="335"/>
        <w:spacing w:after="0" w:line="27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financial highlights is intended to help a prospective investor understand the Company’s financial performance for the periods presented. Information about our financial highlights for the years ended December 31, 2025 to 2016 is located in the notes to our consolidated financial statements under the caption “Note 10. Financial Highlights” in our most recent </w:t>
      </w:r>
      <w:hyperlink r:id="rId36">
        <w:r>
          <w:rPr>
            <w:rFonts w:ascii="Times New Roman" w:cs="Times New Roman" w:eastAsia="Times New Roman" w:hAnsi="Times New Roman"/>
            <w:sz w:val="13"/>
            <w:szCs w:val="13"/>
            <w:u w:val="single" w:color="auto"/>
            <w:color w:val="0000EE"/>
          </w:rPr>
          <w:t>Annual Report on Form 10-K</w:t>
        </w:r>
      </w:hyperlink>
      <w:r>
        <w:rPr>
          <w:rFonts w:ascii="Times New Roman" w:cs="Times New Roman" w:eastAsia="Times New Roman" w:hAnsi="Times New Roman"/>
          <w:sz w:val="13"/>
          <w:szCs w:val="13"/>
          <w:color w:val="auto"/>
        </w:rPr>
        <w:t>, which has been audited by our independent registered public accounting firm whose reports thereon are incorporated by reference in this prospectus, and is incorporated herein by reference.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56" w:right="1440"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03440" cy="45085"/>
                    </a:xfrm>
                    <a:prstGeom prst="rect">
                      <a:avLst/>
                    </a:prstGeom>
                    <a:noFill/>
                  </pic:spPr>
                </pic:pic>
              </a:graphicData>
            </a:graphic>
          </wp:anchor>
        </w:drawing>
        <w:t>MANAGEMENT’S DISCUSSION AND ANALYSIS OF</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FINANCIAL CONDITION AND RESULTS OF OPERATIONS</w:t>
      </w:r>
    </w:p>
    <w:p>
      <w:pPr>
        <w:spacing w:after="0" w:line="156" w:lineRule="exact"/>
        <w:rPr>
          <w:sz w:val="20"/>
          <w:szCs w:val="20"/>
          <w:color w:val="auto"/>
        </w:rPr>
      </w:pPr>
    </w:p>
    <w:p>
      <w:pPr>
        <w:ind w:left="320" w:right="379" w:firstLine="335"/>
        <w:spacing w:after="0" w:line="2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included under the caption “Management’s Discussion and Analysis of Financial Condition and Results of Operations” in Part II, Item 7 of our most recent </w:t>
      </w:r>
      <w:hyperlink r:id="rId36">
        <w:r>
          <w:rPr>
            <w:rFonts w:ascii="Times New Roman" w:cs="Times New Roman" w:eastAsia="Times New Roman" w:hAnsi="Times New Roman"/>
            <w:sz w:val="14"/>
            <w:szCs w:val="14"/>
            <w:u w:val="single" w:color="auto"/>
            <w:color w:val="0000EE"/>
          </w:rPr>
          <w:t>Annual Report on 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is incorporated herein by reference.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56" w:right="1440"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03440" cy="45085"/>
                    </a:xfrm>
                    <a:prstGeom prst="rect">
                      <a:avLst/>
                    </a:prstGeom>
                    <a:noFill/>
                  </pic:spPr>
                </pic:pic>
              </a:graphicData>
            </a:graphic>
          </wp:anchor>
        </w:drawing>
        <w:t>SENIOR SECURITIES</w:t>
      </w:r>
    </w:p>
    <w:p>
      <w:pPr>
        <w:spacing w:after="0" w:line="171" w:lineRule="exact"/>
        <w:rPr>
          <w:sz w:val="20"/>
          <w:szCs w:val="20"/>
          <w:color w:val="auto"/>
        </w:rPr>
      </w:pPr>
    </w:p>
    <w:p>
      <w:pPr>
        <w:ind w:left="320" w:right="359" w:firstLine="335"/>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Information about our senior securities as of the fiscal years ended December 31, 2025 to 2016 is located in the notes to our consolidated financial statements under the caption “Note 6. Debt” in our most recent </w:t>
      </w:r>
      <w:hyperlink r:id="rId36">
        <w:r>
          <w:rPr>
            <w:rFonts w:ascii="Times New Roman" w:cs="Times New Roman" w:eastAsia="Times New Roman" w:hAnsi="Times New Roman"/>
            <w:sz w:val="14"/>
            <w:szCs w:val="14"/>
            <w:u w:val="single" w:color="auto"/>
            <w:color w:val="0000EE"/>
          </w:rPr>
          <w:t>Annual Report on Form 10-K</w:t>
        </w:r>
      </w:hyperlink>
      <w:r>
        <w:rPr>
          <w:rFonts w:ascii="Times New Roman" w:cs="Times New Roman" w:eastAsia="Times New Roman" w:hAnsi="Times New Roman"/>
          <w:sz w:val="14"/>
          <w:szCs w:val="14"/>
          <w:color w:val="auto"/>
        </w:rPr>
        <w:t>, which has been audited by our independent registered public accounting firm whose reports thereon are incorporated by reference in this prospectus, and is incorporated herein by reference.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56" w:right="1440"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03440" cy="45085"/>
                    </a:xfrm>
                    <a:prstGeom prst="rect">
                      <a:avLst/>
                    </a:prstGeom>
                    <a:noFill/>
                  </pic:spPr>
                </pic:pic>
              </a:graphicData>
            </a:graphic>
          </wp:anchor>
        </w:drawing>
        <w:t>THE COMPANY</w:t>
      </w:r>
    </w:p>
    <w:p>
      <w:pPr>
        <w:spacing w:after="0" w:line="171" w:lineRule="exact"/>
        <w:rPr>
          <w:sz w:val="20"/>
          <w:szCs w:val="20"/>
          <w:color w:val="auto"/>
        </w:rPr>
      </w:pPr>
    </w:p>
    <w:p>
      <w:pPr>
        <w:ind w:left="320" w:right="459" w:firstLine="335"/>
        <w:spacing w:after="0" w:line="255" w:lineRule="auto"/>
        <w:rPr>
          <w:rFonts w:ascii="Times New Roman" w:cs="Times New Roman" w:eastAsia="Times New Roman" w:hAnsi="Times New Roman"/>
          <w:sz w:val="14"/>
          <w:szCs w:val="14"/>
          <w:color w:val="0000EE"/>
        </w:rPr>
      </w:pPr>
      <w:hyperlink r:id="rId36">
        <w:r>
          <w:rPr>
            <w:rFonts w:ascii="Times New Roman" w:cs="Times New Roman" w:eastAsia="Times New Roman" w:hAnsi="Times New Roman"/>
            <w:sz w:val="14"/>
            <w:szCs w:val="14"/>
            <w:color w:val="auto"/>
          </w:rPr>
          <w:t xml:space="preserve">The information in the sections entitled “Business” in Part I, Item 1 and “Properties” in Part I, Item 2 of our most recent </w:t>
        </w:r>
        <w:r>
          <w:rPr>
            <w:rFonts w:ascii="Times New Roman" w:cs="Times New Roman" w:eastAsia="Times New Roman" w:hAnsi="Times New Roman"/>
            <w:sz w:val="14"/>
            <w:szCs w:val="14"/>
            <w:u w:val="single" w:color="auto"/>
            <w:color w:val="0000EE"/>
          </w:rPr>
          <w:t>Annual Report on Form</w:t>
        </w:r>
      </w:hyperlink>
      <w:r>
        <w:rPr>
          <w:rFonts w:ascii="Times New Roman" w:cs="Times New Roman" w:eastAsia="Times New Roman" w:hAnsi="Times New Roman"/>
          <w:sz w:val="14"/>
          <w:szCs w:val="14"/>
          <w:color w:val="auto"/>
        </w:rPr>
        <w:t xml:space="preserve"> </w:t>
      </w:r>
      <w:hyperlink r:id="rId36">
        <w:r>
          <w:rPr>
            <w:rFonts w:ascii="Times New Roman" w:cs="Times New Roman" w:eastAsia="Times New Roman" w:hAnsi="Times New Roman"/>
            <w:sz w:val="14"/>
            <w:szCs w:val="14"/>
            <w:u w:val="single" w:color="auto"/>
            <w:color w:val="0000EE"/>
          </w:rPr>
          <w:t>10-K</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 in the section entitled “Legal Proceedings” in Part I, Item 3 in our most recent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Annual Report on Form 10-K</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is incorporated herein by</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reference.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56" w:right="1440"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03440" cy="45085"/>
                    </a:xfrm>
                    <a:prstGeom prst="rect">
                      <a:avLst/>
                    </a:prstGeom>
                    <a:noFill/>
                  </pic:spPr>
                </pic:pic>
              </a:graphicData>
            </a:graphic>
          </wp:anchor>
        </w:drawing>
        <w:t>PORTFOLIO COMPANIES</w:t>
      </w:r>
    </w:p>
    <w:p>
      <w:pPr>
        <w:spacing w:after="0" w:line="171" w:lineRule="exact"/>
        <w:rPr>
          <w:sz w:val="20"/>
          <w:szCs w:val="20"/>
          <w:color w:val="auto"/>
        </w:rPr>
      </w:pPr>
    </w:p>
    <w:p>
      <w:pPr>
        <w:ind w:left="320" w:right="379" w:firstLine="335"/>
        <w:spacing w:after="0" w:line="250" w:lineRule="auto"/>
        <w:rPr>
          <w:sz w:val="20"/>
          <w:szCs w:val="20"/>
          <w:color w:val="auto"/>
        </w:rPr>
      </w:pPr>
      <w:r>
        <w:rPr>
          <w:rFonts w:ascii="Times New Roman" w:cs="Times New Roman" w:eastAsia="Times New Roman" w:hAnsi="Times New Roman"/>
          <w:sz w:val="14"/>
          <w:szCs w:val="14"/>
          <w:color w:val="auto"/>
        </w:rPr>
        <w:t>The following table sets forth certain information regarding each of the portfolio companies in which we had a debt or equity investment as of December 31, 2025. As of December 31, 2025, we did not make any investments in a portfolio company that represented greater than 5.0% of our total assets as of December 31, 2025. Our only relationships with our portfolio companies are the managerial assistance we may separately provide to our portfolio companies, which services would be ancillary to our investments. We offer to make available significant managerial assistance to our portfolio companies. We may receive rights to observe the meetings of our portfolio companies’ board of directors.</w:t>
      </w:r>
    </w:p>
    <w:p>
      <w:pPr>
        <w:spacing w:after="0" w:line="172" w:lineRule="exact"/>
        <w:rPr>
          <w:sz w:val="20"/>
          <w:szCs w:val="20"/>
          <w:color w:val="auto"/>
        </w:rPr>
      </w:pPr>
    </w:p>
    <w:tbl>
      <w:tblPr>
        <w:tblLayout w:type="fixed"/>
        <w:tblInd w:w="320" w:type="dxa"/>
        <w:tblCellMar>
          <w:top w:w="0" w:type="dxa"/>
          <w:left w:w="0" w:type="dxa"/>
          <w:bottom w:w="0" w:type="dxa"/>
          <w:right w:w="0" w:type="dxa"/>
        </w:tblCellMar>
      </w:tblPr>
      <w:tr>
        <w:trPr>
          <w:trHeight w:val="103"/>
        </w:trPr>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w w:val="95"/>
              </w:rPr>
              <w:t>Variable</w:t>
            </w: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Portfolio Company (a)(b)</w:t>
            </w:r>
          </w:p>
        </w:tc>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w w:val="98"/>
              </w:rPr>
              <w:t>Percentage</w:t>
            </w:r>
          </w:p>
        </w:tc>
        <w:tc>
          <w:tcPr>
            <w:tcW w:w="58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rPr>
              <w:t>Index Spread</w:t>
            </w:r>
          </w:p>
        </w:tc>
        <w:tc>
          <w:tcPr>
            <w:tcW w:w="6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9"/>
                <w:szCs w:val="9"/>
                <w:b w:val="1"/>
                <w:bCs w:val="1"/>
                <w:color w:val="auto"/>
                <w:w w:val="99"/>
              </w:rPr>
              <w:t>Rate (e)</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2"/>
          </w:tcPr>
          <w:p>
            <w:pPr>
              <w:jc w:val="center"/>
              <w:ind w:right="140"/>
              <w:spacing w:after="0" w:line="93" w:lineRule="exact"/>
              <w:rPr>
                <w:sz w:val="20"/>
                <w:szCs w:val="20"/>
                <w:color w:val="auto"/>
              </w:rPr>
            </w:pPr>
            <w:r>
              <w:rPr>
                <w:rFonts w:ascii="Times New Roman" w:cs="Times New Roman" w:eastAsia="Times New Roman" w:hAnsi="Times New Roman"/>
                <w:sz w:val="9"/>
                <w:szCs w:val="9"/>
                <w:b w:val="1"/>
                <w:bCs w:val="1"/>
                <w:color w:val="auto"/>
                <w:w w:val="99"/>
              </w:rPr>
              <w:t>of Class</w:t>
            </w:r>
          </w:p>
        </w:tc>
        <w:tc>
          <w:tcPr>
            <w:tcW w:w="520" w:type="dxa"/>
            <w:vAlign w:val="bottom"/>
          </w:tcPr>
          <w:p>
            <w:pPr>
              <w:jc w:val="center"/>
              <w:spacing w:after="0" w:line="93" w:lineRule="exact"/>
              <w:rPr>
                <w:sz w:val="20"/>
                <w:szCs w:val="20"/>
                <w:color w:val="auto"/>
              </w:rPr>
            </w:pPr>
            <w:r>
              <w:rPr>
                <w:rFonts w:ascii="Times New Roman" w:cs="Times New Roman" w:eastAsia="Times New Roman" w:hAnsi="Times New Roman"/>
                <w:sz w:val="9"/>
                <w:szCs w:val="9"/>
                <w:b w:val="1"/>
                <w:bCs w:val="1"/>
                <w:color w:val="auto"/>
              </w:rPr>
              <w:t>/</w:t>
            </w:r>
          </w:p>
        </w:tc>
        <w:tc>
          <w:tcPr>
            <w:tcW w:w="6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540" w:type="dxa"/>
            <w:vAlign w:val="bottom"/>
            <w:gridSpan w:val="2"/>
          </w:tcPr>
          <w:p>
            <w:pPr>
              <w:jc w:val="center"/>
              <w:ind w:right="60"/>
              <w:spacing w:after="0" w:line="93" w:lineRule="exact"/>
              <w:rPr>
                <w:sz w:val="20"/>
                <w:szCs w:val="20"/>
                <w:color w:val="auto"/>
              </w:rPr>
            </w:pPr>
            <w:r>
              <w:rPr>
                <w:rFonts w:ascii="Times New Roman" w:cs="Times New Roman" w:eastAsia="Times New Roman" w:hAnsi="Times New Roman"/>
                <w:sz w:val="9"/>
                <w:szCs w:val="9"/>
                <w:b w:val="1"/>
                <w:bCs w:val="1"/>
                <w:color w:val="auto"/>
              </w:rPr>
              <w:t>Investment</w:t>
            </w: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gridSpan w:val="3"/>
          </w:tcPr>
          <w:p>
            <w:pPr>
              <w:jc w:val="right"/>
              <w:ind w:right="40"/>
              <w:spacing w:after="0" w:line="93" w:lineRule="exact"/>
              <w:rPr>
                <w:sz w:val="20"/>
                <w:szCs w:val="20"/>
                <w:color w:val="auto"/>
              </w:rPr>
            </w:pPr>
            <w:r>
              <w:rPr>
                <w:rFonts w:ascii="Times New Roman" w:cs="Times New Roman" w:eastAsia="Times New Roman" w:hAnsi="Times New Roman"/>
                <w:sz w:val="9"/>
                <w:szCs w:val="9"/>
                <w:b w:val="1"/>
                <w:bCs w:val="1"/>
                <w:color w:val="auto"/>
                <w:w w:val="89"/>
              </w:rPr>
              <w:t>Principal</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gridSpan w:val="2"/>
          </w:tcPr>
          <w:p>
            <w:pPr>
              <w:ind w:left="20"/>
              <w:spacing w:after="0" w:line="93" w:lineRule="exact"/>
              <w:rPr>
                <w:sz w:val="20"/>
                <w:szCs w:val="20"/>
                <w:color w:val="auto"/>
              </w:rPr>
            </w:pPr>
            <w:r>
              <w:rPr>
                <w:rFonts w:ascii="Times New Roman" w:cs="Times New Roman" w:eastAsia="Times New Roman" w:hAnsi="Times New Roman"/>
                <w:sz w:val="9"/>
                <w:szCs w:val="9"/>
                <w:b w:val="1"/>
                <w:bCs w:val="1"/>
                <w:color w:val="auto"/>
              </w:rPr>
              <w:t>Fair</w:t>
            </w:r>
          </w:p>
        </w:tc>
        <w:tc>
          <w:tcPr>
            <w:tcW w:w="500" w:type="dxa"/>
            <w:vAlign w:val="bottom"/>
            <w:gridSpan w:val="2"/>
          </w:tcPr>
          <w:p>
            <w:pPr>
              <w:jc w:val="right"/>
              <w:ind w:right="120"/>
              <w:spacing w:after="0" w:line="93" w:lineRule="exact"/>
              <w:rPr>
                <w:sz w:val="20"/>
                <w:szCs w:val="20"/>
                <w:color w:val="auto"/>
              </w:rPr>
            </w:pPr>
            <w:r>
              <w:rPr>
                <w:rFonts w:ascii="Times New Roman" w:cs="Times New Roman" w:eastAsia="Times New Roman" w:hAnsi="Times New Roman"/>
                <w:sz w:val="9"/>
                <w:szCs w:val="9"/>
                <w:b w:val="1"/>
                <w:bCs w:val="1"/>
                <w:color w:val="auto"/>
                <w:w w:val="91"/>
              </w:rPr>
              <w:t>Percent of</w:t>
            </w:r>
          </w:p>
        </w:tc>
        <w:tc>
          <w:tcPr>
            <w:tcW w:w="0" w:type="dxa"/>
            <w:vAlign w:val="bottom"/>
          </w:tcPr>
          <w:p>
            <w:pPr>
              <w:spacing w:after="0"/>
              <w:rPr>
                <w:sz w:val="1"/>
                <w:szCs w:val="1"/>
                <w:color w:val="auto"/>
              </w:rPr>
            </w:pPr>
          </w:p>
        </w:tc>
      </w:tr>
      <w:tr>
        <w:trPr>
          <w:trHeight w:val="130"/>
        </w:trPr>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9"/>
                <w:szCs w:val="9"/>
                <w:b w:val="1"/>
                <w:bCs w:val="1"/>
                <w:color w:val="auto"/>
                <w:w w:val="97"/>
              </w:rPr>
              <w:t>Address of Portfolio Company</w:t>
            </w:r>
          </w:p>
        </w:tc>
        <w:tc>
          <w:tcPr>
            <w:tcW w:w="20" w:type="dxa"/>
            <w:vAlign w:val="bottom"/>
          </w:tcPr>
          <w:p>
            <w:pPr>
              <w:spacing w:after="0"/>
              <w:rPr>
                <w:sz w:val="11"/>
                <w:szCs w:val="11"/>
                <w:color w:val="auto"/>
              </w:rPr>
            </w:pPr>
          </w:p>
        </w:tc>
        <w:tc>
          <w:tcPr>
            <w:tcW w:w="1460" w:type="dxa"/>
            <w:vAlign w:val="bottom"/>
          </w:tcPr>
          <w:p>
            <w:pPr>
              <w:ind w:left="360"/>
              <w:spacing w:after="0"/>
              <w:rPr>
                <w:sz w:val="20"/>
                <w:szCs w:val="20"/>
                <w:color w:val="auto"/>
              </w:rPr>
            </w:pPr>
            <w:r>
              <w:rPr>
                <w:rFonts w:ascii="Times New Roman" w:cs="Times New Roman" w:eastAsia="Times New Roman" w:hAnsi="Times New Roman"/>
                <w:sz w:val="9"/>
                <w:szCs w:val="9"/>
                <w:b w:val="1"/>
                <w:bCs w:val="1"/>
                <w:color w:val="auto"/>
              </w:rPr>
              <w:t>Investment Type (c)</w:t>
            </w:r>
          </w:p>
        </w:tc>
        <w:tc>
          <w:tcPr>
            <w:tcW w:w="40" w:type="dxa"/>
            <w:vAlign w:val="bottom"/>
          </w:tcPr>
          <w:p>
            <w:pPr>
              <w:spacing w:after="0"/>
              <w:rPr>
                <w:sz w:val="11"/>
                <w:szCs w:val="11"/>
                <w:color w:val="auto"/>
              </w:rPr>
            </w:pPr>
          </w:p>
        </w:tc>
        <w:tc>
          <w:tcPr>
            <w:tcW w:w="1320" w:type="dxa"/>
            <w:vAlign w:val="bottom"/>
            <w:gridSpan w:val="2"/>
          </w:tcPr>
          <w:p>
            <w:pPr>
              <w:ind w:left="48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56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w w:val="93"/>
              </w:rPr>
              <w:t>Held (bo)</w:t>
            </w:r>
          </w:p>
        </w:tc>
        <w:tc>
          <w:tcPr>
            <w:tcW w:w="58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w w:val="93"/>
              </w:rPr>
              <w:t>Floor (d)</w:t>
            </w: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9"/>
                <w:szCs w:val="9"/>
                <w:b w:val="1"/>
                <w:bCs w:val="1"/>
                <w:color w:val="auto"/>
                <w:w w:val="99"/>
              </w:rPr>
              <w:t>Cash/PIK</w:t>
            </w:r>
          </w:p>
        </w:tc>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w w:val="95"/>
              </w:rPr>
              <w:t>Date (f)</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b w:val="1"/>
                <w:bCs w:val="1"/>
                <w:color w:val="auto"/>
              </w:rPr>
              <w:t>Maturity</w:t>
            </w:r>
          </w:p>
        </w:tc>
        <w:tc>
          <w:tcPr>
            <w:tcW w:w="40" w:type="dxa"/>
            <w:vAlign w:val="bottom"/>
          </w:tcPr>
          <w:p>
            <w:pPr>
              <w:spacing w:after="0"/>
              <w:rPr>
                <w:sz w:val="11"/>
                <w:szCs w:val="11"/>
                <w:color w:val="auto"/>
              </w:rPr>
            </w:pP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9"/>
                <w:szCs w:val="9"/>
                <w:b w:val="1"/>
                <w:bCs w:val="1"/>
                <w:color w:val="auto"/>
                <w:w w:val="95"/>
              </w:rPr>
              <w:t>Amount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Cost</w:t>
            </w:r>
          </w:p>
        </w:tc>
        <w:tc>
          <w:tcPr>
            <w:tcW w:w="400" w:type="dxa"/>
            <w:vAlign w:val="bottom"/>
            <w:gridSpan w:val="3"/>
          </w:tcPr>
          <w:p>
            <w:pPr>
              <w:spacing w:after="0"/>
              <w:rPr>
                <w:sz w:val="20"/>
                <w:szCs w:val="20"/>
                <w:color w:val="auto"/>
              </w:rPr>
            </w:pPr>
            <w:r>
              <w:rPr>
                <w:rFonts w:ascii="Times New Roman" w:cs="Times New Roman" w:eastAsia="Times New Roman" w:hAnsi="Times New Roman"/>
                <w:sz w:val="9"/>
                <w:szCs w:val="9"/>
                <w:b w:val="1"/>
                <w:bCs w:val="1"/>
                <w:color w:val="auto"/>
              </w:rPr>
              <w:t>Value (g)</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b w:val="1"/>
                <w:bCs w:val="1"/>
                <w:color w:val="auto"/>
                <w:w w:val="90"/>
              </w:rPr>
              <w:t>Net Assets</w:t>
            </w:r>
          </w:p>
        </w:tc>
        <w:tc>
          <w:tcPr>
            <w:tcW w:w="0" w:type="dxa"/>
            <w:vAlign w:val="bottom"/>
          </w:tcPr>
          <w:p>
            <w:pPr>
              <w:spacing w:after="0"/>
              <w:rPr>
                <w:sz w:val="1"/>
                <w:szCs w:val="1"/>
                <w:color w:val="auto"/>
              </w:rPr>
            </w:pPr>
          </w:p>
        </w:tc>
      </w:tr>
      <w:tr>
        <w:trPr>
          <w:trHeight w:val="63"/>
        </w:trPr>
        <w:tc>
          <w:tcPr>
            <w:tcW w:w="960" w:type="dxa"/>
            <w:vAlign w:val="bottom"/>
            <w:tcBorders>
              <w:top w:val="single" w:sz="8" w:color="CCEEFF"/>
              <w:bottom w:val="single" w:sz="8" w:color="auto"/>
            </w:tcBorders>
            <w:shd w:val="clear" w:color="auto" w:fill="CCEEFF"/>
          </w:tcPr>
          <w:p>
            <w:pPr>
              <w:spacing w:after="0" w:line="63" w:lineRule="exact"/>
              <w:rPr>
                <w:sz w:val="20"/>
                <w:szCs w:val="20"/>
                <w:color w:val="auto"/>
              </w:rPr>
            </w:pPr>
            <w:r>
              <w:rPr>
                <w:rFonts w:ascii="Times New Roman" w:cs="Times New Roman" w:eastAsia="Times New Roman" w:hAnsi="Times New Roman"/>
                <w:sz w:val="7"/>
                <w:szCs w:val="7"/>
                <w:b w:val="1"/>
                <w:bCs w:val="1"/>
                <w:color w:val="auto"/>
              </w:rPr>
              <w:t>Control Investments (t)</w:t>
            </w:r>
          </w:p>
        </w:tc>
        <w:tc>
          <w:tcPr>
            <w:tcW w:w="200" w:type="dxa"/>
            <w:vAlign w:val="bottom"/>
            <w:tcBorders>
              <w:top w:val="single" w:sz="8" w:color="CCEEFF"/>
              <w:bottom w:val="single" w:sz="8" w:color="CCEEFF"/>
            </w:tcBorders>
            <w:shd w:val="clear" w:color="auto" w:fill="CCEEFF"/>
          </w:tcPr>
          <w:p>
            <w:pPr>
              <w:spacing w:after="0"/>
              <w:rPr>
                <w:sz w:val="5"/>
                <w:szCs w:val="5"/>
                <w:color w:val="auto"/>
              </w:rPr>
            </w:pPr>
          </w:p>
        </w:tc>
        <w:tc>
          <w:tcPr>
            <w:tcW w:w="20" w:type="dxa"/>
            <w:vAlign w:val="bottom"/>
            <w:tcBorders>
              <w:top w:val="single" w:sz="8" w:color="CCEEFF"/>
              <w:bottom w:val="single" w:sz="8" w:color="CCEEFF"/>
            </w:tcBorders>
            <w:shd w:val="clear" w:color="auto" w:fill="CCEEFF"/>
          </w:tcPr>
          <w:p>
            <w:pPr>
              <w:spacing w:after="0"/>
              <w:rPr>
                <w:sz w:val="5"/>
                <w:szCs w:val="5"/>
                <w:color w:val="auto"/>
              </w:rPr>
            </w:pPr>
          </w:p>
        </w:tc>
        <w:tc>
          <w:tcPr>
            <w:tcW w:w="1460" w:type="dxa"/>
            <w:vAlign w:val="bottom"/>
            <w:tcBorders>
              <w:top w:val="single" w:sz="8" w:color="auto"/>
              <w:bottom w:val="single" w:sz="8" w:color="CCEEFF"/>
            </w:tcBorders>
            <w:shd w:val="clear" w:color="auto" w:fill="CCEEFF"/>
          </w:tcPr>
          <w:p>
            <w:pPr>
              <w:spacing w:after="0"/>
              <w:rPr>
                <w:sz w:val="5"/>
                <w:szCs w:val="5"/>
                <w:color w:val="auto"/>
              </w:rPr>
            </w:pPr>
          </w:p>
        </w:tc>
        <w:tc>
          <w:tcPr>
            <w:tcW w:w="40" w:type="dxa"/>
            <w:vAlign w:val="bottom"/>
            <w:tcBorders>
              <w:top w:val="single" w:sz="8" w:color="CCEEFF"/>
              <w:bottom w:val="single" w:sz="8" w:color="CCEEFF"/>
            </w:tcBorders>
            <w:shd w:val="clear" w:color="auto" w:fill="CCEEFF"/>
          </w:tcPr>
          <w:p>
            <w:pPr>
              <w:spacing w:after="0"/>
              <w:rPr>
                <w:sz w:val="5"/>
                <w:szCs w:val="5"/>
                <w:color w:val="auto"/>
              </w:rPr>
            </w:pPr>
          </w:p>
        </w:tc>
        <w:tc>
          <w:tcPr>
            <w:tcW w:w="1280" w:type="dxa"/>
            <w:vAlign w:val="bottom"/>
            <w:tcBorders>
              <w:top w:val="single" w:sz="8" w:color="auto"/>
              <w:bottom w:val="single" w:sz="8" w:color="CCEEFF"/>
            </w:tcBorders>
            <w:shd w:val="clear" w:color="auto" w:fill="CCEEFF"/>
          </w:tcPr>
          <w:p>
            <w:pPr>
              <w:spacing w:after="0"/>
              <w:rPr>
                <w:sz w:val="5"/>
                <w:szCs w:val="5"/>
                <w:color w:val="auto"/>
              </w:rPr>
            </w:pPr>
          </w:p>
        </w:tc>
        <w:tc>
          <w:tcPr>
            <w:tcW w:w="40" w:type="dxa"/>
            <w:vAlign w:val="bottom"/>
            <w:tcBorders>
              <w:top w:val="single" w:sz="8" w:color="CCEEFF"/>
              <w:bottom w:val="single" w:sz="8" w:color="CCEEFF"/>
            </w:tcBorders>
            <w:shd w:val="clear" w:color="auto" w:fill="CCEEFF"/>
          </w:tcPr>
          <w:p>
            <w:pPr>
              <w:spacing w:after="0"/>
              <w:rPr>
                <w:sz w:val="5"/>
                <w:szCs w:val="5"/>
                <w:color w:val="auto"/>
              </w:rPr>
            </w:pPr>
          </w:p>
        </w:tc>
        <w:tc>
          <w:tcPr>
            <w:tcW w:w="420" w:type="dxa"/>
            <w:vAlign w:val="bottom"/>
            <w:tcBorders>
              <w:top w:val="single" w:sz="8" w:color="auto"/>
              <w:bottom w:val="single" w:sz="8" w:color="CCEEFF"/>
            </w:tcBorders>
            <w:shd w:val="clear" w:color="auto" w:fill="CCEEFF"/>
          </w:tcPr>
          <w:p>
            <w:pPr>
              <w:spacing w:after="0"/>
              <w:rPr>
                <w:sz w:val="5"/>
                <w:szCs w:val="5"/>
                <w:color w:val="auto"/>
              </w:rPr>
            </w:pPr>
          </w:p>
        </w:tc>
        <w:tc>
          <w:tcPr>
            <w:tcW w:w="140" w:type="dxa"/>
            <w:vAlign w:val="bottom"/>
            <w:tcBorders>
              <w:top w:val="single" w:sz="8" w:color="CCEEFF"/>
              <w:bottom w:val="single" w:sz="8" w:color="CCEEFF"/>
            </w:tcBorders>
            <w:shd w:val="clear" w:color="auto" w:fill="CCEEFF"/>
          </w:tcPr>
          <w:p>
            <w:pPr>
              <w:spacing w:after="0"/>
              <w:rPr>
                <w:sz w:val="5"/>
                <w:szCs w:val="5"/>
                <w:color w:val="auto"/>
              </w:rPr>
            </w:pPr>
          </w:p>
        </w:tc>
        <w:tc>
          <w:tcPr>
            <w:tcW w:w="520" w:type="dxa"/>
            <w:vAlign w:val="bottom"/>
            <w:tcBorders>
              <w:top w:val="single" w:sz="8" w:color="auto"/>
              <w:bottom w:val="single" w:sz="8" w:color="CCEEFF"/>
            </w:tcBorders>
            <w:shd w:val="clear" w:color="auto" w:fill="CCEEFF"/>
          </w:tcPr>
          <w:p>
            <w:pPr>
              <w:spacing w:after="0"/>
              <w:rPr>
                <w:sz w:val="5"/>
                <w:szCs w:val="5"/>
                <w:color w:val="auto"/>
              </w:rPr>
            </w:pPr>
          </w:p>
        </w:tc>
        <w:tc>
          <w:tcPr>
            <w:tcW w:w="60" w:type="dxa"/>
            <w:vAlign w:val="bottom"/>
            <w:tcBorders>
              <w:top w:val="single" w:sz="8" w:color="CCEEFF"/>
              <w:bottom w:val="single" w:sz="8" w:color="CCEEFF"/>
            </w:tcBorders>
            <w:shd w:val="clear" w:color="auto" w:fill="CCEEFF"/>
          </w:tcPr>
          <w:p>
            <w:pPr>
              <w:spacing w:after="0"/>
              <w:rPr>
                <w:sz w:val="5"/>
                <w:szCs w:val="5"/>
                <w:color w:val="auto"/>
              </w:rPr>
            </w:pPr>
          </w:p>
        </w:tc>
        <w:tc>
          <w:tcPr>
            <w:tcW w:w="580" w:type="dxa"/>
            <w:vAlign w:val="bottom"/>
            <w:tcBorders>
              <w:top w:val="single" w:sz="8" w:color="auto"/>
              <w:bottom w:val="single" w:sz="8" w:color="CCEEFF"/>
            </w:tcBorders>
            <w:shd w:val="clear" w:color="auto" w:fill="CCEEFF"/>
          </w:tcPr>
          <w:p>
            <w:pPr>
              <w:spacing w:after="0"/>
              <w:rPr>
                <w:sz w:val="5"/>
                <w:szCs w:val="5"/>
                <w:color w:val="auto"/>
              </w:rPr>
            </w:pPr>
          </w:p>
        </w:tc>
        <w:tc>
          <w:tcPr>
            <w:tcW w:w="20" w:type="dxa"/>
            <w:vAlign w:val="bottom"/>
            <w:tcBorders>
              <w:top w:val="single" w:sz="8" w:color="CCEEFF"/>
              <w:bottom w:val="single" w:sz="8" w:color="CCEEFF"/>
            </w:tcBorders>
            <w:shd w:val="clear" w:color="auto" w:fill="CCEEFF"/>
          </w:tcPr>
          <w:p>
            <w:pPr>
              <w:spacing w:after="0"/>
              <w:rPr>
                <w:sz w:val="5"/>
                <w:szCs w:val="5"/>
                <w:color w:val="auto"/>
              </w:rPr>
            </w:pPr>
          </w:p>
        </w:tc>
        <w:tc>
          <w:tcPr>
            <w:tcW w:w="480" w:type="dxa"/>
            <w:vAlign w:val="bottom"/>
            <w:tcBorders>
              <w:top w:val="single" w:sz="8" w:color="auto"/>
              <w:bottom w:val="single" w:sz="8" w:color="CCEEFF"/>
            </w:tcBorders>
            <w:shd w:val="clear" w:color="auto" w:fill="CCEEFF"/>
          </w:tcPr>
          <w:p>
            <w:pPr>
              <w:spacing w:after="0"/>
              <w:rPr>
                <w:sz w:val="5"/>
                <w:szCs w:val="5"/>
                <w:color w:val="auto"/>
              </w:rPr>
            </w:pPr>
          </w:p>
        </w:tc>
        <w:tc>
          <w:tcPr>
            <w:tcW w:w="60" w:type="dxa"/>
            <w:vAlign w:val="bottom"/>
            <w:tcBorders>
              <w:top w:val="single" w:sz="8" w:color="CCEEFF"/>
              <w:bottom w:val="single" w:sz="8" w:color="CCEEFF"/>
            </w:tcBorders>
            <w:shd w:val="clear" w:color="auto" w:fill="CCEEFF"/>
          </w:tcPr>
          <w:p>
            <w:pPr>
              <w:spacing w:after="0"/>
              <w:rPr>
                <w:sz w:val="5"/>
                <w:szCs w:val="5"/>
                <w:color w:val="auto"/>
              </w:rPr>
            </w:pPr>
          </w:p>
        </w:tc>
        <w:tc>
          <w:tcPr>
            <w:tcW w:w="460" w:type="dxa"/>
            <w:vAlign w:val="bottom"/>
            <w:tcBorders>
              <w:top w:val="single" w:sz="8" w:color="auto"/>
              <w:bottom w:val="single" w:sz="8" w:color="CCEEFF"/>
            </w:tcBorders>
            <w:shd w:val="clear" w:color="auto" w:fill="CCEEFF"/>
          </w:tcPr>
          <w:p>
            <w:pPr>
              <w:spacing w:after="0"/>
              <w:rPr>
                <w:sz w:val="5"/>
                <w:szCs w:val="5"/>
                <w:color w:val="auto"/>
              </w:rPr>
            </w:pPr>
          </w:p>
        </w:tc>
        <w:tc>
          <w:tcPr>
            <w:tcW w:w="40" w:type="dxa"/>
            <w:vAlign w:val="bottom"/>
            <w:tcBorders>
              <w:top w:val="single" w:sz="8" w:color="CCEEFF"/>
              <w:bottom w:val="single" w:sz="8" w:color="CCEEFF"/>
            </w:tcBorders>
            <w:shd w:val="clear" w:color="auto" w:fill="CCEEFF"/>
          </w:tcPr>
          <w:p>
            <w:pPr>
              <w:spacing w:after="0"/>
              <w:rPr>
                <w:sz w:val="5"/>
                <w:szCs w:val="5"/>
                <w:color w:val="auto"/>
              </w:rPr>
            </w:pPr>
          </w:p>
        </w:tc>
        <w:tc>
          <w:tcPr>
            <w:tcW w:w="40" w:type="dxa"/>
            <w:vAlign w:val="bottom"/>
            <w:tcBorders>
              <w:top w:val="single" w:sz="8" w:color="CCEEFF"/>
              <w:bottom w:val="single" w:sz="8" w:color="CCEEFF"/>
            </w:tcBorders>
            <w:shd w:val="clear" w:color="auto" w:fill="CCEEFF"/>
          </w:tcPr>
          <w:p>
            <w:pPr>
              <w:spacing w:after="0"/>
              <w:rPr>
                <w:sz w:val="5"/>
                <w:szCs w:val="5"/>
                <w:color w:val="auto"/>
              </w:rPr>
            </w:pPr>
          </w:p>
        </w:tc>
        <w:tc>
          <w:tcPr>
            <w:tcW w:w="80" w:type="dxa"/>
            <w:vAlign w:val="bottom"/>
            <w:tcBorders>
              <w:top w:val="single" w:sz="8" w:color="auto"/>
              <w:bottom w:val="single" w:sz="8" w:color="CCEEFF"/>
            </w:tcBorders>
            <w:shd w:val="clear" w:color="auto" w:fill="CCEEFF"/>
          </w:tcPr>
          <w:p>
            <w:pPr>
              <w:spacing w:after="0"/>
              <w:rPr>
                <w:sz w:val="5"/>
                <w:szCs w:val="5"/>
                <w:color w:val="auto"/>
              </w:rPr>
            </w:pPr>
          </w:p>
        </w:tc>
        <w:tc>
          <w:tcPr>
            <w:tcW w:w="260" w:type="dxa"/>
            <w:vAlign w:val="bottom"/>
            <w:tcBorders>
              <w:top w:val="single" w:sz="8" w:color="auto"/>
              <w:bottom w:val="single" w:sz="8" w:color="CCEEFF"/>
            </w:tcBorders>
            <w:shd w:val="clear" w:color="auto" w:fill="CCEEFF"/>
          </w:tcPr>
          <w:p>
            <w:pPr>
              <w:spacing w:after="0"/>
              <w:rPr>
                <w:sz w:val="5"/>
                <w:szCs w:val="5"/>
                <w:color w:val="auto"/>
              </w:rPr>
            </w:pPr>
          </w:p>
        </w:tc>
        <w:tc>
          <w:tcPr>
            <w:tcW w:w="40" w:type="dxa"/>
            <w:vAlign w:val="bottom"/>
            <w:tcBorders>
              <w:top w:val="single" w:sz="8" w:color="CCEEFF"/>
              <w:bottom w:val="single" w:sz="8" w:color="CCEEFF"/>
            </w:tcBorders>
            <w:shd w:val="clear" w:color="auto" w:fill="CCEEFF"/>
          </w:tcPr>
          <w:p>
            <w:pPr>
              <w:spacing w:after="0"/>
              <w:rPr>
                <w:sz w:val="5"/>
                <w:szCs w:val="5"/>
                <w:color w:val="auto"/>
              </w:rPr>
            </w:pPr>
          </w:p>
        </w:tc>
        <w:tc>
          <w:tcPr>
            <w:tcW w:w="40" w:type="dxa"/>
            <w:vAlign w:val="bottom"/>
            <w:tcBorders>
              <w:top w:val="single" w:sz="8" w:color="CCEEFF"/>
              <w:bottom w:val="single" w:sz="8" w:color="CCEEFF"/>
            </w:tcBorders>
            <w:shd w:val="clear" w:color="auto" w:fill="CCEEFF"/>
          </w:tcPr>
          <w:p>
            <w:pPr>
              <w:spacing w:after="0"/>
              <w:rPr>
                <w:sz w:val="5"/>
                <w:szCs w:val="5"/>
                <w:color w:val="auto"/>
              </w:rPr>
            </w:pPr>
          </w:p>
        </w:tc>
        <w:tc>
          <w:tcPr>
            <w:tcW w:w="40" w:type="dxa"/>
            <w:vAlign w:val="bottom"/>
            <w:tcBorders>
              <w:top w:val="single" w:sz="8" w:color="auto"/>
              <w:bottom w:val="single" w:sz="8" w:color="CCEEFF"/>
            </w:tcBorders>
            <w:shd w:val="clear" w:color="auto" w:fill="CCEEFF"/>
          </w:tcPr>
          <w:p>
            <w:pPr>
              <w:spacing w:after="0"/>
              <w:rPr>
                <w:sz w:val="5"/>
                <w:szCs w:val="5"/>
                <w:color w:val="auto"/>
              </w:rPr>
            </w:pPr>
          </w:p>
        </w:tc>
        <w:tc>
          <w:tcPr>
            <w:tcW w:w="260" w:type="dxa"/>
            <w:vAlign w:val="bottom"/>
            <w:tcBorders>
              <w:top w:val="single" w:sz="8" w:color="auto"/>
              <w:bottom w:val="single" w:sz="8" w:color="CCEEFF"/>
            </w:tcBorders>
            <w:shd w:val="clear" w:color="auto" w:fill="CCEEFF"/>
          </w:tcPr>
          <w:p>
            <w:pPr>
              <w:spacing w:after="0"/>
              <w:rPr>
                <w:sz w:val="5"/>
                <w:szCs w:val="5"/>
                <w:color w:val="auto"/>
              </w:rPr>
            </w:pPr>
          </w:p>
        </w:tc>
        <w:tc>
          <w:tcPr>
            <w:tcW w:w="80" w:type="dxa"/>
            <w:vAlign w:val="bottom"/>
            <w:tcBorders>
              <w:top w:val="single" w:sz="8" w:color="CCEEFF"/>
              <w:bottom w:val="single" w:sz="8" w:color="CCEEFF"/>
            </w:tcBorders>
            <w:shd w:val="clear" w:color="auto" w:fill="CCEEFF"/>
          </w:tcPr>
          <w:p>
            <w:pPr>
              <w:spacing w:after="0"/>
              <w:rPr>
                <w:sz w:val="5"/>
                <w:szCs w:val="5"/>
                <w:color w:val="auto"/>
              </w:rPr>
            </w:pPr>
          </w:p>
        </w:tc>
        <w:tc>
          <w:tcPr>
            <w:tcW w:w="60" w:type="dxa"/>
            <w:vAlign w:val="bottom"/>
            <w:tcBorders>
              <w:top w:val="single" w:sz="8" w:color="auto"/>
              <w:bottom w:val="single" w:sz="8" w:color="CCEEFF"/>
            </w:tcBorders>
            <w:shd w:val="clear" w:color="auto" w:fill="CCEEFF"/>
          </w:tcPr>
          <w:p>
            <w:pPr>
              <w:spacing w:after="0"/>
              <w:rPr>
                <w:sz w:val="5"/>
                <w:szCs w:val="5"/>
                <w:color w:val="auto"/>
              </w:rPr>
            </w:pPr>
          </w:p>
        </w:tc>
        <w:tc>
          <w:tcPr>
            <w:tcW w:w="280" w:type="dxa"/>
            <w:vAlign w:val="bottom"/>
            <w:tcBorders>
              <w:top w:val="single" w:sz="8" w:color="auto"/>
              <w:bottom w:val="single" w:sz="8" w:color="CCEEFF"/>
            </w:tcBorders>
            <w:shd w:val="clear" w:color="auto" w:fill="CCEEFF"/>
          </w:tcPr>
          <w:p>
            <w:pPr>
              <w:spacing w:after="0"/>
              <w:rPr>
                <w:sz w:val="5"/>
                <w:szCs w:val="5"/>
                <w:color w:val="auto"/>
              </w:rPr>
            </w:pPr>
          </w:p>
        </w:tc>
        <w:tc>
          <w:tcPr>
            <w:tcW w:w="60" w:type="dxa"/>
            <w:vAlign w:val="bottom"/>
            <w:tcBorders>
              <w:top w:val="single" w:sz="8" w:color="CCEEFF"/>
              <w:bottom w:val="single" w:sz="8" w:color="CCEEFF"/>
            </w:tcBorders>
            <w:shd w:val="clear" w:color="auto" w:fill="CCEEFF"/>
          </w:tcPr>
          <w:p>
            <w:pPr>
              <w:spacing w:after="0"/>
              <w:rPr>
                <w:sz w:val="5"/>
                <w:szCs w:val="5"/>
                <w:color w:val="auto"/>
              </w:rPr>
            </w:pPr>
          </w:p>
        </w:tc>
        <w:tc>
          <w:tcPr>
            <w:tcW w:w="400" w:type="dxa"/>
            <w:vAlign w:val="bottom"/>
            <w:tcBorders>
              <w:top w:val="single" w:sz="8" w:color="auto"/>
              <w:bottom w:val="single" w:sz="8" w:color="CCEEFF"/>
            </w:tcBorders>
            <w:shd w:val="clear" w:color="auto" w:fill="CCEEFF"/>
          </w:tcPr>
          <w:p>
            <w:pPr>
              <w:spacing w:after="0"/>
              <w:rPr>
                <w:sz w:val="5"/>
                <w:szCs w:val="5"/>
                <w:color w:val="auto"/>
              </w:rPr>
            </w:pPr>
          </w:p>
        </w:tc>
        <w:tc>
          <w:tcPr>
            <w:tcW w:w="100" w:type="dxa"/>
            <w:vAlign w:val="bottom"/>
            <w:tcBorders>
              <w:top w:val="single" w:sz="8" w:color="CCEEFF"/>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160" w:type="dxa"/>
            <w:vAlign w:val="bottom"/>
            <w:gridSpan w:val="2"/>
          </w:tcPr>
          <w:p>
            <w:pPr>
              <w:spacing w:after="0" w:line="93" w:lineRule="exact"/>
              <w:rPr>
                <w:sz w:val="20"/>
                <w:szCs w:val="20"/>
                <w:color w:val="auto"/>
              </w:rPr>
            </w:pPr>
            <w:r>
              <w:rPr>
                <w:rFonts w:ascii="Times New Roman" w:cs="Times New Roman" w:eastAsia="Times New Roman" w:hAnsi="Times New Roman"/>
                <w:sz w:val="10"/>
                <w:szCs w:val="10"/>
                <w:i w:val="1"/>
                <w:iCs w:val="1"/>
                <w:color w:val="auto"/>
              </w:rPr>
              <w:t>US GreenFiber, LLC (n)</w:t>
            </w:r>
          </w:p>
        </w:tc>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60" w:type="dxa"/>
            <w:vAlign w:val="bottom"/>
            <w:gridSpan w:val="3"/>
          </w:tcPr>
          <w:p>
            <w:pPr>
              <w:ind w:left="40"/>
              <w:spacing w:after="0" w:line="93" w:lineRule="exact"/>
              <w:rPr>
                <w:sz w:val="20"/>
                <w:szCs w:val="20"/>
                <w:color w:val="auto"/>
              </w:rPr>
            </w:pPr>
            <w:r>
              <w:rPr>
                <w:rFonts w:ascii="Times New Roman" w:cs="Times New Roman" w:eastAsia="Times New Roman" w:hAnsi="Times New Roman"/>
                <w:sz w:val="10"/>
                <w:szCs w:val="10"/>
                <w:color w:val="auto"/>
                <w:w w:val="96"/>
              </w:rPr>
              <w:t>Building Products Manufacturing</w:t>
            </w: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160" w:type="dxa"/>
            <w:vAlign w:val="bottom"/>
            <w:gridSpan w:val="2"/>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rPr>
              <w:t>5500 77 Center Drive,</w:t>
            </w:r>
          </w:p>
        </w:tc>
        <w:tc>
          <w:tcPr>
            <w:tcW w:w="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Suite 100</w:t>
            </w:r>
          </w:p>
        </w:tc>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Common Equity (2,522 units) (h)</w:t>
            </w:r>
          </w:p>
        </w:tc>
        <w:tc>
          <w:tcPr>
            <w:tcW w:w="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0.0%</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7/3/2014</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586</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— </w:t>
            </w: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gridSpan w:val="2"/>
          </w:tcPr>
          <w:p>
            <w:pPr>
              <w:ind w:left="200"/>
              <w:spacing w:after="0" w:line="103" w:lineRule="exact"/>
              <w:rPr>
                <w:sz w:val="20"/>
                <w:szCs w:val="20"/>
                <w:color w:val="auto"/>
              </w:rPr>
            </w:pPr>
            <w:r>
              <w:rPr>
                <w:rFonts w:ascii="Times New Roman" w:cs="Times New Roman" w:eastAsia="Times New Roman" w:hAnsi="Times New Roman"/>
                <w:sz w:val="10"/>
                <w:szCs w:val="10"/>
                <w:color w:val="auto"/>
              </w:rPr>
              <w:t>Charlotte, NC 28217</w:t>
            </w:r>
          </w:p>
        </w:tc>
        <w:tc>
          <w:tcPr>
            <w:tcW w:w="148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(425,508 units)</w:t>
            </w:r>
          </w:p>
        </w:tc>
        <w:tc>
          <w:tcPr>
            <w:tcW w:w="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47.9%</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8/30/2019</w:t>
            </w: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gridSpan w:val="2"/>
          </w:tcPr>
          <w:p>
            <w:pPr>
              <w:ind w:left="220"/>
              <w:spacing w:after="0" w:line="103" w:lineRule="exact"/>
              <w:rPr>
                <w:sz w:val="20"/>
                <w:szCs w:val="20"/>
                <w:color w:val="auto"/>
              </w:rPr>
            </w:pPr>
            <w:r>
              <w:rPr>
                <w:rFonts w:ascii="Times New Roman" w:cs="Times New Roman" w:eastAsia="Times New Roman" w:hAnsi="Times New Roman"/>
                <w:sz w:val="10"/>
                <w:szCs w:val="10"/>
                <w:color w:val="auto"/>
              </w:rPr>
              <w:t>1</w:t>
            </w:r>
          </w:p>
        </w:tc>
        <w:tc>
          <w:tcPr>
            <w:tcW w:w="60" w:type="dxa"/>
            <w:vAlign w:val="bottom"/>
          </w:tcPr>
          <w:p>
            <w:pPr>
              <w:spacing w:after="0"/>
              <w:rPr>
                <w:sz w:val="8"/>
                <w:szCs w:val="8"/>
                <w:color w:val="auto"/>
              </w:rPr>
            </w:pPr>
          </w:p>
        </w:tc>
        <w:tc>
          <w:tcPr>
            <w:tcW w:w="340" w:type="dxa"/>
            <w:vAlign w:val="bottom"/>
            <w:gridSpan w:val="2"/>
          </w:tcPr>
          <w:p>
            <w:pPr>
              <w:ind w:left="14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9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80" w:type="dxa"/>
            <w:vAlign w:val="bottom"/>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w w:val="94"/>
              </w:rPr>
              <w:t>Common Equity (1,022,813 units) (h)</w:t>
            </w:r>
          </w:p>
        </w:tc>
        <w:tc>
          <w:tcPr>
            <w:tcW w:w="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65.3%</w:t>
            </w: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7/1/2020</w:t>
            </w: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jc w:val="right"/>
              <w:spacing w:after="0" w:line="103" w:lineRule="exact"/>
              <w:rPr>
                <w:sz w:val="20"/>
                <w:szCs w:val="20"/>
                <w:color w:val="auto"/>
              </w:rPr>
            </w:pPr>
            <w:r>
              <w:rPr>
                <w:rFonts w:ascii="Times New Roman" w:cs="Times New Roman" w:eastAsia="Times New Roman" w:hAnsi="Times New Roman"/>
                <w:sz w:val="10"/>
                <w:szCs w:val="10"/>
                <w:color w:val="auto"/>
              </w:rPr>
              <w:t>1,023</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4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260" w:type="dxa"/>
            <w:vAlign w:val="bottom"/>
            <w:tcBorders>
              <w:top w:val="single" w:sz="8" w:color="auto"/>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0"/>
                <w:szCs w:val="10"/>
                <w:color w:val="auto"/>
              </w:rPr>
              <w:t>1,610</w:t>
            </w:r>
          </w:p>
        </w:tc>
        <w:tc>
          <w:tcPr>
            <w:tcW w:w="8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280" w:type="dxa"/>
            <w:vAlign w:val="bottom"/>
            <w:tcBorders>
              <w:top w:val="single" w:sz="8" w:color="auto"/>
              <w:bottom w:val="single" w:sz="8" w:color="auto"/>
            </w:tcBorders>
          </w:tcPr>
          <w:p>
            <w:pPr>
              <w:ind w:left="140"/>
              <w:spacing w:after="0" w:line="104" w:lineRule="exact"/>
              <w:rPr>
                <w:sz w:val="20"/>
                <w:szCs w:val="20"/>
                <w:color w:val="auto"/>
              </w:rPr>
            </w:pPr>
            <w:r>
              <w:rPr>
                <w:rFonts w:ascii="Times New Roman" w:cs="Times New Roman" w:eastAsia="Times New Roman" w:hAnsi="Times New Roman"/>
                <w:sz w:val="10"/>
                <w:szCs w:val="10"/>
                <w:color w:val="auto"/>
                <w:w w:val="79"/>
              </w:rPr>
              <w:t>— </w:t>
            </w:r>
          </w:p>
        </w:tc>
        <w:tc>
          <w:tcPr>
            <w:tcW w:w="60" w:type="dxa"/>
            <w:vAlign w:val="bottom"/>
          </w:tcPr>
          <w:p>
            <w:pPr>
              <w:spacing w:after="0"/>
              <w:rPr>
                <w:sz w:val="9"/>
                <w:szCs w:val="9"/>
                <w:color w:val="auto"/>
              </w:rPr>
            </w:pPr>
          </w:p>
        </w:tc>
        <w:tc>
          <w:tcPr>
            <w:tcW w:w="500" w:type="dxa"/>
            <w:vAlign w:val="bottom"/>
            <w:gridSpan w:val="2"/>
          </w:tcPr>
          <w:p>
            <w:pPr>
              <w:jc w:val="right"/>
              <w:ind w:right="20"/>
              <w:spacing w:after="0" w:line="104" w:lineRule="exact"/>
              <w:rPr>
                <w:sz w:val="20"/>
                <w:szCs w:val="20"/>
                <w:color w:val="auto"/>
              </w:rPr>
            </w:pPr>
            <w:r>
              <w:rPr>
                <w:rFonts w:ascii="Times New Roman" w:cs="Times New Roman" w:eastAsia="Times New Roman" w:hAnsi="Times New Roman"/>
                <w:sz w:val="10"/>
                <w:szCs w:val="10"/>
                <w:color w:val="auto"/>
              </w:rPr>
              <w:t>0%</w:t>
            </w:r>
          </w:p>
        </w:tc>
        <w:tc>
          <w:tcPr>
            <w:tcW w:w="0" w:type="dxa"/>
            <w:vAlign w:val="bottom"/>
          </w:tcPr>
          <w:p>
            <w:pPr>
              <w:spacing w:after="0"/>
              <w:rPr>
                <w:sz w:val="1"/>
                <w:szCs w:val="1"/>
                <w:color w:val="auto"/>
              </w:rPr>
            </w:pPr>
          </w:p>
        </w:tc>
      </w:tr>
      <w:tr>
        <w:trPr>
          <w:trHeight w:val="103"/>
        </w:trPr>
        <w:tc>
          <w:tcPr>
            <w:tcW w:w="1160" w:type="dxa"/>
            <w:vAlign w:val="bottom"/>
            <w:gridSpan w:val="2"/>
            <w:shd w:val="clear" w:color="auto" w:fill="CCEEFF"/>
          </w:tcPr>
          <w:p>
            <w:pPr>
              <w:spacing w:after="0" w:line="103" w:lineRule="exact"/>
              <w:rPr>
                <w:sz w:val="20"/>
                <w:szCs w:val="20"/>
                <w:color w:val="auto"/>
              </w:rPr>
            </w:pPr>
            <w:r>
              <w:rPr>
                <w:rFonts w:ascii="Times New Roman" w:cs="Times New Roman" w:eastAsia="Times New Roman" w:hAnsi="Times New Roman"/>
                <w:sz w:val="10"/>
                <w:szCs w:val="10"/>
                <w:b w:val="1"/>
                <w:bCs w:val="1"/>
                <w:color w:val="auto"/>
              </w:rPr>
              <w:t>Total Control Investments</w:t>
            </w:r>
          </w:p>
        </w:tc>
        <w:tc>
          <w:tcPr>
            <w:tcW w:w="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gridSpan w:val="2"/>
            <w:shd w:val="clear" w:color="auto" w:fill="CCEEFF"/>
          </w:tcPr>
          <w:p>
            <w:pPr>
              <w:jc w:val="right"/>
              <w:spacing w:after="0" w:line="10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jc w:val="right"/>
              <w:spacing w:after="0" w:line="103" w:lineRule="exact"/>
              <w:rPr>
                <w:sz w:val="20"/>
                <w:szCs w:val="20"/>
                <w:color w:val="auto"/>
              </w:rPr>
            </w:pPr>
            <w:r>
              <w:rPr>
                <w:rFonts w:ascii="Times New Roman" w:cs="Times New Roman" w:eastAsia="Times New Roman" w:hAnsi="Times New Roman"/>
                <w:sz w:val="10"/>
                <w:szCs w:val="10"/>
                <w:color w:val="auto"/>
              </w:rPr>
              <w:t>1,610</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gridSpan w:val="2"/>
            <w:shd w:val="clear" w:color="auto" w:fill="CCEEFF"/>
          </w:tcPr>
          <w:p>
            <w:pPr>
              <w:ind w:left="140"/>
              <w:spacing w:after="0" w:line="103" w:lineRule="exact"/>
              <w:rPr>
                <w:sz w:val="20"/>
                <w:szCs w:val="20"/>
                <w:color w:val="auto"/>
              </w:rPr>
            </w:pPr>
            <w:r>
              <w:rPr>
                <w:rFonts w:ascii="Times New Roman" w:cs="Times New Roman" w:eastAsia="Times New Roman" w:hAnsi="Times New Roman"/>
                <w:sz w:val="10"/>
                <w:szCs w:val="10"/>
                <w:color w:val="auto"/>
              </w:rPr>
              <w:t xml:space="preserve">— </w:t>
            </w:r>
          </w:p>
        </w:tc>
        <w:tc>
          <w:tcPr>
            <w:tcW w:w="500" w:type="dxa"/>
            <w:vAlign w:val="bottom"/>
            <w:gridSpan w:val="2"/>
            <w:shd w:val="clear" w:color="auto" w:fill="CCEEFF"/>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0%</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114" w:lineRule="exact"/>
              <w:rPr>
                <w:sz w:val="20"/>
                <w:szCs w:val="20"/>
                <w:color w:val="auto"/>
              </w:rPr>
            </w:pPr>
            <w:r>
              <w:rPr>
                <w:rFonts w:ascii="Times New Roman" w:cs="Times New Roman" w:eastAsia="Times New Roman" w:hAnsi="Times New Roman"/>
                <w:sz w:val="10"/>
                <w:szCs w:val="10"/>
                <w:b w:val="1"/>
                <w:bCs w:val="1"/>
                <w:color w:val="auto"/>
              </w:rPr>
              <w:t>Affiliate Investments (l)</w:t>
            </w: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116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960" w:type="dxa"/>
            <w:vAlign w:val="bottom"/>
            <w:tcBorders>
              <w:top w:val="single" w:sz="8" w:color="auto"/>
            </w:tcBorders>
            <w:shd w:val="clear" w:color="auto" w:fill="CCEEFF"/>
          </w:tcPr>
          <w:p>
            <w:pPr>
              <w:spacing w:after="0" w:line="78" w:lineRule="exact"/>
              <w:rPr>
                <w:sz w:val="20"/>
                <w:szCs w:val="20"/>
                <w:color w:val="auto"/>
              </w:rPr>
            </w:pPr>
            <w:r>
              <w:rPr>
                <w:rFonts w:ascii="Times New Roman" w:cs="Times New Roman" w:eastAsia="Times New Roman" w:hAnsi="Times New Roman"/>
                <w:sz w:val="8"/>
                <w:szCs w:val="8"/>
                <w:i w:val="1"/>
                <w:iCs w:val="1"/>
                <w:color w:val="auto"/>
              </w:rPr>
              <w:t>Applegate Greenfiber</w:t>
            </w:r>
          </w:p>
        </w:tc>
        <w:tc>
          <w:tcPr>
            <w:tcW w:w="2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160" w:type="dxa"/>
            <w:vAlign w:val="bottom"/>
            <w:gridSpan w:val="2"/>
            <w:shd w:val="clear" w:color="auto" w:fill="CCEEFF"/>
          </w:tcPr>
          <w:p>
            <w:pPr>
              <w:ind w:left="100"/>
              <w:spacing w:after="0" w:line="103" w:lineRule="exact"/>
              <w:rPr>
                <w:sz w:val="20"/>
                <w:szCs w:val="20"/>
                <w:color w:val="auto"/>
              </w:rPr>
            </w:pPr>
            <w:r>
              <w:rPr>
                <w:rFonts w:ascii="Times New Roman" w:cs="Times New Roman" w:eastAsia="Times New Roman" w:hAnsi="Times New Roman"/>
                <w:sz w:val="10"/>
                <w:szCs w:val="10"/>
                <w:i w:val="1"/>
                <w:iCs w:val="1"/>
                <w:color w:val="auto"/>
              </w:rPr>
              <w:t>Intermediate Inc. (fka US</w:t>
            </w:r>
          </w:p>
        </w:tc>
        <w:tc>
          <w:tcPr>
            <w:tcW w:w="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i w:val="1"/>
                <w:iCs w:val="1"/>
                <w:color w:val="auto"/>
              </w:rPr>
              <w:t>GreenFiber, LLC)</w:t>
            </w:r>
          </w:p>
        </w:tc>
        <w:tc>
          <w:tcPr>
            <w:tcW w:w="2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3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96"/>
              </w:rPr>
              <w:t>Building Products Manufacturing</w:t>
            </w: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gridSpan w:val="2"/>
          </w:tcPr>
          <w:p>
            <w:pPr>
              <w:ind w:left="200"/>
              <w:spacing w:after="0" w:line="90" w:lineRule="exact"/>
              <w:rPr>
                <w:sz w:val="20"/>
                <w:szCs w:val="20"/>
                <w:color w:val="auto"/>
              </w:rPr>
            </w:pPr>
            <w:r>
              <w:rPr>
                <w:rFonts w:ascii="Times New Roman" w:cs="Times New Roman" w:eastAsia="Times New Roman" w:hAnsi="Times New Roman"/>
                <w:sz w:val="10"/>
                <w:szCs w:val="10"/>
                <w:color w:val="auto"/>
              </w:rPr>
              <w:t>5500 77 Center Drive,</w:t>
            </w:r>
          </w:p>
        </w:tc>
        <w:tc>
          <w:tcPr>
            <w:tcW w:w="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Suite 100</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Subordinated Debt</w:t>
            </w:r>
          </w:p>
        </w:tc>
        <w:tc>
          <w:tcPr>
            <w:tcW w:w="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color w:val="auto"/>
                <w:w w:val="97"/>
              </w:rPr>
              <w:t>11.00%/0.00%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12/31/2021</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w w:val="96"/>
              </w:rPr>
              <w:t>12/31/2027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9,602</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9,602</w:t>
            </w:r>
          </w:p>
        </w:tc>
        <w:tc>
          <w:tcPr>
            <w:tcW w:w="80" w:type="dxa"/>
            <w:vAlign w:val="bottom"/>
          </w:tcPr>
          <w:p>
            <w:pPr>
              <w:spacing w:after="0"/>
              <w:rPr>
                <w:sz w:val="10"/>
                <w:szCs w:val="1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9,602</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gridSpan w:val="2"/>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Charlotte, NC 28217</w:t>
            </w:r>
          </w:p>
        </w:tc>
        <w:tc>
          <w:tcPr>
            <w:tcW w:w="1480" w:type="dxa"/>
            <w:vAlign w:val="bottom"/>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(5,690 units) (h)</w:t>
            </w:r>
          </w:p>
        </w:tc>
        <w:tc>
          <w:tcPr>
            <w:tcW w:w="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9.5%</w:t>
            </w: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12/31/2021</w:t>
            </w: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jc w:val="right"/>
              <w:spacing w:after="0" w:line="103" w:lineRule="exact"/>
              <w:rPr>
                <w:sz w:val="20"/>
                <w:szCs w:val="20"/>
                <w:color w:val="auto"/>
              </w:rPr>
            </w:pPr>
            <w:r>
              <w:rPr>
                <w:rFonts w:ascii="Times New Roman" w:cs="Times New Roman" w:eastAsia="Times New Roman" w:hAnsi="Times New Roman"/>
                <w:sz w:val="10"/>
                <w:szCs w:val="10"/>
                <w:color w:val="auto"/>
              </w:rPr>
              <w:t>5,690</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7,183</w:t>
            </w: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(7,113 units) (h)</w:t>
            </w:r>
          </w:p>
        </w:tc>
        <w:tc>
          <w:tcPr>
            <w:tcW w:w="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0.0%</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12/31/2021</w:t>
            </w: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7,113</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9,702</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9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80" w:type="dxa"/>
            <w:vAlign w:val="bottom"/>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(2,012 units) (h)</w:t>
            </w:r>
          </w:p>
        </w:tc>
        <w:tc>
          <w:tcPr>
            <w:tcW w:w="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3.4%</w:t>
            </w: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12/31/2021</w:t>
            </w: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20"/>
              <w:spacing w:after="0" w:line="103" w:lineRule="exact"/>
              <w:rPr>
                <w:sz w:val="20"/>
                <w:szCs w:val="20"/>
                <w:color w:val="auto"/>
              </w:rPr>
            </w:pPr>
            <w:r>
              <w:rPr>
                <w:rFonts w:ascii="Times New Roman" w:cs="Times New Roman" w:eastAsia="Times New Roman" w:hAnsi="Times New Roman"/>
                <w:sz w:val="10"/>
                <w:szCs w:val="10"/>
                <w:color w:val="auto"/>
              </w:rPr>
              <w:t xml:space="preserve">— </w:t>
            </w: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4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w w:val="87"/>
              </w:rPr>
              <w:t>22,405</w:t>
            </w: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w w:val="94"/>
              </w:rPr>
              <w:t>26,487</w:t>
            </w:r>
          </w:p>
        </w:tc>
        <w:tc>
          <w:tcPr>
            <w:tcW w:w="60" w:type="dxa"/>
            <w:vAlign w:val="bottom"/>
          </w:tcPr>
          <w:p>
            <w:pPr>
              <w:spacing w:after="0"/>
              <w:rPr>
                <w:sz w:val="9"/>
                <w:szCs w:val="9"/>
                <w:color w:val="auto"/>
              </w:rPr>
            </w:pPr>
          </w:p>
        </w:tc>
        <w:tc>
          <w:tcPr>
            <w:tcW w:w="500" w:type="dxa"/>
            <w:vAlign w:val="bottom"/>
            <w:gridSpan w:val="2"/>
          </w:tcPr>
          <w:p>
            <w:pPr>
              <w:jc w:val="right"/>
              <w:ind w:right="20"/>
              <w:spacing w:after="0" w:line="111" w:lineRule="exact"/>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41"/>
        </w:trPr>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1160" w:type="dxa"/>
            <w:vAlign w:val="bottom"/>
            <w:gridSpan w:val="2"/>
            <w:shd w:val="clear" w:color="auto" w:fill="CCEEFF"/>
          </w:tcPr>
          <w:p>
            <w:pPr>
              <w:spacing w:after="0" w:line="103" w:lineRule="exact"/>
              <w:rPr>
                <w:sz w:val="20"/>
                <w:szCs w:val="20"/>
                <w:color w:val="auto"/>
              </w:rPr>
            </w:pPr>
            <w:r>
              <w:rPr>
                <w:rFonts w:ascii="Times New Roman" w:cs="Times New Roman" w:eastAsia="Times New Roman" w:hAnsi="Times New Roman"/>
                <w:sz w:val="10"/>
                <w:szCs w:val="10"/>
                <w:i w:val="1"/>
                <w:iCs w:val="1"/>
                <w:color w:val="auto"/>
              </w:rPr>
              <w:t>CP Communications, LLC</w:t>
            </w:r>
          </w:p>
        </w:tc>
        <w:tc>
          <w:tcPr>
            <w:tcW w:w="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1360" w:type="dxa"/>
            <w:vAlign w:val="bottom"/>
            <w:gridSpan w:val="3"/>
            <w:shd w:val="clear" w:color="auto" w:fill="CCEEFF"/>
          </w:tcPr>
          <w:p>
            <w:pPr>
              <w:ind w:left="40"/>
              <w:spacing w:after="0" w:line="103" w:lineRule="exact"/>
              <w:rPr>
                <w:sz w:val="20"/>
                <w:szCs w:val="20"/>
                <w:color w:val="auto"/>
              </w:rPr>
            </w:pPr>
            <w:r>
              <w:rPr>
                <w:rFonts w:ascii="Times New Roman" w:cs="Times New Roman" w:eastAsia="Times New Roman" w:hAnsi="Times New Roman"/>
                <w:sz w:val="10"/>
                <w:szCs w:val="10"/>
                <w:color w:val="auto"/>
              </w:rPr>
              <w:t>Business Services</w:t>
            </w: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160" w:type="dxa"/>
            <w:vAlign w:val="bottom"/>
            <w:gridSpan w:val="2"/>
          </w:tcPr>
          <w:p>
            <w:pPr>
              <w:ind w:left="200"/>
              <w:spacing w:after="0" w:line="90" w:lineRule="exact"/>
              <w:rPr>
                <w:sz w:val="20"/>
                <w:szCs w:val="20"/>
                <w:color w:val="auto"/>
              </w:rPr>
            </w:pPr>
            <w:r>
              <w:rPr>
                <w:rFonts w:ascii="Times New Roman" w:cs="Times New Roman" w:eastAsia="Times New Roman" w:hAnsi="Times New Roman"/>
                <w:sz w:val="10"/>
                <w:szCs w:val="10"/>
                <w:color w:val="auto"/>
              </w:rPr>
              <w:t>9965 18th Street</w:t>
            </w:r>
          </w:p>
        </w:tc>
        <w:tc>
          <w:tcPr>
            <w:tcW w:w="1480" w:type="dxa"/>
            <w:vAlign w:val="bottom"/>
            <w:gridSpan w:val="2"/>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 (am)</w:t>
            </w:r>
          </w:p>
        </w:tc>
        <w:tc>
          <w:tcPr>
            <w:tcW w:w="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gridSpan w:val="2"/>
          </w:tcPr>
          <w:p>
            <w:pPr>
              <w:jc w:val="center"/>
              <w:ind w:right="40"/>
              <w:spacing w:after="0" w:line="90" w:lineRule="exact"/>
              <w:rPr>
                <w:sz w:val="20"/>
                <w:szCs w:val="20"/>
                <w:color w:val="auto"/>
              </w:rPr>
            </w:pPr>
            <w:r>
              <w:rPr>
                <w:rFonts w:ascii="Times New Roman" w:cs="Times New Roman" w:eastAsia="Times New Roman" w:hAnsi="Times New Roman"/>
                <w:sz w:val="10"/>
                <w:szCs w:val="10"/>
                <w:color w:val="auto"/>
                <w:w w:val="94"/>
              </w:rPr>
              <w:t>(S + 8.50%)</w:t>
            </w: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ind w:right="74"/>
              <w:spacing w:after="0"/>
              <w:rPr>
                <w:sz w:val="20"/>
                <w:szCs w:val="20"/>
                <w:color w:val="auto"/>
              </w:rPr>
            </w:pPr>
            <w:r>
              <w:rPr>
                <w:rFonts w:ascii="Times New Roman" w:cs="Times New Roman" w:eastAsia="Times New Roman" w:hAnsi="Times New Roman"/>
                <w:sz w:val="10"/>
                <w:szCs w:val="10"/>
                <w:color w:val="auto"/>
              </w:rPr>
              <w:t>/ (4.00%)</w:t>
            </w:r>
          </w:p>
        </w:tc>
        <w:tc>
          <w:tcPr>
            <w:tcW w:w="60" w:type="dxa"/>
            <w:vAlign w:val="bottom"/>
          </w:tcPr>
          <w:p>
            <w:pPr>
              <w:spacing w:after="0"/>
              <w:rPr>
                <w:sz w:val="10"/>
                <w:szCs w:val="10"/>
                <w:color w:val="auto"/>
              </w:rPr>
            </w:pP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color w:val="auto"/>
                <w:w w:val="97"/>
              </w:rPr>
              <w:t>12.50%/0.00%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12/4/2024</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12/4/2029</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5,861</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5,825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5,861</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640" w:type="dxa"/>
            <w:vAlign w:val="bottom"/>
            <w:gridSpan w:val="4"/>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St. Petersburg, FL 33716 Preferred Equity (62 units)</w:t>
            </w:r>
          </w:p>
        </w:tc>
        <w:tc>
          <w:tcPr>
            <w:tcW w:w="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5.9%</w:t>
            </w: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12/4/2024</w:t>
            </w: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gridSpan w:val="2"/>
            <w:shd w:val="clear" w:color="auto" w:fill="CCEEFF"/>
          </w:tcPr>
          <w:p>
            <w:pPr>
              <w:ind w:left="120"/>
              <w:spacing w:after="0" w:line="103" w:lineRule="exact"/>
              <w:rPr>
                <w:sz w:val="20"/>
                <w:szCs w:val="20"/>
                <w:color w:val="auto"/>
              </w:rPr>
            </w:pPr>
            <w:r>
              <w:rPr>
                <w:rFonts w:ascii="Times New Roman" w:cs="Times New Roman" w:eastAsia="Times New Roman" w:hAnsi="Times New Roman"/>
                <w:sz w:val="10"/>
                <w:szCs w:val="10"/>
                <w:color w:val="auto"/>
              </w:rPr>
              <w:t>500</w:t>
            </w: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571</w:t>
            </w: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6,325</w:t>
            </w: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6,432</w:t>
            </w:r>
          </w:p>
        </w:tc>
        <w:tc>
          <w:tcPr>
            <w:tcW w:w="60" w:type="dxa"/>
            <w:vAlign w:val="bottom"/>
          </w:tcPr>
          <w:p>
            <w:pPr>
              <w:spacing w:after="0"/>
              <w:rPr>
                <w:sz w:val="9"/>
                <w:szCs w:val="9"/>
                <w:color w:val="auto"/>
              </w:rPr>
            </w:pPr>
          </w:p>
        </w:tc>
        <w:tc>
          <w:tcPr>
            <w:tcW w:w="500" w:type="dxa"/>
            <w:vAlign w:val="bottom"/>
            <w:gridSpan w:val="2"/>
          </w:tcPr>
          <w:p>
            <w:pPr>
              <w:jc w:val="right"/>
              <w:ind w:right="20"/>
              <w:spacing w:after="0" w:line="111" w:lineRule="exact"/>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41"/>
        </w:trPr>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1160" w:type="dxa"/>
            <w:vAlign w:val="bottom"/>
            <w:gridSpan w:val="2"/>
            <w:shd w:val="clear" w:color="auto" w:fill="CCEEFF"/>
          </w:tcPr>
          <w:p>
            <w:pPr>
              <w:spacing w:after="0" w:line="103" w:lineRule="exact"/>
              <w:rPr>
                <w:sz w:val="20"/>
                <w:szCs w:val="20"/>
                <w:color w:val="auto"/>
              </w:rPr>
            </w:pPr>
            <w:r>
              <w:rPr>
                <w:rFonts w:ascii="Times New Roman" w:cs="Times New Roman" w:eastAsia="Times New Roman" w:hAnsi="Times New Roman"/>
                <w:sz w:val="10"/>
                <w:szCs w:val="10"/>
                <w:i w:val="1"/>
                <w:iCs w:val="1"/>
                <w:color w:val="auto"/>
                <w:w w:val="95"/>
              </w:rPr>
              <w:t>Medsurant Holdings, LLC (n)</w:t>
            </w:r>
          </w:p>
        </w:tc>
        <w:tc>
          <w:tcPr>
            <w:tcW w:w="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1360" w:type="dxa"/>
            <w:vAlign w:val="bottom"/>
            <w:gridSpan w:val="3"/>
            <w:shd w:val="clear" w:color="auto" w:fill="CCEEFF"/>
          </w:tcPr>
          <w:p>
            <w:pPr>
              <w:ind w:left="40"/>
              <w:spacing w:after="0" w:line="103" w:lineRule="exact"/>
              <w:rPr>
                <w:sz w:val="20"/>
                <w:szCs w:val="20"/>
                <w:color w:val="auto"/>
              </w:rPr>
            </w:pPr>
            <w:r>
              <w:rPr>
                <w:rFonts w:ascii="Times New Roman" w:cs="Times New Roman" w:eastAsia="Times New Roman" w:hAnsi="Times New Roman"/>
                <w:sz w:val="10"/>
                <w:szCs w:val="10"/>
                <w:color w:val="auto"/>
              </w:rPr>
              <w:t>Healthcare Services</w:t>
            </w: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160" w:type="dxa"/>
            <w:vAlign w:val="bottom"/>
            <w:gridSpan w:val="2"/>
          </w:tcPr>
          <w:p>
            <w:pPr>
              <w:ind w:left="200"/>
              <w:spacing w:after="0" w:line="90" w:lineRule="exact"/>
              <w:rPr>
                <w:sz w:val="20"/>
                <w:szCs w:val="20"/>
                <w:color w:val="auto"/>
              </w:rPr>
            </w:pPr>
            <w:r>
              <w:rPr>
                <w:rFonts w:ascii="Times New Roman" w:cs="Times New Roman" w:eastAsia="Times New Roman" w:hAnsi="Times New Roman"/>
                <w:sz w:val="10"/>
                <w:szCs w:val="10"/>
                <w:color w:val="auto"/>
              </w:rPr>
              <w:t>100 Front Street, Suite</w:t>
            </w:r>
          </w:p>
        </w:tc>
        <w:tc>
          <w:tcPr>
            <w:tcW w:w="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9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280</w:t>
            </w:r>
          </w:p>
        </w:tc>
        <w:tc>
          <w:tcPr>
            <w:tcW w:w="200" w:type="dxa"/>
            <w:vAlign w:val="bottom"/>
          </w:tcPr>
          <w:p>
            <w:pPr>
              <w:spacing w:after="0"/>
              <w:rPr>
                <w:sz w:val="10"/>
                <w:szCs w:val="10"/>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Preferred Equity (84,997 units) (h)</w:t>
            </w:r>
          </w:p>
        </w:tc>
        <w:tc>
          <w:tcPr>
            <w:tcW w:w="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2.2%</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4/12/2011</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10"/>
                <w:szCs w:val="10"/>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70</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gridSpan w:val="2"/>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rPr>
              <w:t>Conshohocken, PA</w:t>
            </w:r>
          </w:p>
        </w:tc>
        <w:tc>
          <w:tcPr>
            <w:tcW w:w="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19428</w:t>
            </w:r>
          </w:p>
        </w:tc>
        <w:tc>
          <w:tcPr>
            <w:tcW w:w="20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Warrant (252,588 units) (h)(m)</w:t>
            </w:r>
          </w:p>
        </w:tc>
        <w:tc>
          <w:tcPr>
            <w:tcW w:w="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6.4%</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4/12/2011</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 xml:space="preserve">— </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238</w:t>
            </w: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ind w:left="120"/>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308</w:t>
            </w:r>
          </w:p>
        </w:tc>
        <w:tc>
          <w:tcPr>
            <w:tcW w:w="60" w:type="dxa"/>
            <w:vAlign w:val="bottom"/>
          </w:tcPr>
          <w:p>
            <w:pPr>
              <w:spacing w:after="0"/>
              <w:rPr>
                <w:sz w:val="9"/>
                <w:szCs w:val="9"/>
                <w:color w:val="auto"/>
              </w:rPr>
            </w:pPr>
          </w:p>
        </w:tc>
        <w:tc>
          <w:tcPr>
            <w:tcW w:w="500" w:type="dxa"/>
            <w:vAlign w:val="bottom"/>
            <w:gridSpan w:val="2"/>
          </w:tcPr>
          <w:p>
            <w:pPr>
              <w:jc w:val="right"/>
              <w:ind w:right="20"/>
              <w:spacing w:after="0" w:line="111" w:lineRule="exact"/>
              <w:rPr>
                <w:sz w:val="20"/>
                <w:szCs w:val="20"/>
                <w:color w:val="auto"/>
              </w:rPr>
            </w:pPr>
            <w:r>
              <w:rPr>
                <w:rFonts w:ascii="Times New Roman" w:cs="Times New Roman" w:eastAsia="Times New Roman" w:hAnsi="Times New Roman"/>
                <w:sz w:val="10"/>
                <w:szCs w:val="10"/>
                <w:color w:val="auto"/>
              </w:rPr>
              <w:t>0%</w:t>
            </w:r>
          </w:p>
        </w:tc>
        <w:tc>
          <w:tcPr>
            <w:tcW w:w="0" w:type="dxa"/>
            <w:vAlign w:val="bottom"/>
          </w:tcPr>
          <w:p>
            <w:pPr>
              <w:spacing w:after="0"/>
              <w:rPr>
                <w:sz w:val="1"/>
                <w:szCs w:val="1"/>
                <w:color w:val="auto"/>
              </w:rPr>
            </w:pPr>
          </w:p>
        </w:tc>
      </w:tr>
      <w:tr>
        <w:trPr>
          <w:trHeight w:val="41"/>
        </w:trPr>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1160" w:type="dxa"/>
            <w:vAlign w:val="bottom"/>
            <w:gridSpan w:val="2"/>
            <w:shd w:val="clear" w:color="auto" w:fill="CCEEFF"/>
          </w:tcPr>
          <w:p>
            <w:pPr>
              <w:spacing w:after="0" w:line="103" w:lineRule="exact"/>
              <w:rPr>
                <w:sz w:val="20"/>
                <w:szCs w:val="20"/>
                <w:color w:val="auto"/>
              </w:rPr>
            </w:pPr>
            <w:r>
              <w:rPr>
                <w:rFonts w:ascii="Times New Roman" w:cs="Times New Roman" w:eastAsia="Times New Roman" w:hAnsi="Times New Roman"/>
                <w:sz w:val="10"/>
                <w:szCs w:val="10"/>
                <w:i w:val="1"/>
                <w:iCs w:val="1"/>
                <w:color w:val="auto"/>
              </w:rPr>
              <w:t>Pfanstiehl, Inc.</w:t>
            </w:r>
          </w:p>
        </w:tc>
        <w:tc>
          <w:tcPr>
            <w:tcW w:w="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1360" w:type="dxa"/>
            <w:vAlign w:val="bottom"/>
            <w:gridSpan w:val="3"/>
            <w:shd w:val="clear" w:color="auto" w:fill="CCEEFF"/>
          </w:tcPr>
          <w:p>
            <w:pPr>
              <w:ind w:left="40"/>
              <w:spacing w:after="0" w:line="103" w:lineRule="exact"/>
              <w:rPr>
                <w:sz w:val="20"/>
                <w:szCs w:val="20"/>
                <w:color w:val="auto"/>
              </w:rPr>
            </w:pPr>
            <w:r>
              <w:rPr>
                <w:rFonts w:ascii="Times New Roman" w:cs="Times New Roman" w:eastAsia="Times New Roman" w:hAnsi="Times New Roman"/>
                <w:sz w:val="10"/>
                <w:szCs w:val="10"/>
                <w:color w:val="auto"/>
              </w:rPr>
              <w:t>Healthcare Products</w:t>
            </w: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gridSpan w:val="2"/>
          </w:tcPr>
          <w:p>
            <w:pPr>
              <w:ind w:left="200"/>
              <w:spacing w:after="0" w:line="103" w:lineRule="exact"/>
              <w:rPr>
                <w:sz w:val="20"/>
                <w:szCs w:val="20"/>
                <w:color w:val="auto"/>
              </w:rPr>
            </w:pPr>
            <w:r>
              <w:rPr>
                <w:rFonts w:ascii="Times New Roman" w:cs="Times New Roman" w:eastAsia="Times New Roman" w:hAnsi="Times New Roman"/>
                <w:sz w:val="10"/>
                <w:szCs w:val="10"/>
                <w:color w:val="auto"/>
                <w:w w:val="94"/>
              </w:rPr>
              <w:t>1219 Glen Rock Avenue</w:t>
            </w:r>
          </w:p>
        </w:tc>
        <w:tc>
          <w:tcPr>
            <w:tcW w:w="148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(2,550 units)</w:t>
            </w:r>
          </w:p>
        </w:tc>
        <w:tc>
          <w:tcPr>
            <w:tcW w:w="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7.3%</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3/29/2013</w:t>
            </w: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gridSpan w:val="2"/>
          </w:tcPr>
          <w:p>
            <w:pPr>
              <w:ind w:left="120"/>
              <w:spacing w:after="0" w:line="103" w:lineRule="exact"/>
              <w:rPr>
                <w:sz w:val="20"/>
                <w:szCs w:val="20"/>
                <w:color w:val="auto"/>
              </w:rPr>
            </w:pPr>
            <w:r>
              <w:rPr>
                <w:rFonts w:ascii="Times New Roman" w:cs="Times New Roman" w:eastAsia="Times New Roman" w:hAnsi="Times New Roman"/>
                <w:sz w:val="10"/>
                <w:szCs w:val="10"/>
                <w:color w:val="auto"/>
              </w:rPr>
              <w:t>255</w:t>
            </w:r>
          </w:p>
        </w:tc>
        <w:tc>
          <w:tcPr>
            <w:tcW w:w="60" w:type="dxa"/>
            <w:vAlign w:val="bottom"/>
          </w:tcPr>
          <w:p>
            <w:pPr>
              <w:spacing w:after="0"/>
              <w:rPr>
                <w:sz w:val="8"/>
                <w:szCs w:val="8"/>
                <w:color w:val="auto"/>
              </w:rPr>
            </w:pPr>
          </w:p>
        </w:tc>
        <w:tc>
          <w:tcPr>
            <w:tcW w:w="3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w w:val="94"/>
              </w:rPr>
              <w:t>40,995</w:t>
            </w:r>
          </w:p>
        </w:tc>
        <w:tc>
          <w:tcPr>
            <w:tcW w:w="500" w:type="dxa"/>
            <w:vAlign w:val="bottom"/>
            <w:gridSpan w:val="2"/>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03"/>
        </w:trPr>
        <w:tc>
          <w:tcPr>
            <w:tcW w:w="1160" w:type="dxa"/>
            <w:vAlign w:val="bottom"/>
            <w:gridSpan w:val="2"/>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Waukegan, IL 60085</w:t>
            </w:r>
          </w:p>
        </w:tc>
        <w:tc>
          <w:tcPr>
            <w:tcW w:w="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56" w:right="1440" w:bottom="1440" w:gutter="0" w:footer="0" w:header="0"/>
        </w:sectPr>
      </w:pPr>
    </w:p>
    <w:bookmarkStart w:id="21" w:name="page22"/>
    <w:bookmarkEnd w:id="21"/>
    <w:p>
      <w:pPr>
        <w:spacing w:after="0" w:line="103" w:lineRule="exact"/>
        <w:rPr>
          <w:sz w:val="20"/>
          <w:szCs w:val="20"/>
          <w:color w:val="auto"/>
        </w:rPr>
      </w:pPr>
    </w:p>
    <w:tbl>
      <w:tblPr>
        <w:tblLayout w:type="fixed"/>
        <w:tblInd w:w="320" w:type="dxa"/>
        <w:tblCellMar>
          <w:top w:w="0" w:type="dxa"/>
          <w:left w:w="0" w:type="dxa"/>
          <w:bottom w:w="0" w:type="dxa"/>
          <w:right w:w="0" w:type="dxa"/>
        </w:tblCellMar>
      </w:tblPr>
      <w:tr>
        <w:trPr>
          <w:trHeight w:val="115"/>
        </w:trPr>
        <w:tc>
          <w:tcPr>
            <w:tcW w:w="1160" w:type="dxa"/>
            <w:vAlign w:val="bottom"/>
            <w:gridSpan w:val="4"/>
          </w:tcPr>
          <w:p>
            <w:pPr>
              <w:spacing w:after="0"/>
              <w:rPr>
                <w:sz w:val="20"/>
                <w:szCs w:val="20"/>
                <w:color w:val="auto"/>
              </w:rPr>
            </w:pPr>
            <w:r>
              <w:rPr>
                <w:rFonts w:ascii="Times New Roman" w:cs="Times New Roman" w:eastAsia="Times New Roman" w:hAnsi="Times New Roman"/>
                <w:sz w:val="9"/>
                <w:szCs w:val="9"/>
                <w:b w:val="1"/>
                <w:bCs w:val="1"/>
                <w:color w:val="auto"/>
              </w:rPr>
              <w:t>Portfolio Company (a)(b)</w:t>
            </w:r>
          </w:p>
        </w:tc>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11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9"/>
                <w:szCs w:val="9"/>
                <w:b w:val="1"/>
                <w:bCs w:val="1"/>
                <w:color w:val="auto"/>
                <w:w w:val="97"/>
              </w:rPr>
              <w:t>Address of Portfolio Company</w:t>
            </w:r>
          </w:p>
        </w:tc>
        <w:tc>
          <w:tcPr>
            <w:tcW w:w="20" w:type="dxa"/>
            <w:vAlign w:val="bottom"/>
          </w:tcPr>
          <w:p>
            <w:pPr>
              <w:spacing w:after="0"/>
              <w:rPr>
                <w:sz w:val="18"/>
                <w:szCs w:val="18"/>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9"/>
                <w:szCs w:val="9"/>
                <w:b w:val="1"/>
                <w:bCs w:val="1"/>
                <w:color w:val="auto"/>
              </w:rPr>
              <w:t>Investment Type (c)</w:t>
            </w:r>
          </w:p>
        </w:tc>
        <w:tc>
          <w:tcPr>
            <w:tcW w:w="1440" w:type="dxa"/>
            <w:vAlign w:val="bottom"/>
          </w:tcPr>
          <w:p>
            <w:pPr>
              <w:ind w:left="56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0" w:type="dxa"/>
            <w:vAlign w:val="bottom"/>
          </w:tcPr>
          <w:p>
            <w:pPr>
              <w:spacing w:after="0"/>
              <w:rPr>
                <w:sz w:val="1"/>
                <w:szCs w:val="1"/>
                <w:color w:val="auto"/>
              </w:rPr>
            </w:pPr>
          </w:p>
        </w:tc>
      </w:tr>
      <w:tr>
        <w:trPr>
          <w:trHeight w:val="70"/>
        </w:trPr>
        <w:tc>
          <w:tcPr>
            <w:tcW w:w="1160" w:type="dxa"/>
            <w:vAlign w:val="bottom"/>
            <w:gridSpan w:val="4"/>
          </w:tcPr>
          <w:p>
            <w:pPr>
              <w:spacing w:after="0" w:line="70" w:lineRule="exact"/>
              <w:rPr>
                <w:sz w:val="20"/>
                <w:szCs w:val="20"/>
                <w:color w:val="auto"/>
              </w:rPr>
            </w:pPr>
            <w:r>
              <w:rPr>
                <w:rFonts w:ascii="Times New Roman" w:cs="Times New Roman" w:eastAsia="Times New Roman" w:hAnsi="Times New Roman"/>
                <w:sz w:val="8"/>
                <w:szCs w:val="8"/>
                <w:i w:val="1"/>
                <w:iCs w:val="1"/>
                <w:color w:val="auto"/>
              </w:rPr>
              <w:t>PIPCO, LLC</w:t>
            </w:r>
          </w:p>
        </w:tc>
        <w:tc>
          <w:tcPr>
            <w:tcW w:w="20" w:type="dxa"/>
            <w:vAlign w:val="bottom"/>
          </w:tcPr>
          <w:p>
            <w:pPr>
              <w:spacing w:after="0"/>
              <w:rPr>
                <w:sz w:val="6"/>
                <w:szCs w:val="6"/>
                <w:color w:val="auto"/>
              </w:rPr>
            </w:pPr>
          </w:p>
        </w:tc>
        <w:tc>
          <w:tcPr>
            <w:tcW w:w="134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440" w:type="dxa"/>
            <w:vAlign w:val="bottom"/>
            <w:tcBorders>
              <w:top w:val="single" w:sz="8" w:color="auto"/>
            </w:tcBorders>
          </w:tcPr>
          <w:p>
            <w:pPr>
              <w:spacing w:after="0" w:line="70" w:lineRule="exact"/>
              <w:rPr>
                <w:sz w:val="20"/>
                <w:szCs w:val="20"/>
                <w:color w:val="auto"/>
              </w:rPr>
            </w:pPr>
            <w:r>
              <w:rPr>
                <w:rFonts w:ascii="Times New Roman" w:cs="Times New Roman" w:eastAsia="Times New Roman" w:hAnsi="Times New Roman"/>
                <w:sz w:val="8"/>
                <w:szCs w:val="8"/>
                <w:color w:val="auto"/>
              </w:rPr>
              <w:t>Utilities: Services</w:t>
            </w:r>
          </w:p>
        </w:tc>
        <w:tc>
          <w:tcPr>
            <w:tcW w:w="0" w:type="dxa"/>
            <w:vAlign w:val="bottom"/>
          </w:tcPr>
          <w:p>
            <w:pPr>
              <w:spacing w:after="0"/>
              <w:rPr>
                <w:sz w:val="1"/>
                <w:szCs w:val="1"/>
                <w:color w:val="auto"/>
              </w:rPr>
            </w:pPr>
          </w:p>
        </w:tc>
      </w:tr>
      <w:tr>
        <w:trPr>
          <w:trHeight w:val="103"/>
        </w:trPr>
        <w:tc>
          <w:tcPr>
            <w:tcW w:w="100" w:type="dxa"/>
            <w:vAlign w:val="bottom"/>
          </w:tcPr>
          <w:p>
            <w:pPr>
              <w:spacing w:after="0"/>
              <w:rPr>
                <w:sz w:val="8"/>
                <w:szCs w:val="8"/>
                <w:color w:val="auto"/>
              </w:rPr>
            </w:pPr>
          </w:p>
        </w:tc>
        <w:tc>
          <w:tcPr>
            <w:tcW w:w="1060" w:type="dxa"/>
            <w:vAlign w:val="bottom"/>
            <w:gridSpan w:val="3"/>
          </w:tcPr>
          <w:p>
            <w:pPr>
              <w:ind w:left="100"/>
              <w:spacing w:after="0" w:line="103" w:lineRule="exact"/>
              <w:rPr>
                <w:sz w:val="20"/>
                <w:szCs w:val="20"/>
                <w:color w:val="auto"/>
              </w:rPr>
            </w:pPr>
            <w:r>
              <w:rPr>
                <w:rFonts w:ascii="Times New Roman" w:cs="Times New Roman" w:eastAsia="Times New Roman" w:hAnsi="Times New Roman"/>
                <w:sz w:val="10"/>
                <w:szCs w:val="10"/>
                <w:color w:val="auto"/>
              </w:rPr>
              <w:t>1409 West Altorfer</w:t>
            </w:r>
          </w:p>
        </w:tc>
        <w:tc>
          <w:tcPr>
            <w:tcW w:w="1380" w:type="dxa"/>
            <w:vAlign w:val="bottom"/>
            <w:gridSpan w:val="3"/>
          </w:tcPr>
          <w:p>
            <w:pPr>
              <w:ind w:left="20"/>
              <w:spacing w:after="0" w:line="103" w:lineRule="exact"/>
              <w:rPr>
                <w:sz w:val="20"/>
                <w:szCs w:val="20"/>
                <w:color w:val="auto"/>
              </w:rPr>
            </w:pPr>
            <w:r>
              <w:rPr>
                <w:rFonts w:ascii="Times New Roman" w:cs="Times New Roman" w:eastAsia="Times New Roman" w:hAnsi="Times New Roman"/>
                <w:sz w:val="10"/>
                <w:szCs w:val="10"/>
                <w:color w:val="auto"/>
              </w:rPr>
              <w:t>First Lien Debt</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00" w:type="dxa"/>
            <w:vAlign w:val="bottom"/>
          </w:tcPr>
          <w:p>
            <w:pPr>
              <w:spacing w:after="0"/>
              <w:rPr>
                <w:sz w:val="8"/>
                <w:szCs w:val="8"/>
                <w:color w:val="auto"/>
              </w:rPr>
            </w:pPr>
          </w:p>
        </w:tc>
        <w:tc>
          <w:tcPr>
            <w:tcW w:w="1060" w:type="dxa"/>
            <w:vAlign w:val="bottom"/>
            <w:gridSpan w:val="3"/>
          </w:tcPr>
          <w:p>
            <w:pPr>
              <w:ind w:left="180"/>
              <w:spacing w:after="0" w:line="103" w:lineRule="exact"/>
              <w:rPr>
                <w:sz w:val="20"/>
                <w:szCs w:val="20"/>
                <w:color w:val="auto"/>
              </w:rPr>
            </w:pPr>
            <w:r>
              <w:rPr>
                <w:rFonts w:ascii="Times New Roman" w:cs="Times New Roman" w:eastAsia="Times New Roman" w:hAnsi="Times New Roman"/>
                <w:sz w:val="10"/>
                <w:szCs w:val="10"/>
                <w:color w:val="auto"/>
              </w:rPr>
              <w:t>Drive</w:t>
            </w:r>
          </w:p>
        </w:tc>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00" w:type="dxa"/>
            <w:vAlign w:val="bottom"/>
          </w:tcPr>
          <w:p>
            <w:pPr>
              <w:spacing w:after="0"/>
              <w:rPr>
                <w:sz w:val="8"/>
                <w:szCs w:val="8"/>
                <w:color w:val="auto"/>
              </w:rPr>
            </w:pPr>
          </w:p>
        </w:tc>
        <w:tc>
          <w:tcPr>
            <w:tcW w:w="1060" w:type="dxa"/>
            <w:vAlign w:val="bottom"/>
            <w:gridSpan w:val="3"/>
          </w:tcPr>
          <w:p>
            <w:pPr>
              <w:ind w:left="100"/>
              <w:spacing w:after="0" w:line="103" w:lineRule="exact"/>
              <w:rPr>
                <w:sz w:val="20"/>
                <w:szCs w:val="20"/>
                <w:color w:val="auto"/>
              </w:rPr>
            </w:pPr>
            <w:r>
              <w:rPr>
                <w:rFonts w:ascii="Times New Roman" w:cs="Times New Roman" w:eastAsia="Times New Roman" w:hAnsi="Times New Roman"/>
                <w:sz w:val="10"/>
                <w:szCs w:val="10"/>
                <w:color w:val="auto"/>
              </w:rPr>
              <w:t>Peoria, IL 61615</w:t>
            </w:r>
          </w:p>
        </w:tc>
        <w:tc>
          <w:tcPr>
            <w:tcW w:w="1380" w:type="dxa"/>
            <w:vAlign w:val="bottom"/>
            <w:gridSpan w:val="3"/>
          </w:tcPr>
          <w:p>
            <w:pPr>
              <w:ind w:left="20"/>
              <w:spacing w:after="0" w:line="103" w:lineRule="exact"/>
              <w:rPr>
                <w:sz w:val="20"/>
                <w:szCs w:val="20"/>
                <w:color w:val="auto"/>
              </w:rPr>
            </w:pPr>
            <w:r>
              <w:rPr>
                <w:rFonts w:ascii="Times New Roman" w:cs="Times New Roman" w:eastAsia="Times New Roman" w:hAnsi="Times New Roman"/>
                <w:sz w:val="10"/>
                <w:szCs w:val="10"/>
                <w:color w:val="auto"/>
                <w:w w:val="96"/>
              </w:rPr>
              <w:t>Revolving Loan ($3,000 unfunded</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gridSpan w:val="3"/>
          </w:tcPr>
          <w:p>
            <w:pPr>
              <w:ind w:left="20"/>
              <w:spacing w:after="0" w:line="103" w:lineRule="exact"/>
              <w:rPr>
                <w:sz w:val="20"/>
                <w:szCs w:val="20"/>
                <w:color w:val="auto"/>
              </w:rPr>
            </w:pPr>
            <w:r>
              <w:rPr>
                <w:rFonts w:ascii="Times New Roman" w:cs="Times New Roman" w:eastAsia="Times New Roman" w:hAnsi="Times New Roman"/>
                <w:sz w:val="10"/>
                <w:szCs w:val="10"/>
                <w:color w:val="auto"/>
              </w:rPr>
              <w:t>commitment) (i)</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Common Equity (750 units)</w:t>
            </w: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1160" w:type="dxa"/>
            <w:vAlign w:val="bottom"/>
            <w:gridSpan w:val="4"/>
          </w:tcPr>
          <w:p>
            <w:pPr>
              <w:spacing w:after="0"/>
              <w:rPr>
                <w:sz w:val="20"/>
                <w:szCs w:val="20"/>
                <w:color w:val="auto"/>
              </w:rPr>
            </w:pPr>
            <w:r>
              <w:rPr>
                <w:rFonts w:ascii="Times New Roman" w:cs="Times New Roman" w:eastAsia="Times New Roman" w:hAnsi="Times New Roman"/>
                <w:sz w:val="10"/>
                <w:szCs w:val="10"/>
                <w:i w:val="1"/>
                <w:iCs w:val="1"/>
                <w:color w:val="auto"/>
              </w:rPr>
              <w:t>Spectra A&amp;D Acquisition,</w:t>
            </w:r>
          </w:p>
        </w:tc>
        <w:tc>
          <w:tcPr>
            <w:tcW w:w="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3"/>
        </w:trPr>
        <w:tc>
          <w:tcPr>
            <w:tcW w:w="100" w:type="dxa"/>
            <w:vAlign w:val="bottom"/>
          </w:tcPr>
          <w:p>
            <w:pPr>
              <w:spacing w:after="0"/>
              <w:rPr>
                <w:sz w:val="8"/>
                <w:szCs w:val="8"/>
                <w:color w:val="auto"/>
              </w:rPr>
            </w:pPr>
          </w:p>
        </w:tc>
        <w:tc>
          <w:tcPr>
            <w:tcW w:w="1060" w:type="dxa"/>
            <w:vAlign w:val="bottom"/>
            <w:gridSpan w:val="3"/>
          </w:tcPr>
          <w:p>
            <w:pPr>
              <w:spacing w:after="0" w:line="103" w:lineRule="exact"/>
              <w:rPr>
                <w:sz w:val="20"/>
                <w:szCs w:val="20"/>
                <w:color w:val="auto"/>
              </w:rPr>
            </w:pPr>
            <w:r>
              <w:rPr>
                <w:rFonts w:ascii="Times New Roman" w:cs="Times New Roman" w:eastAsia="Times New Roman" w:hAnsi="Times New Roman"/>
                <w:sz w:val="10"/>
                <w:szCs w:val="10"/>
                <w:i w:val="1"/>
                <w:iCs w:val="1"/>
                <w:color w:val="auto"/>
              </w:rPr>
              <w:t>Inc. (fka FDS Avionics</w:t>
            </w:r>
          </w:p>
        </w:tc>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100" w:type="dxa"/>
            <w:vAlign w:val="bottom"/>
          </w:tcPr>
          <w:p>
            <w:pPr>
              <w:spacing w:after="0"/>
              <w:rPr>
                <w:sz w:val="9"/>
                <w:szCs w:val="9"/>
                <w:color w:val="auto"/>
              </w:rPr>
            </w:pPr>
          </w:p>
        </w:tc>
        <w:tc>
          <w:tcPr>
            <w:tcW w:w="1060" w:type="dxa"/>
            <w:vAlign w:val="bottom"/>
            <w:gridSpan w:val="3"/>
          </w:tcPr>
          <w:p>
            <w:pPr>
              <w:spacing w:after="0" w:line="105" w:lineRule="exact"/>
              <w:rPr>
                <w:sz w:val="20"/>
                <w:szCs w:val="20"/>
                <w:color w:val="auto"/>
              </w:rPr>
            </w:pPr>
            <w:r>
              <w:rPr>
                <w:rFonts w:ascii="Times New Roman" w:cs="Times New Roman" w:eastAsia="Times New Roman" w:hAnsi="Times New Roman"/>
                <w:sz w:val="10"/>
                <w:szCs w:val="10"/>
                <w:i w:val="1"/>
                <w:iCs w:val="1"/>
                <w:color w:val="auto"/>
              </w:rPr>
              <w:t>Corp.)</w:t>
            </w:r>
          </w:p>
        </w:tc>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4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w w:val="94"/>
              </w:rPr>
              <w:t>Aerospace &amp; Defense Manufacturing</w:t>
            </w:r>
          </w:p>
        </w:tc>
        <w:tc>
          <w:tcPr>
            <w:tcW w:w="0" w:type="dxa"/>
            <w:vAlign w:val="bottom"/>
          </w:tcPr>
          <w:p>
            <w:pPr>
              <w:spacing w:after="0"/>
              <w:rPr>
                <w:sz w:val="1"/>
                <w:szCs w:val="1"/>
                <w:color w:val="auto"/>
              </w:rPr>
            </w:pPr>
          </w:p>
        </w:tc>
      </w:tr>
      <w:tr>
        <w:trPr>
          <w:trHeight w:val="103"/>
        </w:trPr>
        <w:tc>
          <w:tcPr>
            <w:tcW w:w="100" w:type="dxa"/>
            <w:vAlign w:val="bottom"/>
          </w:tcPr>
          <w:p>
            <w:pPr>
              <w:spacing w:after="0"/>
              <w:rPr>
                <w:sz w:val="8"/>
                <w:szCs w:val="8"/>
                <w:color w:val="auto"/>
              </w:rPr>
            </w:pPr>
          </w:p>
        </w:tc>
        <w:tc>
          <w:tcPr>
            <w:tcW w:w="1060" w:type="dxa"/>
            <w:vAlign w:val="bottom"/>
            <w:gridSpan w:val="3"/>
          </w:tcPr>
          <w:p>
            <w:pPr>
              <w:ind w:left="100"/>
              <w:spacing w:after="0" w:line="103" w:lineRule="exact"/>
              <w:rPr>
                <w:sz w:val="20"/>
                <w:szCs w:val="20"/>
                <w:color w:val="auto"/>
              </w:rPr>
            </w:pPr>
            <w:r>
              <w:rPr>
                <w:rFonts w:ascii="Times New Roman" w:cs="Times New Roman" w:eastAsia="Times New Roman" w:hAnsi="Times New Roman"/>
                <w:sz w:val="10"/>
                <w:szCs w:val="10"/>
                <w:color w:val="auto"/>
                <w:w w:val="96"/>
              </w:rPr>
              <w:t>6435 Shiloh Road, Suite</w:t>
            </w:r>
          </w:p>
        </w:tc>
        <w:tc>
          <w:tcPr>
            <w:tcW w:w="1380" w:type="dxa"/>
            <w:vAlign w:val="bottom"/>
            <w:gridSpan w:val="3"/>
          </w:tcPr>
          <w:p>
            <w:pPr>
              <w:ind w:left="20"/>
              <w:spacing w:after="0" w:line="103" w:lineRule="exact"/>
              <w:rPr>
                <w:sz w:val="20"/>
                <w:szCs w:val="20"/>
                <w:color w:val="auto"/>
              </w:rPr>
            </w:pPr>
            <w:r>
              <w:rPr>
                <w:rFonts w:ascii="Times New Roman" w:cs="Times New Roman" w:eastAsia="Times New Roman" w:hAnsi="Times New Roman"/>
                <w:sz w:val="10"/>
                <w:szCs w:val="10"/>
                <w:color w:val="auto"/>
              </w:rPr>
              <w:t>First Lien Debt (ag)</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00" w:type="dxa"/>
            <w:vAlign w:val="bottom"/>
          </w:tcPr>
          <w:p>
            <w:pPr>
              <w:spacing w:after="0"/>
              <w:rPr>
                <w:sz w:val="8"/>
                <w:szCs w:val="8"/>
                <w:color w:val="auto"/>
              </w:rPr>
            </w:pPr>
          </w:p>
        </w:tc>
        <w:tc>
          <w:tcPr>
            <w:tcW w:w="1060" w:type="dxa"/>
            <w:vAlign w:val="bottom"/>
            <w:gridSpan w:val="3"/>
          </w:tcPr>
          <w:p>
            <w:pPr>
              <w:ind w:left="180"/>
              <w:spacing w:after="0" w:line="103" w:lineRule="exact"/>
              <w:rPr>
                <w:sz w:val="20"/>
                <w:szCs w:val="20"/>
                <w:color w:val="auto"/>
              </w:rPr>
            </w:pPr>
            <w:r>
              <w:rPr>
                <w:rFonts w:ascii="Times New Roman" w:cs="Times New Roman" w:eastAsia="Times New Roman" w:hAnsi="Times New Roman"/>
                <w:sz w:val="10"/>
                <w:szCs w:val="10"/>
                <w:color w:val="auto"/>
              </w:rPr>
              <w:t>D</w:t>
            </w:r>
          </w:p>
        </w:tc>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00" w:type="dxa"/>
            <w:vAlign w:val="bottom"/>
          </w:tcPr>
          <w:p>
            <w:pPr>
              <w:spacing w:after="0"/>
              <w:rPr>
                <w:sz w:val="8"/>
                <w:szCs w:val="8"/>
                <w:color w:val="auto"/>
              </w:rPr>
            </w:pPr>
          </w:p>
        </w:tc>
        <w:tc>
          <w:tcPr>
            <w:tcW w:w="1060" w:type="dxa"/>
            <w:vAlign w:val="bottom"/>
            <w:gridSpan w:val="3"/>
          </w:tcPr>
          <w:p>
            <w:pPr>
              <w:ind w:left="100"/>
              <w:spacing w:after="0" w:line="103" w:lineRule="exact"/>
              <w:rPr>
                <w:sz w:val="20"/>
                <w:szCs w:val="20"/>
                <w:color w:val="auto"/>
              </w:rPr>
            </w:pPr>
            <w:r>
              <w:rPr>
                <w:rFonts w:ascii="Times New Roman" w:cs="Times New Roman" w:eastAsia="Times New Roman" w:hAnsi="Times New Roman"/>
                <w:sz w:val="10"/>
                <w:szCs w:val="10"/>
                <w:color w:val="auto"/>
              </w:rPr>
              <w:t>Alpharetta, GA 30005</w:t>
            </w:r>
          </w:p>
        </w:tc>
        <w:tc>
          <w:tcPr>
            <w:tcW w:w="1380" w:type="dxa"/>
            <w:vAlign w:val="bottom"/>
            <w:gridSpan w:val="3"/>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(12,035 units)</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gridSpan w:val="3"/>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(38,493 units)</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gridSpan w:val="3"/>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(6,783 units)</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gridSpan w:val="3"/>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(4,663 units)</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Common Equity (21,689 units)</w:t>
            </w: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1160" w:type="dxa"/>
            <w:vAlign w:val="bottom"/>
            <w:gridSpan w:val="4"/>
          </w:tcPr>
          <w:p>
            <w:pPr>
              <w:spacing w:after="0"/>
              <w:rPr>
                <w:sz w:val="20"/>
                <w:szCs w:val="20"/>
                <w:color w:val="auto"/>
              </w:rPr>
            </w:pPr>
            <w:r>
              <w:rPr>
                <w:rFonts w:ascii="Times New Roman" w:cs="Times New Roman" w:eastAsia="Times New Roman" w:hAnsi="Times New Roman"/>
                <w:sz w:val="10"/>
                <w:szCs w:val="10"/>
                <w:i w:val="1"/>
                <w:iCs w:val="1"/>
                <w:color w:val="auto"/>
              </w:rPr>
              <w:t>Steward Holding LLC (dba</w:t>
            </w:r>
          </w:p>
        </w:tc>
        <w:tc>
          <w:tcPr>
            <w:tcW w:w="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3"/>
        </w:trPr>
        <w:tc>
          <w:tcPr>
            <w:tcW w:w="100" w:type="dxa"/>
            <w:vAlign w:val="bottom"/>
          </w:tcPr>
          <w:p>
            <w:pPr>
              <w:spacing w:after="0"/>
              <w:rPr>
                <w:sz w:val="8"/>
                <w:szCs w:val="8"/>
                <w:color w:val="auto"/>
              </w:rPr>
            </w:pPr>
          </w:p>
        </w:tc>
        <w:tc>
          <w:tcPr>
            <w:tcW w:w="1060" w:type="dxa"/>
            <w:vAlign w:val="bottom"/>
            <w:gridSpan w:val="3"/>
          </w:tcPr>
          <w:p>
            <w:pPr>
              <w:spacing w:after="0" w:line="103" w:lineRule="exact"/>
              <w:rPr>
                <w:sz w:val="20"/>
                <w:szCs w:val="20"/>
                <w:color w:val="auto"/>
              </w:rPr>
            </w:pPr>
            <w:r>
              <w:rPr>
                <w:rFonts w:ascii="Times New Roman" w:cs="Times New Roman" w:eastAsia="Times New Roman" w:hAnsi="Times New Roman"/>
                <w:sz w:val="10"/>
                <w:szCs w:val="10"/>
                <w:i w:val="1"/>
                <w:iCs w:val="1"/>
                <w:color w:val="auto"/>
              </w:rPr>
              <w:t>Steward Advanced</w:t>
            </w:r>
          </w:p>
        </w:tc>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100" w:type="dxa"/>
            <w:vAlign w:val="bottom"/>
          </w:tcPr>
          <w:p>
            <w:pPr>
              <w:spacing w:after="0"/>
              <w:rPr>
                <w:sz w:val="9"/>
                <w:szCs w:val="9"/>
                <w:color w:val="auto"/>
              </w:rPr>
            </w:pPr>
          </w:p>
        </w:tc>
        <w:tc>
          <w:tcPr>
            <w:tcW w:w="1060" w:type="dxa"/>
            <w:vAlign w:val="bottom"/>
            <w:gridSpan w:val="3"/>
          </w:tcPr>
          <w:p>
            <w:pPr>
              <w:spacing w:after="0" w:line="105" w:lineRule="exact"/>
              <w:rPr>
                <w:sz w:val="20"/>
                <w:szCs w:val="20"/>
                <w:color w:val="auto"/>
              </w:rPr>
            </w:pPr>
            <w:r>
              <w:rPr>
                <w:rFonts w:ascii="Times New Roman" w:cs="Times New Roman" w:eastAsia="Times New Roman" w:hAnsi="Times New Roman"/>
                <w:sz w:val="10"/>
                <w:szCs w:val="10"/>
                <w:i w:val="1"/>
                <w:iCs w:val="1"/>
                <w:color w:val="auto"/>
              </w:rPr>
              <w:t>Materials)</w:t>
            </w:r>
          </w:p>
        </w:tc>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4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w w:val="94"/>
              </w:rPr>
              <w:t>Aerospace &amp; Defense Manufacturing</w:t>
            </w:r>
          </w:p>
        </w:tc>
        <w:tc>
          <w:tcPr>
            <w:tcW w:w="0" w:type="dxa"/>
            <w:vAlign w:val="bottom"/>
          </w:tcPr>
          <w:p>
            <w:pPr>
              <w:spacing w:after="0"/>
              <w:rPr>
                <w:sz w:val="1"/>
                <w:szCs w:val="1"/>
                <w:color w:val="auto"/>
              </w:rPr>
            </w:pPr>
          </w:p>
        </w:tc>
      </w:tr>
      <w:tr>
        <w:trPr>
          <w:trHeight w:val="103"/>
        </w:trPr>
        <w:tc>
          <w:tcPr>
            <w:tcW w:w="100" w:type="dxa"/>
            <w:vAlign w:val="bottom"/>
          </w:tcPr>
          <w:p>
            <w:pPr>
              <w:spacing w:after="0"/>
              <w:rPr>
                <w:sz w:val="8"/>
                <w:szCs w:val="8"/>
                <w:color w:val="auto"/>
              </w:rPr>
            </w:pPr>
          </w:p>
        </w:tc>
        <w:tc>
          <w:tcPr>
            <w:tcW w:w="1060" w:type="dxa"/>
            <w:vAlign w:val="bottom"/>
            <w:gridSpan w:val="3"/>
          </w:tcPr>
          <w:p>
            <w:pPr>
              <w:ind w:left="100"/>
              <w:spacing w:after="0" w:line="103" w:lineRule="exact"/>
              <w:rPr>
                <w:sz w:val="20"/>
                <w:szCs w:val="20"/>
                <w:color w:val="auto"/>
              </w:rPr>
            </w:pPr>
            <w:r>
              <w:rPr>
                <w:rFonts w:ascii="Times New Roman" w:cs="Times New Roman" w:eastAsia="Times New Roman" w:hAnsi="Times New Roman"/>
                <w:sz w:val="10"/>
                <w:szCs w:val="10"/>
                <w:color w:val="auto"/>
              </w:rPr>
              <w:t>1245 E 38th St.</w:t>
            </w:r>
          </w:p>
        </w:tc>
        <w:tc>
          <w:tcPr>
            <w:tcW w:w="1380" w:type="dxa"/>
            <w:vAlign w:val="bottom"/>
            <w:gridSpan w:val="3"/>
          </w:tcPr>
          <w:p>
            <w:pPr>
              <w:ind w:left="20"/>
              <w:spacing w:after="0" w:line="103" w:lineRule="exact"/>
              <w:rPr>
                <w:sz w:val="20"/>
                <w:szCs w:val="20"/>
                <w:color w:val="auto"/>
              </w:rPr>
            </w:pPr>
            <w:r>
              <w:rPr>
                <w:rFonts w:ascii="Times New Roman" w:cs="Times New Roman" w:eastAsia="Times New Roman" w:hAnsi="Times New Roman"/>
                <w:sz w:val="10"/>
                <w:szCs w:val="10"/>
                <w:color w:val="auto"/>
                <w:w w:val="97"/>
              </w:rPr>
              <w:t>Common Equity (1,000,000 units)</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1060" w:type="dxa"/>
            <w:vAlign w:val="bottom"/>
            <w:gridSpan w:val="3"/>
          </w:tcPr>
          <w:p>
            <w:pPr>
              <w:ind w:left="100"/>
              <w:spacing w:after="0"/>
              <w:rPr>
                <w:sz w:val="20"/>
                <w:szCs w:val="20"/>
                <w:color w:val="auto"/>
              </w:rPr>
            </w:pPr>
            <w:r>
              <w:rPr>
                <w:rFonts w:ascii="Times New Roman" w:cs="Times New Roman" w:eastAsia="Times New Roman" w:hAnsi="Times New Roman"/>
                <w:sz w:val="10"/>
                <w:szCs w:val="10"/>
                <w:color w:val="auto"/>
                <w:w w:val="97"/>
              </w:rPr>
              <w:t>Chattanooga, TN 37407</w:t>
            </w:r>
          </w:p>
        </w:tc>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16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w w:val="99"/>
              </w:rPr>
              <w:t>Total Affiliate Investments</w:t>
            </w:r>
          </w:p>
        </w:tc>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6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Non-control/Non-affiliate</w:t>
            </w:r>
          </w:p>
        </w:tc>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100" w:type="dxa"/>
            <w:vAlign w:val="bottom"/>
            <w:tcBorders>
              <w:top w:val="single" w:sz="8" w:color="auto"/>
            </w:tcBorders>
          </w:tcPr>
          <w:p>
            <w:pPr>
              <w:spacing w:after="0"/>
              <w:rPr>
                <w:sz w:val="7"/>
                <w:szCs w:val="7"/>
                <w:color w:val="auto"/>
              </w:rPr>
            </w:pPr>
          </w:p>
        </w:tc>
        <w:tc>
          <w:tcPr>
            <w:tcW w:w="940" w:type="dxa"/>
            <w:vAlign w:val="bottom"/>
            <w:tcBorders>
              <w:top w:val="single" w:sz="8" w:color="auto"/>
            </w:tcBorders>
            <w:gridSpan w:val="2"/>
          </w:tcPr>
          <w:p>
            <w:pPr>
              <w:spacing w:after="0" w:line="83" w:lineRule="exact"/>
              <w:rPr>
                <w:sz w:val="20"/>
                <w:szCs w:val="20"/>
                <w:color w:val="auto"/>
              </w:rPr>
            </w:pPr>
            <w:r>
              <w:rPr>
                <w:rFonts w:ascii="Times New Roman" w:cs="Times New Roman" w:eastAsia="Times New Roman" w:hAnsi="Times New Roman"/>
                <w:sz w:val="8"/>
                <w:szCs w:val="8"/>
                <w:b w:val="1"/>
                <w:bCs w:val="1"/>
                <w:color w:val="auto"/>
              </w:rPr>
              <w:t>Investments</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gridSpan w:val="2"/>
            <w:vMerge w:val="restart"/>
          </w:tcPr>
          <w:p>
            <w:pPr>
              <w:spacing w:after="0" w:line="100" w:lineRule="exact"/>
              <w:rPr>
                <w:sz w:val="20"/>
                <w:szCs w:val="20"/>
                <w:color w:val="auto"/>
              </w:rPr>
            </w:pPr>
            <w:r>
              <w:rPr>
                <w:rFonts w:ascii="Times New Roman" w:cs="Times New Roman" w:eastAsia="Times New Roman" w:hAnsi="Times New Roman"/>
                <w:sz w:val="10"/>
                <w:szCs w:val="10"/>
                <w:i w:val="1"/>
                <w:iCs w:val="1"/>
                <w:color w:val="auto"/>
                <w:w w:val="91"/>
              </w:rPr>
              <w:t>(dba iPromote)</w:t>
            </w: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vMerge w:val="restart"/>
          </w:tcPr>
          <w:p>
            <w:pPr>
              <w:spacing w:after="0" w:line="100" w:lineRule="exact"/>
              <w:rPr>
                <w:sz w:val="20"/>
                <w:szCs w:val="20"/>
                <w:color w:val="auto"/>
              </w:rPr>
            </w:pPr>
            <w:r>
              <w:rPr>
                <w:rFonts w:ascii="Times New Roman" w:cs="Times New Roman" w:eastAsia="Times New Roman" w:hAnsi="Times New Roman"/>
                <w:sz w:val="10"/>
                <w:szCs w:val="10"/>
                <w:color w:val="auto"/>
              </w:rPr>
              <w:t>Information Technology Services</w:t>
            </w:r>
          </w:p>
        </w:tc>
        <w:tc>
          <w:tcPr>
            <w:tcW w:w="0" w:type="dxa"/>
            <w:vAlign w:val="bottom"/>
          </w:tcPr>
          <w:p>
            <w:pPr>
              <w:spacing w:after="0" w:line="20" w:lineRule="exact"/>
              <w:rPr>
                <w:sz w:val="1"/>
                <w:szCs w:val="1"/>
                <w:color w:val="auto"/>
              </w:rPr>
            </w:pPr>
          </w:p>
        </w:tc>
      </w:tr>
      <w:tr>
        <w:trPr>
          <w:trHeight w:val="80"/>
        </w:trPr>
        <w:tc>
          <w:tcPr>
            <w:tcW w:w="580" w:type="dxa"/>
            <w:vAlign w:val="bottom"/>
            <w:gridSpan w:val="2"/>
          </w:tcPr>
          <w:p>
            <w:pPr>
              <w:spacing w:after="0" w:line="80" w:lineRule="exact"/>
              <w:rPr>
                <w:sz w:val="20"/>
                <w:szCs w:val="20"/>
                <w:color w:val="auto"/>
              </w:rPr>
            </w:pPr>
            <w:r>
              <w:rPr>
                <w:rFonts w:ascii="Times New Roman" w:cs="Times New Roman" w:eastAsia="Times New Roman" w:hAnsi="Times New Roman"/>
                <w:sz w:val="8"/>
                <w:szCs w:val="8"/>
                <w:i w:val="1"/>
                <w:iCs w:val="1"/>
                <w:color w:val="auto"/>
              </w:rPr>
              <w:t>2KDirect, Inc.</w:t>
            </w:r>
          </w:p>
        </w:tc>
        <w:tc>
          <w:tcPr>
            <w:tcW w:w="58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100" w:type="dxa"/>
            <w:vAlign w:val="bottom"/>
          </w:tcPr>
          <w:p>
            <w:pPr>
              <w:spacing w:after="0"/>
              <w:rPr>
                <w:sz w:val="10"/>
                <w:szCs w:val="10"/>
                <w:color w:val="auto"/>
              </w:rPr>
            </w:pPr>
          </w:p>
        </w:tc>
        <w:tc>
          <w:tcPr>
            <w:tcW w:w="1060" w:type="dxa"/>
            <w:vAlign w:val="bottom"/>
            <w:gridSpan w:val="3"/>
          </w:tcPr>
          <w:p>
            <w:pPr>
              <w:ind w:left="100"/>
              <w:spacing w:after="0"/>
              <w:rPr>
                <w:sz w:val="20"/>
                <w:szCs w:val="20"/>
                <w:color w:val="auto"/>
              </w:rPr>
            </w:pPr>
            <w:r>
              <w:rPr>
                <w:rFonts w:ascii="Times New Roman" w:cs="Times New Roman" w:eastAsia="Times New Roman" w:hAnsi="Times New Roman"/>
                <w:sz w:val="10"/>
                <w:szCs w:val="10"/>
                <w:color w:val="auto"/>
                <w:w w:val="92"/>
              </w:rPr>
              <w:t>3000 Broad St; Suite 115</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First Lien Debt (at)</w:t>
            </w: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00" w:type="dxa"/>
            <w:vAlign w:val="bottom"/>
          </w:tcPr>
          <w:p>
            <w:pPr>
              <w:spacing w:after="0"/>
              <w:rPr>
                <w:sz w:val="16"/>
                <w:szCs w:val="16"/>
                <w:color w:val="auto"/>
              </w:rPr>
            </w:pPr>
          </w:p>
        </w:tc>
        <w:tc>
          <w:tcPr>
            <w:tcW w:w="1060" w:type="dxa"/>
            <w:vAlign w:val="bottom"/>
            <w:gridSpan w:val="3"/>
          </w:tcPr>
          <w:p>
            <w:pPr>
              <w:ind w:left="100"/>
              <w:spacing w:after="0"/>
              <w:rPr>
                <w:sz w:val="20"/>
                <w:szCs w:val="20"/>
                <w:color w:val="auto"/>
              </w:rPr>
            </w:pPr>
            <w:r>
              <w:rPr>
                <w:rFonts w:ascii="Times New Roman" w:cs="Times New Roman" w:eastAsia="Times New Roman" w:hAnsi="Times New Roman"/>
                <w:sz w:val="10"/>
                <w:szCs w:val="10"/>
                <w:color w:val="auto"/>
              </w:rPr>
              <w:t>San Luis Obispo, CA</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First Lien Debt (aa)</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5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93401</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color w:val="auto"/>
                <w:w w:val="97"/>
              </w:rPr>
              <w:t>Common Equity (1,000,000 units)</w:t>
            </w: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gridSpan w:val="3"/>
            <w:vMerge w:val="continue"/>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160" w:type="dxa"/>
            <w:vAlign w:val="bottom"/>
            <w:gridSpan w:val="4"/>
          </w:tcPr>
          <w:p>
            <w:pPr>
              <w:spacing w:after="0"/>
              <w:rPr>
                <w:sz w:val="20"/>
                <w:szCs w:val="20"/>
                <w:color w:val="auto"/>
              </w:rPr>
            </w:pPr>
            <w:r>
              <w:rPr>
                <w:rFonts w:ascii="Times New Roman" w:cs="Times New Roman" w:eastAsia="Times New Roman" w:hAnsi="Times New Roman"/>
                <w:sz w:val="10"/>
                <w:szCs w:val="10"/>
                <w:i w:val="1"/>
                <w:iCs w:val="1"/>
                <w:color w:val="auto"/>
              </w:rPr>
              <w:t>301 Edison Holdings Inc.</w:t>
            </w:r>
          </w:p>
        </w:tc>
        <w:tc>
          <w:tcPr>
            <w:tcW w:w="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100" w:type="dxa"/>
            <w:vAlign w:val="bottom"/>
          </w:tcPr>
          <w:p>
            <w:pPr>
              <w:spacing w:after="0"/>
              <w:rPr>
                <w:sz w:val="9"/>
                <w:szCs w:val="9"/>
                <w:color w:val="auto"/>
              </w:rPr>
            </w:pPr>
          </w:p>
        </w:tc>
        <w:tc>
          <w:tcPr>
            <w:tcW w:w="1060" w:type="dxa"/>
            <w:vAlign w:val="bottom"/>
            <w:gridSpan w:val="3"/>
          </w:tcPr>
          <w:p>
            <w:pPr>
              <w:spacing w:after="0" w:line="105" w:lineRule="exact"/>
              <w:rPr>
                <w:sz w:val="20"/>
                <w:szCs w:val="20"/>
                <w:color w:val="auto"/>
              </w:rPr>
            </w:pPr>
            <w:r>
              <w:rPr>
                <w:rFonts w:ascii="Times New Roman" w:cs="Times New Roman" w:eastAsia="Times New Roman" w:hAnsi="Times New Roman"/>
                <w:sz w:val="10"/>
                <w:szCs w:val="10"/>
                <w:i w:val="1"/>
                <w:iCs w:val="1"/>
                <w:color w:val="auto"/>
              </w:rPr>
              <w:t>(dba LGG Industrial)</w:t>
            </w:r>
          </w:p>
        </w:tc>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4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Specialty Distribution</w:t>
            </w:r>
          </w:p>
        </w:tc>
        <w:tc>
          <w:tcPr>
            <w:tcW w:w="0" w:type="dxa"/>
            <w:vAlign w:val="bottom"/>
          </w:tcPr>
          <w:p>
            <w:pPr>
              <w:spacing w:after="0"/>
              <w:rPr>
                <w:sz w:val="1"/>
                <w:szCs w:val="1"/>
                <w:color w:val="auto"/>
              </w:rPr>
            </w:pPr>
          </w:p>
        </w:tc>
      </w:tr>
      <w:tr>
        <w:trPr>
          <w:trHeight w:val="103"/>
        </w:trPr>
        <w:tc>
          <w:tcPr>
            <w:tcW w:w="100" w:type="dxa"/>
            <w:vAlign w:val="bottom"/>
          </w:tcPr>
          <w:p>
            <w:pPr>
              <w:spacing w:after="0"/>
              <w:rPr>
                <w:sz w:val="8"/>
                <w:szCs w:val="8"/>
                <w:color w:val="auto"/>
              </w:rPr>
            </w:pPr>
          </w:p>
        </w:tc>
        <w:tc>
          <w:tcPr>
            <w:tcW w:w="1060" w:type="dxa"/>
            <w:vAlign w:val="bottom"/>
            <w:gridSpan w:val="3"/>
          </w:tcPr>
          <w:p>
            <w:pPr>
              <w:ind w:left="100"/>
              <w:spacing w:after="0" w:line="103" w:lineRule="exact"/>
              <w:rPr>
                <w:sz w:val="20"/>
                <w:szCs w:val="20"/>
                <w:color w:val="auto"/>
              </w:rPr>
            </w:pPr>
            <w:r>
              <w:rPr>
                <w:rFonts w:ascii="Times New Roman" w:cs="Times New Roman" w:eastAsia="Times New Roman" w:hAnsi="Times New Roman"/>
                <w:sz w:val="10"/>
                <w:szCs w:val="10"/>
                <w:color w:val="auto"/>
              </w:rPr>
              <w:t>650 Washington Road,</w:t>
            </w:r>
          </w:p>
        </w:tc>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00" w:type="dxa"/>
            <w:vAlign w:val="bottom"/>
          </w:tcPr>
          <w:p>
            <w:pPr>
              <w:spacing w:after="0"/>
              <w:rPr>
                <w:sz w:val="8"/>
                <w:szCs w:val="8"/>
                <w:color w:val="auto"/>
              </w:rPr>
            </w:pPr>
          </w:p>
        </w:tc>
        <w:tc>
          <w:tcPr>
            <w:tcW w:w="1060" w:type="dxa"/>
            <w:vAlign w:val="bottom"/>
            <w:gridSpan w:val="3"/>
          </w:tcPr>
          <w:p>
            <w:pPr>
              <w:ind w:left="180"/>
              <w:spacing w:after="0" w:line="103" w:lineRule="exact"/>
              <w:rPr>
                <w:sz w:val="20"/>
                <w:szCs w:val="20"/>
                <w:color w:val="auto"/>
              </w:rPr>
            </w:pPr>
            <w:r>
              <w:rPr>
                <w:rFonts w:ascii="Times New Roman" w:cs="Times New Roman" w:eastAsia="Times New Roman" w:hAnsi="Times New Roman"/>
                <w:sz w:val="10"/>
                <w:szCs w:val="10"/>
                <w:color w:val="auto"/>
              </w:rPr>
              <w:t>Suite 500</w:t>
            </w:r>
          </w:p>
        </w:tc>
        <w:tc>
          <w:tcPr>
            <w:tcW w:w="1380" w:type="dxa"/>
            <w:vAlign w:val="bottom"/>
            <w:gridSpan w:val="3"/>
          </w:tcPr>
          <w:p>
            <w:pPr>
              <w:ind w:left="20"/>
              <w:spacing w:after="0" w:line="103" w:lineRule="exact"/>
              <w:rPr>
                <w:sz w:val="20"/>
                <w:szCs w:val="20"/>
                <w:color w:val="auto"/>
              </w:rPr>
            </w:pPr>
            <w:r>
              <w:rPr>
                <w:rFonts w:ascii="Times New Roman" w:cs="Times New Roman" w:eastAsia="Times New Roman" w:hAnsi="Times New Roman"/>
                <w:sz w:val="10"/>
                <w:szCs w:val="10"/>
                <w:color w:val="auto"/>
              </w:rPr>
              <w:t>First Lien Debt (j)</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00" w:type="dxa"/>
            <w:vAlign w:val="bottom"/>
          </w:tcPr>
          <w:p>
            <w:pPr>
              <w:spacing w:after="0"/>
              <w:rPr>
                <w:sz w:val="10"/>
                <w:szCs w:val="10"/>
                <w:color w:val="auto"/>
              </w:rPr>
            </w:pPr>
          </w:p>
        </w:tc>
        <w:tc>
          <w:tcPr>
            <w:tcW w:w="1060" w:type="dxa"/>
            <w:vAlign w:val="bottom"/>
            <w:gridSpan w:val="3"/>
          </w:tcPr>
          <w:p>
            <w:pPr>
              <w:ind w:left="100"/>
              <w:spacing w:after="0"/>
              <w:rPr>
                <w:sz w:val="20"/>
                <w:szCs w:val="20"/>
                <w:color w:val="auto"/>
              </w:rPr>
            </w:pPr>
            <w:r>
              <w:rPr>
                <w:rFonts w:ascii="Times New Roman" w:cs="Times New Roman" w:eastAsia="Times New Roman" w:hAnsi="Times New Roman"/>
                <w:sz w:val="10"/>
                <w:szCs w:val="10"/>
                <w:color w:val="auto"/>
              </w:rPr>
              <w:t>Pittsburgh, PA 15228</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Preferred Equity (518,135 units)</w:t>
            </w: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3"/>
        </w:trPr>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rPr>
              <w:t>Variable</w:t>
            </w: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w w:val="94"/>
              </w:rPr>
              <w:t>Percentage</w:t>
            </w: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w w:val="96"/>
              </w:rPr>
              <w:t>Index Spread</w:t>
            </w:r>
          </w:p>
        </w:tc>
        <w:tc>
          <w:tcPr>
            <w:tcW w:w="6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9"/>
                <w:szCs w:val="9"/>
                <w:b w:val="1"/>
                <w:bCs w:val="1"/>
                <w:color w:val="auto"/>
                <w:w w:val="99"/>
              </w:rPr>
              <w:t>Rate (e)</w:t>
            </w: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580" w:type="dxa"/>
            <w:vAlign w:val="bottom"/>
            <w:gridSpan w:val="2"/>
          </w:tcPr>
          <w:p>
            <w:pPr>
              <w:jc w:val="center"/>
              <w:ind w:right="140"/>
              <w:spacing w:after="0" w:line="93" w:lineRule="exact"/>
              <w:rPr>
                <w:sz w:val="20"/>
                <w:szCs w:val="20"/>
                <w:color w:val="auto"/>
              </w:rPr>
            </w:pPr>
            <w:r>
              <w:rPr>
                <w:rFonts w:ascii="Times New Roman" w:cs="Times New Roman" w:eastAsia="Times New Roman" w:hAnsi="Times New Roman"/>
                <w:sz w:val="9"/>
                <w:szCs w:val="9"/>
                <w:b w:val="1"/>
                <w:bCs w:val="1"/>
                <w:color w:val="auto"/>
                <w:w w:val="92"/>
              </w:rPr>
              <w:t>of Class</w:t>
            </w:r>
          </w:p>
        </w:tc>
        <w:tc>
          <w:tcPr>
            <w:tcW w:w="500" w:type="dxa"/>
            <w:vAlign w:val="bottom"/>
          </w:tcPr>
          <w:p>
            <w:pPr>
              <w:jc w:val="center"/>
              <w:spacing w:after="0" w:line="93" w:lineRule="exact"/>
              <w:rPr>
                <w:sz w:val="20"/>
                <w:szCs w:val="20"/>
                <w:color w:val="auto"/>
              </w:rPr>
            </w:pPr>
            <w:r>
              <w:rPr>
                <w:rFonts w:ascii="Times New Roman" w:cs="Times New Roman" w:eastAsia="Times New Roman" w:hAnsi="Times New Roman"/>
                <w:sz w:val="9"/>
                <w:szCs w:val="9"/>
                <w:b w:val="1"/>
                <w:bCs w:val="1"/>
                <w:color w:val="auto"/>
                <w:w w:val="77"/>
              </w:rPr>
              <w:t>/</w:t>
            </w:r>
          </w:p>
        </w:tc>
        <w:tc>
          <w:tcPr>
            <w:tcW w:w="6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520" w:type="dxa"/>
            <w:vAlign w:val="bottom"/>
            <w:gridSpan w:val="2"/>
          </w:tcPr>
          <w:p>
            <w:pPr>
              <w:jc w:val="center"/>
              <w:ind w:right="60"/>
              <w:spacing w:after="0" w:line="93" w:lineRule="exact"/>
              <w:rPr>
                <w:sz w:val="20"/>
                <w:szCs w:val="20"/>
                <w:color w:val="auto"/>
              </w:rPr>
            </w:pPr>
            <w:r>
              <w:rPr>
                <w:rFonts w:ascii="Times New Roman" w:cs="Times New Roman" w:eastAsia="Times New Roman" w:hAnsi="Times New Roman"/>
                <w:sz w:val="9"/>
                <w:szCs w:val="9"/>
                <w:b w:val="1"/>
                <w:bCs w:val="1"/>
                <w:color w:val="auto"/>
                <w:w w:val="97"/>
              </w:rPr>
              <w:t>Investment</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3"/>
          </w:tcPr>
          <w:p>
            <w:pPr>
              <w:spacing w:after="0" w:line="93" w:lineRule="exact"/>
              <w:rPr>
                <w:sz w:val="20"/>
                <w:szCs w:val="20"/>
                <w:color w:val="auto"/>
              </w:rPr>
            </w:pPr>
            <w:r>
              <w:rPr>
                <w:rFonts w:ascii="Times New Roman" w:cs="Times New Roman" w:eastAsia="Times New Roman" w:hAnsi="Times New Roman"/>
                <w:sz w:val="9"/>
                <w:szCs w:val="9"/>
                <w:b w:val="1"/>
                <w:bCs w:val="1"/>
                <w:color w:val="auto"/>
              </w:rPr>
              <w:t>Principal</w:t>
            </w: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gridSpan w:val="2"/>
          </w:tcPr>
          <w:p>
            <w:pPr>
              <w:ind w:left="40"/>
              <w:spacing w:after="0" w:line="93" w:lineRule="exact"/>
              <w:rPr>
                <w:sz w:val="20"/>
                <w:szCs w:val="20"/>
                <w:color w:val="auto"/>
              </w:rPr>
            </w:pPr>
            <w:r>
              <w:rPr>
                <w:rFonts w:ascii="Times New Roman" w:cs="Times New Roman" w:eastAsia="Times New Roman" w:hAnsi="Times New Roman"/>
                <w:sz w:val="9"/>
                <w:szCs w:val="9"/>
                <w:b w:val="1"/>
                <w:bCs w:val="1"/>
                <w:color w:val="auto"/>
              </w:rPr>
              <w:t>Fair</w:t>
            </w:r>
          </w:p>
        </w:tc>
        <w:tc>
          <w:tcPr>
            <w:tcW w:w="460" w:type="dxa"/>
            <w:vAlign w:val="bottom"/>
            <w:gridSpan w:val="2"/>
          </w:tcPr>
          <w:p>
            <w:pPr>
              <w:jc w:val="right"/>
              <w:ind w:right="80"/>
              <w:spacing w:after="0" w:line="93" w:lineRule="exact"/>
              <w:rPr>
                <w:sz w:val="20"/>
                <w:szCs w:val="20"/>
                <w:color w:val="auto"/>
              </w:rPr>
            </w:pPr>
            <w:r>
              <w:rPr>
                <w:rFonts w:ascii="Times New Roman" w:cs="Times New Roman" w:eastAsia="Times New Roman" w:hAnsi="Times New Roman"/>
                <w:sz w:val="9"/>
                <w:szCs w:val="9"/>
                <w:b w:val="1"/>
                <w:bCs w:val="1"/>
                <w:color w:val="auto"/>
                <w:w w:val="91"/>
              </w:rPr>
              <w:t>Percent of</w:t>
            </w:r>
          </w:p>
        </w:tc>
        <w:tc>
          <w:tcPr>
            <w:tcW w:w="0" w:type="dxa"/>
            <w:vAlign w:val="bottom"/>
          </w:tcPr>
          <w:p>
            <w:pPr>
              <w:spacing w:after="0"/>
              <w:rPr>
                <w:sz w:val="1"/>
                <w:szCs w:val="1"/>
                <w:color w:val="auto"/>
              </w:rPr>
            </w:pPr>
          </w:p>
        </w:tc>
      </w:tr>
      <w:tr>
        <w:trPr>
          <w:trHeight w:val="120"/>
        </w:trPr>
        <w:tc>
          <w:tcPr>
            <w:tcW w:w="4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Held (bo)</w:t>
            </w:r>
          </w:p>
        </w:tc>
        <w:tc>
          <w:tcPr>
            <w:tcW w:w="14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Floor (d)</w:t>
            </w:r>
          </w:p>
        </w:tc>
        <w:tc>
          <w:tcPr>
            <w:tcW w:w="6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Cash/PIK</w:t>
            </w:r>
          </w:p>
        </w:tc>
        <w:tc>
          <w:tcPr>
            <w:tcW w:w="4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Date (f)</w:t>
            </w:r>
          </w:p>
        </w:tc>
        <w:tc>
          <w:tcPr>
            <w:tcW w:w="60" w:type="dxa"/>
            <w:vAlign w:val="bottom"/>
          </w:tcPr>
          <w:p>
            <w:pPr>
              <w:spacing w:after="0"/>
              <w:rPr>
                <w:sz w:val="10"/>
                <w:szCs w:val="10"/>
                <w:color w:val="auto"/>
              </w:rPr>
            </w:pPr>
          </w:p>
        </w:tc>
        <w:tc>
          <w:tcPr>
            <w:tcW w:w="480" w:type="dxa"/>
            <w:vAlign w:val="bottom"/>
          </w:tcPr>
          <w:p>
            <w:pPr>
              <w:jc w:val="right"/>
              <w:ind w:right="13"/>
              <w:spacing w:after="0"/>
              <w:rPr>
                <w:sz w:val="20"/>
                <w:szCs w:val="20"/>
                <w:color w:val="auto"/>
              </w:rPr>
            </w:pPr>
            <w:r>
              <w:rPr>
                <w:rFonts w:ascii="Times New Roman" w:cs="Times New Roman" w:eastAsia="Times New Roman" w:hAnsi="Times New Roman"/>
                <w:sz w:val="9"/>
                <w:szCs w:val="9"/>
                <w:b w:val="1"/>
                <w:bCs w:val="1"/>
                <w:color w:val="auto"/>
              </w:rPr>
              <w:t>Maturity</w:t>
            </w:r>
          </w:p>
        </w:tc>
        <w:tc>
          <w:tcPr>
            <w:tcW w:w="60" w:type="dxa"/>
            <w:vAlign w:val="bottom"/>
          </w:tcPr>
          <w:p>
            <w:pPr>
              <w:spacing w:after="0"/>
              <w:rPr>
                <w:sz w:val="10"/>
                <w:szCs w:val="10"/>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Amount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9"/>
                <w:szCs w:val="9"/>
                <w:b w:val="1"/>
                <w:bCs w:val="1"/>
                <w:color w:val="auto"/>
                <w:w w:val="91"/>
              </w:rPr>
              <w:t>Cost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w w:val="90"/>
              </w:rPr>
              <w:t>Value (g)</w:t>
            </w:r>
          </w:p>
        </w:tc>
        <w:tc>
          <w:tcPr>
            <w:tcW w:w="60" w:type="dxa"/>
            <w:vAlign w:val="bottom"/>
          </w:tcPr>
          <w:p>
            <w:pPr>
              <w:spacing w:after="0"/>
              <w:rPr>
                <w:sz w:val="10"/>
                <w:szCs w:val="10"/>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b w:val="1"/>
                <w:bCs w:val="1"/>
                <w:color w:val="auto"/>
                <w:w w:val="90"/>
              </w:rPr>
              <w:t>Net Assets</w:t>
            </w:r>
          </w:p>
        </w:tc>
        <w:tc>
          <w:tcPr>
            <w:tcW w:w="0" w:type="dxa"/>
            <w:vAlign w:val="bottom"/>
          </w:tcPr>
          <w:p>
            <w:pPr>
              <w:spacing w:after="0"/>
              <w:rPr>
                <w:sz w:val="1"/>
                <w:szCs w:val="1"/>
                <w:color w:val="auto"/>
              </w:rPr>
            </w:pPr>
          </w:p>
        </w:tc>
      </w:tr>
      <w:tr>
        <w:trPr>
          <w:trHeight w:val="182"/>
        </w:trPr>
        <w:tc>
          <w:tcPr>
            <w:tcW w:w="4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94"/>
              </w:rPr>
              <w:t>(S + 6.25%)</w:t>
            </w:r>
          </w:p>
        </w:tc>
        <w:tc>
          <w:tcPr>
            <w:tcW w:w="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ind w:left="20"/>
              <w:spacing w:after="0" w:line="103" w:lineRule="exact"/>
              <w:rPr>
                <w:sz w:val="20"/>
                <w:szCs w:val="20"/>
                <w:color w:val="auto"/>
              </w:rPr>
            </w:pPr>
            <w:r>
              <w:rPr>
                <w:rFonts w:ascii="Times New Roman" w:cs="Times New Roman" w:eastAsia="Times New Roman" w:hAnsi="Times New Roman"/>
                <w:sz w:val="10"/>
                <w:szCs w:val="10"/>
                <w:color w:val="auto"/>
              </w:rPr>
              <w:t>/ (2.00%)</w:t>
            </w:r>
          </w:p>
        </w:tc>
        <w:tc>
          <w:tcPr>
            <w:tcW w:w="60" w:type="dxa"/>
            <w:vAlign w:val="bottom"/>
          </w:tcPr>
          <w:p>
            <w:pPr>
              <w:spacing w:after="0"/>
              <w:rPr>
                <w:sz w:val="8"/>
                <w:szCs w:val="8"/>
                <w:color w:val="auto"/>
              </w:rPr>
            </w:pPr>
          </w:p>
        </w:tc>
        <w:tc>
          <w:tcPr>
            <w:tcW w:w="620" w:type="dxa"/>
            <w:vAlign w:val="bottom"/>
            <w:gridSpan w:val="2"/>
          </w:tcPr>
          <w:p>
            <w:pPr>
              <w:jc w:val="right"/>
              <w:ind w:right="40"/>
              <w:spacing w:after="0" w:line="103" w:lineRule="exact"/>
              <w:rPr>
                <w:sz w:val="20"/>
                <w:szCs w:val="20"/>
                <w:color w:val="auto"/>
              </w:rPr>
            </w:pPr>
            <w:r>
              <w:rPr>
                <w:rFonts w:ascii="Times New Roman" w:cs="Times New Roman" w:eastAsia="Times New Roman" w:hAnsi="Times New Roman"/>
                <w:sz w:val="10"/>
                <w:szCs w:val="10"/>
                <w:color w:val="auto"/>
              </w:rPr>
              <w:t>9.99%/0.00%</w:t>
            </w:r>
          </w:p>
        </w:tc>
        <w:tc>
          <w:tcPr>
            <w:tcW w:w="5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w w:val="96"/>
              </w:rPr>
              <w:t>12/11/2025</w:t>
            </w: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12/11/2030</w:t>
            </w:r>
          </w:p>
        </w:tc>
        <w:tc>
          <w:tcPr>
            <w:tcW w:w="80" w:type="dxa"/>
            <w:vAlign w:val="bottom"/>
          </w:tcPr>
          <w:p>
            <w:pPr>
              <w:spacing w:after="0"/>
              <w:rPr>
                <w:sz w:val="8"/>
                <w:szCs w:val="8"/>
                <w:color w:val="auto"/>
              </w:rPr>
            </w:pPr>
          </w:p>
        </w:tc>
        <w:tc>
          <w:tcPr>
            <w:tcW w:w="3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9,000</w:t>
            </w:r>
          </w:p>
        </w:tc>
        <w:tc>
          <w:tcPr>
            <w:tcW w:w="60" w:type="dxa"/>
            <w:vAlign w:val="bottom"/>
          </w:tcPr>
          <w:p>
            <w:pPr>
              <w:spacing w:after="0"/>
              <w:rPr>
                <w:sz w:val="8"/>
                <w:szCs w:val="8"/>
                <w:color w:val="auto"/>
              </w:rPr>
            </w:pPr>
          </w:p>
        </w:tc>
        <w:tc>
          <w:tcPr>
            <w:tcW w:w="26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8,949</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8,949</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(S + 6.25%)</w:t>
            </w: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ind w:left="20"/>
              <w:spacing w:after="0" w:line="103" w:lineRule="exact"/>
              <w:rPr>
                <w:sz w:val="20"/>
                <w:szCs w:val="20"/>
                <w:color w:val="auto"/>
              </w:rPr>
            </w:pPr>
            <w:r>
              <w:rPr>
                <w:rFonts w:ascii="Times New Roman" w:cs="Times New Roman" w:eastAsia="Times New Roman" w:hAnsi="Times New Roman"/>
                <w:sz w:val="10"/>
                <w:szCs w:val="10"/>
                <w:color w:val="auto"/>
              </w:rPr>
              <w:t>/ (2.00%)</w:t>
            </w:r>
          </w:p>
        </w:tc>
        <w:tc>
          <w:tcPr>
            <w:tcW w:w="60" w:type="dxa"/>
            <w:vAlign w:val="bottom"/>
          </w:tcPr>
          <w:p>
            <w:pPr>
              <w:spacing w:after="0"/>
              <w:rPr>
                <w:sz w:val="8"/>
                <w:szCs w:val="8"/>
                <w:color w:val="auto"/>
              </w:rPr>
            </w:pPr>
          </w:p>
        </w:tc>
        <w:tc>
          <w:tcPr>
            <w:tcW w:w="620" w:type="dxa"/>
            <w:vAlign w:val="bottom"/>
            <w:gridSpan w:val="2"/>
          </w:tcPr>
          <w:p>
            <w:pPr>
              <w:jc w:val="right"/>
              <w:ind w:right="40"/>
              <w:spacing w:after="0" w:line="103" w:lineRule="exact"/>
              <w:rPr>
                <w:sz w:val="20"/>
                <w:szCs w:val="20"/>
                <w:color w:val="auto"/>
              </w:rPr>
            </w:pPr>
            <w:r>
              <w:rPr>
                <w:rFonts w:ascii="Times New Roman" w:cs="Times New Roman" w:eastAsia="Times New Roman" w:hAnsi="Times New Roman"/>
                <w:sz w:val="10"/>
                <w:szCs w:val="10"/>
                <w:color w:val="auto"/>
              </w:rPr>
              <w:t>9.99%/0.00%</w:t>
            </w:r>
          </w:p>
        </w:tc>
        <w:tc>
          <w:tcPr>
            <w:tcW w:w="5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w w:val="96"/>
              </w:rPr>
              <w:t>12/11/2025</w:t>
            </w: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12/11/2030</w:t>
            </w:r>
          </w:p>
        </w:tc>
        <w:tc>
          <w:tcPr>
            <w:tcW w:w="80" w:type="dxa"/>
            <w:vAlign w:val="bottom"/>
          </w:tcPr>
          <w:p>
            <w:pPr>
              <w:spacing w:after="0"/>
              <w:rPr>
                <w:sz w:val="8"/>
                <w:szCs w:val="8"/>
                <w:color w:val="auto"/>
              </w:rPr>
            </w:pPr>
          </w:p>
        </w:tc>
        <w:tc>
          <w:tcPr>
            <w:tcW w:w="340" w:type="dxa"/>
            <w:vAlign w:val="bottom"/>
            <w:gridSpan w:val="2"/>
          </w:tcPr>
          <w:p>
            <w:pPr>
              <w:jc w:val="right"/>
              <w:ind w:right="8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8"/>
                <w:szCs w:val="8"/>
                <w:color w:val="auto"/>
              </w:rPr>
            </w:pPr>
          </w:p>
        </w:tc>
        <w:tc>
          <w:tcPr>
            <w:tcW w:w="320" w:type="dxa"/>
            <w:vAlign w:val="bottom"/>
            <w:gridSpan w:val="2"/>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(14)</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gridSpan w:val="2"/>
          </w:tcPr>
          <w:p>
            <w:pPr>
              <w:ind w:left="16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5.5%</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w w:val="96"/>
              </w:rPr>
              <w:t>12/11/2025</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750</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750</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14"/>
        </w:trPr>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9,685</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9,699</w:t>
            </w:r>
          </w:p>
        </w:tc>
        <w:tc>
          <w:tcPr>
            <w:tcW w:w="6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8"/>
        </w:trPr>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(S + 6.00%)</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ind w:left="20"/>
              <w:spacing w:after="0" w:line="103" w:lineRule="exact"/>
              <w:rPr>
                <w:sz w:val="20"/>
                <w:szCs w:val="20"/>
                <w:color w:val="auto"/>
              </w:rPr>
            </w:pPr>
            <w:r>
              <w:rPr>
                <w:rFonts w:ascii="Times New Roman" w:cs="Times New Roman" w:eastAsia="Times New Roman" w:hAnsi="Times New Roman"/>
                <w:sz w:val="10"/>
                <w:szCs w:val="10"/>
                <w:color w:val="auto"/>
              </w:rPr>
              <w:t>/ (1.00%)</w:t>
            </w:r>
          </w:p>
        </w:tc>
        <w:tc>
          <w:tcPr>
            <w:tcW w:w="60" w:type="dxa"/>
            <w:vAlign w:val="bottom"/>
          </w:tcPr>
          <w:p>
            <w:pPr>
              <w:spacing w:after="0"/>
              <w:rPr>
                <w:sz w:val="8"/>
                <w:szCs w:val="8"/>
                <w:color w:val="auto"/>
              </w:rPr>
            </w:pPr>
          </w:p>
        </w:tc>
        <w:tc>
          <w:tcPr>
            <w:tcW w:w="620" w:type="dxa"/>
            <w:vAlign w:val="bottom"/>
            <w:gridSpan w:val="2"/>
          </w:tcPr>
          <w:p>
            <w:pPr>
              <w:jc w:val="right"/>
              <w:ind w:right="40"/>
              <w:spacing w:after="0" w:line="103" w:lineRule="exact"/>
              <w:rPr>
                <w:sz w:val="20"/>
                <w:szCs w:val="20"/>
                <w:color w:val="auto"/>
              </w:rPr>
            </w:pPr>
            <w:r>
              <w:rPr>
                <w:rFonts w:ascii="Times New Roman" w:cs="Times New Roman" w:eastAsia="Times New Roman" w:hAnsi="Times New Roman"/>
                <w:sz w:val="10"/>
                <w:szCs w:val="10"/>
                <w:color w:val="auto"/>
              </w:rPr>
              <w:t>9.93%/0.00%</w:t>
            </w:r>
          </w:p>
        </w:tc>
        <w:tc>
          <w:tcPr>
            <w:tcW w:w="5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2/12/2021</w:t>
            </w: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8/11/2027</w:t>
            </w:r>
          </w:p>
        </w:tc>
        <w:tc>
          <w:tcPr>
            <w:tcW w:w="80" w:type="dxa"/>
            <w:vAlign w:val="bottom"/>
          </w:tcPr>
          <w:p>
            <w:pPr>
              <w:spacing w:after="0"/>
              <w:rPr>
                <w:sz w:val="8"/>
                <w:szCs w:val="8"/>
                <w:color w:val="auto"/>
              </w:rPr>
            </w:pPr>
          </w:p>
        </w:tc>
        <w:tc>
          <w:tcPr>
            <w:tcW w:w="3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w w:val="94"/>
              </w:rPr>
              <w:t>28,435</w:t>
            </w:r>
          </w:p>
        </w:tc>
        <w:tc>
          <w:tcPr>
            <w:tcW w:w="60" w:type="dxa"/>
            <w:vAlign w:val="bottom"/>
          </w:tcPr>
          <w:p>
            <w:pPr>
              <w:spacing w:after="0"/>
              <w:rPr>
                <w:sz w:val="8"/>
                <w:szCs w:val="8"/>
                <w:color w:val="auto"/>
              </w:rPr>
            </w:pPr>
          </w:p>
        </w:tc>
        <w:tc>
          <w:tcPr>
            <w:tcW w:w="26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w w:val="87"/>
              </w:rPr>
              <w:t>28,372</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28,435</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58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1.2%</w:t>
            </w: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8/25/2021</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1,204</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gridSpan w:val="2"/>
          </w:tcPr>
          <w:p>
            <w:pPr>
              <w:ind w:left="16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58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3.5%</w:t>
            </w: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w w:val="96"/>
              </w:rPr>
              <w:t>12/16/2022</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2,609</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gridSpan w:val="2"/>
          </w:tcPr>
          <w:p>
            <w:pPr>
              <w:ind w:left="16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58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0.7%</w:t>
            </w: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7/10/2023</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686</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gridSpan w:val="2"/>
          </w:tcPr>
          <w:p>
            <w:pPr>
              <w:ind w:left="16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58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0.5%</w:t>
            </w: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9/16/2022</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472</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gridSpan w:val="2"/>
          </w:tcPr>
          <w:p>
            <w:pPr>
              <w:ind w:left="16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1.8%</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5/22/2024</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2,195</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2,762</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14"/>
        </w:trPr>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w w:val="87"/>
              </w:rPr>
              <w:t>35,538</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31,197</w:t>
            </w:r>
          </w:p>
        </w:tc>
        <w:tc>
          <w:tcPr>
            <w:tcW w:w="6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5.8%</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w w:val="96"/>
              </w:rPr>
              <w:t>11/12/2015</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3,897</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95"/>
        </w:trPr>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u w:val="single" w:color="auto"/>
                <w:color w:val="auto"/>
                <w:w w:val="78"/>
              </w:rPr>
              <w:t>$</w:t>
            </w:r>
          </w:p>
        </w:tc>
        <w:tc>
          <w:tcPr>
            <w:tcW w:w="260" w:type="dxa"/>
            <w:vAlign w:val="bottom"/>
            <w:tcBorders>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0"/>
                <w:szCs w:val="10"/>
                <w:color w:val="auto"/>
                <w:w w:val="87"/>
              </w:rPr>
              <w:t>75,208</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u w:val="single" w:color="auto"/>
                <w:color w:val="auto"/>
                <w:w w:val="78"/>
              </w:rPr>
              <w:t>$</w:t>
            </w:r>
          </w:p>
        </w:tc>
        <w:tc>
          <w:tcPr>
            <w:tcW w:w="320" w:type="dxa"/>
            <w:vAlign w:val="bottom"/>
            <w:tcBorders>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0"/>
                <w:szCs w:val="10"/>
                <w:color w:val="auto"/>
                <w:w w:val="92"/>
              </w:rPr>
              <w:t>119,015</w:t>
            </w:r>
          </w:p>
        </w:tc>
        <w:tc>
          <w:tcPr>
            <w:tcW w:w="60" w:type="dxa"/>
            <w:vAlign w:val="bottom"/>
          </w:tcPr>
          <w:p>
            <w:pPr>
              <w:spacing w:after="0"/>
              <w:rPr>
                <w:sz w:val="8"/>
                <w:szCs w:val="8"/>
                <w:color w:val="auto"/>
              </w:rPr>
            </w:pPr>
          </w:p>
        </w:tc>
        <w:tc>
          <w:tcPr>
            <w:tcW w:w="460" w:type="dxa"/>
            <w:vAlign w:val="bottom"/>
            <w:gridSpan w:val="2"/>
          </w:tcPr>
          <w:p>
            <w:pPr>
              <w:jc w:val="right"/>
              <w:spacing w:after="0" w:line="104" w:lineRule="exact"/>
              <w:rPr>
                <w:sz w:val="20"/>
                <w:szCs w:val="20"/>
                <w:color w:val="auto"/>
              </w:rPr>
            </w:pPr>
            <w:r>
              <w:rPr>
                <w:rFonts w:ascii="Times New Roman" w:cs="Times New Roman" w:eastAsia="Times New Roman" w:hAnsi="Times New Roman"/>
                <w:sz w:val="10"/>
                <w:szCs w:val="10"/>
                <w:color w:val="auto"/>
              </w:rPr>
              <w:t>16%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color w:val="auto"/>
              </w:rPr>
              <w:t>(S + 8.00%)</w:t>
            </w: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ind w:left="20"/>
              <w:spacing w:after="0" w:line="103" w:lineRule="exact"/>
              <w:rPr>
                <w:sz w:val="20"/>
                <w:szCs w:val="20"/>
                <w:color w:val="auto"/>
              </w:rPr>
            </w:pPr>
            <w:r>
              <w:rPr>
                <w:rFonts w:ascii="Times New Roman" w:cs="Times New Roman" w:eastAsia="Times New Roman" w:hAnsi="Times New Roman"/>
                <w:sz w:val="10"/>
                <w:szCs w:val="10"/>
                <w:color w:val="auto"/>
              </w:rPr>
              <w:t>/ (0.50%)</w:t>
            </w:r>
          </w:p>
        </w:tc>
        <w:tc>
          <w:tcPr>
            <w:tcW w:w="60" w:type="dxa"/>
            <w:vAlign w:val="bottom"/>
          </w:tcPr>
          <w:p>
            <w:pPr>
              <w:spacing w:after="0"/>
              <w:rPr>
                <w:sz w:val="8"/>
                <w:szCs w:val="8"/>
                <w:color w:val="auto"/>
              </w:rPr>
            </w:pPr>
          </w:p>
        </w:tc>
        <w:tc>
          <w:tcPr>
            <w:tcW w:w="620" w:type="dxa"/>
            <w:vAlign w:val="bottom"/>
            <w:gridSpan w:val="2"/>
          </w:tcPr>
          <w:p>
            <w:pPr>
              <w:jc w:val="right"/>
              <w:ind w:right="40"/>
              <w:spacing w:after="0" w:line="103" w:lineRule="exact"/>
              <w:rPr>
                <w:sz w:val="20"/>
                <w:szCs w:val="20"/>
                <w:color w:val="auto"/>
              </w:rPr>
            </w:pPr>
            <w:r>
              <w:rPr>
                <w:rFonts w:ascii="Times New Roman" w:cs="Times New Roman" w:eastAsia="Times New Roman" w:hAnsi="Times New Roman"/>
                <w:sz w:val="10"/>
                <w:szCs w:val="10"/>
                <w:color w:val="auto"/>
                <w:w w:val="94"/>
              </w:rPr>
              <w:t>12.13%/0.00%</w:t>
            </w:r>
          </w:p>
        </w:tc>
        <w:tc>
          <w:tcPr>
            <w:tcW w:w="5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6/25/2021</w:t>
            </w: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9/30/2027</w:t>
            </w:r>
          </w:p>
        </w:tc>
        <w:tc>
          <w:tcPr>
            <w:tcW w:w="80" w:type="dxa"/>
            <w:vAlign w:val="bottom"/>
          </w:tcPr>
          <w:p>
            <w:pPr>
              <w:spacing w:after="0" w:line="103"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6,598</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26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6,590</w:t>
            </w:r>
          </w:p>
        </w:tc>
        <w:tc>
          <w:tcPr>
            <w:tcW w:w="60" w:type="dxa"/>
            <w:vAlign w:val="bottom"/>
          </w:tcPr>
          <w:p>
            <w:pPr>
              <w:spacing w:after="0"/>
              <w:rPr>
                <w:sz w:val="8"/>
                <w:szCs w:val="8"/>
                <w:color w:val="auto"/>
              </w:rPr>
            </w:pPr>
          </w:p>
        </w:tc>
        <w:tc>
          <w:tcPr>
            <w:tcW w:w="8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6,598</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(S + 8.00%)</w:t>
            </w: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ind w:left="20"/>
              <w:spacing w:after="0" w:line="103" w:lineRule="exact"/>
              <w:rPr>
                <w:sz w:val="20"/>
                <w:szCs w:val="20"/>
                <w:color w:val="auto"/>
              </w:rPr>
            </w:pPr>
            <w:r>
              <w:rPr>
                <w:rFonts w:ascii="Times New Roman" w:cs="Times New Roman" w:eastAsia="Times New Roman" w:hAnsi="Times New Roman"/>
                <w:sz w:val="10"/>
                <w:szCs w:val="10"/>
                <w:color w:val="auto"/>
              </w:rPr>
              <w:t>/ (0.50%)</w:t>
            </w:r>
          </w:p>
        </w:tc>
        <w:tc>
          <w:tcPr>
            <w:tcW w:w="60" w:type="dxa"/>
            <w:vAlign w:val="bottom"/>
          </w:tcPr>
          <w:p>
            <w:pPr>
              <w:spacing w:after="0"/>
              <w:rPr>
                <w:sz w:val="8"/>
                <w:szCs w:val="8"/>
                <w:color w:val="auto"/>
              </w:rPr>
            </w:pPr>
          </w:p>
        </w:tc>
        <w:tc>
          <w:tcPr>
            <w:tcW w:w="620" w:type="dxa"/>
            <w:vAlign w:val="bottom"/>
            <w:gridSpan w:val="2"/>
          </w:tcPr>
          <w:p>
            <w:pPr>
              <w:jc w:val="right"/>
              <w:ind w:right="40"/>
              <w:spacing w:after="0" w:line="103" w:lineRule="exact"/>
              <w:rPr>
                <w:sz w:val="20"/>
                <w:szCs w:val="20"/>
                <w:color w:val="auto"/>
              </w:rPr>
            </w:pPr>
            <w:r>
              <w:rPr>
                <w:rFonts w:ascii="Times New Roman" w:cs="Times New Roman" w:eastAsia="Times New Roman" w:hAnsi="Times New Roman"/>
                <w:sz w:val="10"/>
                <w:szCs w:val="10"/>
                <w:color w:val="auto"/>
              </w:rPr>
              <w:t>8.38%/0.00%</w:t>
            </w:r>
          </w:p>
        </w:tc>
        <w:tc>
          <w:tcPr>
            <w:tcW w:w="5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7/30/2021</w:t>
            </w: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9/30/2027</w:t>
            </w:r>
          </w:p>
        </w:tc>
        <w:tc>
          <w:tcPr>
            <w:tcW w:w="80" w:type="dxa"/>
            <w:vAlign w:val="bottom"/>
          </w:tcPr>
          <w:p>
            <w:pPr>
              <w:spacing w:after="0"/>
              <w:rPr>
                <w:sz w:val="8"/>
                <w:szCs w:val="8"/>
                <w:color w:val="auto"/>
              </w:rPr>
            </w:pPr>
          </w:p>
        </w:tc>
        <w:tc>
          <w:tcPr>
            <w:tcW w:w="3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1,846</w:t>
            </w:r>
          </w:p>
        </w:tc>
        <w:tc>
          <w:tcPr>
            <w:tcW w:w="60" w:type="dxa"/>
            <w:vAlign w:val="bottom"/>
          </w:tcPr>
          <w:p>
            <w:pPr>
              <w:spacing w:after="0"/>
              <w:rPr>
                <w:sz w:val="8"/>
                <w:szCs w:val="8"/>
                <w:color w:val="auto"/>
              </w:rPr>
            </w:pPr>
          </w:p>
        </w:tc>
        <w:tc>
          <w:tcPr>
            <w:tcW w:w="26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1,846</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1,846</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2.8%</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6/25/2021</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— </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14"/>
        </w:trPr>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9,436</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8,444</w:t>
            </w:r>
          </w:p>
        </w:tc>
        <w:tc>
          <w:tcPr>
            <w:tcW w:w="6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8"/>
        </w:trPr>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w w:val="94"/>
              </w:rPr>
              <w:t>11.75%/1.50%</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w w:val="96"/>
              </w:rPr>
              <w:t>11/14/2023</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11/13/2028</w:t>
            </w:r>
          </w:p>
        </w:tc>
        <w:tc>
          <w:tcPr>
            <w:tcW w:w="80" w:type="dxa"/>
            <w:vAlign w:val="bottom"/>
          </w:tcPr>
          <w:p>
            <w:pPr>
              <w:spacing w:after="0"/>
              <w:rPr>
                <w:sz w:val="24"/>
                <w:szCs w:val="24"/>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w w:val="94"/>
              </w:rPr>
              <w:t>11,775</w:t>
            </w:r>
          </w:p>
        </w:tc>
        <w:tc>
          <w:tcPr>
            <w:tcW w:w="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87"/>
              </w:rPr>
              <w:t>11,681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11,775</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0.6%</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w w:val="96"/>
              </w:rPr>
              <w:t>11/14/2023</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1,000</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114"/>
        </w:trPr>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w w:val="87"/>
              </w:rPr>
              <w:t>12,681</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12,775</w:t>
            </w:r>
          </w:p>
        </w:tc>
        <w:tc>
          <w:tcPr>
            <w:tcW w:w="6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-3086735</wp:posOffset>
            </wp:positionV>
            <wp:extent cx="7203440" cy="450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03440" cy="45085"/>
                    </a:xfrm>
                    <a:prstGeom prst="rect">
                      <a:avLst/>
                    </a:prstGeom>
                    <a:noFill/>
                  </pic:spPr>
                </pic:pic>
              </a:graphicData>
            </a:graphic>
          </wp:anchor>
        </w:drawing>
        <w:drawing>
          <wp:anchor simplePos="0" relativeHeight="251657728" behindDoc="1" locked="0" layoutInCell="0" allowOverlap="1">
            <wp:simplePos x="0" y="0"/>
            <wp:positionH relativeFrom="column">
              <wp:posOffset>-2540000</wp:posOffset>
            </wp:positionH>
            <wp:positionV relativeFrom="paragraph">
              <wp:posOffset>-2741930</wp:posOffset>
            </wp:positionV>
            <wp:extent cx="5445760" cy="717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445760" cy="71755"/>
                    </a:xfrm>
                    <a:prstGeom prst="rect">
                      <a:avLst/>
                    </a:prstGeom>
                    <a:noFill/>
                  </pic:spPr>
                </pic:pic>
              </a:graphicData>
            </a:graphic>
          </wp:anchor>
        </w:drawing>
        <w:drawing>
          <wp:anchor simplePos="0" relativeHeight="251657728" behindDoc="1" locked="0" layoutInCell="0" allowOverlap="1">
            <wp:simplePos x="0" y="0"/>
            <wp:positionH relativeFrom="column">
              <wp:posOffset>-2540000</wp:posOffset>
            </wp:positionH>
            <wp:positionV relativeFrom="paragraph">
              <wp:posOffset>-2540000</wp:posOffset>
            </wp:positionV>
            <wp:extent cx="5445760" cy="1301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5445760" cy="130175"/>
                    </a:xfrm>
                    <a:prstGeom prst="rect">
                      <a:avLst/>
                    </a:prstGeom>
                    <a:noFill/>
                  </pic:spPr>
                </pic:pic>
              </a:graphicData>
            </a:graphic>
          </wp:anchor>
        </w:drawing>
        <w:drawing>
          <wp:anchor simplePos="0" relativeHeight="251657728" behindDoc="1" locked="0" layoutInCell="0" allowOverlap="1">
            <wp:simplePos x="0" y="0"/>
            <wp:positionH relativeFrom="column">
              <wp:posOffset>-2540000</wp:posOffset>
            </wp:positionH>
            <wp:positionV relativeFrom="paragraph">
              <wp:posOffset>-2331720</wp:posOffset>
            </wp:positionV>
            <wp:extent cx="5445760" cy="654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445760" cy="65405"/>
                    </a:xfrm>
                    <a:prstGeom prst="rect">
                      <a:avLst/>
                    </a:prstGeom>
                    <a:noFill/>
                  </pic:spPr>
                </pic:pic>
              </a:graphicData>
            </a:graphic>
          </wp:anchor>
        </w:drawing>
        <w:drawing>
          <wp:anchor simplePos="0" relativeHeight="251657728" behindDoc="1" locked="0" layoutInCell="0" allowOverlap="1">
            <wp:simplePos x="0" y="0"/>
            <wp:positionH relativeFrom="column">
              <wp:posOffset>-2540000</wp:posOffset>
            </wp:positionH>
            <wp:positionV relativeFrom="paragraph">
              <wp:posOffset>-2038350</wp:posOffset>
            </wp:positionV>
            <wp:extent cx="5445760" cy="1301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445760" cy="130175"/>
                    </a:xfrm>
                    <a:prstGeom prst="rect">
                      <a:avLst/>
                    </a:prstGeom>
                    <a:noFill/>
                  </pic:spPr>
                </pic:pic>
              </a:graphicData>
            </a:graphic>
          </wp:anchor>
        </w:drawing>
        <w:drawing>
          <wp:anchor simplePos="0" relativeHeight="251657728" behindDoc="1" locked="0" layoutInCell="0" allowOverlap="1">
            <wp:simplePos x="0" y="0"/>
            <wp:positionH relativeFrom="column">
              <wp:posOffset>-2540000</wp:posOffset>
            </wp:positionH>
            <wp:positionV relativeFrom="paragraph">
              <wp:posOffset>-1842770</wp:posOffset>
            </wp:positionV>
            <wp:extent cx="5445760" cy="654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445760" cy="65405"/>
                    </a:xfrm>
                    <a:prstGeom prst="rect">
                      <a:avLst/>
                    </a:prstGeom>
                    <a:noFill/>
                  </pic:spPr>
                </pic:pic>
              </a:graphicData>
            </a:graphic>
          </wp:anchor>
        </w:drawing>
        <w:drawing>
          <wp:anchor simplePos="0" relativeHeight="251657728" behindDoc="1" locked="0" layoutInCell="0" allowOverlap="1">
            <wp:simplePos x="0" y="0"/>
            <wp:positionH relativeFrom="column">
              <wp:posOffset>-2540000</wp:posOffset>
            </wp:positionH>
            <wp:positionV relativeFrom="paragraph">
              <wp:posOffset>-1712595</wp:posOffset>
            </wp:positionV>
            <wp:extent cx="5445760" cy="654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445760" cy="65405"/>
                    </a:xfrm>
                    <a:prstGeom prst="rect">
                      <a:avLst/>
                    </a:prstGeom>
                    <a:noFill/>
                  </pic:spPr>
                </pic:pic>
              </a:graphicData>
            </a:graphic>
          </wp:anchor>
        </w:drawing>
        <w:drawing>
          <wp:anchor simplePos="0" relativeHeight="251657728" behindDoc="1" locked="0" layoutInCell="0" allowOverlap="1">
            <wp:simplePos x="0" y="0"/>
            <wp:positionH relativeFrom="column">
              <wp:posOffset>-2540000</wp:posOffset>
            </wp:positionH>
            <wp:positionV relativeFrom="paragraph">
              <wp:posOffset>-1569085</wp:posOffset>
            </wp:positionV>
            <wp:extent cx="5445760" cy="654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445760" cy="65405"/>
                    </a:xfrm>
                    <a:prstGeom prst="rect">
                      <a:avLst/>
                    </a:prstGeom>
                    <a:noFill/>
                  </pic:spPr>
                </pic:pic>
              </a:graphicData>
            </a:graphic>
          </wp:anchor>
        </w:drawing>
        <w:drawing>
          <wp:anchor simplePos="0" relativeHeight="251657728" behindDoc="1" locked="0" layoutInCell="0" allowOverlap="1">
            <wp:simplePos x="0" y="0"/>
            <wp:positionH relativeFrom="column">
              <wp:posOffset>-2540000</wp:posOffset>
            </wp:positionH>
            <wp:positionV relativeFrom="paragraph">
              <wp:posOffset>-1276350</wp:posOffset>
            </wp:positionV>
            <wp:extent cx="5445760" cy="654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445760" cy="65405"/>
                    </a:xfrm>
                    <a:prstGeom prst="rect">
                      <a:avLst/>
                    </a:prstGeom>
                    <a:noFill/>
                  </pic:spPr>
                </pic:pic>
              </a:graphicData>
            </a:graphic>
          </wp:anchor>
        </w:drawing>
        <w:drawing>
          <wp:anchor simplePos="0" relativeHeight="251657728" behindDoc="1" locked="0" layoutInCell="0" allowOverlap="1">
            <wp:simplePos x="0" y="0"/>
            <wp:positionH relativeFrom="column">
              <wp:posOffset>-2540000</wp:posOffset>
            </wp:positionH>
            <wp:positionV relativeFrom="paragraph">
              <wp:posOffset>-1132840</wp:posOffset>
            </wp:positionV>
            <wp:extent cx="5445760" cy="654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445760" cy="65405"/>
                    </a:xfrm>
                    <a:prstGeom prst="rect">
                      <a:avLst/>
                    </a:prstGeom>
                    <a:noFill/>
                  </pic:spPr>
                </pic:pic>
              </a:graphicData>
            </a:graphic>
          </wp:anchor>
        </w:drawing>
        <w:drawing>
          <wp:anchor simplePos="0" relativeHeight="251657728" behindDoc="1" locked="0" layoutInCell="0" allowOverlap="1">
            <wp:simplePos x="0" y="0"/>
            <wp:positionH relativeFrom="column">
              <wp:posOffset>-2540000</wp:posOffset>
            </wp:positionH>
            <wp:positionV relativeFrom="paragraph">
              <wp:posOffset>-911225</wp:posOffset>
            </wp:positionV>
            <wp:extent cx="5445760" cy="654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445760" cy="65405"/>
                    </a:xfrm>
                    <a:prstGeom prst="rect">
                      <a:avLst/>
                    </a:prstGeom>
                    <a:noFill/>
                  </pic:spPr>
                </pic:pic>
              </a:graphicData>
            </a:graphic>
          </wp:anchor>
        </w:drawing>
        <w:drawing>
          <wp:anchor simplePos="0" relativeHeight="251657728" behindDoc="1" locked="0" layoutInCell="0" allowOverlap="1">
            <wp:simplePos x="0" y="0"/>
            <wp:positionH relativeFrom="column">
              <wp:posOffset>-2540000</wp:posOffset>
            </wp:positionH>
            <wp:positionV relativeFrom="paragraph">
              <wp:posOffset>-716280</wp:posOffset>
            </wp:positionV>
            <wp:extent cx="5445760" cy="1301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445760" cy="130175"/>
                    </a:xfrm>
                    <a:prstGeom prst="rect">
                      <a:avLst/>
                    </a:prstGeom>
                    <a:noFill/>
                  </pic:spPr>
                </pic:pic>
              </a:graphicData>
            </a:graphic>
          </wp:anchor>
        </w:drawing>
        <w:drawing>
          <wp:anchor simplePos="0" relativeHeight="251657728" behindDoc="1" locked="0" layoutInCell="0" allowOverlap="1">
            <wp:simplePos x="0" y="0"/>
            <wp:positionH relativeFrom="column">
              <wp:posOffset>-2540000</wp:posOffset>
            </wp:positionH>
            <wp:positionV relativeFrom="paragraph">
              <wp:posOffset>-507365</wp:posOffset>
            </wp:positionV>
            <wp:extent cx="5445760" cy="654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445760" cy="65405"/>
                    </a:xfrm>
                    <a:prstGeom prst="rect">
                      <a:avLst/>
                    </a:prstGeom>
                    <a:noFill/>
                  </pic:spPr>
                </pic:pic>
              </a:graphicData>
            </a:graphic>
          </wp:anchor>
        </w:drawing>
        <w:drawing>
          <wp:anchor simplePos="0" relativeHeight="251657728" behindDoc="1" locked="0" layoutInCell="0" allowOverlap="1">
            <wp:simplePos x="0" y="0"/>
            <wp:positionH relativeFrom="column">
              <wp:posOffset>-2540000</wp:posOffset>
            </wp:positionH>
            <wp:positionV relativeFrom="paragraph">
              <wp:posOffset>-279400</wp:posOffset>
            </wp:positionV>
            <wp:extent cx="5445760" cy="1301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445760" cy="130175"/>
                    </a:xfrm>
                    <a:prstGeom prst="rect">
                      <a:avLst/>
                    </a:prstGeom>
                    <a:noFill/>
                  </pic:spPr>
                </pic:pic>
              </a:graphicData>
            </a:graphic>
          </wp:anchor>
        </w:drawing>
        <w:drawing>
          <wp:anchor simplePos="0" relativeHeight="251657728" behindDoc="1" locked="0" layoutInCell="0" allowOverlap="1">
            <wp:simplePos x="0" y="0"/>
            <wp:positionH relativeFrom="column">
              <wp:posOffset>-2540000</wp:posOffset>
            </wp:positionH>
            <wp:positionV relativeFrom="paragraph">
              <wp:posOffset>-71120</wp:posOffset>
            </wp:positionV>
            <wp:extent cx="5445760" cy="654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445760" cy="65405"/>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4300" w:space="20"/>
            <w:col w:w="4699"/>
          </w:cols>
          <w:pgMar w:left="1440" w:top="265" w:right="1440" w:bottom="1440" w:gutter="0" w:footer="0" w:header="0"/>
        </w:sectPr>
      </w:pPr>
    </w:p>
    <w:p>
      <w:pPr>
        <w:jc w:val="center"/>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9019"/>
          </w:cols>
          <w:pgMar w:left="1440" w:top="265" w:right="1440" w:bottom="1440" w:gutter="0" w:footer="0" w:header="0"/>
          <w:type w:val="continuous"/>
        </w:sectPr>
      </w:pPr>
    </w:p>
    <w:bookmarkStart w:id="22" w:name="page23"/>
    <w:bookmarkEnd w:id="22"/>
    <w:tbl>
      <w:tblPr>
        <w:tblLayout w:type="fixed"/>
        <w:tblInd w:w="320" w:type="dxa"/>
        <w:tblCellMar>
          <w:top w:w="0" w:type="dxa"/>
          <w:left w:w="0" w:type="dxa"/>
          <w:bottom w:w="0" w:type="dxa"/>
          <w:right w:w="0" w:type="dxa"/>
        </w:tblCellMar>
      </w:tblPr>
      <w:tr>
        <w:trPr>
          <w:trHeight w:val="103"/>
        </w:trPr>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w w:val="95"/>
              </w:rPr>
              <w:t>Variable</w:t>
            </w: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Portfolio Company (a)(b)</w:t>
            </w:r>
          </w:p>
        </w:tc>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98"/>
              </w:rPr>
              <w:t>Percentage</w:t>
            </w: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w w:val="96"/>
              </w:rPr>
              <w:t>Index Spread</w:t>
            </w: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9"/>
                <w:szCs w:val="9"/>
                <w:b w:val="1"/>
                <w:bCs w:val="1"/>
                <w:color w:val="auto"/>
              </w:rPr>
              <w:t>Rate (e)</w:t>
            </w: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gridSpan w:val="2"/>
          </w:tcPr>
          <w:p>
            <w:pPr>
              <w:jc w:val="center"/>
              <w:ind w:right="160"/>
              <w:spacing w:after="0" w:line="93" w:lineRule="exact"/>
              <w:rPr>
                <w:sz w:val="20"/>
                <w:szCs w:val="20"/>
                <w:color w:val="auto"/>
              </w:rPr>
            </w:pPr>
            <w:r>
              <w:rPr>
                <w:rFonts w:ascii="Times New Roman" w:cs="Times New Roman" w:eastAsia="Times New Roman" w:hAnsi="Times New Roman"/>
                <w:sz w:val="9"/>
                <w:szCs w:val="9"/>
                <w:b w:val="1"/>
                <w:bCs w:val="1"/>
                <w:color w:val="auto"/>
                <w:w w:val="99"/>
              </w:rPr>
              <w:t>of Class</w:t>
            </w:r>
          </w:p>
        </w:tc>
        <w:tc>
          <w:tcPr>
            <w:tcW w:w="500" w:type="dxa"/>
            <w:vAlign w:val="bottom"/>
          </w:tcPr>
          <w:p>
            <w:pPr>
              <w:jc w:val="center"/>
              <w:spacing w:after="0" w:line="93" w:lineRule="exact"/>
              <w:rPr>
                <w:sz w:val="20"/>
                <w:szCs w:val="20"/>
                <w:color w:val="auto"/>
              </w:rPr>
            </w:pPr>
            <w:r>
              <w:rPr>
                <w:rFonts w:ascii="Times New Roman" w:cs="Times New Roman" w:eastAsia="Times New Roman" w:hAnsi="Times New Roman"/>
                <w:sz w:val="9"/>
                <w:szCs w:val="9"/>
                <w:b w:val="1"/>
                <w:bCs w:val="1"/>
                <w:color w:val="auto"/>
                <w:w w:val="77"/>
              </w:rPr>
              <w:t>/</w:t>
            </w:r>
          </w:p>
        </w:tc>
        <w:tc>
          <w:tcPr>
            <w:tcW w:w="6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520" w:type="dxa"/>
            <w:vAlign w:val="bottom"/>
            <w:gridSpan w:val="2"/>
          </w:tcPr>
          <w:p>
            <w:pPr>
              <w:jc w:val="right"/>
              <w:ind w:right="80"/>
              <w:spacing w:after="0" w:line="93" w:lineRule="exact"/>
              <w:rPr>
                <w:sz w:val="20"/>
                <w:szCs w:val="20"/>
                <w:color w:val="auto"/>
              </w:rPr>
            </w:pPr>
            <w:r>
              <w:rPr>
                <w:rFonts w:ascii="Times New Roman" w:cs="Times New Roman" w:eastAsia="Times New Roman" w:hAnsi="Times New Roman"/>
                <w:sz w:val="9"/>
                <w:szCs w:val="9"/>
                <w:b w:val="1"/>
                <w:bCs w:val="1"/>
                <w:color w:val="auto"/>
                <w:w w:val="97"/>
              </w:rPr>
              <w:t>Investment</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center"/>
              <w:ind w:right="60"/>
              <w:spacing w:after="0" w:line="93" w:lineRule="exact"/>
              <w:rPr>
                <w:sz w:val="20"/>
                <w:szCs w:val="20"/>
                <w:color w:val="auto"/>
              </w:rPr>
            </w:pPr>
            <w:r>
              <w:rPr>
                <w:rFonts w:ascii="Times New Roman" w:cs="Times New Roman" w:eastAsia="Times New Roman" w:hAnsi="Times New Roman"/>
                <w:sz w:val="9"/>
                <w:szCs w:val="9"/>
                <w:b w:val="1"/>
                <w:bCs w:val="1"/>
                <w:color w:val="auto"/>
              </w:rPr>
              <w:t>Principal</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gridSpan w:val="2"/>
          </w:tcPr>
          <w:p>
            <w:pPr>
              <w:ind w:left="100"/>
              <w:spacing w:after="0" w:line="93" w:lineRule="exact"/>
              <w:rPr>
                <w:sz w:val="20"/>
                <w:szCs w:val="20"/>
                <w:color w:val="auto"/>
              </w:rPr>
            </w:pPr>
            <w:r>
              <w:rPr>
                <w:rFonts w:ascii="Times New Roman" w:cs="Times New Roman" w:eastAsia="Times New Roman" w:hAnsi="Times New Roman"/>
                <w:sz w:val="9"/>
                <w:szCs w:val="9"/>
                <w:b w:val="1"/>
                <w:bCs w:val="1"/>
                <w:color w:val="auto"/>
              </w:rPr>
              <w:t>Fair</w:t>
            </w:r>
          </w:p>
        </w:tc>
        <w:tc>
          <w:tcPr>
            <w:tcW w:w="520" w:type="dxa"/>
            <w:vAlign w:val="bottom"/>
            <w:gridSpan w:val="2"/>
          </w:tcPr>
          <w:p>
            <w:pPr>
              <w:jc w:val="right"/>
              <w:ind w:right="120"/>
              <w:spacing w:after="0" w:line="93" w:lineRule="exact"/>
              <w:rPr>
                <w:sz w:val="20"/>
                <w:szCs w:val="20"/>
                <w:color w:val="auto"/>
              </w:rPr>
            </w:pPr>
            <w:r>
              <w:rPr>
                <w:rFonts w:ascii="Times New Roman" w:cs="Times New Roman" w:eastAsia="Times New Roman" w:hAnsi="Times New Roman"/>
                <w:sz w:val="9"/>
                <w:szCs w:val="9"/>
                <w:b w:val="1"/>
                <w:bCs w:val="1"/>
                <w:color w:val="auto"/>
                <w:w w:val="96"/>
              </w:rPr>
              <w:t>Percent of</w:t>
            </w:r>
          </w:p>
        </w:tc>
        <w:tc>
          <w:tcPr>
            <w:tcW w:w="0" w:type="dxa"/>
            <w:vAlign w:val="bottom"/>
          </w:tcPr>
          <w:p>
            <w:pPr>
              <w:spacing w:after="0"/>
              <w:rPr>
                <w:sz w:val="1"/>
                <w:szCs w:val="1"/>
                <w:color w:val="auto"/>
              </w:rPr>
            </w:pPr>
          </w:p>
        </w:tc>
      </w:tr>
      <w:tr>
        <w:trPr>
          <w:trHeight w:val="130"/>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w w:val="97"/>
              </w:rPr>
              <w:t>Address of Portfolio Company</w:t>
            </w:r>
          </w:p>
        </w:tc>
        <w:tc>
          <w:tcPr>
            <w:tcW w:w="20" w:type="dxa"/>
            <w:vAlign w:val="bottom"/>
          </w:tcPr>
          <w:p>
            <w:pPr>
              <w:spacing w:after="0"/>
              <w:rPr>
                <w:sz w:val="11"/>
                <w:szCs w:val="11"/>
                <w:color w:val="auto"/>
              </w:rPr>
            </w:pPr>
          </w:p>
        </w:tc>
        <w:tc>
          <w:tcPr>
            <w:tcW w:w="1400" w:type="dxa"/>
            <w:vAlign w:val="bottom"/>
          </w:tcPr>
          <w:p>
            <w:pPr>
              <w:ind w:left="320"/>
              <w:spacing w:after="0"/>
              <w:rPr>
                <w:sz w:val="20"/>
                <w:szCs w:val="20"/>
                <w:color w:val="auto"/>
              </w:rPr>
            </w:pPr>
            <w:r>
              <w:rPr>
                <w:rFonts w:ascii="Times New Roman" w:cs="Times New Roman" w:eastAsia="Times New Roman" w:hAnsi="Times New Roman"/>
                <w:sz w:val="9"/>
                <w:szCs w:val="9"/>
                <w:b w:val="1"/>
                <w:bCs w:val="1"/>
                <w:color w:val="auto"/>
              </w:rPr>
              <w:t>Investment Type (c)</w:t>
            </w:r>
          </w:p>
        </w:tc>
        <w:tc>
          <w:tcPr>
            <w:tcW w:w="20" w:type="dxa"/>
            <w:vAlign w:val="bottom"/>
          </w:tcPr>
          <w:p>
            <w:pPr>
              <w:spacing w:after="0"/>
              <w:rPr>
                <w:sz w:val="11"/>
                <w:szCs w:val="11"/>
                <w:color w:val="auto"/>
              </w:rPr>
            </w:pPr>
          </w:p>
        </w:tc>
        <w:tc>
          <w:tcPr>
            <w:tcW w:w="1320" w:type="dxa"/>
            <w:vAlign w:val="bottom"/>
            <w:gridSpan w:val="2"/>
          </w:tcPr>
          <w:p>
            <w:pPr>
              <w:ind w:left="48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w w:val="99"/>
              </w:rPr>
              <w:t>Held (bo)</w:t>
            </w: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w w:val="99"/>
              </w:rPr>
              <w:t>Floor (d)</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Cash/PIK</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Date (f)</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Maturity</w:t>
            </w:r>
          </w:p>
        </w:tc>
        <w:tc>
          <w:tcPr>
            <w:tcW w:w="42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rPr>
              <w:t>Amount</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Cost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b w:val="1"/>
                <w:bCs w:val="1"/>
                <w:color w:val="auto"/>
                <w:w w:val="90"/>
              </w:rPr>
              <w:t>Value (g)</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b w:val="1"/>
                <w:bCs w:val="1"/>
                <w:color w:val="auto"/>
                <w:w w:val="95"/>
              </w:rPr>
              <w:t>Net Assets</w:t>
            </w:r>
          </w:p>
        </w:tc>
        <w:tc>
          <w:tcPr>
            <w:tcW w:w="0" w:type="dxa"/>
            <w:vAlign w:val="bottom"/>
          </w:tcPr>
          <w:p>
            <w:pPr>
              <w:spacing w:after="0"/>
              <w:rPr>
                <w:sz w:val="1"/>
                <w:szCs w:val="1"/>
                <w:color w:val="auto"/>
              </w:rPr>
            </w:pPr>
          </w:p>
        </w:tc>
      </w:tr>
      <w:tr>
        <w:trPr>
          <w:trHeight w:val="83"/>
        </w:trPr>
        <w:tc>
          <w:tcPr>
            <w:tcW w:w="1160" w:type="dxa"/>
            <w:vAlign w:val="bottom"/>
            <w:tcBorders>
              <w:top w:val="single" w:sz="8" w:color="CCEEFF"/>
            </w:tcBorders>
            <w:shd w:val="clear" w:color="auto" w:fill="CCEEFF"/>
          </w:tcPr>
          <w:p>
            <w:pPr>
              <w:spacing w:after="0" w:line="83" w:lineRule="exact"/>
              <w:rPr>
                <w:sz w:val="20"/>
                <w:szCs w:val="20"/>
                <w:color w:val="auto"/>
              </w:rPr>
            </w:pPr>
            <w:r>
              <w:rPr>
                <w:rFonts w:ascii="Times New Roman" w:cs="Times New Roman" w:eastAsia="Times New Roman" w:hAnsi="Times New Roman"/>
                <w:sz w:val="8"/>
                <w:szCs w:val="8"/>
                <w:i w:val="1"/>
                <w:iCs w:val="1"/>
                <w:color w:val="auto"/>
              </w:rPr>
              <w:t>Acendre Midco, Inc.</w:t>
            </w:r>
          </w:p>
        </w:tc>
        <w:tc>
          <w:tcPr>
            <w:tcW w:w="20" w:type="dxa"/>
            <w:vAlign w:val="bottom"/>
            <w:tcBorders>
              <w:top w:val="single" w:sz="8" w:color="CCEEFF"/>
            </w:tcBorders>
            <w:shd w:val="clear" w:color="auto" w:fill="CCEEFF"/>
          </w:tcPr>
          <w:p>
            <w:pPr>
              <w:spacing w:after="0"/>
              <w:rPr>
                <w:sz w:val="7"/>
                <w:szCs w:val="7"/>
                <w:color w:val="auto"/>
              </w:rPr>
            </w:pPr>
          </w:p>
        </w:tc>
        <w:tc>
          <w:tcPr>
            <w:tcW w:w="140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300" w:type="dxa"/>
            <w:vAlign w:val="bottom"/>
            <w:tcBorders>
              <w:top w:val="single" w:sz="8" w:color="auto"/>
            </w:tcBorders>
            <w:shd w:val="clear" w:color="auto" w:fill="CCEEFF"/>
          </w:tcPr>
          <w:p>
            <w:pPr>
              <w:spacing w:after="0" w:line="83" w:lineRule="exact"/>
              <w:rPr>
                <w:sz w:val="20"/>
                <w:szCs w:val="20"/>
                <w:color w:val="auto"/>
              </w:rPr>
            </w:pPr>
            <w:r>
              <w:rPr>
                <w:rFonts w:ascii="Times New Roman" w:cs="Times New Roman" w:eastAsia="Times New Roman" w:hAnsi="Times New Roman"/>
                <w:sz w:val="8"/>
                <w:szCs w:val="8"/>
                <w:color w:val="auto"/>
              </w:rPr>
              <w:t>Information Technology Services</w:t>
            </w:r>
          </w:p>
        </w:tc>
        <w:tc>
          <w:tcPr>
            <w:tcW w:w="2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45 N Broad St., Office</w:t>
            </w:r>
          </w:p>
        </w:tc>
        <w:tc>
          <w:tcPr>
            <w:tcW w:w="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316</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First Lien Debt</w:t>
            </w:r>
          </w:p>
        </w:tc>
        <w:tc>
          <w:tcPr>
            <w:tcW w:w="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w w:val="94"/>
              </w:rPr>
              <w:t>12.50%/1.25%</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10/6/2021</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3/31/2026</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5,744</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5,744</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5,744</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Ridgewood, NJ 07450</w:t>
            </w:r>
          </w:p>
        </w:tc>
        <w:tc>
          <w:tcPr>
            <w:tcW w:w="1420" w:type="dxa"/>
            <w:vAlign w:val="bottom"/>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First Lien Debt</w:t>
            </w:r>
          </w:p>
        </w:tc>
        <w:tc>
          <w:tcPr>
            <w:tcW w:w="2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40"/>
              <w:spacing w:after="0" w:line="103" w:lineRule="exact"/>
              <w:rPr>
                <w:sz w:val="20"/>
                <w:szCs w:val="20"/>
                <w:color w:val="auto"/>
              </w:rPr>
            </w:pPr>
            <w:r>
              <w:rPr>
                <w:rFonts w:ascii="Times New Roman" w:cs="Times New Roman" w:eastAsia="Times New Roman" w:hAnsi="Times New Roman"/>
                <w:sz w:val="10"/>
                <w:szCs w:val="10"/>
                <w:color w:val="auto"/>
                <w:w w:val="94"/>
              </w:rPr>
              <w:t>12.50%/1.25%</w:t>
            </w:r>
          </w:p>
        </w:tc>
        <w:tc>
          <w:tcPr>
            <w:tcW w:w="5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10/6/2021</w:t>
            </w:r>
          </w:p>
        </w:tc>
        <w:tc>
          <w:tcPr>
            <w:tcW w:w="54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3/31/2026</w:t>
            </w:r>
          </w:p>
        </w:tc>
        <w:tc>
          <w:tcPr>
            <w:tcW w:w="4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13,055</w:t>
            </w:r>
          </w:p>
        </w:tc>
        <w:tc>
          <w:tcPr>
            <w:tcW w:w="3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13,050</w:t>
            </w:r>
          </w:p>
        </w:tc>
        <w:tc>
          <w:tcPr>
            <w:tcW w:w="400" w:type="dxa"/>
            <w:vAlign w:val="bottom"/>
            <w:gridSpan w:val="2"/>
            <w:shd w:val="clear" w:color="auto" w:fill="CCEEFF"/>
          </w:tcPr>
          <w:p>
            <w:pPr>
              <w:ind w:left="80"/>
              <w:spacing w:after="0" w:line="103" w:lineRule="exact"/>
              <w:rPr>
                <w:sz w:val="20"/>
                <w:szCs w:val="20"/>
                <w:color w:val="auto"/>
              </w:rPr>
            </w:pPr>
            <w:r>
              <w:rPr>
                <w:rFonts w:ascii="Times New Roman" w:cs="Times New Roman" w:eastAsia="Times New Roman" w:hAnsi="Times New Roman"/>
                <w:sz w:val="10"/>
                <w:szCs w:val="10"/>
                <w:color w:val="auto"/>
              </w:rPr>
              <w:t>13,055</w:t>
            </w: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142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Revolving Loan</w:t>
            </w:r>
          </w:p>
        </w:tc>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40"/>
              <w:spacing w:after="0" w:line="103" w:lineRule="exact"/>
              <w:rPr>
                <w:sz w:val="20"/>
                <w:szCs w:val="20"/>
                <w:color w:val="auto"/>
              </w:rPr>
            </w:pPr>
            <w:r>
              <w:rPr>
                <w:rFonts w:ascii="Times New Roman" w:cs="Times New Roman" w:eastAsia="Times New Roman" w:hAnsi="Times New Roman"/>
                <w:sz w:val="10"/>
                <w:szCs w:val="10"/>
                <w:color w:val="auto"/>
                <w:w w:val="94"/>
              </w:rPr>
              <w:t>12.50%/1.25%</w:t>
            </w:r>
          </w:p>
        </w:tc>
        <w:tc>
          <w:tcPr>
            <w:tcW w:w="5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10/6/2021</w:t>
            </w: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3/31/2026</w:t>
            </w:r>
          </w:p>
        </w:tc>
        <w:tc>
          <w:tcPr>
            <w:tcW w:w="4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1,010</w:t>
            </w:r>
          </w:p>
        </w:tc>
        <w:tc>
          <w:tcPr>
            <w:tcW w:w="36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1,010</w:t>
            </w:r>
          </w:p>
        </w:tc>
        <w:tc>
          <w:tcPr>
            <w:tcW w:w="34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1,010</w:t>
            </w: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1420" w:type="dxa"/>
            <w:vAlign w:val="bottom"/>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(500,000 shares)</w:t>
            </w:r>
          </w:p>
        </w:tc>
        <w:tc>
          <w:tcPr>
            <w:tcW w:w="2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80"/>
              <w:spacing w:after="0" w:line="103" w:lineRule="exact"/>
              <w:rPr>
                <w:sz w:val="20"/>
                <w:szCs w:val="20"/>
                <w:color w:val="auto"/>
              </w:rPr>
            </w:pPr>
            <w:r>
              <w:rPr>
                <w:rFonts w:ascii="Times New Roman" w:cs="Times New Roman" w:eastAsia="Times New Roman" w:hAnsi="Times New Roman"/>
                <w:sz w:val="10"/>
                <w:szCs w:val="10"/>
                <w:color w:val="auto"/>
              </w:rPr>
              <w:t>0.7%</w:t>
            </w: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10/6/2021</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371</w:t>
            </w:r>
          </w:p>
        </w:tc>
        <w:tc>
          <w:tcPr>
            <w:tcW w:w="400" w:type="dxa"/>
            <w:vAlign w:val="bottom"/>
            <w:gridSpan w:val="2"/>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142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Warrant (275,000 shares) (m)</w:t>
            </w:r>
          </w:p>
        </w:tc>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gridSpan w:val="2"/>
          </w:tcPr>
          <w:p>
            <w:pPr>
              <w:jc w:val="right"/>
              <w:ind w:right="80"/>
              <w:spacing w:after="0" w:line="103" w:lineRule="exact"/>
              <w:rPr>
                <w:sz w:val="20"/>
                <w:szCs w:val="20"/>
                <w:color w:val="auto"/>
              </w:rPr>
            </w:pPr>
            <w:r>
              <w:rPr>
                <w:rFonts w:ascii="Times New Roman" w:cs="Times New Roman" w:eastAsia="Times New Roman" w:hAnsi="Times New Roman"/>
                <w:sz w:val="10"/>
                <w:szCs w:val="10"/>
                <w:color w:val="auto"/>
              </w:rPr>
              <w:t>0.4%</w:t>
            </w: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10/6/2021</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253</w:t>
            </w:r>
          </w:p>
        </w:tc>
        <w:tc>
          <w:tcPr>
            <w:tcW w:w="400" w:type="dxa"/>
            <w:vAlign w:val="bottom"/>
            <w:gridSpan w:val="2"/>
          </w:tcPr>
          <w:p>
            <w:pPr>
              <w:ind w:left="20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1420" w:type="dxa"/>
            <w:vAlign w:val="bottom"/>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Preferred Equity (77,016 shares)</w:t>
            </w:r>
          </w:p>
        </w:tc>
        <w:tc>
          <w:tcPr>
            <w:tcW w:w="2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80"/>
              <w:spacing w:after="0" w:line="103" w:lineRule="exact"/>
              <w:rPr>
                <w:sz w:val="20"/>
                <w:szCs w:val="20"/>
                <w:color w:val="auto"/>
              </w:rPr>
            </w:pPr>
            <w:r>
              <w:rPr>
                <w:rFonts w:ascii="Times New Roman" w:cs="Times New Roman" w:eastAsia="Times New Roman" w:hAnsi="Times New Roman"/>
                <w:sz w:val="10"/>
                <w:szCs w:val="10"/>
                <w:color w:val="auto"/>
              </w:rPr>
              <w:t>0.1%</w:t>
            </w: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9/26/2022</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88</w:t>
            </w:r>
          </w:p>
        </w:tc>
        <w:tc>
          <w:tcPr>
            <w:tcW w:w="400" w:type="dxa"/>
            <w:vAlign w:val="bottom"/>
            <w:gridSpan w:val="2"/>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142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Preferred Equity (568,182 shares)</w:t>
            </w:r>
          </w:p>
        </w:tc>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gridSpan w:val="2"/>
          </w:tcPr>
          <w:p>
            <w:pPr>
              <w:jc w:val="right"/>
              <w:ind w:right="80"/>
              <w:spacing w:after="0" w:line="103" w:lineRule="exact"/>
              <w:rPr>
                <w:sz w:val="20"/>
                <w:szCs w:val="20"/>
                <w:color w:val="auto"/>
              </w:rPr>
            </w:pPr>
            <w:r>
              <w:rPr>
                <w:rFonts w:ascii="Times New Roman" w:cs="Times New Roman" w:eastAsia="Times New Roman" w:hAnsi="Times New Roman"/>
                <w:sz w:val="10"/>
                <w:szCs w:val="10"/>
                <w:color w:val="auto"/>
              </w:rPr>
              <w:t>0.8%</w:t>
            </w: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6/10/2025</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375</w:t>
            </w:r>
          </w:p>
        </w:tc>
        <w:tc>
          <w:tcPr>
            <w:tcW w:w="60" w:type="dxa"/>
            <w:vAlign w:val="bottom"/>
          </w:tcPr>
          <w:p>
            <w:pPr>
              <w:spacing w:after="0"/>
              <w:rPr>
                <w:sz w:val="8"/>
                <w:szCs w:val="8"/>
                <w:color w:val="auto"/>
              </w:rPr>
            </w:pPr>
          </w:p>
        </w:tc>
        <w:tc>
          <w:tcPr>
            <w:tcW w:w="400" w:type="dxa"/>
            <w:vAlign w:val="bottom"/>
            <w:gridSpan w:val="2"/>
          </w:tcPr>
          <w:p>
            <w:pPr>
              <w:ind w:left="200"/>
              <w:spacing w:after="0" w:line="103" w:lineRule="exact"/>
              <w:rPr>
                <w:sz w:val="20"/>
                <w:szCs w:val="20"/>
                <w:color w:val="auto"/>
              </w:rPr>
            </w:pPr>
            <w:r>
              <w:rPr>
                <w:rFonts w:ascii="Times New Roman" w:cs="Times New Roman" w:eastAsia="Times New Roman" w:hAnsi="Times New Roman"/>
                <w:sz w:val="10"/>
                <w:szCs w:val="10"/>
                <w:color w:val="auto"/>
              </w:rPr>
              <w:t>998</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103" w:lineRule="exact"/>
              <w:rPr>
                <w:sz w:val="20"/>
                <w:szCs w:val="20"/>
                <w:color w:val="auto"/>
              </w:rPr>
            </w:pPr>
            <w:r>
              <w:rPr>
                <w:rFonts w:ascii="Times New Roman" w:cs="Times New Roman" w:eastAsia="Times New Roman" w:hAnsi="Times New Roman"/>
                <w:sz w:val="10"/>
                <w:szCs w:val="10"/>
                <w:color w:val="auto"/>
              </w:rPr>
              <w:t>20,891</w:t>
            </w:r>
          </w:p>
        </w:tc>
        <w:tc>
          <w:tcPr>
            <w:tcW w:w="60" w:type="dxa"/>
            <w:vAlign w:val="bottom"/>
            <w:shd w:val="clear" w:color="auto" w:fill="CCEEFF"/>
          </w:tcPr>
          <w:p>
            <w:pPr>
              <w:spacing w:after="0"/>
              <w:rPr>
                <w:sz w:val="8"/>
                <w:szCs w:val="8"/>
                <w:color w:val="auto"/>
              </w:rPr>
            </w:pPr>
          </w:p>
        </w:tc>
        <w:tc>
          <w:tcPr>
            <w:tcW w:w="400" w:type="dxa"/>
            <w:vAlign w:val="bottom"/>
            <w:gridSpan w:val="2"/>
            <w:shd w:val="clear" w:color="auto" w:fill="CCEEFF"/>
          </w:tcPr>
          <w:p>
            <w:pPr>
              <w:ind w:left="80"/>
              <w:spacing w:after="0" w:line="103" w:lineRule="exact"/>
              <w:rPr>
                <w:sz w:val="20"/>
                <w:szCs w:val="20"/>
                <w:color w:val="auto"/>
              </w:rPr>
            </w:pPr>
            <w:r>
              <w:rPr>
                <w:rFonts w:ascii="Times New Roman" w:cs="Times New Roman" w:eastAsia="Times New Roman" w:hAnsi="Times New Roman"/>
                <w:sz w:val="10"/>
                <w:szCs w:val="10"/>
                <w:color w:val="auto"/>
              </w:rPr>
              <w:t>20,807</w:t>
            </w:r>
          </w:p>
        </w:tc>
        <w:tc>
          <w:tcPr>
            <w:tcW w:w="520" w:type="dxa"/>
            <w:vAlign w:val="bottom"/>
            <w:gridSpan w:val="2"/>
            <w:shd w:val="clear" w:color="auto" w:fill="CCEEFF"/>
          </w:tcPr>
          <w:p>
            <w:pPr>
              <w:jc w:val="right"/>
              <w:ind w:right="40"/>
              <w:spacing w:after="0" w:line="103" w:lineRule="exact"/>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39"/>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Ad Info Parent, Inc. (dba</w:t>
            </w: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160" w:type="dxa"/>
            <w:vAlign w:val="bottom"/>
          </w:tcPr>
          <w:p>
            <w:pPr>
              <w:ind w:left="100"/>
              <w:spacing w:after="0"/>
              <w:rPr>
                <w:sz w:val="20"/>
                <w:szCs w:val="20"/>
                <w:color w:val="auto"/>
              </w:rPr>
            </w:pPr>
            <w:r>
              <w:rPr>
                <w:rFonts w:ascii="Times New Roman" w:cs="Times New Roman" w:eastAsia="Times New Roman" w:hAnsi="Times New Roman"/>
                <w:sz w:val="10"/>
                <w:szCs w:val="10"/>
                <w:i w:val="1"/>
                <w:iCs w:val="1"/>
                <w:color w:val="auto"/>
              </w:rPr>
              <w:t>MediaRadar)</w:t>
            </w: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w w:val="96"/>
              </w:rPr>
              <w:t>Information Technology Services</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rPr>
              <w:t>252 West 37th Street</w:t>
            </w:r>
          </w:p>
        </w:tc>
        <w:tc>
          <w:tcPr>
            <w:tcW w:w="1420" w:type="dxa"/>
            <w:vAlign w:val="bottom"/>
            <w:gridSpan w:val="2"/>
            <w:shd w:val="clear" w:color="auto" w:fill="CCEEFF"/>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 (j)</w:t>
            </w:r>
          </w:p>
        </w:tc>
        <w:tc>
          <w:tcPr>
            <w:tcW w:w="2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60" w:type="dxa"/>
            <w:vAlign w:val="bottom"/>
            <w:gridSpan w:val="2"/>
            <w:shd w:val="clear" w:color="auto" w:fill="CCEEFF"/>
          </w:tcPr>
          <w:p>
            <w:pPr>
              <w:ind w:left="20"/>
              <w:spacing w:after="0" w:line="90" w:lineRule="exact"/>
              <w:rPr>
                <w:sz w:val="20"/>
                <w:szCs w:val="20"/>
                <w:color w:val="auto"/>
              </w:rPr>
            </w:pPr>
            <w:r>
              <w:rPr>
                <w:rFonts w:ascii="Times New Roman" w:cs="Times New Roman" w:eastAsia="Times New Roman" w:hAnsi="Times New Roman"/>
                <w:sz w:val="10"/>
                <w:szCs w:val="10"/>
                <w:color w:val="auto"/>
              </w:rPr>
              <w:t>(S + 5.00%)</w:t>
            </w:r>
          </w:p>
        </w:tc>
        <w:tc>
          <w:tcPr>
            <w:tcW w:w="5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 (1.00%)</w:t>
            </w: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8.67%/0.00%</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11/1/2023</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9/16/2029</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15,917</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15,847</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15,917</w:t>
            </w: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New York, NY 10018</w:t>
            </w:r>
          </w:p>
        </w:tc>
        <w:tc>
          <w:tcPr>
            <w:tcW w:w="1420" w:type="dxa"/>
            <w:vAlign w:val="bottom"/>
            <w:gridSpan w:val="2"/>
          </w:tcPr>
          <w:p>
            <w:pPr>
              <w:ind w:left="20"/>
              <w:spacing w:after="0" w:line="90" w:lineRule="exact"/>
              <w:rPr>
                <w:sz w:val="20"/>
                <w:szCs w:val="20"/>
                <w:color w:val="auto"/>
              </w:rPr>
            </w:pPr>
            <w:r>
              <w:rPr>
                <w:rFonts w:ascii="Times New Roman" w:cs="Times New Roman" w:eastAsia="Times New Roman" w:hAnsi="Times New Roman"/>
                <w:sz w:val="10"/>
                <w:szCs w:val="10"/>
                <w:color w:val="auto"/>
                <w:w w:val="99"/>
              </w:rPr>
              <w:t>Revolving Loan ($1,195 unfunded</w:t>
            </w:r>
          </w:p>
        </w:tc>
        <w:tc>
          <w:tcPr>
            <w:tcW w:w="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gridSpan w:val="2"/>
          </w:tcPr>
          <w:p>
            <w:pPr>
              <w:ind w:left="20"/>
              <w:spacing w:after="0" w:line="90" w:lineRule="exact"/>
              <w:rPr>
                <w:sz w:val="20"/>
                <w:szCs w:val="20"/>
                <w:color w:val="auto"/>
              </w:rPr>
            </w:pPr>
            <w:r>
              <w:rPr>
                <w:rFonts w:ascii="Times New Roman" w:cs="Times New Roman" w:eastAsia="Times New Roman" w:hAnsi="Times New Roman"/>
                <w:sz w:val="10"/>
                <w:szCs w:val="10"/>
                <w:color w:val="auto"/>
              </w:rPr>
              <w:t>(S + 5.00%)</w:t>
            </w: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commitment) (i)</w:t>
            </w:r>
          </w:p>
        </w:tc>
        <w:tc>
          <w:tcPr>
            <w:tcW w:w="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(1.00%)</w:t>
            </w:r>
          </w:p>
        </w:tc>
        <w:tc>
          <w:tcPr>
            <w:tcW w:w="60" w:type="dxa"/>
            <w:vAlign w:val="bottom"/>
          </w:tcPr>
          <w:p>
            <w:pPr>
              <w:spacing w:after="0"/>
              <w:rPr>
                <w:sz w:val="10"/>
                <w:szCs w:val="1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8.67%/0.00%</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11/1/2023</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9/16/2029</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247</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242</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0"/>
                <w:szCs w:val="10"/>
                <w:color w:val="auto"/>
              </w:rPr>
              <w:t>247</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1420" w:type="dxa"/>
            <w:vAlign w:val="bottom"/>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Preferred Equity (1,250,000 units)</w:t>
            </w:r>
          </w:p>
        </w:tc>
        <w:tc>
          <w:tcPr>
            <w:tcW w:w="2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80"/>
              <w:spacing w:after="0" w:line="103" w:lineRule="exact"/>
              <w:rPr>
                <w:sz w:val="20"/>
                <w:szCs w:val="20"/>
                <w:color w:val="auto"/>
              </w:rPr>
            </w:pPr>
            <w:r>
              <w:rPr>
                <w:rFonts w:ascii="Times New Roman" w:cs="Times New Roman" w:eastAsia="Times New Roman" w:hAnsi="Times New Roman"/>
                <w:sz w:val="10"/>
                <w:szCs w:val="10"/>
                <w:color w:val="auto"/>
              </w:rPr>
              <w:t>0.4%</w:t>
            </w: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11/1/2023</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1,249</w:t>
            </w:r>
          </w:p>
        </w:tc>
        <w:tc>
          <w:tcPr>
            <w:tcW w:w="340" w:type="dxa"/>
            <w:vAlign w:val="bottom"/>
            <w:shd w:val="clear" w:color="auto" w:fill="CCEEFF"/>
          </w:tcPr>
          <w:p>
            <w:pPr>
              <w:jc w:val="right"/>
              <w:spacing w:after="0" w:line="103" w:lineRule="exact"/>
              <w:rPr>
                <w:sz w:val="20"/>
                <w:szCs w:val="20"/>
                <w:color w:val="auto"/>
              </w:rPr>
            </w:pPr>
            <w:r>
              <w:rPr>
                <w:rFonts w:ascii="Times New Roman" w:cs="Times New Roman" w:eastAsia="Times New Roman" w:hAnsi="Times New Roman"/>
                <w:sz w:val="10"/>
                <w:szCs w:val="10"/>
                <w:color w:val="auto"/>
              </w:rPr>
              <w:t>1,168</w:t>
            </w: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17,338</w:t>
            </w:r>
          </w:p>
        </w:tc>
        <w:tc>
          <w:tcPr>
            <w:tcW w:w="60" w:type="dxa"/>
            <w:vAlign w:val="bottom"/>
          </w:tcPr>
          <w:p>
            <w:pPr>
              <w:spacing w:after="0"/>
              <w:rPr>
                <w:sz w:val="9"/>
                <w:szCs w:val="9"/>
                <w:color w:val="auto"/>
              </w:rPr>
            </w:pPr>
          </w:p>
        </w:tc>
        <w:tc>
          <w:tcPr>
            <w:tcW w:w="340" w:type="dxa"/>
            <w:vAlign w:val="bottom"/>
            <w:tcBorders>
              <w:top w:val="single" w:sz="8" w:color="auto"/>
            </w:tcBorders>
          </w:tcPr>
          <w:p>
            <w:pPr>
              <w:ind w:left="80"/>
              <w:spacing w:after="0" w:line="114" w:lineRule="exact"/>
              <w:rPr>
                <w:sz w:val="20"/>
                <w:szCs w:val="20"/>
                <w:color w:val="auto"/>
              </w:rPr>
            </w:pPr>
            <w:r>
              <w:rPr>
                <w:rFonts w:ascii="Times New Roman" w:cs="Times New Roman" w:eastAsia="Times New Roman" w:hAnsi="Times New Roman"/>
                <w:sz w:val="10"/>
                <w:szCs w:val="10"/>
                <w:color w:val="auto"/>
                <w:w w:val="87"/>
              </w:rPr>
              <w:t>17,332</w:t>
            </w:r>
          </w:p>
        </w:tc>
        <w:tc>
          <w:tcPr>
            <w:tcW w:w="60" w:type="dxa"/>
            <w:vAlign w:val="bottom"/>
          </w:tcPr>
          <w:p>
            <w:pPr>
              <w:spacing w:after="0"/>
              <w:rPr>
                <w:sz w:val="9"/>
                <w:szCs w:val="9"/>
                <w:color w:val="auto"/>
              </w:rPr>
            </w:pPr>
          </w:p>
        </w:tc>
        <w:tc>
          <w:tcPr>
            <w:tcW w:w="520" w:type="dxa"/>
            <w:vAlign w:val="bottom"/>
            <w:gridSpan w:val="2"/>
          </w:tcPr>
          <w:p>
            <w:pPr>
              <w:jc w:val="right"/>
              <w:ind w:right="40"/>
              <w:spacing w:after="0" w:line="111" w:lineRule="exact"/>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41"/>
        </w:trPr>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0"/>
                <w:szCs w:val="10"/>
                <w:i w:val="1"/>
                <w:iCs w:val="1"/>
                <w:color w:val="auto"/>
              </w:rPr>
              <w:t>Air Burners, Inc.</w:t>
            </w:r>
          </w:p>
        </w:tc>
        <w:tc>
          <w:tcPr>
            <w:tcW w:w="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340" w:type="dxa"/>
            <w:vAlign w:val="bottom"/>
            <w:gridSpan w:val="3"/>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w w:val="96"/>
              </w:rPr>
              <w:t>Utility Equipment Manufacturing</w:t>
            </w: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4390 SW Cargo Way</w:t>
            </w:r>
          </w:p>
        </w:tc>
        <w:tc>
          <w:tcPr>
            <w:tcW w:w="1420" w:type="dxa"/>
            <w:vAlign w:val="bottom"/>
            <w:gridSpan w:val="2"/>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 (j)(ah)</w:t>
            </w:r>
          </w:p>
        </w:tc>
        <w:tc>
          <w:tcPr>
            <w:tcW w:w="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gridSpan w:val="2"/>
          </w:tcPr>
          <w:p>
            <w:pPr>
              <w:ind w:left="20"/>
              <w:spacing w:after="0" w:line="90" w:lineRule="exact"/>
              <w:rPr>
                <w:sz w:val="20"/>
                <w:szCs w:val="20"/>
                <w:color w:val="auto"/>
              </w:rPr>
            </w:pPr>
            <w:r>
              <w:rPr>
                <w:rFonts w:ascii="Times New Roman" w:cs="Times New Roman" w:eastAsia="Times New Roman" w:hAnsi="Times New Roman"/>
                <w:sz w:val="10"/>
                <w:szCs w:val="10"/>
                <w:color w:val="auto"/>
              </w:rPr>
              <w:t>(S + 5.00%)</w:t>
            </w: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(2.00%)</w:t>
            </w:r>
          </w:p>
        </w:tc>
        <w:tc>
          <w:tcPr>
            <w:tcW w:w="60" w:type="dxa"/>
            <w:vAlign w:val="bottom"/>
          </w:tcPr>
          <w:p>
            <w:pPr>
              <w:spacing w:after="0"/>
              <w:rPr>
                <w:sz w:val="10"/>
                <w:szCs w:val="1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8.74%/0.00%</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12/8/2025</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11/24/2030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6,400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6,325</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6,325</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rPr>
              <w:t>Palm City, FL 34990</w:t>
            </w:r>
          </w:p>
        </w:tc>
        <w:tc>
          <w:tcPr>
            <w:tcW w:w="1420" w:type="dxa"/>
            <w:vAlign w:val="bottom"/>
            <w:gridSpan w:val="2"/>
            <w:shd w:val="clear" w:color="auto" w:fill="CCEEFF"/>
          </w:tcPr>
          <w:p>
            <w:pPr>
              <w:ind w:left="20"/>
              <w:spacing w:after="0" w:line="90" w:lineRule="exact"/>
              <w:rPr>
                <w:sz w:val="20"/>
                <w:szCs w:val="20"/>
                <w:color w:val="auto"/>
              </w:rPr>
            </w:pPr>
            <w:r>
              <w:rPr>
                <w:rFonts w:ascii="Times New Roman" w:cs="Times New Roman" w:eastAsia="Times New Roman" w:hAnsi="Times New Roman"/>
                <w:sz w:val="10"/>
                <w:szCs w:val="10"/>
                <w:color w:val="auto"/>
                <w:w w:val="99"/>
              </w:rPr>
              <w:t>Common Equity (817 units) ($200</w:t>
            </w:r>
          </w:p>
        </w:tc>
        <w:tc>
          <w:tcPr>
            <w:tcW w:w="2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unfunded commitment)</w:t>
            </w:r>
          </w:p>
        </w:tc>
        <w:tc>
          <w:tcPr>
            <w:tcW w:w="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1.6%</w:t>
            </w: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w w:val="96"/>
              </w:rPr>
              <w:t>11/24/2025</w:t>
            </w: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800</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799</w:t>
            </w: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7,125</w:t>
            </w:r>
          </w:p>
        </w:tc>
        <w:tc>
          <w:tcPr>
            <w:tcW w:w="60" w:type="dxa"/>
            <w:vAlign w:val="bottom"/>
          </w:tcPr>
          <w:p>
            <w:pPr>
              <w:spacing w:after="0"/>
              <w:rPr>
                <w:sz w:val="9"/>
                <w:szCs w:val="9"/>
                <w:color w:val="auto"/>
              </w:rPr>
            </w:pPr>
          </w:p>
        </w:tc>
        <w:tc>
          <w:tcPr>
            <w:tcW w:w="3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7,124</w:t>
            </w:r>
          </w:p>
        </w:tc>
        <w:tc>
          <w:tcPr>
            <w:tcW w:w="60" w:type="dxa"/>
            <w:vAlign w:val="bottom"/>
          </w:tcPr>
          <w:p>
            <w:pPr>
              <w:spacing w:after="0"/>
              <w:rPr>
                <w:sz w:val="9"/>
                <w:szCs w:val="9"/>
                <w:color w:val="auto"/>
              </w:rPr>
            </w:pPr>
          </w:p>
        </w:tc>
        <w:tc>
          <w:tcPr>
            <w:tcW w:w="520" w:type="dxa"/>
            <w:vAlign w:val="bottom"/>
            <w:gridSpan w:val="2"/>
          </w:tcPr>
          <w:p>
            <w:pPr>
              <w:jc w:val="right"/>
              <w:ind w:right="40"/>
              <w:spacing w:after="0" w:line="111" w:lineRule="exact"/>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41"/>
        </w:trPr>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11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i w:val="1"/>
                <w:iCs w:val="1"/>
                <w:color w:val="auto"/>
              </w:rPr>
              <w:t>Allredi, LLC (fka Marco</w:t>
            </w:r>
          </w:p>
        </w:tc>
        <w:tc>
          <w:tcPr>
            <w:tcW w:w="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100"/>
              <w:spacing w:after="0" w:line="103" w:lineRule="exact"/>
              <w:rPr>
                <w:sz w:val="20"/>
                <w:szCs w:val="20"/>
                <w:color w:val="auto"/>
              </w:rPr>
            </w:pPr>
            <w:r>
              <w:rPr>
                <w:rFonts w:ascii="Times New Roman" w:cs="Times New Roman" w:eastAsia="Times New Roman" w:hAnsi="Times New Roman"/>
                <w:sz w:val="10"/>
                <w:szCs w:val="10"/>
                <w:i w:val="1"/>
                <w:iCs w:val="1"/>
                <w:color w:val="auto"/>
                <w:w w:val="94"/>
              </w:rPr>
              <w:t>Group International OpCo,</w:t>
            </w:r>
          </w:p>
        </w:tc>
        <w:tc>
          <w:tcPr>
            <w:tcW w:w="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i w:val="1"/>
                <w:iCs w:val="1"/>
                <w:color w:val="auto"/>
              </w:rPr>
              <w:t>LLC)</w:t>
            </w:r>
          </w:p>
        </w:tc>
        <w:tc>
          <w:tcPr>
            <w:tcW w:w="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Industrial Cleaning &amp; Coatings</w:t>
            </w: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w w:val="97"/>
              </w:rPr>
              <w:t>3009 Pasadena Freeway</w:t>
            </w:r>
          </w:p>
        </w:tc>
        <w:tc>
          <w:tcPr>
            <w:tcW w:w="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Frontage Rd, #100</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Second Lien Debt</w:t>
            </w:r>
          </w:p>
        </w:tc>
        <w:tc>
          <w:tcPr>
            <w:tcW w:w="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w w:val="94"/>
              </w:rPr>
              <w:t>0.00%/15.00%</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3/2/2020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9/30/2027</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18,622</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17,418</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15,826</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Pasadena, TX 77503</w:t>
            </w:r>
          </w:p>
        </w:tc>
        <w:tc>
          <w:tcPr>
            <w:tcW w:w="1420" w:type="dxa"/>
            <w:vAlign w:val="bottom"/>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w w:val="95"/>
              </w:rPr>
              <w:t>Common Equity (570,636 units) (h)</w:t>
            </w:r>
          </w:p>
        </w:tc>
        <w:tc>
          <w:tcPr>
            <w:tcW w:w="2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80"/>
              <w:spacing w:after="0" w:line="103" w:lineRule="exact"/>
              <w:rPr>
                <w:sz w:val="20"/>
                <w:szCs w:val="20"/>
                <w:color w:val="auto"/>
              </w:rPr>
            </w:pPr>
            <w:r>
              <w:rPr>
                <w:rFonts w:ascii="Times New Roman" w:cs="Times New Roman" w:eastAsia="Times New Roman" w:hAnsi="Times New Roman"/>
                <w:sz w:val="10"/>
                <w:szCs w:val="10"/>
                <w:color w:val="auto"/>
              </w:rPr>
              <w:t>0.3%</w:t>
            </w: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7/21/2017</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637</w:t>
            </w:r>
          </w:p>
        </w:tc>
        <w:tc>
          <w:tcPr>
            <w:tcW w:w="400" w:type="dxa"/>
            <w:vAlign w:val="bottom"/>
            <w:gridSpan w:val="2"/>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142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w w:val="99"/>
              </w:rPr>
              <w:t>Common Equity (39,443 units) (h)</w:t>
            </w:r>
          </w:p>
        </w:tc>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gridSpan w:val="2"/>
          </w:tcPr>
          <w:p>
            <w:pPr>
              <w:jc w:val="right"/>
              <w:ind w:right="80"/>
              <w:spacing w:after="0" w:line="103" w:lineRule="exact"/>
              <w:rPr>
                <w:sz w:val="20"/>
                <w:szCs w:val="20"/>
                <w:color w:val="auto"/>
              </w:rPr>
            </w:pPr>
            <w:r>
              <w:rPr>
                <w:rFonts w:ascii="Times New Roman" w:cs="Times New Roman" w:eastAsia="Times New Roman" w:hAnsi="Times New Roman"/>
                <w:sz w:val="10"/>
                <w:szCs w:val="10"/>
                <w:color w:val="auto"/>
              </w:rPr>
              <w:t>0.3%</w:t>
            </w: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w w:val="96"/>
              </w:rPr>
              <w:t>11/24/2021</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22</w:t>
            </w:r>
          </w:p>
        </w:tc>
        <w:tc>
          <w:tcPr>
            <w:tcW w:w="400" w:type="dxa"/>
            <w:vAlign w:val="bottom"/>
            <w:gridSpan w:val="2"/>
          </w:tcPr>
          <w:p>
            <w:pPr>
              <w:ind w:left="20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1420" w:type="dxa"/>
            <w:vAlign w:val="bottom"/>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w w:val="95"/>
              </w:rPr>
              <w:t>Common Equity (524,624 units) (h)</w:t>
            </w:r>
          </w:p>
        </w:tc>
        <w:tc>
          <w:tcPr>
            <w:tcW w:w="2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80"/>
              <w:spacing w:after="0" w:line="103" w:lineRule="exact"/>
              <w:rPr>
                <w:sz w:val="20"/>
                <w:szCs w:val="20"/>
                <w:color w:val="auto"/>
              </w:rPr>
            </w:pPr>
            <w:r>
              <w:rPr>
                <w:rFonts w:ascii="Times New Roman" w:cs="Times New Roman" w:eastAsia="Times New Roman" w:hAnsi="Times New Roman"/>
                <w:sz w:val="10"/>
                <w:szCs w:val="10"/>
                <w:color w:val="auto"/>
              </w:rPr>
              <w:t>0.3%</w:t>
            </w: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8/3/2023</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45</w:t>
            </w:r>
          </w:p>
        </w:tc>
        <w:tc>
          <w:tcPr>
            <w:tcW w:w="400" w:type="dxa"/>
            <w:vAlign w:val="bottom"/>
            <w:gridSpan w:val="2"/>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18,122</w:t>
            </w:r>
          </w:p>
        </w:tc>
        <w:tc>
          <w:tcPr>
            <w:tcW w:w="60" w:type="dxa"/>
            <w:vAlign w:val="bottom"/>
          </w:tcPr>
          <w:p>
            <w:pPr>
              <w:spacing w:after="0"/>
              <w:rPr>
                <w:sz w:val="9"/>
                <w:szCs w:val="9"/>
                <w:color w:val="auto"/>
              </w:rPr>
            </w:pPr>
          </w:p>
        </w:tc>
        <w:tc>
          <w:tcPr>
            <w:tcW w:w="340" w:type="dxa"/>
            <w:vAlign w:val="bottom"/>
            <w:tcBorders>
              <w:top w:val="single" w:sz="8" w:color="auto"/>
            </w:tcBorders>
          </w:tcPr>
          <w:p>
            <w:pPr>
              <w:ind w:left="80"/>
              <w:spacing w:after="0" w:line="114" w:lineRule="exact"/>
              <w:rPr>
                <w:sz w:val="20"/>
                <w:szCs w:val="20"/>
                <w:color w:val="auto"/>
              </w:rPr>
            </w:pPr>
            <w:r>
              <w:rPr>
                <w:rFonts w:ascii="Times New Roman" w:cs="Times New Roman" w:eastAsia="Times New Roman" w:hAnsi="Times New Roman"/>
                <w:sz w:val="10"/>
                <w:szCs w:val="10"/>
                <w:color w:val="auto"/>
                <w:w w:val="87"/>
              </w:rPr>
              <w:t>15,826</w:t>
            </w:r>
          </w:p>
        </w:tc>
        <w:tc>
          <w:tcPr>
            <w:tcW w:w="60" w:type="dxa"/>
            <w:vAlign w:val="bottom"/>
          </w:tcPr>
          <w:p>
            <w:pPr>
              <w:spacing w:after="0"/>
              <w:rPr>
                <w:sz w:val="9"/>
                <w:szCs w:val="9"/>
                <w:color w:val="auto"/>
              </w:rPr>
            </w:pPr>
          </w:p>
        </w:tc>
        <w:tc>
          <w:tcPr>
            <w:tcW w:w="520" w:type="dxa"/>
            <w:vAlign w:val="bottom"/>
            <w:gridSpan w:val="2"/>
          </w:tcPr>
          <w:p>
            <w:pPr>
              <w:jc w:val="right"/>
              <w:ind w:right="40"/>
              <w:spacing w:after="0" w:line="111" w:lineRule="exact"/>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41"/>
        </w:trPr>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11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i w:val="1"/>
                <w:iCs w:val="1"/>
                <w:color w:val="auto"/>
                <w:w w:val="96"/>
              </w:rPr>
              <w:t>American AllWaste LLC (dba</w:t>
            </w:r>
          </w:p>
        </w:tc>
        <w:tc>
          <w:tcPr>
            <w:tcW w:w="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100"/>
              <w:spacing w:after="0" w:line="103" w:lineRule="exact"/>
              <w:rPr>
                <w:sz w:val="20"/>
                <w:szCs w:val="20"/>
                <w:color w:val="auto"/>
              </w:rPr>
            </w:pPr>
            <w:r>
              <w:rPr>
                <w:rFonts w:ascii="Times New Roman" w:cs="Times New Roman" w:eastAsia="Times New Roman" w:hAnsi="Times New Roman"/>
                <w:sz w:val="10"/>
                <w:szCs w:val="10"/>
                <w:i w:val="1"/>
                <w:iCs w:val="1"/>
                <w:color w:val="auto"/>
              </w:rPr>
              <w:t>WasteWater Transport</w:t>
            </w:r>
          </w:p>
        </w:tc>
        <w:tc>
          <w:tcPr>
            <w:tcW w:w="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i w:val="1"/>
                <w:iCs w:val="1"/>
                <w:color w:val="auto"/>
              </w:rPr>
              <w:t>Services)</w:t>
            </w:r>
          </w:p>
        </w:tc>
        <w:tc>
          <w:tcPr>
            <w:tcW w:w="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Environmental Industries</w:t>
            </w: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w w:val="97"/>
              </w:rPr>
              <w:t>12141 Wickchester Ln.,</w:t>
            </w:r>
          </w:p>
        </w:tc>
        <w:tc>
          <w:tcPr>
            <w:tcW w:w="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gridSpan w:val="2"/>
          </w:tcPr>
          <w:p>
            <w:pPr>
              <w:ind w:left="20"/>
              <w:spacing w:after="0" w:line="90" w:lineRule="exact"/>
              <w:rPr>
                <w:sz w:val="20"/>
                <w:szCs w:val="20"/>
                <w:color w:val="auto"/>
              </w:rPr>
            </w:pPr>
            <w:r>
              <w:rPr>
                <w:rFonts w:ascii="Times New Roman" w:cs="Times New Roman" w:eastAsia="Times New Roman" w:hAnsi="Times New Roman"/>
                <w:sz w:val="10"/>
                <w:szCs w:val="10"/>
                <w:color w:val="auto"/>
              </w:rPr>
              <w:t>(S + 6.75%)</w:t>
            </w: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Suite 325</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First Lien Debt (p)</w:t>
            </w:r>
          </w:p>
        </w:tc>
        <w:tc>
          <w:tcPr>
            <w:tcW w:w="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(1.00%)</w:t>
            </w:r>
          </w:p>
        </w:tc>
        <w:tc>
          <w:tcPr>
            <w:tcW w:w="60" w:type="dxa"/>
            <w:vAlign w:val="bottom"/>
          </w:tcPr>
          <w:p>
            <w:pPr>
              <w:spacing w:after="0"/>
              <w:rPr>
                <w:sz w:val="10"/>
                <w:szCs w:val="1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w w:val="94"/>
              </w:rPr>
              <w:t>10.68%/0.00%</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6/28/2021</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3/31/2028</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22,218</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22,192</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21,617</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rPr>
              <w:t>Houston, TX 77079</w:t>
            </w:r>
          </w:p>
        </w:tc>
        <w:tc>
          <w:tcPr>
            <w:tcW w:w="1420" w:type="dxa"/>
            <w:vAlign w:val="bottom"/>
            <w:gridSpan w:val="2"/>
            <w:shd w:val="clear" w:color="auto" w:fill="CCEEFF"/>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 (o)</w:t>
            </w:r>
          </w:p>
        </w:tc>
        <w:tc>
          <w:tcPr>
            <w:tcW w:w="2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60" w:type="dxa"/>
            <w:vAlign w:val="bottom"/>
            <w:gridSpan w:val="2"/>
            <w:shd w:val="clear" w:color="auto" w:fill="CCEEFF"/>
          </w:tcPr>
          <w:p>
            <w:pPr>
              <w:ind w:left="20"/>
              <w:spacing w:after="0" w:line="90" w:lineRule="exact"/>
              <w:rPr>
                <w:sz w:val="20"/>
                <w:szCs w:val="20"/>
                <w:color w:val="auto"/>
              </w:rPr>
            </w:pPr>
            <w:r>
              <w:rPr>
                <w:rFonts w:ascii="Times New Roman" w:cs="Times New Roman" w:eastAsia="Times New Roman" w:hAnsi="Times New Roman"/>
                <w:sz w:val="10"/>
                <w:szCs w:val="10"/>
                <w:color w:val="auto"/>
              </w:rPr>
              <w:t>(S + 6.75%)</w:t>
            </w:r>
          </w:p>
        </w:tc>
        <w:tc>
          <w:tcPr>
            <w:tcW w:w="5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 (1.00%)</w:t>
            </w: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8.18%/0.00%</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6/28/2021</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3/31/2028</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330</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330</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330</w:t>
            </w: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142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First Lien Debt (bh)</w:t>
            </w:r>
          </w:p>
        </w:tc>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40"/>
              <w:spacing w:after="0" w:line="103" w:lineRule="exact"/>
              <w:rPr>
                <w:sz w:val="20"/>
                <w:szCs w:val="20"/>
                <w:color w:val="auto"/>
              </w:rPr>
            </w:pPr>
            <w:r>
              <w:rPr>
                <w:rFonts w:ascii="Times New Roman" w:cs="Times New Roman" w:eastAsia="Times New Roman" w:hAnsi="Times New Roman"/>
                <w:sz w:val="10"/>
                <w:szCs w:val="10"/>
                <w:color w:val="auto"/>
                <w:w w:val="94"/>
              </w:rPr>
              <w:t>15.25%/0.00%</w:t>
            </w:r>
          </w:p>
        </w:tc>
        <w:tc>
          <w:tcPr>
            <w:tcW w:w="5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3/28/2024</w:t>
            </w: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3/31/2028</w:t>
            </w:r>
          </w:p>
        </w:tc>
        <w:tc>
          <w:tcPr>
            <w:tcW w:w="4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5,864</w:t>
            </w:r>
          </w:p>
        </w:tc>
        <w:tc>
          <w:tcPr>
            <w:tcW w:w="36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5,864</w:t>
            </w:r>
          </w:p>
        </w:tc>
        <w:tc>
          <w:tcPr>
            <w:tcW w:w="400" w:type="dxa"/>
            <w:vAlign w:val="bottom"/>
            <w:gridSpan w:val="2"/>
          </w:tcPr>
          <w:p>
            <w:pPr>
              <w:ind w:left="80"/>
              <w:spacing w:after="0" w:line="103" w:lineRule="exact"/>
              <w:rPr>
                <w:sz w:val="20"/>
                <w:szCs w:val="20"/>
                <w:color w:val="auto"/>
              </w:rPr>
            </w:pPr>
            <w:r>
              <w:rPr>
                <w:rFonts w:ascii="Times New Roman" w:cs="Times New Roman" w:eastAsia="Times New Roman" w:hAnsi="Times New Roman"/>
                <w:sz w:val="10"/>
                <w:szCs w:val="10"/>
                <w:color w:val="auto"/>
              </w:rPr>
              <w:t>11,997</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1420" w:type="dxa"/>
            <w:vAlign w:val="bottom"/>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Preferred Equity (500 units) (h)</w:t>
            </w:r>
          </w:p>
        </w:tc>
        <w:tc>
          <w:tcPr>
            <w:tcW w:w="2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80"/>
              <w:spacing w:after="0" w:line="103" w:lineRule="exact"/>
              <w:rPr>
                <w:sz w:val="20"/>
                <w:szCs w:val="20"/>
                <w:color w:val="auto"/>
              </w:rPr>
            </w:pPr>
            <w:r>
              <w:rPr>
                <w:rFonts w:ascii="Times New Roman" w:cs="Times New Roman" w:eastAsia="Times New Roman" w:hAnsi="Times New Roman"/>
                <w:sz w:val="10"/>
                <w:szCs w:val="10"/>
                <w:color w:val="auto"/>
              </w:rPr>
              <w:t>0.1%</w:t>
            </w: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5/31/2018</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500</w:t>
            </w:r>
          </w:p>
        </w:tc>
        <w:tc>
          <w:tcPr>
            <w:tcW w:w="400" w:type="dxa"/>
            <w:vAlign w:val="bottom"/>
            <w:gridSpan w:val="2"/>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142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Preferred Equity (207 units) (h)</w:t>
            </w:r>
          </w:p>
        </w:tc>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gridSpan w:val="2"/>
          </w:tcPr>
          <w:p>
            <w:pPr>
              <w:jc w:val="right"/>
              <w:ind w:right="80"/>
              <w:spacing w:after="0" w:line="103" w:lineRule="exact"/>
              <w:rPr>
                <w:sz w:val="20"/>
                <w:szCs w:val="20"/>
                <w:color w:val="auto"/>
              </w:rPr>
            </w:pPr>
            <w:r>
              <w:rPr>
                <w:rFonts w:ascii="Times New Roman" w:cs="Times New Roman" w:eastAsia="Times New Roman" w:hAnsi="Times New Roman"/>
                <w:sz w:val="10"/>
                <w:szCs w:val="10"/>
                <w:color w:val="auto"/>
              </w:rPr>
              <w:t>0.0%</w:t>
            </w: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8/6/2019</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250</w:t>
            </w:r>
          </w:p>
        </w:tc>
        <w:tc>
          <w:tcPr>
            <w:tcW w:w="400" w:type="dxa"/>
            <w:vAlign w:val="bottom"/>
            <w:gridSpan w:val="2"/>
          </w:tcPr>
          <w:p>
            <w:pPr>
              <w:ind w:left="20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1420" w:type="dxa"/>
            <w:vAlign w:val="bottom"/>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Preferred Equity (141 units) (h)</w:t>
            </w:r>
          </w:p>
        </w:tc>
        <w:tc>
          <w:tcPr>
            <w:tcW w:w="2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80"/>
              <w:spacing w:after="0" w:line="103" w:lineRule="exact"/>
              <w:rPr>
                <w:sz w:val="20"/>
                <w:szCs w:val="20"/>
                <w:color w:val="auto"/>
              </w:rPr>
            </w:pPr>
            <w:r>
              <w:rPr>
                <w:rFonts w:ascii="Times New Roman" w:cs="Times New Roman" w:eastAsia="Times New Roman" w:hAnsi="Times New Roman"/>
                <w:sz w:val="10"/>
                <w:szCs w:val="10"/>
                <w:color w:val="auto"/>
              </w:rPr>
              <w:t>0.0%</w:t>
            </w: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11/2/2020</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171</w:t>
            </w:r>
          </w:p>
        </w:tc>
        <w:tc>
          <w:tcPr>
            <w:tcW w:w="400" w:type="dxa"/>
            <w:vAlign w:val="bottom"/>
            <w:gridSpan w:val="2"/>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142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Preferred Equity (74 units) (h)</w:t>
            </w:r>
          </w:p>
        </w:tc>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gridSpan w:val="2"/>
          </w:tcPr>
          <w:p>
            <w:pPr>
              <w:jc w:val="right"/>
              <w:ind w:right="80"/>
              <w:spacing w:after="0" w:line="103" w:lineRule="exact"/>
              <w:rPr>
                <w:sz w:val="20"/>
                <w:szCs w:val="20"/>
                <w:color w:val="auto"/>
              </w:rPr>
            </w:pPr>
            <w:r>
              <w:rPr>
                <w:rFonts w:ascii="Times New Roman" w:cs="Times New Roman" w:eastAsia="Times New Roman" w:hAnsi="Times New Roman"/>
                <w:sz w:val="10"/>
                <w:szCs w:val="10"/>
                <w:color w:val="auto"/>
              </w:rPr>
              <w:t>0.0%</w:t>
            </w: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w w:val="96"/>
              </w:rPr>
              <w:t>12/29/2021</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97</w:t>
            </w:r>
          </w:p>
        </w:tc>
        <w:tc>
          <w:tcPr>
            <w:tcW w:w="400" w:type="dxa"/>
            <w:vAlign w:val="bottom"/>
            <w:gridSpan w:val="2"/>
          </w:tcPr>
          <w:p>
            <w:pPr>
              <w:ind w:left="20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1420" w:type="dxa"/>
            <w:vAlign w:val="bottom"/>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Preferred Equity (52 units) (h)</w:t>
            </w:r>
          </w:p>
        </w:tc>
        <w:tc>
          <w:tcPr>
            <w:tcW w:w="2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80"/>
              <w:spacing w:after="0" w:line="103" w:lineRule="exact"/>
              <w:rPr>
                <w:sz w:val="20"/>
                <w:szCs w:val="20"/>
                <w:color w:val="auto"/>
              </w:rPr>
            </w:pPr>
            <w:r>
              <w:rPr>
                <w:rFonts w:ascii="Times New Roman" w:cs="Times New Roman" w:eastAsia="Times New Roman" w:hAnsi="Times New Roman"/>
                <w:sz w:val="10"/>
                <w:szCs w:val="10"/>
                <w:color w:val="auto"/>
              </w:rPr>
              <w:t>0.0%</w:t>
            </w: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w w:val="96"/>
              </w:rPr>
              <w:t>11/27/2024</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52</w:t>
            </w:r>
          </w:p>
        </w:tc>
        <w:tc>
          <w:tcPr>
            <w:tcW w:w="400" w:type="dxa"/>
            <w:vAlign w:val="bottom"/>
            <w:gridSpan w:val="2"/>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142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Preferred Equity (312 units) (h)</w:t>
            </w:r>
          </w:p>
        </w:tc>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gridSpan w:val="2"/>
          </w:tcPr>
          <w:p>
            <w:pPr>
              <w:jc w:val="right"/>
              <w:ind w:right="80"/>
              <w:spacing w:after="0" w:line="103" w:lineRule="exact"/>
              <w:rPr>
                <w:sz w:val="20"/>
                <w:szCs w:val="20"/>
                <w:color w:val="auto"/>
              </w:rPr>
            </w:pPr>
            <w:r>
              <w:rPr>
                <w:rFonts w:ascii="Times New Roman" w:cs="Times New Roman" w:eastAsia="Times New Roman" w:hAnsi="Times New Roman"/>
                <w:sz w:val="10"/>
                <w:szCs w:val="10"/>
                <w:color w:val="auto"/>
              </w:rPr>
              <w:t>0.0%</w:t>
            </w: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w w:val="96"/>
              </w:rPr>
              <w:t>12/30/2024</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312</w:t>
            </w:r>
          </w:p>
        </w:tc>
        <w:tc>
          <w:tcPr>
            <w:tcW w:w="400" w:type="dxa"/>
            <w:vAlign w:val="bottom"/>
            <w:gridSpan w:val="2"/>
          </w:tcPr>
          <w:p>
            <w:pPr>
              <w:ind w:left="20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1420" w:type="dxa"/>
            <w:vAlign w:val="bottom"/>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(1,405 units) (h)</w:t>
            </w:r>
          </w:p>
        </w:tc>
        <w:tc>
          <w:tcPr>
            <w:tcW w:w="2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80"/>
              <w:spacing w:after="0" w:line="103" w:lineRule="exact"/>
              <w:rPr>
                <w:sz w:val="20"/>
                <w:szCs w:val="20"/>
                <w:color w:val="auto"/>
              </w:rPr>
            </w:pPr>
            <w:r>
              <w:rPr>
                <w:rFonts w:ascii="Times New Roman" w:cs="Times New Roman" w:eastAsia="Times New Roman" w:hAnsi="Times New Roman"/>
                <w:sz w:val="10"/>
                <w:szCs w:val="10"/>
                <w:color w:val="auto"/>
              </w:rPr>
              <w:t>1.0%</w:t>
            </w: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w w:val="96"/>
              </w:rPr>
              <w:t>12/30/2024</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ind w:left="160"/>
              <w:spacing w:after="0" w:line="103" w:lineRule="exact"/>
              <w:rPr>
                <w:sz w:val="20"/>
                <w:szCs w:val="20"/>
                <w:color w:val="auto"/>
              </w:rPr>
            </w:pPr>
            <w:r>
              <w:rPr>
                <w:rFonts w:ascii="Times New Roman" w:cs="Times New Roman" w:eastAsia="Times New Roman" w:hAnsi="Times New Roman"/>
                <w:sz w:val="10"/>
                <w:szCs w:val="10"/>
                <w:color w:val="auto"/>
              </w:rPr>
              <w:t xml:space="preserve">— </w:t>
            </w:r>
          </w:p>
        </w:tc>
        <w:tc>
          <w:tcPr>
            <w:tcW w:w="400" w:type="dxa"/>
            <w:vAlign w:val="bottom"/>
            <w:gridSpan w:val="2"/>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29,768</w:t>
            </w:r>
          </w:p>
        </w:tc>
        <w:tc>
          <w:tcPr>
            <w:tcW w:w="60" w:type="dxa"/>
            <w:vAlign w:val="bottom"/>
          </w:tcPr>
          <w:p>
            <w:pPr>
              <w:spacing w:after="0"/>
              <w:rPr>
                <w:sz w:val="9"/>
                <w:szCs w:val="9"/>
                <w:color w:val="auto"/>
              </w:rPr>
            </w:pPr>
          </w:p>
        </w:tc>
        <w:tc>
          <w:tcPr>
            <w:tcW w:w="340" w:type="dxa"/>
            <w:vAlign w:val="bottom"/>
            <w:tcBorders>
              <w:top w:val="single" w:sz="8" w:color="auto"/>
            </w:tcBorders>
          </w:tcPr>
          <w:p>
            <w:pPr>
              <w:ind w:left="80"/>
              <w:spacing w:after="0" w:line="114" w:lineRule="exact"/>
              <w:rPr>
                <w:sz w:val="20"/>
                <w:szCs w:val="20"/>
                <w:color w:val="auto"/>
              </w:rPr>
            </w:pPr>
            <w:r>
              <w:rPr>
                <w:rFonts w:ascii="Times New Roman" w:cs="Times New Roman" w:eastAsia="Times New Roman" w:hAnsi="Times New Roman"/>
                <w:sz w:val="10"/>
                <w:szCs w:val="10"/>
                <w:color w:val="auto"/>
                <w:w w:val="87"/>
              </w:rPr>
              <w:t>33,944</w:t>
            </w:r>
          </w:p>
        </w:tc>
        <w:tc>
          <w:tcPr>
            <w:tcW w:w="60" w:type="dxa"/>
            <w:vAlign w:val="bottom"/>
          </w:tcPr>
          <w:p>
            <w:pPr>
              <w:spacing w:after="0"/>
              <w:rPr>
                <w:sz w:val="9"/>
                <w:szCs w:val="9"/>
                <w:color w:val="auto"/>
              </w:rPr>
            </w:pPr>
          </w:p>
        </w:tc>
        <w:tc>
          <w:tcPr>
            <w:tcW w:w="520" w:type="dxa"/>
            <w:vAlign w:val="bottom"/>
            <w:gridSpan w:val="2"/>
          </w:tcPr>
          <w:p>
            <w:pPr>
              <w:jc w:val="right"/>
              <w:ind w:right="40"/>
              <w:spacing w:after="0" w:line="111" w:lineRule="exact"/>
              <w:rPr>
                <w:sz w:val="20"/>
                <w:szCs w:val="20"/>
                <w:color w:val="auto"/>
              </w:rPr>
            </w:pP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03440" cy="450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65" w:right="1440" w:bottom="1440" w:gutter="0" w:footer="0" w:header="0"/>
        </w:sectPr>
      </w:pPr>
    </w:p>
    <w:bookmarkStart w:id="23" w:name="page24"/>
    <w:bookmarkEnd w:id="23"/>
    <w:p>
      <w:pPr>
        <w:spacing w:after="0" w:line="103" w:lineRule="exact"/>
        <w:rPr>
          <w:sz w:val="20"/>
          <w:szCs w:val="20"/>
          <w:color w:val="auto"/>
        </w:rPr>
      </w:pPr>
    </w:p>
    <w:tbl>
      <w:tblPr>
        <w:tblLayout w:type="fixed"/>
        <w:tblInd w:w="320" w:type="dxa"/>
        <w:tblCellMar>
          <w:top w:w="0" w:type="dxa"/>
          <w:left w:w="0" w:type="dxa"/>
          <w:bottom w:w="0" w:type="dxa"/>
          <w:right w:w="0" w:type="dxa"/>
        </w:tblCellMar>
      </w:tblPr>
      <w:tr>
        <w:trPr>
          <w:trHeight w:val="115"/>
        </w:trPr>
        <w:tc>
          <w:tcPr>
            <w:tcW w:w="116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Portfolio Company (a)(b)</w:t>
            </w:r>
          </w:p>
        </w:tc>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09"/>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w w:val="97"/>
              </w:rPr>
              <w:t>Address of Portfolio Company</w:t>
            </w:r>
          </w:p>
        </w:tc>
        <w:tc>
          <w:tcPr>
            <w:tcW w:w="20" w:type="dxa"/>
            <w:vAlign w:val="bottom"/>
          </w:tcPr>
          <w:p>
            <w:pPr>
              <w:spacing w:after="0"/>
              <w:rPr>
                <w:sz w:val="18"/>
                <w:szCs w:val="18"/>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9"/>
                <w:szCs w:val="9"/>
                <w:b w:val="1"/>
                <w:bCs w:val="1"/>
                <w:color w:val="auto"/>
              </w:rPr>
              <w:t>Investment Type (c)</w:t>
            </w:r>
          </w:p>
        </w:tc>
        <w:tc>
          <w:tcPr>
            <w:tcW w:w="130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Industry</w:t>
            </w:r>
          </w:p>
        </w:tc>
      </w:tr>
      <w:tr>
        <w:trPr>
          <w:trHeight w:val="70"/>
        </w:trPr>
        <w:tc>
          <w:tcPr>
            <w:tcW w:w="1160" w:type="dxa"/>
            <w:vAlign w:val="bottom"/>
          </w:tcPr>
          <w:p>
            <w:pPr>
              <w:spacing w:after="0" w:line="70" w:lineRule="exact"/>
              <w:rPr>
                <w:sz w:val="20"/>
                <w:szCs w:val="20"/>
                <w:color w:val="auto"/>
              </w:rPr>
            </w:pPr>
            <w:r>
              <w:rPr>
                <w:rFonts w:ascii="Times New Roman" w:cs="Times New Roman" w:eastAsia="Times New Roman" w:hAnsi="Times New Roman"/>
                <w:sz w:val="8"/>
                <w:szCs w:val="8"/>
                <w:i w:val="1"/>
                <w:iCs w:val="1"/>
                <w:color w:val="auto"/>
              </w:rPr>
              <w:t>AmeriWater, LLC</w:t>
            </w:r>
          </w:p>
        </w:tc>
        <w:tc>
          <w:tcPr>
            <w:tcW w:w="20" w:type="dxa"/>
            <w:vAlign w:val="bottom"/>
          </w:tcPr>
          <w:p>
            <w:pPr>
              <w:spacing w:after="0"/>
              <w:rPr>
                <w:sz w:val="6"/>
                <w:szCs w:val="6"/>
                <w:color w:val="auto"/>
              </w:rPr>
            </w:pPr>
          </w:p>
        </w:tc>
        <w:tc>
          <w:tcPr>
            <w:tcW w:w="134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300" w:type="dxa"/>
            <w:vAlign w:val="bottom"/>
            <w:tcBorders>
              <w:top w:val="single" w:sz="8" w:color="auto"/>
            </w:tcBorders>
          </w:tcPr>
          <w:p>
            <w:pPr>
              <w:spacing w:after="0" w:line="70" w:lineRule="exact"/>
              <w:rPr>
                <w:sz w:val="20"/>
                <w:szCs w:val="20"/>
                <w:color w:val="auto"/>
              </w:rPr>
            </w:pPr>
            <w:r>
              <w:rPr>
                <w:rFonts w:ascii="Times New Roman" w:cs="Times New Roman" w:eastAsia="Times New Roman" w:hAnsi="Times New Roman"/>
                <w:sz w:val="8"/>
                <w:szCs w:val="8"/>
                <w:color w:val="auto"/>
              </w:rPr>
              <w:t>Component Manufacturing</w:t>
            </w:r>
          </w:p>
        </w:tc>
      </w:tr>
      <w:tr>
        <w:trPr>
          <w:trHeight w:val="123"/>
        </w:trPr>
        <w:tc>
          <w:tcPr>
            <w:tcW w:w="116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3354 Stop 8 Rd.</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First Lien Debt (af)</w:t>
            </w:r>
          </w:p>
        </w:tc>
        <w:tc>
          <w:tcPr>
            <w:tcW w:w="1300" w:type="dxa"/>
            <w:vAlign w:val="bottom"/>
          </w:tcPr>
          <w:p>
            <w:pPr>
              <w:spacing w:after="0"/>
              <w:rPr>
                <w:sz w:val="10"/>
                <w:szCs w:val="10"/>
                <w:color w:val="auto"/>
              </w:rPr>
            </w:pPr>
          </w:p>
        </w:tc>
      </w:tr>
      <w:tr>
        <w:trPr>
          <w:trHeight w:val="205"/>
        </w:trPr>
        <w:tc>
          <w:tcPr>
            <w:tcW w:w="116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Dayton, OH 45414</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w w:val="99"/>
              </w:rPr>
              <w:t>Common Equity (1,000 units) (h)</w:t>
            </w:r>
          </w:p>
        </w:tc>
        <w:tc>
          <w:tcPr>
            <w:tcW w:w="1300" w:type="dxa"/>
            <w:vAlign w:val="bottom"/>
          </w:tcPr>
          <w:p>
            <w:pPr>
              <w:spacing w:after="0"/>
              <w:rPr>
                <w:sz w:val="17"/>
                <w:szCs w:val="17"/>
                <w:color w:val="auto"/>
              </w:rPr>
            </w:pPr>
          </w:p>
        </w:tc>
      </w:tr>
      <w:tr>
        <w:trPr>
          <w:trHeight w:val="205"/>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AMOpportunities, Inc.</w:t>
            </w: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Information Technology Services</w:t>
            </w:r>
          </w:p>
        </w:tc>
      </w:tr>
      <w:tr>
        <w:trPr>
          <w:trHeight w:val="103"/>
        </w:trPr>
        <w:tc>
          <w:tcPr>
            <w:tcW w:w="1160" w:type="dxa"/>
            <w:vAlign w:val="bottom"/>
          </w:tcPr>
          <w:p>
            <w:pPr>
              <w:ind w:left="200"/>
              <w:spacing w:after="0" w:line="103" w:lineRule="exact"/>
              <w:rPr>
                <w:sz w:val="20"/>
                <w:szCs w:val="20"/>
                <w:color w:val="auto"/>
              </w:rPr>
            </w:pPr>
            <w:r>
              <w:rPr>
                <w:rFonts w:ascii="Times New Roman" w:cs="Times New Roman" w:eastAsia="Times New Roman" w:hAnsi="Times New Roman"/>
                <w:sz w:val="10"/>
                <w:szCs w:val="10"/>
                <w:color w:val="auto"/>
              </w:rPr>
              <w:t>444 N. Wells Street,</w:t>
            </w:r>
          </w:p>
        </w:tc>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r>
      <w:tr>
        <w:trPr>
          <w:trHeight w:val="103"/>
        </w:trPr>
        <w:tc>
          <w:tcPr>
            <w:tcW w:w="1160" w:type="dxa"/>
            <w:vAlign w:val="bottom"/>
          </w:tcPr>
          <w:p>
            <w:pPr>
              <w:ind w:left="280"/>
              <w:spacing w:after="0" w:line="103" w:lineRule="exact"/>
              <w:rPr>
                <w:sz w:val="20"/>
                <w:szCs w:val="20"/>
                <w:color w:val="auto"/>
              </w:rPr>
            </w:pPr>
            <w:r>
              <w:rPr>
                <w:rFonts w:ascii="Times New Roman" w:cs="Times New Roman" w:eastAsia="Times New Roman" w:hAnsi="Times New Roman"/>
                <w:sz w:val="10"/>
                <w:szCs w:val="10"/>
                <w:color w:val="auto"/>
              </w:rPr>
              <w:t>Suite 601</w:t>
            </w:r>
          </w:p>
        </w:tc>
        <w:tc>
          <w:tcPr>
            <w:tcW w:w="1380" w:type="dxa"/>
            <w:vAlign w:val="bottom"/>
            <w:gridSpan w:val="3"/>
          </w:tcPr>
          <w:p>
            <w:pPr>
              <w:ind w:left="20"/>
              <w:spacing w:after="0" w:line="103" w:lineRule="exact"/>
              <w:rPr>
                <w:sz w:val="20"/>
                <w:szCs w:val="20"/>
                <w:color w:val="auto"/>
              </w:rPr>
            </w:pPr>
            <w:r>
              <w:rPr>
                <w:rFonts w:ascii="Times New Roman" w:cs="Times New Roman" w:eastAsia="Times New Roman" w:hAnsi="Times New Roman"/>
                <w:sz w:val="10"/>
                <w:szCs w:val="10"/>
                <w:color w:val="auto"/>
              </w:rPr>
              <w:t>First Lien Debt</w:t>
            </w:r>
          </w:p>
        </w:tc>
        <w:tc>
          <w:tcPr>
            <w:tcW w:w="1300" w:type="dxa"/>
            <w:vAlign w:val="bottom"/>
          </w:tcPr>
          <w:p>
            <w:pPr>
              <w:spacing w:after="0"/>
              <w:rPr>
                <w:sz w:val="8"/>
                <w:szCs w:val="8"/>
                <w:color w:val="auto"/>
              </w:rPr>
            </w:pPr>
          </w:p>
        </w:tc>
      </w:tr>
      <w:tr>
        <w:trPr>
          <w:trHeight w:val="123"/>
        </w:trPr>
        <w:tc>
          <w:tcPr>
            <w:tcW w:w="116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Chicago, IL 60654</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w w:val="98"/>
              </w:rPr>
              <w:t>Preferred Equity (801,414 shares)</w:t>
            </w:r>
          </w:p>
        </w:tc>
        <w:tc>
          <w:tcPr>
            <w:tcW w:w="1300" w:type="dxa"/>
            <w:vAlign w:val="bottom"/>
          </w:tcPr>
          <w:p>
            <w:pPr>
              <w:spacing w:after="0"/>
              <w:rPr>
                <w:sz w:val="10"/>
                <w:szCs w:val="10"/>
                <w:color w:val="auto"/>
              </w:rPr>
            </w:pPr>
          </w:p>
        </w:tc>
      </w:tr>
      <w:tr>
        <w:trPr>
          <w:trHeight w:val="203"/>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AOM Intermediate Holdco,</w:t>
            </w: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05"/>
        </w:trPr>
        <w:tc>
          <w:tcPr>
            <w:tcW w:w="1160" w:type="dxa"/>
            <w:vAlign w:val="bottom"/>
          </w:tcPr>
          <w:p>
            <w:pPr>
              <w:ind w:left="100"/>
              <w:spacing w:after="0" w:line="105" w:lineRule="exact"/>
              <w:rPr>
                <w:sz w:val="20"/>
                <w:szCs w:val="20"/>
                <w:color w:val="auto"/>
              </w:rPr>
            </w:pPr>
            <w:r>
              <w:rPr>
                <w:rFonts w:ascii="Times New Roman" w:cs="Times New Roman" w:eastAsia="Times New Roman" w:hAnsi="Times New Roman"/>
                <w:sz w:val="10"/>
                <w:szCs w:val="10"/>
                <w:i w:val="1"/>
                <w:iCs w:val="1"/>
                <w:color w:val="auto"/>
                <w:w w:val="99"/>
              </w:rPr>
              <w:t>LLC (dba AllOver Media)</w:t>
            </w:r>
          </w:p>
        </w:tc>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color w:val="auto"/>
                <w:w w:val="95"/>
              </w:rPr>
              <w:t>Information Technology Services</w:t>
            </w:r>
          </w:p>
        </w:tc>
      </w:tr>
      <w:tr>
        <w:trPr>
          <w:trHeight w:val="103"/>
        </w:trPr>
        <w:tc>
          <w:tcPr>
            <w:tcW w:w="1160" w:type="dxa"/>
            <w:vAlign w:val="bottom"/>
          </w:tcPr>
          <w:p>
            <w:pPr>
              <w:ind w:left="200"/>
              <w:spacing w:after="0" w:line="103" w:lineRule="exact"/>
              <w:rPr>
                <w:sz w:val="20"/>
                <w:szCs w:val="20"/>
                <w:color w:val="auto"/>
              </w:rPr>
            </w:pPr>
            <w:r>
              <w:rPr>
                <w:rFonts w:ascii="Times New Roman" w:cs="Times New Roman" w:eastAsia="Times New Roman" w:hAnsi="Times New Roman"/>
                <w:sz w:val="10"/>
                <w:szCs w:val="10"/>
                <w:color w:val="auto"/>
              </w:rPr>
              <w:t>16355 36th Ave. Suite</w:t>
            </w:r>
          </w:p>
        </w:tc>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r>
      <w:tr>
        <w:trPr>
          <w:trHeight w:val="103"/>
        </w:trPr>
        <w:tc>
          <w:tcPr>
            <w:tcW w:w="1160" w:type="dxa"/>
            <w:vAlign w:val="bottom"/>
          </w:tcPr>
          <w:p>
            <w:pPr>
              <w:ind w:left="280"/>
              <w:spacing w:after="0" w:line="103" w:lineRule="exact"/>
              <w:rPr>
                <w:sz w:val="20"/>
                <w:szCs w:val="20"/>
                <w:color w:val="auto"/>
              </w:rPr>
            </w:pPr>
            <w:r>
              <w:rPr>
                <w:rFonts w:ascii="Times New Roman" w:cs="Times New Roman" w:eastAsia="Times New Roman" w:hAnsi="Times New Roman"/>
                <w:sz w:val="10"/>
                <w:szCs w:val="10"/>
                <w:color w:val="auto"/>
              </w:rPr>
              <w:t>700</w:t>
            </w:r>
          </w:p>
        </w:tc>
        <w:tc>
          <w:tcPr>
            <w:tcW w:w="1380" w:type="dxa"/>
            <w:vAlign w:val="bottom"/>
            <w:gridSpan w:val="3"/>
          </w:tcPr>
          <w:p>
            <w:pPr>
              <w:ind w:left="20"/>
              <w:spacing w:after="0" w:line="103" w:lineRule="exact"/>
              <w:rPr>
                <w:sz w:val="20"/>
                <w:szCs w:val="20"/>
                <w:color w:val="auto"/>
              </w:rPr>
            </w:pPr>
            <w:r>
              <w:rPr>
                <w:rFonts w:ascii="Times New Roman" w:cs="Times New Roman" w:eastAsia="Times New Roman" w:hAnsi="Times New Roman"/>
                <w:sz w:val="10"/>
                <w:szCs w:val="10"/>
                <w:color w:val="auto"/>
                <w:w w:val="99"/>
              </w:rPr>
              <w:t>Common Equity (1,232 units) (h)</w:t>
            </w:r>
          </w:p>
        </w:tc>
        <w:tc>
          <w:tcPr>
            <w:tcW w:w="1300" w:type="dxa"/>
            <w:vAlign w:val="bottom"/>
          </w:tcPr>
          <w:p>
            <w:pPr>
              <w:spacing w:after="0"/>
              <w:rPr>
                <w:sz w:val="8"/>
                <w:szCs w:val="8"/>
                <w:color w:val="auto"/>
              </w:rPr>
            </w:pPr>
          </w:p>
        </w:tc>
      </w:tr>
      <w:tr>
        <w:trPr>
          <w:trHeight w:val="123"/>
        </w:trPr>
        <w:tc>
          <w:tcPr>
            <w:tcW w:w="1160" w:type="dxa"/>
            <w:vAlign w:val="bottom"/>
          </w:tcPr>
          <w:p>
            <w:pPr>
              <w:ind w:left="200"/>
              <w:spacing w:after="0"/>
              <w:rPr>
                <w:sz w:val="20"/>
                <w:szCs w:val="20"/>
                <w:color w:val="auto"/>
              </w:rPr>
            </w:pPr>
            <w:r>
              <w:rPr>
                <w:rFonts w:ascii="Times New Roman" w:cs="Times New Roman" w:eastAsia="Times New Roman" w:hAnsi="Times New Roman"/>
                <w:sz w:val="10"/>
                <w:szCs w:val="10"/>
                <w:color w:val="auto"/>
                <w:w w:val="95"/>
              </w:rPr>
              <w:t>Minneapolis, MN 55446</w:t>
            </w:r>
          </w:p>
        </w:tc>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131"/>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w w:val="98"/>
              </w:rPr>
              <w:t>APM Intermediate Holdings,</w:t>
            </w: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03"/>
        </w:trPr>
        <w:tc>
          <w:tcPr>
            <w:tcW w:w="1160" w:type="dxa"/>
            <w:vAlign w:val="bottom"/>
          </w:tcPr>
          <w:p>
            <w:pPr>
              <w:ind w:left="100"/>
              <w:spacing w:after="0" w:line="103" w:lineRule="exact"/>
              <w:rPr>
                <w:sz w:val="20"/>
                <w:szCs w:val="20"/>
                <w:color w:val="auto"/>
              </w:rPr>
            </w:pPr>
            <w:r>
              <w:rPr>
                <w:rFonts w:ascii="Times New Roman" w:cs="Times New Roman" w:eastAsia="Times New Roman" w:hAnsi="Times New Roman"/>
                <w:sz w:val="10"/>
                <w:szCs w:val="10"/>
                <w:i w:val="1"/>
                <w:iCs w:val="1"/>
                <w:color w:val="auto"/>
              </w:rPr>
              <w:t>LLC (dba Artistic Paver</w:t>
            </w:r>
          </w:p>
        </w:tc>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r>
      <w:tr>
        <w:trPr>
          <w:trHeight w:val="105"/>
        </w:trPr>
        <w:tc>
          <w:tcPr>
            <w:tcW w:w="1160" w:type="dxa"/>
            <w:vAlign w:val="bottom"/>
          </w:tcPr>
          <w:p>
            <w:pPr>
              <w:ind w:left="100"/>
              <w:spacing w:after="0" w:line="105" w:lineRule="exact"/>
              <w:rPr>
                <w:sz w:val="20"/>
                <w:szCs w:val="20"/>
                <w:color w:val="auto"/>
              </w:rPr>
            </w:pPr>
            <w:r>
              <w:rPr>
                <w:rFonts w:ascii="Times New Roman" w:cs="Times New Roman" w:eastAsia="Times New Roman" w:hAnsi="Times New Roman"/>
                <w:sz w:val="10"/>
                <w:szCs w:val="10"/>
                <w:i w:val="1"/>
                <w:iCs w:val="1"/>
                <w:color w:val="auto"/>
              </w:rPr>
              <w:t>Manufacturing, Inc.)</w:t>
            </w:r>
          </w:p>
        </w:tc>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color w:val="auto"/>
                <w:w w:val="96"/>
              </w:rPr>
              <w:t>Building Products Manufacturing</w:t>
            </w:r>
          </w:p>
        </w:tc>
      </w:tr>
      <w:tr>
        <w:trPr>
          <w:trHeight w:val="123"/>
        </w:trPr>
        <w:tc>
          <w:tcPr>
            <w:tcW w:w="116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N.E. 179th Street</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First Lien Debt (ai)</w:t>
            </w:r>
          </w:p>
        </w:tc>
        <w:tc>
          <w:tcPr>
            <w:tcW w:w="1300" w:type="dxa"/>
            <w:vAlign w:val="bottom"/>
          </w:tcPr>
          <w:p>
            <w:pPr>
              <w:spacing w:after="0"/>
              <w:rPr>
                <w:sz w:val="10"/>
                <w:szCs w:val="10"/>
                <w:color w:val="auto"/>
              </w:rPr>
            </w:pPr>
          </w:p>
        </w:tc>
      </w:tr>
      <w:tr>
        <w:trPr>
          <w:trHeight w:val="184"/>
        </w:trPr>
        <w:tc>
          <w:tcPr>
            <w:tcW w:w="1160" w:type="dxa"/>
            <w:vAlign w:val="bottom"/>
          </w:tcPr>
          <w:p>
            <w:pPr>
              <w:ind w:left="200"/>
              <w:spacing w:after="0"/>
              <w:rPr>
                <w:sz w:val="20"/>
                <w:szCs w:val="20"/>
                <w:color w:val="auto"/>
              </w:rPr>
            </w:pPr>
            <w:r>
              <w:rPr>
                <w:rFonts w:ascii="Times New Roman" w:cs="Times New Roman" w:eastAsia="Times New Roman" w:hAnsi="Times New Roman"/>
                <w:sz w:val="10"/>
                <w:szCs w:val="10"/>
                <w:color w:val="auto"/>
                <w:w w:val="97"/>
              </w:rPr>
              <w:t>North Miami Beach, FL</w:t>
            </w: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03"/>
        </w:trPr>
        <w:tc>
          <w:tcPr>
            <w:tcW w:w="1160" w:type="dxa"/>
            <w:vAlign w:val="bottom"/>
          </w:tcPr>
          <w:p>
            <w:pPr>
              <w:ind w:left="280"/>
              <w:spacing w:after="0" w:line="103" w:lineRule="exact"/>
              <w:rPr>
                <w:sz w:val="20"/>
                <w:szCs w:val="20"/>
                <w:color w:val="auto"/>
              </w:rPr>
            </w:pPr>
            <w:r>
              <w:rPr>
                <w:rFonts w:ascii="Times New Roman" w:cs="Times New Roman" w:eastAsia="Times New Roman" w:hAnsi="Times New Roman"/>
                <w:sz w:val="10"/>
                <w:szCs w:val="10"/>
                <w:color w:val="auto"/>
              </w:rPr>
              <w:t>33162</w:t>
            </w:r>
          </w:p>
        </w:tc>
        <w:tc>
          <w:tcPr>
            <w:tcW w:w="1380" w:type="dxa"/>
            <w:vAlign w:val="bottom"/>
            <w:gridSpan w:val="3"/>
          </w:tcPr>
          <w:p>
            <w:pPr>
              <w:ind w:left="20"/>
              <w:spacing w:after="0" w:line="103" w:lineRule="exact"/>
              <w:rPr>
                <w:sz w:val="20"/>
                <w:szCs w:val="20"/>
                <w:color w:val="auto"/>
              </w:rPr>
            </w:pPr>
            <w:r>
              <w:rPr>
                <w:rFonts w:ascii="Times New Roman" w:cs="Times New Roman" w:eastAsia="Times New Roman" w:hAnsi="Times New Roman"/>
                <w:sz w:val="10"/>
                <w:szCs w:val="10"/>
                <w:color w:val="auto"/>
              </w:rPr>
              <w:t>Subordinated Debt</w:t>
            </w:r>
          </w:p>
        </w:tc>
        <w:tc>
          <w:tcPr>
            <w:tcW w:w="1300" w:type="dxa"/>
            <w:vAlign w:val="bottom"/>
          </w:tcPr>
          <w:p>
            <w:pPr>
              <w:spacing w:after="0"/>
              <w:rPr>
                <w:sz w:val="8"/>
                <w:szCs w:val="8"/>
                <w:color w:val="auto"/>
              </w:rPr>
            </w:pPr>
          </w:p>
        </w:tc>
      </w:tr>
      <w:tr>
        <w:trPr>
          <w:trHeight w:val="123"/>
        </w:trPr>
        <w:tc>
          <w:tcPr>
            <w:tcW w:w="1160" w:type="dxa"/>
            <w:vAlign w:val="bottom"/>
          </w:tcPr>
          <w:p>
            <w:pPr>
              <w:spacing w:after="0"/>
              <w:rPr>
                <w:sz w:val="10"/>
                <w:szCs w:val="10"/>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w w:val="99"/>
              </w:rPr>
              <w:t>Common Equity (1,200 units) (h)</w:t>
            </w:r>
          </w:p>
        </w:tc>
        <w:tc>
          <w:tcPr>
            <w:tcW w:w="1300" w:type="dxa"/>
            <w:vAlign w:val="bottom"/>
          </w:tcPr>
          <w:p>
            <w:pPr>
              <w:spacing w:after="0"/>
              <w:rPr>
                <w:sz w:val="10"/>
                <w:szCs w:val="10"/>
                <w:color w:val="auto"/>
              </w:rPr>
            </w:pPr>
          </w:p>
        </w:tc>
      </w:tr>
      <w:tr>
        <w:trPr>
          <w:trHeight w:val="254"/>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Auto CRM LLC (dba Dealer</w:t>
            </w:r>
          </w:p>
        </w:tc>
        <w:tc>
          <w:tcPr>
            <w:tcW w:w="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105"/>
        </w:trPr>
        <w:tc>
          <w:tcPr>
            <w:tcW w:w="1160" w:type="dxa"/>
            <w:vAlign w:val="bottom"/>
          </w:tcPr>
          <w:p>
            <w:pPr>
              <w:ind w:left="100"/>
              <w:spacing w:after="0" w:line="105" w:lineRule="exact"/>
              <w:rPr>
                <w:sz w:val="20"/>
                <w:szCs w:val="20"/>
                <w:color w:val="auto"/>
              </w:rPr>
            </w:pPr>
            <w:r>
              <w:rPr>
                <w:rFonts w:ascii="Times New Roman" w:cs="Times New Roman" w:eastAsia="Times New Roman" w:hAnsi="Times New Roman"/>
                <w:sz w:val="10"/>
                <w:szCs w:val="10"/>
                <w:i w:val="1"/>
                <w:iCs w:val="1"/>
                <w:color w:val="auto"/>
              </w:rPr>
              <w:t>Holdings)</w:t>
            </w:r>
          </w:p>
        </w:tc>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color w:val="auto"/>
                <w:w w:val="95"/>
              </w:rPr>
              <w:t>Information Technology Services</w:t>
            </w:r>
          </w:p>
        </w:tc>
      </w:tr>
      <w:tr>
        <w:trPr>
          <w:trHeight w:val="103"/>
        </w:trPr>
        <w:tc>
          <w:tcPr>
            <w:tcW w:w="1160" w:type="dxa"/>
            <w:vAlign w:val="bottom"/>
          </w:tcPr>
          <w:p>
            <w:pPr>
              <w:ind w:left="200"/>
              <w:spacing w:after="0" w:line="103" w:lineRule="exact"/>
              <w:rPr>
                <w:sz w:val="20"/>
                <w:szCs w:val="20"/>
                <w:color w:val="auto"/>
              </w:rPr>
            </w:pPr>
            <w:r>
              <w:rPr>
                <w:rFonts w:ascii="Times New Roman" w:cs="Times New Roman" w:eastAsia="Times New Roman" w:hAnsi="Times New Roman"/>
                <w:sz w:val="10"/>
                <w:szCs w:val="10"/>
                <w:color w:val="auto"/>
              </w:rPr>
              <w:t>1115 Gunn Hwy #101</w:t>
            </w:r>
          </w:p>
        </w:tc>
        <w:tc>
          <w:tcPr>
            <w:tcW w:w="1380" w:type="dxa"/>
            <w:vAlign w:val="bottom"/>
            <w:gridSpan w:val="3"/>
          </w:tcPr>
          <w:p>
            <w:pPr>
              <w:ind w:left="20"/>
              <w:spacing w:after="0" w:line="103" w:lineRule="exact"/>
              <w:rPr>
                <w:sz w:val="20"/>
                <w:szCs w:val="20"/>
                <w:color w:val="auto"/>
              </w:rPr>
            </w:pPr>
            <w:r>
              <w:rPr>
                <w:rFonts w:ascii="Times New Roman" w:cs="Times New Roman" w:eastAsia="Times New Roman" w:hAnsi="Times New Roman"/>
                <w:sz w:val="10"/>
                <w:szCs w:val="10"/>
                <w:color w:val="auto"/>
              </w:rPr>
              <w:t>Subordinated Debt</w:t>
            </w:r>
          </w:p>
        </w:tc>
        <w:tc>
          <w:tcPr>
            <w:tcW w:w="1300" w:type="dxa"/>
            <w:vAlign w:val="bottom"/>
          </w:tcPr>
          <w:p>
            <w:pPr>
              <w:spacing w:after="0"/>
              <w:rPr>
                <w:sz w:val="8"/>
                <w:szCs w:val="8"/>
                <w:color w:val="auto"/>
              </w:rPr>
            </w:pPr>
          </w:p>
        </w:tc>
      </w:tr>
      <w:tr>
        <w:trPr>
          <w:trHeight w:val="103"/>
        </w:trPr>
        <w:tc>
          <w:tcPr>
            <w:tcW w:w="1160" w:type="dxa"/>
            <w:vAlign w:val="bottom"/>
          </w:tcPr>
          <w:p>
            <w:pPr>
              <w:ind w:left="200"/>
              <w:spacing w:after="0" w:line="103" w:lineRule="exact"/>
              <w:rPr>
                <w:sz w:val="20"/>
                <w:szCs w:val="20"/>
                <w:color w:val="auto"/>
              </w:rPr>
            </w:pPr>
            <w:r>
              <w:rPr>
                <w:rFonts w:ascii="Times New Roman" w:cs="Times New Roman" w:eastAsia="Times New Roman" w:hAnsi="Times New Roman"/>
                <w:sz w:val="10"/>
                <w:szCs w:val="10"/>
                <w:color w:val="auto"/>
              </w:rPr>
              <w:t>Odessa, FL 33556</w:t>
            </w:r>
          </w:p>
        </w:tc>
        <w:tc>
          <w:tcPr>
            <w:tcW w:w="1380" w:type="dxa"/>
            <w:vAlign w:val="bottom"/>
            <w:gridSpan w:val="3"/>
          </w:tcPr>
          <w:p>
            <w:pPr>
              <w:ind w:left="20"/>
              <w:spacing w:after="0" w:line="103" w:lineRule="exact"/>
              <w:rPr>
                <w:sz w:val="20"/>
                <w:szCs w:val="20"/>
                <w:color w:val="auto"/>
              </w:rPr>
            </w:pPr>
            <w:r>
              <w:rPr>
                <w:rFonts w:ascii="Times New Roman" w:cs="Times New Roman" w:eastAsia="Times New Roman" w:hAnsi="Times New Roman"/>
                <w:sz w:val="10"/>
                <w:szCs w:val="10"/>
                <w:color w:val="auto"/>
              </w:rPr>
              <w:t>Subordinated Debt</w:t>
            </w:r>
          </w:p>
        </w:tc>
        <w:tc>
          <w:tcPr>
            <w:tcW w:w="1300" w:type="dxa"/>
            <w:vAlign w:val="bottom"/>
          </w:tcPr>
          <w:p>
            <w:pPr>
              <w:spacing w:after="0"/>
              <w:rPr>
                <w:sz w:val="8"/>
                <w:szCs w:val="8"/>
                <w:color w:val="auto"/>
              </w:rPr>
            </w:pPr>
          </w:p>
        </w:tc>
      </w:tr>
      <w:tr>
        <w:trPr>
          <w:trHeight w:val="123"/>
        </w:trPr>
        <w:tc>
          <w:tcPr>
            <w:tcW w:w="1160" w:type="dxa"/>
            <w:vAlign w:val="bottom"/>
          </w:tcPr>
          <w:p>
            <w:pPr>
              <w:spacing w:after="0"/>
              <w:rPr>
                <w:sz w:val="10"/>
                <w:szCs w:val="10"/>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Common Equity (500 units)</w:t>
            </w:r>
          </w:p>
        </w:tc>
        <w:tc>
          <w:tcPr>
            <w:tcW w:w="1300" w:type="dxa"/>
            <w:vAlign w:val="bottom"/>
          </w:tcPr>
          <w:p>
            <w:pPr>
              <w:spacing w:after="0"/>
              <w:rPr>
                <w:sz w:val="10"/>
                <w:szCs w:val="10"/>
                <w:color w:val="auto"/>
              </w:rPr>
            </w:pPr>
          </w:p>
        </w:tc>
      </w:tr>
      <w:tr>
        <w:trPr>
          <w:trHeight w:val="254"/>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Axis Medical Technologies</w:t>
            </w:r>
          </w:p>
        </w:tc>
        <w:tc>
          <w:tcPr>
            <w:tcW w:w="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105"/>
        </w:trPr>
        <w:tc>
          <w:tcPr>
            <w:tcW w:w="1160" w:type="dxa"/>
            <w:vAlign w:val="bottom"/>
          </w:tcPr>
          <w:p>
            <w:pPr>
              <w:ind w:left="100"/>
              <w:spacing w:after="0" w:line="105" w:lineRule="exact"/>
              <w:rPr>
                <w:sz w:val="20"/>
                <w:szCs w:val="20"/>
                <w:color w:val="auto"/>
              </w:rPr>
            </w:pPr>
            <w:r>
              <w:rPr>
                <w:rFonts w:ascii="Times New Roman" w:cs="Times New Roman" w:eastAsia="Times New Roman" w:hAnsi="Times New Roman"/>
                <w:sz w:val="10"/>
                <w:szCs w:val="10"/>
                <w:i w:val="1"/>
                <w:iCs w:val="1"/>
                <w:color w:val="auto"/>
              </w:rPr>
              <w:t>LLC (dba MoveMedical)</w:t>
            </w:r>
          </w:p>
        </w:tc>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color w:val="auto"/>
                <w:w w:val="95"/>
              </w:rPr>
              <w:t>Information Technology Services</w:t>
            </w:r>
          </w:p>
        </w:tc>
      </w:tr>
      <w:tr>
        <w:trPr>
          <w:trHeight w:val="103"/>
        </w:trPr>
        <w:tc>
          <w:tcPr>
            <w:tcW w:w="1160" w:type="dxa"/>
            <w:vAlign w:val="bottom"/>
          </w:tcPr>
          <w:p>
            <w:pPr>
              <w:ind w:left="200"/>
              <w:spacing w:after="0" w:line="103" w:lineRule="exact"/>
              <w:rPr>
                <w:sz w:val="20"/>
                <w:szCs w:val="20"/>
                <w:color w:val="auto"/>
              </w:rPr>
            </w:pPr>
            <w:r>
              <w:rPr>
                <w:rFonts w:ascii="Times New Roman" w:cs="Times New Roman" w:eastAsia="Times New Roman" w:hAnsi="Times New Roman"/>
                <w:sz w:val="10"/>
                <w:szCs w:val="10"/>
                <w:color w:val="auto"/>
              </w:rPr>
              <w:t>4660 La Jolla Village</w:t>
            </w:r>
          </w:p>
        </w:tc>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r>
      <w:tr>
        <w:trPr>
          <w:trHeight w:val="103"/>
        </w:trPr>
        <w:tc>
          <w:tcPr>
            <w:tcW w:w="1160" w:type="dxa"/>
            <w:vAlign w:val="bottom"/>
          </w:tcPr>
          <w:p>
            <w:pPr>
              <w:ind w:left="280"/>
              <w:spacing w:after="0" w:line="103" w:lineRule="exact"/>
              <w:rPr>
                <w:sz w:val="20"/>
                <w:szCs w:val="20"/>
                <w:color w:val="auto"/>
              </w:rPr>
            </w:pPr>
            <w:r>
              <w:rPr>
                <w:rFonts w:ascii="Times New Roman" w:cs="Times New Roman" w:eastAsia="Times New Roman" w:hAnsi="Times New Roman"/>
                <w:sz w:val="10"/>
                <w:szCs w:val="10"/>
                <w:color w:val="auto"/>
              </w:rPr>
              <w:t>Drive, Suite 100</w:t>
            </w:r>
          </w:p>
        </w:tc>
        <w:tc>
          <w:tcPr>
            <w:tcW w:w="1380" w:type="dxa"/>
            <w:vAlign w:val="bottom"/>
            <w:gridSpan w:val="3"/>
          </w:tcPr>
          <w:p>
            <w:pPr>
              <w:ind w:left="20"/>
              <w:spacing w:after="0" w:line="103" w:lineRule="exact"/>
              <w:rPr>
                <w:sz w:val="20"/>
                <w:szCs w:val="20"/>
                <w:color w:val="auto"/>
              </w:rPr>
            </w:pPr>
            <w:r>
              <w:rPr>
                <w:rFonts w:ascii="Times New Roman" w:cs="Times New Roman" w:eastAsia="Times New Roman" w:hAnsi="Times New Roman"/>
                <w:sz w:val="10"/>
                <w:szCs w:val="10"/>
                <w:color w:val="auto"/>
              </w:rPr>
              <w:t>First Lien Debt</w:t>
            </w:r>
          </w:p>
        </w:tc>
        <w:tc>
          <w:tcPr>
            <w:tcW w:w="1300" w:type="dxa"/>
            <w:vAlign w:val="bottom"/>
          </w:tcPr>
          <w:p>
            <w:pPr>
              <w:spacing w:after="0"/>
              <w:rPr>
                <w:sz w:val="8"/>
                <w:szCs w:val="8"/>
                <w:color w:val="auto"/>
              </w:rPr>
            </w:pPr>
          </w:p>
        </w:tc>
      </w:tr>
      <w:tr>
        <w:trPr>
          <w:trHeight w:val="103"/>
        </w:trPr>
        <w:tc>
          <w:tcPr>
            <w:tcW w:w="1160" w:type="dxa"/>
            <w:vAlign w:val="bottom"/>
          </w:tcPr>
          <w:p>
            <w:pPr>
              <w:ind w:left="200"/>
              <w:spacing w:after="0" w:line="103" w:lineRule="exact"/>
              <w:rPr>
                <w:sz w:val="20"/>
                <w:szCs w:val="20"/>
                <w:color w:val="auto"/>
              </w:rPr>
            </w:pPr>
            <w:r>
              <w:rPr>
                <w:rFonts w:ascii="Times New Roman" w:cs="Times New Roman" w:eastAsia="Times New Roman" w:hAnsi="Times New Roman"/>
                <w:sz w:val="10"/>
                <w:szCs w:val="10"/>
                <w:color w:val="auto"/>
              </w:rPr>
              <w:t>San Diego, CA 92122</w:t>
            </w:r>
          </w:p>
        </w:tc>
        <w:tc>
          <w:tcPr>
            <w:tcW w:w="1380" w:type="dxa"/>
            <w:vAlign w:val="bottom"/>
            <w:gridSpan w:val="3"/>
          </w:tcPr>
          <w:p>
            <w:pPr>
              <w:ind w:left="20"/>
              <w:spacing w:after="0" w:line="103" w:lineRule="exact"/>
              <w:rPr>
                <w:sz w:val="20"/>
                <w:szCs w:val="20"/>
                <w:color w:val="auto"/>
              </w:rPr>
            </w:pPr>
            <w:r>
              <w:rPr>
                <w:rFonts w:ascii="Times New Roman" w:cs="Times New Roman" w:eastAsia="Times New Roman" w:hAnsi="Times New Roman"/>
                <w:sz w:val="10"/>
                <w:szCs w:val="10"/>
                <w:color w:val="auto"/>
              </w:rPr>
              <w:t>Revolving Loan ($800 unfunded</w:t>
            </w:r>
          </w:p>
        </w:tc>
        <w:tc>
          <w:tcPr>
            <w:tcW w:w="1300" w:type="dxa"/>
            <w:vAlign w:val="bottom"/>
          </w:tcPr>
          <w:p>
            <w:pPr>
              <w:spacing w:after="0"/>
              <w:rPr>
                <w:sz w:val="8"/>
                <w:szCs w:val="8"/>
                <w:color w:val="auto"/>
              </w:rPr>
            </w:pPr>
          </w:p>
        </w:tc>
      </w:tr>
      <w:tr>
        <w:trPr>
          <w:trHeight w:val="103"/>
        </w:trPr>
        <w:tc>
          <w:tcPr>
            <w:tcW w:w="1160" w:type="dxa"/>
            <w:vAlign w:val="bottom"/>
          </w:tcPr>
          <w:p>
            <w:pPr>
              <w:spacing w:after="0"/>
              <w:rPr>
                <w:sz w:val="8"/>
                <w:szCs w:val="8"/>
                <w:color w:val="auto"/>
              </w:rPr>
            </w:pPr>
          </w:p>
        </w:tc>
        <w:tc>
          <w:tcPr>
            <w:tcW w:w="1380" w:type="dxa"/>
            <w:vAlign w:val="bottom"/>
            <w:gridSpan w:val="3"/>
          </w:tcPr>
          <w:p>
            <w:pPr>
              <w:ind w:left="20"/>
              <w:spacing w:after="0" w:line="103" w:lineRule="exact"/>
              <w:rPr>
                <w:sz w:val="20"/>
                <w:szCs w:val="20"/>
                <w:color w:val="auto"/>
              </w:rPr>
            </w:pPr>
            <w:r>
              <w:rPr>
                <w:rFonts w:ascii="Times New Roman" w:cs="Times New Roman" w:eastAsia="Times New Roman" w:hAnsi="Times New Roman"/>
                <w:sz w:val="10"/>
                <w:szCs w:val="10"/>
                <w:color w:val="auto"/>
              </w:rPr>
              <w:t>commitment) (x)</w:t>
            </w:r>
          </w:p>
        </w:tc>
        <w:tc>
          <w:tcPr>
            <w:tcW w:w="1300" w:type="dxa"/>
            <w:vAlign w:val="bottom"/>
          </w:tcPr>
          <w:p>
            <w:pPr>
              <w:spacing w:after="0"/>
              <w:rPr>
                <w:sz w:val="8"/>
                <w:szCs w:val="8"/>
                <w:color w:val="auto"/>
              </w:rPr>
            </w:pPr>
          </w:p>
        </w:tc>
      </w:tr>
      <w:tr>
        <w:trPr>
          <w:trHeight w:val="123"/>
        </w:trPr>
        <w:tc>
          <w:tcPr>
            <w:tcW w:w="1160" w:type="dxa"/>
            <w:vAlign w:val="bottom"/>
          </w:tcPr>
          <w:p>
            <w:pPr>
              <w:spacing w:after="0"/>
              <w:rPr>
                <w:sz w:val="10"/>
                <w:szCs w:val="10"/>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w w:val="97"/>
              </w:rPr>
              <w:t>Preferred Equity (1,200,000 units)</w:t>
            </w:r>
          </w:p>
        </w:tc>
        <w:tc>
          <w:tcPr>
            <w:tcW w:w="1300" w:type="dxa"/>
            <w:vAlign w:val="bottom"/>
          </w:tcPr>
          <w:p>
            <w:pPr>
              <w:spacing w:after="0"/>
              <w:rPr>
                <w:sz w:val="10"/>
                <w:szCs w:val="10"/>
                <w:color w:val="auto"/>
              </w:rPr>
            </w:pPr>
          </w:p>
        </w:tc>
      </w:tr>
      <w:tr>
        <w:trPr>
          <w:trHeight w:val="203"/>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Bad Boy Mowers JV</w:t>
            </w: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05"/>
        </w:trPr>
        <w:tc>
          <w:tcPr>
            <w:tcW w:w="1160" w:type="dxa"/>
            <w:vAlign w:val="bottom"/>
          </w:tcPr>
          <w:p>
            <w:pPr>
              <w:ind w:left="100"/>
              <w:spacing w:after="0" w:line="105" w:lineRule="exact"/>
              <w:rPr>
                <w:sz w:val="20"/>
                <w:szCs w:val="20"/>
                <w:color w:val="auto"/>
              </w:rPr>
            </w:pPr>
            <w:r>
              <w:rPr>
                <w:rFonts w:ascii="Times New Roman" w:cs="Times New Roman" w:eastAsia="Times New Roman" w:hAnsi="Times New Roman"/>
                <w:sz w:val="10"/>
                <w:szCs w:val="10"/>
                <w:i w:val="1"/>
                <w:iCs w:val="1"/>
                <w:color w:val="auto"/>
              </w:rPr>
              <w:t>Acquisition, LLC</w:t>
            </w:r>
          </w:p>
        </w:tc>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Consumer Products</w:t>
            </w:r>
          </w:p>
        </w:tc>
      </w:tr>
      <w:tr>
        <w:trPr>
          <w:trHeight w:val="123"/>
        </w:trPr>
        <w:tc>
          <w:tcPr>
            <w:tcW w:w="116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102 Industrial Drive</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First Lien Debt</w:t>
            </w:r>
          </w:p>
        </w:tc>
        <w:tc>
          <w:tcPr>
            <w:tcW w:w="1300" w:type="dxa"/>
            <w:vAlign w:val="bottom"/>
          </w:tcPr>
          <w:p>
            <w:pPr>
              <w:spacing w:after="0"/>
              <w:rPr>
                <w:sz w:val="10"/>
                <w:szCs w:val="10"/>
                <w:color w:val="auto"/>
              </w:rPr>
            </w:pPr>
          </w:p>
        </w:tc>
      </w:tr>
      <w:tr>
        <w:trPr>
          <w:trHeight w:val="205"/>
        </w:trPr>
        <w:tc>
          <w:tcPr>
            <w:tcW w:w="116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Batesville, AR 72501</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Preferred Equity (13,000 units)</w:t>
            </w:r>
          </w:p>
        </w:tc>
        <w:tc>
          <w:tcPr>
            <w:tcW w:w="13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3"/>
        </w:trPr>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w w:val="95"/>
              </w:rPr>
              <w:t>Variable</w:t>
            </w: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98"/>
              </w:rPr>
              <w:t>Percentage</w:t>
            </w: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w w:val="96"/>
              </w:rPr>
              <w:t>Index Spread</w:t>
            </w:r>
          </w:p>
        </w:tc>
        <w:tc>
          <w:tcPr>
            <w:tcW w:w="600" w:type="dxa"/>
            <w:vAlign w:val="bottom"/>
            <w:gridSpan w:val="2"/>
            <w:vMerge w:val="restart"/>
          </w:tcPr>
          <w:p>
            <w:pPr>
              <w:ind w:left="140"/>
              <w:spacing w:after="0"/>
              <w:rPr>
                <w:sz w:val="20"/>
                <w:szCs w:val="20"/>
                <w:color w:val="auto"/>
              </w:rPr>
            </w:pPr>
            <w:r>
              <w:rPr>
                <w:rFonts w:ascii="Times New Roman" w:cs="Times New Roman" w:eastAsia="Times New Roman" w:hAnsi="Times New Roman"/>
                <w:sz w:val="9"/>
                <w:szCs w:val="9"/>
                <w:b w:val="1"/>
                <w:bCs w:val="1"/>
                <w:color w:val="auto"/>
              </w:rPr>
              <w:t>Rate (e)</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580" w:type="dxa"/>
            <w:vAlign w:val="bottom"/>
            <w:gridSpan w:val="2"/>
          </w:tcPr>
          <w:p>
            <w:pPr>
              <w:jc w:val="center"/>
              <w:ind w:right="160"/>
              <w:spacing w:after="0" w:line="93" w:lineRule="exact"/>
              <w:rPr>
                <w:sz w:val="20"/>
                <w:szCs w:val="20"/>
                <w:color w:val="auto"/>
              </w:rPr>
            </w:pPr>
            <w:r>
              <w:rPr>
                <w:rFonts w:ascii="Times New Roman" w:cs="Times New Roman" w:eastAsia="Times New Roman" w:hAnsi="Times New Roman"/>
                <w:sz w:val="9"/>
                <w:szCs w:val="9"/>
                <w:b w:val="1"/>
                <w:bCs w:val="1"/>
                <w:color w:val="auto"/>
                <w:w w:val="99"/>
              </w:rPr>
              <w:t>of Class</w:t>
            </w:r>
          </w:p>
        </w:tc>
        <w:tc>
          <w:tcPr>
            <w:tcW w:w="500" w:type="dxa"/>
            <w:vAlign w:val="bottom"/>
          </w:tcPr>
          <w:p>
            <w:pPr>
              <w:jc w:val="center"/>
              <w:spacing w:after="0" w:line="93" w:lineRule="exact"/>
              <w:rPr>
                <w:sz w:val="20"/>
                <w:szCs w:val="20"/>
                <w:color w:val="auto"/>
              </w:rPr>
            </w:pPr>
            <w:r>
              <w:rPr>
                <w:rFonts w:ascii="Times New Roman" w:cs="Times New Roman" w:eastAsia="Times New Roman" w:hAnsi="Times New Roman"/>
                <w:sz w:val="9"/>
                <w:szCs w:val="9"/>
                <w:b w:val="1"/>
                <w:bCs w:val="1"/>
                <w:color w:val="auto"/>
                <w:w w:val="77"/>
              </w:rPr>
              <w:t>/</w:t>
            </w:r>
          </w:p>
        </w:tc>
        <w:tc>
          <w:tcPr>
            <w:tcW w:w="6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540" w:type="dxa"/>
            <w:vAlign w:val="bottom"/>
            <w:gridSpan w:val="2"/>
          </w:tcPr>
          <w:p>
            <w:pPr>
              <w:jc w:val="center"/>
              <w:ind w:right="40"/>
              <w:spacing w:after="0" w:line="93" w:lineRule="exact"/>
              <w:rPr>
                <w:sz w:val="20"/>
                <w:szCs w:val="20"/>
                <w:color w:val="auto"/>
              </w:rPr>
            </w:pPr>
            <w:r>
              <w:rPr>
                <w:rFonts w:ascii="Times New Roman" w:cs="Times New Roman" w:eastAsia="Times New Roman" w:hAnsi="Times New Roman"/>
                <w:sz w:val="9"/>
                <w:szCs w:val="9"/>
                <w:b w:val="1"/>
                <w:bCs w:val="1"/>
                <w:color w:val="auto"/>
                <w:w w:val="97"/>
              </w:rPr>
              <w:t>Investment</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spacing w:after="0" w:line="93" w:lineRule="exact"/>
              <w:rPr>
                <w:sz w:val="20"/>
                <w:szCs w:val="20"/>
                <w:color w:val="auto"/>
              </w:rPr>
            </w:pPr>
            <w:r>
              <w:rPr>
                <w:rFonts w:ascii="Times New Roman" w:cs="Times New Roman" w:eastAsia="Times New Roman" w:hAnsi="Times New Roman"/>
                <w:sz w:val="9"/>
                <w:szCs w:val="9"/>
                <w:b w:val="1"/>
                <w:bCs w:val="1"/>
                <w:color w:val="auto"/>
              </w:rPr>
              <w:t>Principal</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tcPr>
          <w:p>
            <w:pPr>
              <w:ind w:left="100"/>
              <w:spacing w:after="0" w:line="93" w:lineRule="exact"/>
              <w:rPr>
                <w:sz w:val="20"/>
                <w:szCs w:val="20"/>
                <w:color w:val="auto"/>
              </w:rPr>
            </w:pPr>
            <w:r>
              <w:rPr>
                <w:rFonts w:ascii="Times New Roman" w:cs="Times New Roman" w:eastAsia="Times New Roman" w:hAnsi="Times New Roman"/>
                <w:sz w:val="9"/>
                <w:szCs w:val="9"/>
                <w:b w:val="1"/>
                <w:bCs w:val="1"/>
                <w:color w:val="auto"/>
              </w:rPr>
              <w:t>Fair</w:t>
            </w:r>
          </w:p>
        </w:tc>
        <w:tc>
          <w:tcPr>
            <w:tcW w:w="460" w:type="dxa"/>
            <w:vAlign w:val="bottom"/>
            <w:gridSpan w:val="2"/>
          </w:tcPr>
          <w:p>
            <w:pPr>
              <w:jc w:val="right"/>
              <w:ind w:right="80"/>
              <w:spacing w:after="0" w:line="93" w:lineRule="exact"/>
              <w:rPr>
                <w:sz w:val="20"/>
                <w:szCs w:val="20"/>
                <w:color w:val="auto"/>
              </w:rPr>
            </w:pPr>
            <w:r>
              <w:rPr>
                <w:rFonts w:ascii="Times New Roman" w:cs="Times New Roman" w:eastAsia="Times New Roman" w:hAnsi="Times New Roman"/>
                <w:sz w:val="9"/>
                <w:szCs w:val="9"/>
                <w:b w:val="1"/>
                <w:bCs w:val="1"/>
                <w:color w:val="auto"/>
                <w:w w:val="91"/>
              </w:rPr>
              <w:t>Percent of</w:t>
            </w:r>
          </w:p>
        </w:tc>
        <w:tc>
          <w:tcPr>
            <w:tcW w:w="0" w:type="dxa"/>
            <w:vAlign w:val="bottom"/>
          </w:tcPr>
          <w:p>
            <w:pPr>
              <w:spacing w:after="0"/>
              <w:rPr>
                <w:sz w:val="1"/>
                <w:szCs w:val="1"/>
                <w:color w:val="auto"/>
              </w:rPr>
            </w:pPr>
          </w:p>
        </w:tc>
      </w:tr>
      <w:tr>
        <w:trPr>
          <w:trHeight w:val="120"/>
        </w:trPr>
        <w:tc>
          <w:tcPr>
            <w:tcW w:w="4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Held (bo)</w:t>
            </w:r>
          </w:p>
        </w:tc>
        <w:tc>
          <w:tcPr>
            <w:tcW w:w="16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Floor (d)</w:t>
            </w:r>
          </w:p>
        </w:tc>
        <w:tc>
          <w:tcPr>
            <w:tcW w:w="60" w:type="dxa"/>
            <w:vAlign w:val="bottom"/>
          </w:tcPr>
          <w:p>
            <w:pPr>
              <w:spacing w:after="0"/>
              <w:rPr>
                <w:sz w:val="10"/>
                <w:szCs w:val="10"/>
                <w:color w:val="auto"/>
              </w:rPr>
            </w:pP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9"/>
                <w:szCs w:val="9"/>
                <w:b w:val="1"/>
                <w:bCs w:val="1"/>
                <w:color w:val="auto"/>
              </w:rPr>
              <w:t>Cash/PIK</w:t>
            </w:r>
          </w:p>
        </w:tc>
        <w:tc>
          <w:tcPr>
            <w:tcW w:w="2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Date (f)</w:t>
            </w:r>
          </w:p>
        </w:tc>
        <w:tc>
          <w:tcPr>
            <w:tcW w:w="60" w:type="dxa"/>
            <w:vAlign w:val="bottom"/>
          </w:tcPr>
          <w:p>
            <w:pPr>
              <w:spacing w:after="0"/>
              <w:rPr>
                <w:sz w:val="10"/>
                <w:szCs w:val="10"/>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9"/>
                <w:szCs w:val="9"/>
                <w:b w:val="1"/>
                <w:bCs w:val="1"/>
                <w:color w:val="auto"/>
              </w:rPr>
              <w:t>Maturity</w:t>
            </w:r>
          </w:p>
        </w:tc>
        <w:tc>
          <w:tcPr>
            <w:tcW w:w="6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Amount</w:t>
            </w:r>
          </w:p>
        </w:tc>
        <w:tc>
          <w:tcPr>
            <w:tcW w:w="60" w:type="dxa"/>
            <w:vAlign w:val="bottom"/>
          </w:tcPr>
          <w:p>
            <w:pPr>
              <w:spacing w:after="0"/>
              <w:rPr>
                <w:sz w:val="10"/>
                <w:szCs w:val="10"/>
                <w:color w:val="auto"/>
              </w:rPr>
            </w:pP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9"/>
                <w:szCs w:val="9"/>
                <w:b w:val="1"/>
                <w:bCs w:val="1"/>
                <w:color w:val="auto"/>
              </w:rPr>
              <w:t>Cost</w:t>
            </w:r>
          </w:p>
        </w:tc>
        <w:tc>
          <w:tcPr>
            <w:tcW w:w="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96"/>
              </w:rPr>
              <w:t>Value (g)</w:t>
            </w:r>
          </w:p>
        </w:tc>
        <w:tc>
          <w:tcPr>
            <w:tcW w:w="60" w:type="dxa"/>
            <w:vAlign w:val="bottom"/>
          </w:tcPr>
          <w:p>
            <w:pPr>
              <w:spacing w:after="0"/>
              <w:rPr>
                <w:sz w:val="10"/>
                <w:szCs w:val="10"/>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b w:val="1"/>
                <w:bCs w:val="1"/>
                <w:color w:val="auto"/>
                <w:w w:val="90"/>
              </w:rPr>
              <w:t>Net Assets</w:t>
            </w:r>
          </w:p>
        </w:tc>
        <w:tc>
          <w:tcPr>
            <w:tcW w:w="0" w:type="dxa"/>
            <w:vAlign w:val="bottom"/>
          </w:tcPr>
          <w:p>
            <w:pPr>
              <w:spacing w:after="0"/>
              <w:rPr>
                <w:sz w:val="1"/>
                <w:szCs w:val="1"/>
                <w:color w:val="auto"/>
              </w:rPr>
            </w:pPr>
          </w:p>
        </w:tc>
      </w:tr>
      <w:tr>
        <w:trPr>
          <w:trHeight w:val="182"/>
        </w:trPr>
        <w:tc>
          <w:tcPr>
            <w:tcW w:w="4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94"/>
              </w:rPr>
              <w:t>(S + 6.25%)</w:t>
            </w:r>
          </w:p>
        </w:tc>
        <w:tc>
          <w:tcPr>
            <w:tcW w:w="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ind w:left="20"/>
              <w:spacing w:after="0" w:line="103" w:lineRule="exact"/>
              <w:rPr>
                <w:sz w:val="20"/>
                <w:szCs w:val="20"/>
                <w:color w:val="auto"/>
              </w:rPr>
            </w:pPr>
            <w:r>
              <w:rPr>
                <w:rFonts w:ascii="Times New Roman" w:cs="Times New Roman" w:eastAsia="Times New Roman" w:hAnsi="Times New Roman"/>
                <w:sz w:val="10"/>
                <w:szCs w:val="10"/>
                <w:color w:val="auto"/>
              </w:rPr>
              <w:t>/ (1.00%)</w:t>
            </w:r>
          </w:p>
        </w:tc>
        <w:tc>
          <w:tcPr>
            <w:tcW w:w="60" w:type="dxa"/>
            <w:vAlign w:val="bottom"/>
          </w:tcPr>
          <w:p>
            <w:pPr>
              <w:spacing w:after="0"/>
              <w:rPr>
                <w:sz w:val="8"/>
                <w:szCs w:val="8"/>
                <w:color w:val="auto"/>
              </w:rPr>
            </w:pPr>
          </w:p>
        </w:tc>
        <w:tc>
          <w:tcPr>
            <w:tcW w:w="600" w:type="dxa"/>
            <w:vAlign w:val="bottom"/>
            <w:gridSpan w:val="2"/>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9.92%/0.00%</w:t>
            </w: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7/8/2022</w:t>
            </w: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7/8/2027</w:t>
            </w:r>
          </w:p>
        </w:tc>
        <w:tc>
          <w:tcPr>
            <w:tcW w:w="4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6,998</w:t>
            </w:r>
          </w:p>
        </w:tc>
        <w:tc>
          <w:tcPr>
            <w:tcW w:w="30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6,983</w:t>
            </w:r>
          </w:p>
        </w:tc>
        <w:tc>
          <w:tcPr>
            <w:tcW w:w="80" w:type="dxa"/>
            <w:vAlign w:val="bottom"/>
          </w:tcPr>
          <w:p>
            <w:pPr>
              <w:spacing w:after="0"/>
              <w:rPr>
                <w:sz w:val="8"/>
                <w:szCs w:val="8"/>
                <w:color w:val="auto"/>
              </w:rPr>
            </w:pPr>
          </w:p>
        </w:tc>
        <w:tc>
          <w:tcPr>
            <w:tcW w:w="4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6,998</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3.4%</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7/8/2022</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80" w:type="dxa"/>
            <w:vAlign w:val="bottom"/>
          </w:tcPr>
          <w:p>
            <w:pPr>
              <w:spacing w:after="0"/>
              <w:rPr>
                <w:sz w:val="10"/>
                <w:szCs w:val="1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2,223</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14"/>
        </w:trPr>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7,983</w:t>
            </w:r>
          </w:p>
        </w:tc>
        <w:tc>
          <w:tcPr>
            <w:tcW w:w="80" w:type="dxa"/>
            <w:vAlign w:val="bottom"/>
          </w:tcPr>
          <w:p>
            <w:pPr>
              <w:spacing w:after="0"/>
              <w:rPr>
                <w:sz w:val="9"/>
                <w:szCs w:val="9"/>
                <w:color w:val="auto"/>
              </w:rPr>
            </w:pPr>
          </w:p>
        </w:tc>
        <w:tc>
          <w:tcPr>
            <w:tcW w:w="3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9,221</w:t>
            </w:r>
          </w:p>
        </w:tc>
        <w:tc>
          <w:tcPr>
            <w:tcW w:w="6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4"/>
        </w:trPr>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w w:val="94"/>
              </w:rPr>
              <w:t>12.50%/0.00%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3/12/2025</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3/12/2029</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10,000</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9,957</w:t>
            </w:r>
          </w:p>
        </w:tc>
        <w:tc>
          <w:tcPr>
            <w:tcW w:w="80" w:type="dxa"/>
            <w:vAlign w:val="bottom"/>
          </w:tcPr>
          <w:p>
            <w:pPr>
              <w:spacing w:after="0"/>
              <w:rPr>
                <w:sz w:val="24"/>
                <w:szCs w:val="24"/>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10,000</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1.9%</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3/17/2025</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801</w:t>
            </w:r>
          </w:p>
        </w:tc>
        <w:tc>
          <w:tcPr>
            <w:tcW w:w="80" w:type="dxa"/>
            <w:vAlign w:val="bottom"/>
          </w:tcPr>
          <w:p>
            <w:pPr>
              <w:spacing w:after="0"/>
              <w:rPr>
                <w:sz w:val="10"/>
                <w:szCs w:val="1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852</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114"/>
        </w:trPr>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10,758</w:t>
            </w:r>
          </w:p>
        </w:tc>
        <w:tc>
          <w:tcPr>
            <w:tcW w:w="80" w:type="dxa"/>
            <w:vAlign w:val="bottom"/>
          </w:tcPr>
          <w:p>
            <w:pPr>
              <w:spacing w:after="0"/>
              <w:rPr>
                <w:sz w:val="9"/>
                <w:szCs w:val="9"/>
                <w:color w:val="auto"/>
              </w:rPr>
            </w:pPr>
          </w:p>
        </w:tc>
        <w:tc>
          <w:tcPr>
            <w:tcW w:w="3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10,852</w:t>
            </w:r>
          </w:p>
        </w:tc>
        <w:tc>
          <w:tcPr>
            <w:tcW w:w="6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7"/>
        </w:trPr>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1.7%</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2/1/2022</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1,372</w:t>
            </w:r>
          </w:p>
        </w:tc>
        <w:tc>
          <w:tcPr>
            <w:tcW w:w="80" w:type="dxa"/>
            <w:vAlign w:val="bottom"/>
          </w:tcPr>
          <w:p>
            <w:pPr>
              <w:spacing w:after="0"/>
              <w:rPr>
                <w:sz w:val="24"/>
                <w:szCs w:val="24"/>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1,364</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w:t>
            </w:r>
          </w:p>
        </w:tc>
        <w:tc>
          <w:tcPr>
            <w:tcW w:w="0" w:type="dxa"/>
            <w:vAlign w:val="bottom"/>
          </w:tcPr>
          <w:p>
            <w:pPr>
              <w:spacing w:after="0"/>
              <w:rPr>
                <w:sz w:val="1"/>
                <w:szCs w:val="1"/>
                <w:color w:val="auto"/>
              </w:rPr>
            </w:pPr>
          </w:p>
        </w:tc>
      </w:tr>
      <w:tr>
        <w:trPr>
          <w:trHeight w:val="543"/>
        </w:trPr>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(S + 7.00%)</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(2.00%)</w:t>
            </w:r>
          </w:p>
        </w:tc>
        <w:tc>
          <w:tcPr>
            <w:tcW w:w="60" w:type="dxa"/>
            <w:vAlign w:val="bottom"/>
          </w:tcPr>
          <w:p>
            <w:pPr>
              <w:spacing w:after="0"/>
              <w:rPr>
                <w:sz w:val="10"/>
                <w:szCs w:val="1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w w:val="94"/>
              </w:rPr>
              <w:t>10.99%/0.00%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11/8/2022</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11/8/2027</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18,200</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18,159</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18,200</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w w:val="94"/>
              </w:rPr>
              <w:t>10.00%/5.00%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12/19/2025</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2/8/2028</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2,505</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2,492</w:t>
            </w:r>
          </w:p>
        </w:tc>
        <w:tc>
          <w:tcPr>
            <w:tcW w:w="80" w:type="dxa"/>
            <w:vAlign w:val="bottom"/>
          </w:tcPr>
          <w:p>
            <w:pPr>
              <w:spacing w:after="0"/>
              <w:rPr>
                <w:sz w:val="16"/>
                <w:szCs w:val="16"/>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2,492</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2.4%</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11/8/2022</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1,200</w:t>
            </w:r>
          </w:p>
        </w:tc>
        <w:tc>
          <w:tcPr>
            <w:tcW w:w="80" w:type="dxa"/>
            <w:vAlign w:val="bottom"/>
          </w:tcPr>
          <w:p>
            <w:pPr>
              <w:spacing w:after="0"/>
              <w:rPr>
                <w:sz w:val="10"/>
                <w:szCs w:val="1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1,374</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14"/>
        </w:trPr>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21,851</w:t>
            </w:r>
          </w:p>
        </w:tc>
        <w:tc>
          <w:tcPr>
            <w:tcW w:w="80" w:type="dxa"/>
            <w:vAlign w:val="bottom"/>
          </w:tcPr>
          <w:p>
            <w:pPr>
              <w:spacing w:after="0"/>
              <w:rPr>
                <w:sz w:val="9"/>
                <w:szCs w:val="9"/>
                <w:color w:val="auto"/>
              </w:rPr>
            </w:pPr>
          </w:p>
        </w:tc>
        <w:tc>
          <w:tcPr>
            <w:tcW w:w="3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22,066</w:t>
            </w:r>
          </w:p>
        </w:tc>
        <w:tc>
          <w:tcPr>
            <w:tcW w:w="6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5"/>
        </w:trPr>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w w:val="94"/>
              </w:rPr>
              <w:t>0.00%/14.50%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10/1/2021</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12/31/2028</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907</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906</w:t>
            </w:r>
          </w:p>
        </w:tc>
        <w:tc>
          <w:tcPr>
            <w:tcW w:w="80" w:type="dxa"/>
            <w:vAlign w:val="bottom"/>
          </w:tcPr>
          <w:p>
            <w:pPr>
              <w:spacing w:after="0"/>
              <w:rPr>
                <w:sz w:val="24"/>
                <w:szCs w:val="24"/>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907</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2"/>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w w:val="94"/>
              </w:rPr>
              <w:t>0.00%/14.50%</w:t>
            </w: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12/30/2024</w:t>
            </w: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12/31/2028</w:t>
            </w:r>
          </w:p>
        </w:tc>
        <w:tc>
          <w:tcPr>
            <w:tcW w:w="4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1,993</w:t>
            </w:r>
          </w:p>
        </w:tc>
        <w:tc>
          <w:tcPr>
            <w:tcW w:w="30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1,993</w:t>
            </w:r>
          </w:p>
        </w:tc>
        <w:tc>
          <w:tcPr>
            <w:tcW w:w="80" w:type="dxa"/>
            <w:vAlign w:val="bottom"/>
          </w:tcPr>
          <w:p>
            <w:pPr>
              <w:spacing w:after="0"/>
              <w:rPr>
                <w:sz w:val="8"/>
                <w:szCs w:val="8"/>
                <w:color w:val="auto"/>
              </w:rPr>
            </w:pPr>
          </w:p>
        </w:tc>
        <w:tc>
          <w:tcPr>
            <w:tcW w:w="4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1,993</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0.3%</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10/1/2021</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500</w:t>
            </w:r>
          </w:p>
        </w:tc>
        <w:tc>
          <w:tcPr>
            <w:tcW w:w="80" w:type="dxa"/>
            <w:vAlign w:val="bottom"/>
          </w:tcPr>
          <w:p>
            <w:pPr>
              <w:spacing w:after="0"/>
              <w:rPr>
                <w:sz w:val="10"/>
                <w:szCs w:val="10"/>
                <w:color w:val="auto"/>
              </w:rPr>
            </w:pP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— </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0%</w:t>
            </w:r>
          </w:p>
        </w:tc>
        <w:tc>
          <w:tcPr>
            <w:tcW w:w="0" w:type="dxa"/>
            <w:vAlign w:val="bottom"/>
          </w:tcPr>
          <w:p>
            <w:pPr>
              <w:spacing w:after="0"/>
              <w:rPr>
                <w:sz w:val="1"/>
                <w:szCs w:val="1"/>
                <w:color w:val="auto"/>
              </w:rPr>
            </w:pPr>
          </w:p>
        </w:tc>
      </w:tr>
      <w:tr>
        <w:trPr>
          <w:trHeight w:val="114"/>
        </w:trPr>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3,399</w:t>
            </w:r>
          </w:p>
        </w:tc>
        <w:tc>
          <w:tcPr>
            <w:tcW w:w="80" w:type="dxa"/>
            <w:vAlign w:val="bottom"/>
          </w:tcPr>
          <w:p>
            <w:pPr>
              <w:spacing w:after="0"/>
              <w:rPr>
                <w:sz w:val="9"/>
                <w:szCs w:val="9"/>
                <w:color w:val="auto"/>
              </w:rPr>
            </w:pPr>
          </w:p>
        </w:tc>
        <w:tc>
          <w:tcPr>
            <w:tcW w:w="3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2,900</w:t>
            </w:r>
          </w:p>
        </w:tc>
        <w:tc>
          <w:tcPr>
            <w:tcW w:w="6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5"/>
        </w:trPr>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(S + 6.50%)</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ind w:left="20"/>
              <w:spacing w:after="0" w:line="103" w:lineRule="exact"/>
              <w:rPr>
                <w:sz w:val="20"/>
                <w:szCs w:val="20"/>
                <w:color w:val="auto"/>
              </w:rPr>
            </w:pPr>
            <w:r>
              <w:rPr>
                <w:rFonts w:ascii="Times New Roman" w:cs="Times New Roman" w:eastAsia="Times New Roman" w:hAnsi="Times New Roman"/>
                <w:sz w:val="10"/>
                <w:szCs w:val="10"/>
                <w:color w:val="auto"/>
              </w:rPr>
              <w:t>/ (2.00%)</w:t>
            </w:r>
          </w:p>
        </w:tc>
        <w:tc>
          <w:tcPr>
            <w:tcW w:w="60" w:type="dxa"/>
            <w:vAlign w:val="bottom"/>
          </w:tcPr>
          <w:p>
            <w:pPr>
              <w:spacing w:after="0"/>
              <w:rPr>
                <w:sz w:val="8"/>
                <w:szCs w:val="8"/>
                <w:color w:val="auto"/>
              </w:rPr>
            </w:pPr>
          </w:p>
        </w:tc>
        <w:tc>
          <w:tcPr>
            <w:tcW w:w="600" w:type="dxa"/>
            <w:vAlign w:val="bottom"/>
            <w:gridSpan w:val="2"/>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w w:val="94"/>
              </w:rPr>
              <w:t>10.49%/0.00%</w:t>
            </w: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10/24/2024</w:t>
            </w: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10/24/2029</w:t>
            </w:r>
          </w:p>
        </w:tc>
        <w:tc>
          <w:tcPr>
            <w:tcW w:w="4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13,600</w:t>
            </w:r>
          </w:p>
        </w:tc>
        <w:tc>
          <w:tcPr>
            <w:tcW w:w="380" w:type="dxa"/>
            <w:vAlign w:val="bottom"/>
            <w:gridSpan w:val="2"/>
          </w:tcPr>
          <w:p>
            <w:pPr>
              <w:jc w:val="right"/>
              <w:ind w:right="80"/>
              <w:spacing w:after="0" w:line="103" w:lineRule="exact"/>
              <w:rPr>
                <w:sz w:val="20"/>
                <w:szCs w:val="20"/>
                <w:color w:val="auto"/>
              </w:rPr>
            </w:pPr>
            <w:r>
              <w:rPr>
                <w:rFonts w:ascii="Times New Roman" w:cs="Times New Roman" w:eastAsia="Times New Roman" w:hAnsi="Times New Roman"/>
                <w:sz w:val="10"/>
                <w:szCs w:val="10"/>
                <w:color w:val="auto"/>
              </w:rPr>
              <w:t>13,548</w:t>
            </w:r>
          </w:p>
        </w:tc>
        <w:tc>
          <w:tcPr>
            <w:tcW w:w="4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13,600</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(S + 6.50%)</w:t>
            </w: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ind w:left="20"/>
              <w:spacing w:after="0" w:line="103" w:lineRule="exact"/>
              <w:rPr>
                <w:sz w:val="20"/>
                <w:szCs w:val="20"/>
                <w:color w:val="auto"/>
              </w:rPr>
            </w:pPr>
            <w:r>
              <w:rPr>
                <w:rFonts w:ascii="Times New Roman" w:cs="Times New Roman" w:eastAsia="Times New Roman" w:hAnsi="Times New Roman"/>
                <w:sz w:val="10"/>
                <w:szCs w:val="10"/>
                <w:color w:val="auto"/>
              </w:rPr>
              <w:t>/ (2.00%)</w:t>
            </w:r>
          </w:p>
        </w:tc>
        <w:tc>
          <w:tcPr>
            <w:tcW w:w="60" w:type="dxa"/>
            <w:vAlign w:val="bottom"/>
          </w:tcPr>
          <w:p>
            <w:pPr>
              <w:spacing w:after="0"/>
              <w:rPr>
                <w:sz w:val="8"/>
                <w:szCs w:val="8"/>
                <w:color w:val="auto"/>
              </w:rPr>
            </w:pPr>
          </w:p>
        </w:tc>
        <w:tc>
          <w:tcPr>
            <w:tcW w:w="600" w:type="dxa"/>
            <w:vAlign w:val="bottom"/>
            <w:gridSpan w:val="2"/>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w w:val="94"/>
              </w:rPr>
              <w:t>10.49%/0.00%</w:t>
            </w: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10/24/2024</w:t>
            </w: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10/24/2029</w:t>
            </w:r>
          </w:p>
        </w:tc>
        <w:tc>
          <w:tcPr>
            <w:tcW w:w="420" w:type="dxa"/>
            <w:vAlign w:val="bottom"/>
            <w:gridSpan w:val="2"/>
          </w:tcPr>
          <w:p>
            <w:pPr>
              <w:jc w:val="right"/>
              <w:ind w:right="8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38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w:t>
            </w:r>
          </w:p>
        </w:tc>
        <w:tc>
          <w:tcPr>
            <w:tcW w:w="420" w:type="dxa"/>
            <w:vAlign w:val="bottom"/>
            <w:gridSpan w:val="2"/>
          </w:tcPr>
          <w:p>
            <w:pPr>
              <w:ind w:left="22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1.0%</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10/25/2024</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1,148</w:t>
            </w:r>
          </w:p>
        </w:tc>
        <w:tc>
          <w:tcPr>
            <w:tcW w:w="80" w:type="dxa"/>
            <w:vAlign w:val="bottom"/>
          </w:tcPr>
          <w:p>
            <w:pPr>
              <w:spacing w:after="0"/>
              <w:rPr>
                <w:sz w:val="10"/>
                <w:szCs w:val="1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1,258</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114"/>
        </w:trPr>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14,693</w:t>
            </w:r>
          </w:p>
        </w:tc>
        <w:tc>
          <w:tcPr>
            <w:tcW w:w="80" w:type="dxa"/>
            <w:vAlign w:val="bottom"/>
          </w:tcPr>
          <w:p>
            <w:pPr>
              <w:spacing w:after="0"/>
              <w:rPr>
                <w:sz w:val="9"/>
                <w:szCs w:val="9"/>
                <w:color w:val="auto"/>
              </w:rPr>
            </w:pPr>
          </w:p>
        </w:tc>
        <w:tc>
          <w:tcPr>
            <w:tcW w:w="3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14,858</w:t>
            </w:r>
          </w:p>
        </w:tc>
        <w:tc>
          <w:tcPr>
            <w:tcW w:w="6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4"/>
        </w:trPr>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(S + 5.25%)</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ind w:left="20"/>
              <w:spacing w:after="0" w:line="103" w:lineRule="exact"/>
              <w:rPr>
                <w:sz w:val="20"/>
                <w:szCs w:val="20"/>
                <w:color w:val="auto"/>
              </w:rPr>
            </w:pPr>
            <w:r>
              <w:rPr>
                <w:rFonts w:ascii="Times New Roman" w:cs="Times New Roman" w:eastAsia="Times New Roman" w:hAnsi="Times New Roman"/>
                <w:sz w:val="10"/>
                <w:szCs w:val="10"/>
                <w:color w:val="auto"/>
              </w:rPr>
              <w:t>/ (0.75%)</w:t>
            </w:r>
          </w:p>
        </w:tc>
        <w:tc>
          <w:tcPr>
            <w:tcW w:w="60" w:type="dxa"/>
            <w:vAlign w:val="bottom"/>
          </w:tcPr>
          <w:p>
            <w:pPr>
              <w:spacing w:after="0"/>
              <w:rPr>
                <w:sz w:val="8"/>
                <w:szCs w:val="8"/>
                <w:color w:val="auto"/>
              </w:rPr>
            </w:pPr>
          </w:p>
        </w:tc>
        <w:tc>
          <w:tcPr>
            <w:tcW w:w="600" w:type="dxa"/>
            <w:vAlign w:val="bottom"/>
            <w:gridSpan w:val="2"/>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8.94%/0.00%</w:t>
            </w: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12/12/2025</w:t>
            </w: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11/9/2029</w:t>
            </w:r>
          </w:p>
        </w:tc>
        <w:tc>
          <w:tcPr>
            <w:tcW w:w="4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9,979</w:t>
            </w:r>
          </w:p>
        </w:tc>
        <w:tc>
          <w:tcPr>
            <w:tcW w:w="30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9,930</w:t>
            </w:r>
          </w:p>
        </w:tc>
        <w:tc>
          <w:tcPr>
            <w:tcW w:w="80" w:type="dxa"/>
            <w:vAlign w:val="bottom"/>
          </w:tcPr>
          <w:p>
            <w:pPr>
              <w:spacing w:after="0"/>
              <w:rPr>
                <w:sz w:val="8"/>
                <w:szCs w:val="8"/>
                <w:color w:val="auto"/>
              </w:rPr>
            </w:pPr>
          </w:p>
        </w:tc>
        <w:tc>
          <w:tcPr>
            <w:tcW w:w="4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9,930</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0.2%</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11/9/2023</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1,300</w:t>
            </w:r>
          </w:p>
        </w:tc>
        <w:tc>
          <w:tcPr>
            <w:tcW w:w="80" w:type="dxa"/>
            <w:vAlign w:val="bottom"/>
          </w:tcPr>
          <w:p>
            <w:pPr>
              <w:spacing w:after="0"/>
              <w:rPr>
                <w:sz w:val="10"/>
                <w:szCs w:val="1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1,605</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114"/>
        </w:trPr>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11,230</w:t>
            </w:r>
          </w:p>
        </w:tc>
        <w:tc>
          <w:tcPr>
            <w:tcW w:w="80" w:type="dxa"/>
            <w:vAlign w:val="bottom"/>
          </w:tcPr>
          <w:p>
            <w:pPr>
              <w:spacing w:after="0"/>
              <w:rPr>
                <w:sz w:val="9"/>
                <w:szCs w:val="9"/>
                <w:color w:val="auto"/>
              </w:rPr>
            </w:pPr>
          </w:p>
        </w:tc>
        <w:tc>
          <w:tcPr>
            <w:tcW w:w="3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11,535</w:t>
            </w:r>
          </w:p>
        </w:tc>
        <w:tc>
          <w:tcPr>
            <w:tcW w:w="6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-3388995</wp:posOffset>
            </wp:positionH>
            <wp:positionV relativeFrom="paragraph">
              <wp:posOffset>-3399790</wp:posOffset>
            </wp:positionV>
            <wp:extent cx="7203440" cy="450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03440" cy="45085"/>
                    </a:xfrm>
                    <a:prstGeom prst="rect">
                      <a:avLst/>
                    </a:prstGeom>
                    <a:noFill/>
                  </pic:spPr>
                </pic:pic>
              </a:graphicData>
            </a:graphic>
          </wp:anchor>
        </w:drawing>
        <w:drawing>
          <wp:anchor simplePos="0" relativeHeight="251657728" behindDoc="1" locked="0" layoutInCell="0" allowOverlap="1">
            <wp:simplePos x="0" y="0"/>
            <wp:positionH relativeFrom="column">
              <wp:posOffset>-2451100</wp:posOffset>
            </wp:positionH>
            <wp:positionV relativeFrom="paragraph">
              <wp:posOffset>-3054350</wp:posOffset>
            </wp:positionV>
            <wp:extent cx="5334635" cy="717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334635" cy="71755"/>
                    </a:xfrm>
                    <a:prstGeom prst="rect">
                      <a:avLst/>
                    </a:prstGeom>
                    <a:noFill/>
                  </pic:spPr>
                </pic:pic>
              </a:graphicData>
            </a:graphic>
          </wp:anchor>
        </w:drawing>
        <w:drawing>
          <wp:anchor simplePos="0" relativeHeight="251657728" behindDoc="1" locked="0" layoutInCell="0" allowOverlap="1">
            <wp:simplePos x="0" y="0"/>
            <wp:positionH relativeFrom="column">
              <wp:posOffset>-2451100</wp:posOffset>
            </wp:positionH>
            <wp:positionV relativeFrom="paragraph">
              <wp:posOffset>-2852420</wp:posOffset>
            </wp:positionV>
            <wp:extent cx="5334635" cy="654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334635" cy="65405"/>
                    </a:xfrm>
                    <a:prstGeom prst="rect">
                      <a:avLst/>
                    </a:prstGeom>
                    <a:noFill/>
                  </pic:spPr>
                </pic:pic>
              </a:graphicData>
            </a:graphic>
          </wp:anchor>
        </w:drawing>
        <w:drawing>
          <wp:anchor simplePos="0" relativeHeight="251657728" behindDoc="1" locked="0" layoutInCell="0" allowOverlap="1">
            <wp:simplePos x="0" y="0"/>
            <wp:positionH relativeFrom="column">
              <wp:posOffset>-2451100</wp:posOffset>
            </wp:positionH>
            <wp:positionV relativeFrom="paragraph">
              <wp:posOffset>-2709545</wp:posOffset>
            </wp:positionV>
            <wp:extent cx="5334635" cy="654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334635" cy="65405"/>
                    </a:xfrm>
                    <a:prstGeom prst="rect">
                      <a:avLst/>
                    </a:prstGeom>
                    <a:noFill/>
                  </pic:spPr>
                </pic:pic>
              </a:graphicData>
            </a:graphic>
          </wp:anchor>
        </w:drawing>
        <w:drawing>
          <wp:anchor simplePos="0" relativeHeight="251657728" behindDoc="1" locked="0" layoutInCell="0" allowOverlap="1">
            <wp:simplePos x="0" y="0"/>
            <wp:positionH relativeFrom="column">
              <wp:posOffset>-2451100</wp:posOffset>
            </wp:positionH>
            <wp:positionV relativeFrom="paragraph">
              <wp:posOffset>-2513965</wp:posOffset>
            </wp:positionV>
            <wp:extent cx="5334635" cy="654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334635" cy="65405"/>
                    </a:xfrm>
                    <a:prstGeom prst="rect">
                      <a:avLst/>
                    </a:prstGeom>
                    <a:noFill/>
                  </pic:spPr>
                </pic:pic>
              </a:graphicData>
            </a:graphic>
          </wp:anchor>
        </w:drawing>
        <w:drawing>
          <wp:anchor simplePos="0" relativeHeight="251657728" behindDoc="1" locked="0" layoutInCell="0" allowOverlap="1">
            <wp:simplePos x="0" y="0"/>
            <wp:positionH relativeFrom="column">
              <wp:posOffset>-2451100</wp:posOffset>
            </wp:positionH>
            <wp:positionV relativeFrom="paragraph">
              <wp:posOffset>-2370455</wp:posOffset>
            </wp:positionV>
            <wp:extent cx="5334635" cy="1301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334635" cy="130175"/>
                    </a:xfrm>
                    <a:prstGeom prst="rect">
                      <a:avLst/>
                    </a:prstGeom>
                    <a:noFill/>
                  </pic:spPr>
                </pic:pic>
              </a:graphicData>
            </a:graphic>
          </wp:anchor>
        </w:drawing>
        <w:drawing>
          <wp:anchor simplePos="0" relativeHeight="251657728" behindDoc="1" locked="0" layoutInCell="0" allowOverlap="1">
            <wp:simplePos x="0" y="0"/>
            <wp:positionH relativeFrom="column">
              <wp:posOffset>-2451100</wp:posOffset>
            </wp:positionH>
            <wp:positionV relativeFrom="paragraph">
              <wp:posOffset>-2110105</wp:posOffset>
            </wp:positionV>
            <wp:extent cx="5334635" cy="654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334635" cy="65405"/>
                    </a:xfrm>
                    <a:prstGeom prst="rect">
                      <a:avLst/>
                    </a:prstGeom>
                    <a:noFill/>
                  </pic:spPr>
                </pic:pic>
              </a:graphicData>
            </a:graphic>
          </wp:anchor>
        </w:drawing>
        <w:drawing>
          <wp:anchor simplePos="0" relativeHeight="251657728" behindDoc="1" locked="0" layoutInCell="0" allowOverlap="1">
            <wp:simplePos x="0" y="0"/>
            <wp:positionH relativeFrom="column">
              <wp:posOffset>-2451100</wp:posOffset>
            </wp:positionH>
            <wp:positionV relativeFrom="paragraph">
              <wp:posOffset>-1816735</wp:posOffset>
            </wp:positionV>
            <wp:extent cx="5334635" cy="1301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334635" cy="130175"/>
                    </a:xfrm>
                    <a:prstGeom prst="rect">
                      <a:avLst/>
                    </a:prstGeom>
                    <a:noFill/>
                  </pic:spPr>
                </pic:pic>
              </a:graphicData>
            </a:graphic>
          </wp:anchor>
        </w:drawing>
        <w:drawing>
          <wp:anchor simplePos="0" relativeHeight="251657728" behindDoc="1" locked="0" layoutInCell="0" allowOverlap="1">
            <wp:simplePos x="0" y="0"/>
            <wp:positionH relativeFrom="column">
              <wp:posOffset>-2451100</wp:posOffset>
            </wp:positionH>
            <wp:positionV relativeFrom="paragraph">
              <wp:posOffset>-1556385</wp:posOffset>
            </wp:positionV>
            <wp:extent cx="5334635" cy="654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334635" cy="65405"/>
                    </a:xfrm>
                    <a:prstGeom prst="rect">
                      <a:avLst/>
                    </a:prstGeom>
                    <a:noFill/>
                  </pic:spPr>
                </pic:pic>
              </a:graphicData>
            </a:graphic>
          </wp:anchor>
        </w:drawing>
        <w:drawing>
          <wp:anchor simplePos="0" relativeHeight="251657728" behindDoc="1" locked="0" layoutInCell="0" allowOverlap="1">
            <wp:simplePos x="0" y="0"/>
            <wp:positionH relativeFrom="column">
              <wp:posOffset>-2451100</wp:posOffset>
            </wp:positionH>
            <wp:positionV relativeFrom="paragraph">
              <wp:posOffset>-1380490</wp:posOffset>
            </wp:positionV>
            <wp:extent cx="5334635" cy="1301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334635" cy="130175"/>
                    </a:xfrm>
                    <a:prstGeom prst="rect">
                      <a:avLst/>
                    </a:prstGeom>
                    <a:noFill/>
                  </pic:spPr>
                </pic:pic>
              </a:graphicData>
            </a:graphic>
          </wp:anchor>
        </w:drawing>
        <w:drawing>
          <wp:anchor simplePos="0" relativeHeight="251657728" behindDoc="1" locked="0" layoutInCell="0" allowOverlap="1">
            <wp:simplePos x="0" y="0"/>
            <wp:positionH relativeFrom="column">
              <wp:posOffset>-2451100</wp:posOffset>
            </wp:positionH>
            <wp:positionV relativeFrom="paragraph">
              <wp:posOffset>-1184910</wp:posOffset>
            </wp:positionV>
            <wp:extent cx="5334635" cy="654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334635" cy="65405"/>
                    </a:xfrm>
                    <a:prstGeom prst="rect">
                      <a:avLst/>
                    </a:prstGeom>
                    <a:noFill/>
                  </pic:spPr>
                </pic:pic>
              </a:graphicData>
            </a:graphic>
          </wp:anchor>
        </w:drawing>
        <w:drawing>
          <wp:anchor simplePos="0" relativeHeight="251657728" behindDoc="1" locked="0" layoutInCell="0" allowOverlap="1">
            <wp:simplePos x="0" y="0"/>
            <wp:positionH relativeFrom="column">
              <wp:posOffset>-2451100</wp:posOffset>
            </wp:positionH>
            <wp:positionV relativeFrom="paragraph">
              <wp:posOffset>-1041400</wp:posOffset>
            </wp:positionV>
            <wp:extent cx="5334635" cy="654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334635" cy="65405"/>
                    </a:xfrm>
                    <a:prstGeom prst="rect">
                      <a:avLst/>
                    </a:prstGeom>
                    <a:noFill/>
                  </pic:spPr>
                </pic:pic>
              </a:graphicData>
            </a:graphic>
          </wp:anchor>
        </w:drawing>
        <w:drawing>
          <wp:anchor simplePos="0" relativeHeight="251657728" behindDoc="1" locked="0" layoutInCell="0" allowOverlap="1">
            <wp:simplePos x="0" y="0"/>
            <wp:positionH relativeFrom="column">
              <wp:posOffset>-2451100</wp:posOffset>
            </wp:positionH>
            <wp:positionV relativeFrom="paragraph">
              <wp:posOffset>-813435</wp:posOffset>
            </wp:positionV>
            <wp:extent cx="5334635" cy="1301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334635" cy="130175"/>
                    </a:xfrm>
                    <a:prstGeom prst="rect">
                      <a:avLst/>
                    </a:prstGeom>
                    <a:noFill/>
                  </pic:spPr>
                </pic:pic>
              </a:graphicData>
            </a:graphic>
          </wp:anchor>
        </w:drawing>
        <w:drawing>
          <wp:anchor simplePos="0" relativeHeight="251657728" behindDoc="1" locked="0" layoutInCell="0" allowOverlap="1">
            <wp:simplePos x="0" y="0"/>
            <wp:positionH relativeFrom="column">
              <wp:posOffset>-2451100</wp:posOffset>
            </wp:positionH>
            <wp:positionV relativeFrom="paragraph">
              <wp:posOffset>-553085</wp:posOffset>
            </wp:positionV>
            <wp:extent cx="5334635" cy="654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334635" cy="65405"/>
                    </a:xfrm>
                    <a:prstGeom prst="rect">
                      <a:avLst/>
                    </a:prstGeom>
                    <a:noFill/>
                  </pic:spPr>
                </pic:pic>
              </a:graphicData>
            </a:graphic>
          </wp:anchor>
        </w:drawing>
        <w:drawing>
          <wp:anchor simplePos="0" relativeHeight="251657728" behindDoc="1" locked="0" layoutInCell="0" allowOverlap="1">
            <wp:simplePos x="0" y="0"/>
            <wp:positionH relativeFrom="column">
              <wp:posOffset>-2451100</wp:posOffset>
            </wp:positionH>
            <wp:positionV relativeFrom="paragraph">
              <wp:posOffset>-409575</wp:posOffset>
            </wp:positionV>
            <wp:extent cx="5334635" cy="1301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334635" cy="130175"/>
                    </a:xfrm>
                    <a:prstGeom prst="rect">
                      <a:avLst/>
                    </a:prstGeom>
                    <a:noFill/>
                  </pic:spPr>
                </pic:pic>
              </a:graphicData>
            </a:graphic>
          </wp:anchor>
        </w:drawing>
        <w:drawing>
          <wp:anchor simplePos="0" relativeHeight="251657728" behindDoc="1" locked="0" layoutInCell="0" allowOverlap="1">
            <wp:simplePos x="0" y="0"/>
            <wp:positionH relativeFrom="column">
              <wp:posOffset>-2451100</wp:posOffset>
            </wp:positionH>
            <wp:positionV relativeFrom="paragraph">
              <wp:posOffset>-149225</wp:posOffset>
            </wp:positionV>
            <wp:extent cx="5334635" cy="654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334635" cy="65405"/>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4160" w:space="20"/>
            <w:col w:w="4839"/>
          </w:cols>
          <w:pgMar w:left="1440" w:top="265" w:right="1440" w:bottom="1440" w:gutter="0" w:footer="0" w:header="0"/>
        </w:sectPr>
      </w:pPr>
    </w:p>
    <w:p>
      <w:pPr>
        <w:jc w:val="center"/>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9019"/>
          </w:cols>
          <w:pgMar w:left="1440" w:top="265" w:right="1440" w:bottom="1440" w:gutter="0" w:footer="0" w:header="0"/>
          <w:type w:val="continuous"/>
        </w:sectPr>
      </w:pPr>
    </w:p>
    <w:bookmarkStart w:id="24" w:name="page25"/>
    <w:bookmarkEnd w:id="24"/>
    <w:tbl>
      <w:tblPr>
        <w:tblLayout w:type="fixed"/>
        <w:tblInd w:w="320" w:type="dxa"/>
        <w:tblCellMar>
          <w:top w:w="0" w:type="dxa"/>
          <w:left w:w="0" w:type="dxa"/>
          <w:bottom w:w="0" w:type="dxa"/>
          <w:right w:w="0" w:type="dxa"/>
        </w:tblCellMar>
      </w:tblPr>
      <w:tr>
        <w:trPr>
          <w:trHeight w:val="103"/>
        </w:trPr>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w w:val="95"/>
              </w:rPr>
              <w:t>Variable</w:t>
            </w: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Portfolio Company (a)(b)</w:t>
            </w:r>
          </w:p>
        </w:tc>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w w:val="98"/>
              </w:rPr>
              <w:t>Percentage</w:t>
            </w:r>
          </w:p>
        </w:tc>
        <w:tc>
          <w:tcPr>
            <w:tcW w:w="58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rPr>
              <w:t>Index Spread</w:t>
            </w:r>
          </w:p>
        </w:tc>
        <w:tc>
          <w:tcPr>
            <w:tcW w:w="6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9"/>
                <w:szCs w:val="9"/>
                <w:b w:val="1"/>
                <w:bCs w:val="1"/>
                <w:color w:val="auto"/>
                <w:w w:val="99"/>
              </w:rPr>
              <w:t>Rate (e)</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2"/>
          </w:tcPr>
          <w:p>
            <w:pPr>
              <w:jc w:val="center"/>
              <w:ind w:right="140"/>
              <w:spacing w:after="0" w:line="93" w:lineRule="exact"/>
              <w:rPr>
                <w:sz w:val="20"/>
                <w:szCs w:val="20"/>
                <w:color w:val="auto"/>
              </w:rPr>
            </w:pPr>
            <w:r>
              <w:rPr>
                <w:rFonts w:ascii="Times New Roman" w:cs="Times New Roman" w:eastAsia="Times New Roman" w:hAnsi="Times New Roman"/>
                <w:sz w:val="9"/>
                <w:szCs w:val="9"/>
                <w:b w:val="1"/>
                <w:bCs w:val="1"/>
                <w:color w:val="auto"/>
                <w:w w:val="99"/>
              </w:rPr>
              <w:t>of Class</w:t>
            </w:r>
          </w:p>
        </w:tc>
        <w:tc>
          <w:tcPr>
            <w:tcW w:w="520" w:type="dxa"/>
            <w:vAlign w:val="bottom"/>
          </w:tcPr>
          <w:p>
            <w:pPr>
              <w:jc w:val="center"/>
              <w:spacing w:after="0" w:line="93" w:lineRule="exact"/>
              <w:rPr>
                <w:sz w:val="20"/>
                <w:szCs w:val="20"/>
                <w:color w:val="auto"/>
              </w:rPr>
            </w:pPr>
            <w:r>
              <w:rPr>
                <w:rFonts w:ascii="Times New Roman" w:cs="Times New Roman" w:eastAsia="Times New Roman" w:hAnsi="Times New Roman"/>
                <w:sz w:val="9"/>
                <w:szCs w:val="9"/>
                <w:b w:val="1"/>
                <w:bCs w:val="1"/>
                <w:color w:val="auto"/>
              </w:rPr>
              <w:t>/</w:t>
            </w:r>
          </w:p>
        </w:tc>
        <w:tc>
          <w:tcPr>
            <w:tcW w:w="6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540" w:type="dxa"/>
            <w:vAlign w:val="bottom"/>
            <w:gridSpan w:val="2"/>
          </w:tcPr>
          <w:p>
            <w:pPr>
              <w:jc w:val="center"/>
              <w:ind w:right="80"/>
              <w:spacing w:after="0" w:line="93" w:lineRule="exact"/>
              <w:rPr>
                <w:sz w:val="20"/>
                <w:szCs w:val="20"/>
                <w:color w:val="auto"/>
              </w:rPr>
            </w:pPr>
            <w:r>
              <w:rPr>
                <w:rFonts w:ascii="Times New Roman" w:cs="Times New Roman" w:eastAsia="Times New Roman" w:hAnsi="Times New Roman"/>
                <w:sz w:val="9"/>
                <w:szCs w:val="9"/>
                <w:b w:val="1"/>
                <w:bCs w:val="1"/>
                <w:color w:val="auto"/>
                <w:w w:val="97"/>
              </w:rPr>
              <w:t>Investment</w:t>
            </w: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60"/>
              <w:spacing w:after="0" w:line="93" w:lineRule="exact"/>
              <w:rPr>
                <w:sz w:val="20"/>
                <w:szCs w:val="20"/>
                <w:color w:val="auto"/>
              </w:rPr>
            </w:pPr>
            <w:r>
              <w:rPr>
                <w:rFonts w:ascii="Times New Roman" w:cs="Times New Roman" w:eastAsia="Times New Roman" w:hAnsi="Times New Roman"/>
                <w:sz w:val="9"/>
                <w:szCs w:val="9"/>
                <w:b w:val="1"/>
                <w:bCs w:val="1"/>
                <w:color w:val="auto"/>
                <w:w w:val="95"/>
              </w:rPr>
              <w:t>Principal</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center"/>
              <w:ind w:right="60"/>
              <w:spacing w:after="0" w:line="93" w:lineRule="exact"/>
              <w:rPr>
                <w:sz w:val="20"/>
                <w:szCs w:val="20"/>
                <w:color w:val="auto"/>
              </w:rPr>
            </w:pPr>
            <w:r>
              <w:rPr>
                <w:rFonts w:ascii="Times New Roman" w:cs="Times New Roman" w:eastAsia="Times New Roman" w:hAnsi="Times New Roman"/>
                <w:sz w:val="9"/>
                <w:szCs w:val="9"/>
                <w:b w:val="1"/>
                <w:bCs w:val="1"/>
                <w:color w:val="auto"/>
                <w:w w:val="96"/>
              </w:rPr>
              <w:t>Fair</w:t>
            </w:r>
          </w:p>
        </w:tc>
        <w:tc>
          <w:tcPr>
            <w:tcW w:w="500" w:type="dxa"/>
            <w:vAlign w:val="bottom"/>
            <w:gridSpan w:val="2"/>
          </w:tcPr>
          <w:p>
            <w:pPr>
              <w:jc w:val="right"/>
              <w:ind w:right="120"/>
              <w:spacing w:after="0" w:line="93" w:lineRule="exact"/>
              <w:rPr>
                <w:sz w:val="20"/>
                <w:szCs w:val="20"/>
                <w:color w:val="auto"/>
              </w:rPr>
            </w:pPr>
            <w:r>
              <w:rPr>
                <w:rFonts w:ascii="Times New Roman" w:cs="Times New Roman" w:eastAsia="Times New Roman" w:hAnsi="Times New Roman"/>
                <w:sz w:val="9"/>
                <w:szCs w:val="9"/>
                <w:b w:val="1"/>
                <w:bCs w:val="1"/>
                <w:color w:val="auto"/>
                <w:w w:val="91"/>
              </w:rPr>
              <w:t>Percent of</w:t>
            </w:r>
          </w:p>
        </w:tc>
        <w:tc>
          <w:tcPr>
            <w:tcW w:w="0" w:type="dxa"/>
            <w:vAlign w:val="bottom"/>
          </w:tcPr>
          <w:p>
            <w:pPr>
              <w:spacing w:after="0"/>
              <w:rPr>
                <w:sz w:val="1"/>
                <w:szCs w:val="1"/>
                <w:color w:val="auto"/>
              </w:rPr>
            </w:pPr>
          </w:p>
        </w:tc>
      </w:tr>
      <w:tr>
        <w:trPr>
          <w:trHeight w:val="130"/>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w w:val="97"/>
              </w:rPr>
              <w:t>Address of Portfolio Company</w:t>
            </w:r>
          </w:p>
        </w:tc>
        <w:tc>
          <w:tcPr>
            <w:tcW w:w="20" w:type="dxa"/>
            <w:vAlign w:val="bottom"/>
          </w:tcPr>
          <w:p>
            <w:pPr>
              <w:spacing w:after="0"/>
              <w:rPr>
                <w:sz w:val="11"/>
                <w:szCs w:val="11"/>
                <w:color w:val="auto"/>
              </w:rPr>
            </w:pPr>
          </w:p>
        </w:tc>
        <w:tc>
          <w:tcPr>
            <w:tcW w:w="1400" w:type="dxa"/>
            <w:vAlign w:val="bottom"/>
          </w:tcPr>
          <w:p>
            <w:pPr>
              <w:ind w:left="320"/>
              <w:spacing w:after="0"/>
              <w:rPr>
                <w:sz w:val="20"/>
                <w:szCs w:val="20"/>
                <w:color w:val="auto"/>
              </w:rPr>
            </w:pPr>
            <w:r>
              <w:rPr>
                <w:rFonts w:ascii="Times New Roman" w:cs="Times New Roman" w:eastAsia="Times New Roman" w:hAnsi="Times New Roman"/>
                <w:sz w:val="9"/>
                <w:szCs w:val="9"/>
                <w:b w:val="1"/>
                <w:bCs w:val="1"/>
                <w:color w:val="auto"/>
              </w:rPr>
              <w:t>Investment Type (c)</w:t>
            </w:r>
          </w:p>
        </w:tc>
        <w:tc>
          <w:tcPr>
            <w:tcW w:w="20" w:type="dxa"/>
            <w:vAlign w:val="bottom"/>
          </w:tcPr>
          <w:p>
            <w:pPr>
              <w:spacing w:after="0"/>
              <w:rPr>
                <w:sz w:val="11"/>
                <w:szCs w:val="11"/>
                <w:color w:val="auto"/>
              </w:rPr>
            </w:pPr>
          </w:p>
        </w:tc>
        <w:tc>
          <w:tcPr>
            <w:tcW w:w="1320" w:type="dxa"/>
            <w:vAlign w:val="bottom"/>
            <w:gridSpan w:val="2"/>
          </w:tcPr>
          <w:p>
            <w:pPr>
              <w:ind w:left="48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99"/>
              </w:rPr>
              <w:t>Held (bo)</w:t>
            </w: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w w:val="99"/>
              </w:rPr>
              <w:t>Floor (d)</w:t>
            </w: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9"/>
                <w:szCs w:val="9"/>
                <w:b w:val="1"/>
                <w:bCs w:val="1"/>
                <w:color w:val="auto"/>
                <w:w w:val="99"/>
              </w:rPr>
              <w:t>Cash/PIK</w:t>
            </w:r>
          </w:p>
        </w:tc>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w w:val="95"/>
              </w:rPr>
              <w:t>Date (f)</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Maturity</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Amount</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Cost</w:t>
            </w: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9"/>
                <w:szCs w:val="9"/>
                <w:b w:val="1"/>
                <w:bCs w:val="1"/>
                <w:color w:val="auto"/>
                <w:w w:val="96"/>
              </w:rPr>
              <w:t>Value (g)</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b w:val="1"/>
                <w:bCs w:val="1"/>
                <w:color w:val="auto"/>
                <w:w w:val="90"/>
              </w:rPr>
              <w:t>Net Assets</w:t>
            </w:r>
          </w:p>
        </w:tc>
        <w:tc>
          <w:tcPr>
            <w:tcW w:w="0" w:type="dxa"/>
            <w:vAlign w:val="bottom"/>
          </w:tcPr>
          <w:p>
            <w:pPr>
              <w:spacing w:after="0"/>
              <w:rPr>
                <w:sz w:val="1"/>
                <w:szCs w:val="1"/>
                <w:color w:val="auto"/>
              </w:rPr>
            </w:pPr>
          </w:p>
        </w:tc>
      </w:tr>
      <w:tr>
        <w:trPr>
          <w:trHeight w:val="58"/>
        </w:trPr>
        <w:tc>
          <w:tcPr>
            <w:tcW w:w="1160" w:type="dxa"/>
            <w:vAlign w:val="bottom"/>
            <w:tcBorders>
              <w:top w:val="single" w:sz="8" w:color="CCEEFF"/>
            </w:tcBorders>
            <w:shd w:val="clear" w:color="auto" w:fill="CCEEFF"/>
          </w:tcPr>
          <w:p>
            <w:pPr>
              <w:spacing w:after="0" w:line="58" w:lineRule="exact"/>
              <w:rPr>
                <w:sz w:val="20"/>
                <w:szCs w:val="20"/>
                <w:color w:val="auto"/>
              </w:rPr>
            </w:pPr>
            <w:r>
              <w:rPr>
                <w:rFonts w:ascii="Times New Roman" w:cs="Times New Roman" w:eastAsia="Times New Roman" w:hAnsi="Times New Roman"/>
                <w:sz w:val="6"/>
                <w:szCs w:val="6"/>
                <w:i w:val="1"/>
                <w:iCs w:val="1"/>
                <w:color w:val="auto"/>
              </w:rPr>
              <w:t>Barefoot Mosquito and Pest</w:t>
            </w:r>
          </w:p>
        </w:tc>
        <w:tc>
          <w:tcPr>
            <w:tcW w:w="2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1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i w:val="1"/>
                <w:iCs w:val="1"/>
                <w:color w:val="auto"/>
              </w:rPr>
              <w:t>Control, LLC</w:t>
            </w:r>
          </w:p>
        </w:tc>
        <w:tc>
          <w:tcPr>
            <w:tcW w:w="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Consumer Services</w:t>
            </w: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8060 US-290</w:t>
            </w:r>
          </w:p>
        </w:tc>
        <w:tc>
          <w:tcPr>
            <w:tcW w:w="1420" w:type="dxa"/>
            <w:vAlign w:val="bottom"/>
            <w:gridSpan w:val="2"/>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 (k)(s)</w:t>
            </w: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gridSpan w:val="2"/>
          </w:tcPr>
          <w:p>
            <w:pPr>
              <w:ind w:left="40"/>
              <w:spacing w:after="0" w:line="90" w:lineRule="exact"/>
              <w:rPr>
                <w:sz w:val="20"/>
                <w:szCs w:val="20"/>
                <w:color w:val="auto"/>
              </w:rPr>
            </w:pPr>
            <w:r>
              <w:rPr>
                <w:rFonts w:ascii="Times New Roman" w:cs="Times New Roman" w:eastAsia="Times New Roman" w:hAnsi="Times New Roman"/>
                <w:sz w:val="10"/>
                <w:szCs w:val="10"/>
                <w:color w:val="auto"/>
              </w:rPr>
              <w:t>(S + 6.00%)</w:t>
            </w: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 (2.00%)</w:t>
            </w:r>
          </w:p>
        </w:tc>
        <w:tc>
          <w:tcPr>
            <w:tcW w:w="60" w:type="dxa"/>
            <w:vAlign w:val="bottom"/>
          </w:tcPr>
          <w:p>
            <w:pPr>
              <w:spacing w:after="0"/>
              <w:rPr>
                <w:sz w:val="10"/>
                <w:szCs w:val="1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9.99%/0.00%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11/27/2024</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w w:val="96"/>
              </w:rPr>
              <w:t>12/22/2029</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31,795</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31,777</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29,528</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rPr>
              <w:t>Austin, TX 78736</w:t>
            </w:r>
          </w:p>
        </w:tc>
        <w:tc>
          <w:tcPr>
            <w:tcW w:w="1420" w:type="dxa"/>
            <w:vAlign w:val="bottom"/>
            <w:gridSpan w:val="2"/>
            <w:shd w:val="clear" w:color="auto" w:fill="CCEEFF"/>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 (ba)</w:t>
            </w:r>
          </w:p>
        </w:tc>
        <w:tc>
          <w:tcPr>
            <w:tcW w:w="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80" w:type="dxa"/>
            <w:vAlign w:val="bottom"/>
            <w:gridSpan w:val="2"/>
            <w:shd w:val="clear" w:color="auto" w:fill="CCEEFF"/>
          </w:tcPr>
          <w:p>
            <w:pPr>
              <w:ind w:left="40"/>
              <w:spacing w:after="0" w:line="90" w:lineRule="exact"/>
              <w:rPr>
                <w:sz w:val="20"/>
                <w:szCs w:val="20"/>
                <w:color w:val="auto"/>
              </w:rPr>
            </w:pPr>
            <w:r>
              <w:rPr>
                <w:rFonts w:ascii="Times New Roman" w:cs="Times New Roman" w:eastAsia="Times New Roman" w:hAnsi="Times New Roman"/>
                <w:sz w:val="10"/>
                <w:szCs w:val="10"/>
                <w:color w:val="auto"/>
              </w:rPr>
              <w:t>(S + 6.00%)</w:t>
            </w: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 (2.00%)</w:t>
            </w: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7.24%/0.00%</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7/14/2025</w:t>
            </w: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w w:val="96"/>
              </w:rPr>
              <w:t>12/22/2029</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5</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5</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5</w:t>
            </w: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142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(5,474 units) (h)</w:t>
            </w: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2.5%</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12/22/2023</w:t>
            </w: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12</w:t>
            </w:r>
          </w:p>
        </w:tc>
        <w:tc>
          <w:tcPr>
            <w:tcW w:w="60" w:type="dxa"/>
            <w:vAlign w:val="bottom"/>
          </w:tcPr>
          <w:p>
            <w:pPr>
              <w:spacing w:after="0"/>
              <w:rPr>
                <w:sz w:val="8"/>
                <w:szCs w:val="8"/>
                <w:color w:val="auto"/>
              </w:rPr>
            </w:pPr>
          </w:p>
        </w:tc>
        <w:tc>
          <w:tcPr>
            <w:tcW w:w="420" w:type="dxa"/>
            <w:vAlign w:val="bottom"/>
            <w:gridSpan w:val="2"/>
          </w:tcPr>
          <w:p>
            <w:pPr>
              <w:ind w:left="22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1420" w:type="dxa"/>
            <w:vAlign w:val="bottom"/>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w w:val="99"/>
              </w:rPr>
              <w:t>Preferred Equity (20,137 units) (h)</w:t>
            </w: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0.0%</w:t>
            </w: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12/22/2023</w:t>
            </w: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2,013</w:t>
            </w:r>
          </w:p>
        </w:tc>
        <w:tc>
          <w:tcPr>
            <w:tcW w:w="4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1,380</w:t>
            </w: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33,807</w:t>
            </w:r>
          </w:p>
        </w:tc>
        <w:tc>
          <w:tcPr>
            <w:tcW w:w="60" w:type="dxa"/>
            <w:vAlign w:val="bottom"/>
          </w:tcPr>
          <w:p>
            <w:pPr>
              <w:spacing w:after="0"/>
              <w:rPr>
                <w:sz w:val="9"/>
                <w:szCs w:val="9"/>
                <w:color w:val="auto"/>
              </w:rPr>
            </w:pPr>
          </w:p>
        </w:tc>
        <w:tc>
          <w:tcPr>
            <w:tcW w:w="3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30,913</w:t>
            </w:r>
          </w:p>
        </w:tc>
        <w:tc>
          <w:tcPr>
            <w:tcW w:w="60" w:type="dxa"/>
            <w:vAlign w:val="bottom"/>
          </w:tcPr>
          <w:p>
            <w:pPr>
              <w:spacing w:after="0"/>
              <w:rPr>
                <w:sz w:val="9"/>
                <w:szCs w:val="9"/>
                <w:color w:val="auto"/>
              </w:rPr>
            </w:pPr>
          </w:p>
        </w:tc>
        <w:tc>
          <w:tcPr>
            <w:tcW w:w="500" w:type="dxa"/>
            <w:vAlign w:val="bottom"/>
            <w:gridSpan w:val="2"/>
          </w:tcPr>
          <w:p>
            <w:pPr>
              <w:jc w:val="right"/>
              <w:ind w:right="40"/>
              <w:spacing w:after="0" w:line="111" w:lineRule="exact"/>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41"/>
        </w:trPr>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11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i w:val="1"/>
                <w:iCs w:val="1"/>
                <w:color w:val="auto"/>
              </w:rPr>
              <w:t>BCM One Group Holdings,</w:t>
            </w:r>
          </w:p>
        </w:tc>
        <w:tc>
          <w:tcPr>
            <w:tcW w:w="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i w:val="1"/>
                <w:iCs w:val="1"/>
                <w:color w:val="auto"/>
              </w:rPr>
              <w:t>Inc.</w:t>
            </w:r>
          </w:p>
        </w:tc>
        <w:tc>
          <w:tcPr>
            <w:tcW w:w="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96"/>
              </w:rPr>
              <w:t>Information Technology Services</w:t>
            </w: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295 Madison Avenue,</w:t>
            </w:r>
          </w:p>
        </w:tc>
        <w:tc>
          <w:tcPr>
            <w:tcW w:w="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5th Floor</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Subordinated Debt</w:t>
            </w: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w w:val="94"/>
              </w:rPr>
              <w:t>11.75%/0.00%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11/17/2021</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w w:val="96"/>
              </w:rPr>
              <w:t>11/17/2028</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17,667</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17,588</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17,667</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New York, NY 10017</w:t>
            </w:r>
          </w:p>
        </w:tc>
        <w:tc>
          <w:tcPr>
            <w:tcW w:w="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w w:val="96"/>
              </w:rPr>
              <w:t>Bedford Precision Parts LLC</w:t>
            </w: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Specialty Distribution</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290 Adams St.</w:t>
            </w:r>
          </w:p>
        </w:tc>
        <w:tc>
          <w:tcPr>
            <w:tcW w:w="1420" w:type="dxa"/>
            <w:vAlign w:val="bottom"/>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w w:val="95"/>
              </w:rPr>
              <w:t>Common Equity (500,000 units) (h)</w:t>
            </w: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4.6%</w:t>
            </w: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3" w:lineRule="exact"/>
              <w:rPr>
                <w:sz w:val="20"/>
                <w:szCs w:val="20"/>
                <w:color w:val="auto"/>
              </w:rPr>
            </w:pPr>
            <w:r>
              <w:rPr>
                <w:rFonts w:ascii="Times New Roman" w:cs="Times New Roman" w:eastAsia="Times New Roman" w:hAnsi="Times New Roman"/>
                <w:sz w:val="10"/>
                <w:szCs w:val="10"/>
                <w:color w:val="auto"/>
              </w:rPr>
              <w:t>3/12/2019</w:t>
            </w: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478</w:t>
            </w:r>
          </w:p>
        </w:tc>
        <w:tc>
          <w:tcPr>
            <w:tcW w:w="4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393</w:t>
            </w:r>
          </w:p>
        </w:tc>
        <w:tc>
          <w:tcPr>
            <w:tcW w:w="500" w:type="dxa"/>
            <w:vAlign w:val="bottom"/>
            <w:gridSpan w:val="2"/>
            <w:shd w:val="clear" w:color="auto" w:fill="CCEEFF"/>
          </w:tcPr>
          <w:p>
            <w:pPr>
              <w:jc w:val="right"/>
              <w:ind w:right="40"/>
              <w:spacing w:after="0" w:line="103" w:lineRule="exact"/>
              <w:rPr>
                <w:sz w:val="20"/>
                <w:szCs w:val="20"/>
                <w:color w:val="auto"/>
              </w:rPr>
            </w:pPr>
            <w:r>
              <w:rPr>
                <w:rFonts w:ascii="Times New Roman" w:cs="Times New Roman" w:eastAsia="Times New Roman" w:hAnsi="Times New Roman"/>
                <w:sz w:val="10"/>
                <w:szCs w:val="10"/>
                <w:color w:val="auto"/>
              </w:rPr>
              <w:t>0%</w:t>
            </w: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Bedford Hills, NY</w:t>
            </w:r>
          </w:p>
        </w:tc>
        <w:tc>
          <w:tcPr>
            <w:tcW w:w="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1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10507</w:t>
            </w: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0"/>
                <w:szCs w:val="10"/>
                <w:i w:val="1"/>
                <w:iCs w:val="1"/>
                <w:color w:val="auto"/>
              </w:rPr>
              <w:t>Bobcat of Connecticut, LLC</w:t>
            </w:r>
          </w:p>
        </w:tc>
        <w:tc>
          <w:tcPr>
            <w:tcW w:w="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340" w:type="dxa"/>
            <w:vAlign w:val="bottom"/>
            <w:gridSpan w:val="3"/>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Specialty Distribution</w:t>
            </w: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54 Alna Lane</w:t>
            </w:r>
          </w:p>
        </w:tc>
        <w:tc>
          <w:tcPr>
            <w:tcW w:w="1420" w:type="dxa"/>
            <w:vAlign w:val="bottom"/>
            <w:gridSpan w:val="2"/>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 (bk)</w:t>
            </w: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gridSpan w:val="2"/>
          </w:tcPr>
          <w:p>
            <w:pPr>
              <w:ind w:left="40"/>
              <w:spacing w:after="0" w:line="90" w:lineRule="exact"/>
              <w:rPr>
                <w:sz w:val="20"/>
                <w:szCs w:val="20"/>
                <w:color w:val="auto"/>
              </w:rPr>
            </w:pPr>
            <w:r>
              <w:rPr>
                <w:rFonts w:ascii="Times New Roman" w:cs="Times New Roman" w:eastAsia="Times New Roman" w:hAnsi="Times New Roman"/>
                <w:sz w:val="10"/>
                <w:szCs w:val="10"/>
                <w:color w:val="auto"/>
              </w:rPr>
              <w:t>(S + 5.75%)</w:t>
            </w: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 (2.00%)</w:t>
            </w:r>
          </w:p>
        </w:tc>
        <w:tc>
          <w:tcPr>
            <w:tcW w:w="60" w:type="dxa"/>
            <w:vAlign w:val="bottom"/>
          </w:tcPr>
          <w:p>
            <w:pPr>
              <w:spacing w:after="0"/>
              <w:rPr>
                <w:sz w:val="10"/>
                <w:szCs w:val="1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9.74%/0.00%</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10/1/2025</w:t>
            </w: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10/1/2030</w:t>
            </w:r>
          </w:p>
        </w:tc>
        <w:tc>
          <w:tcPr>
            <w:tcW w:w="60" w:type="dxa"/>
            <w:vAlign w:val="bottom"/>
          </w:tcPr>
          <w:p>
            <w:pPr>
              <w:spacing w:after="0"/>
              <w:rPr>
                <w:sz w:val="10"/>
                <w:szCs w:val="1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16,000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15,886</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15,886</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920" w:type="dxa"/>
            <w:vAlign w:val="bottom"/>
            <w:gridSpan w:val="6"/>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East Hartford, CT 06108 Common Equity (1,000,000 units) ($250 unfunded commitment)</w:t>
            </w:r>
          </w:p>
        </w:tc>
        <w:tc>
          <w:tcPr>
            <w:tcW w:w="5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2.6%</w:t>
            </w: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3" w:lineRule="exact"/>
              <w:rPr>
                <w:sz w:val="20"/>
                <w:szCs w:val="20"/>
                <w:color w:val="auto"/>
              </w:rPr>
            </w:pPr>
            <w:r>
              <w:rPr>
                <w:rFonts w:ascii="Times New Roman" w:cs="Times New Roman" w:eastAsia="Times New Roman" w:hAnsi="Times New Roman"/>
                <w:sz w:val="10"/>
                <w:szCs w:val="10"/>
                <w:color w:val="auto"/>
              </w:rPr>
              <w:t>10/1/2025</w:t>
            </w: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1,000</w:t>
            </w:r>
          </w:p>
        </w:tc>
        <w:tc>
          <w:tcPr>
            <w:tcW w:w="4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1,000</w:t>
            </w: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16,886</w:t>
            </w:r>
          </w:p>
        </w:tc>
        <w:tc>
          <w:tcPr>
            <w:tcW w:w="60" w:type="dxa"/>
            <w:vAlign w:val="bottom"/>
          </w:tcPr>
          <w:p>
            <w:pPr>
              <w:spacing w:after="0"/>
              <w:rPr>
                <w:sz w:val="9"/>
                <w:szCs w:val="9"/>
                <w:color w:val="auto"/>
              </w:rPr>
            </w:pPr>
          </w:p>
        </w:tc>
        <w:tc>
          <w:tcPr>
            <w:tcW w:w="3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16,886</w:t>
            </w:r>
          </w:p>
        </w:tc>
        <w:tc>
          <w:tcPr>
            <w:tcW w:w="60" w:type="dxa"/>
            <w:vAlign w:val="bottom"/>
          </w:tcPr>
          <w:p>
            <w:pPr>
              <w:spacing w:after="0"/>
              <w:rPr>
                <w:sz w:val="9"/>
                <w:szCs w:val="9"/>
                <w:color w:val="auto"/>
              </w:rPr>
            </w:pPr>
          </w:p>
        </w:tc>
        <w:tc>
          <w:tcPr>
            <w:tcW w:w="500" w:type="dxa"/>
            <w:vAlign w:val="bottom"/>
            <w:gridSpan w:val="2"/>
          </w:tcPr>
          <w:p>
            <w:pPr>
              <w:jc w:val="right"/>
              <w:ind w:right="40"/>
              <w:spacing w:after="0" w:line="111" w:lineRule="exact"/>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41"/>
        </w:trPr>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0"/>
                <w:szCs w:val="10"/>
                <w:i w:val="1"/>
                <w:iCs w:val="1"/>
                <w:color w:val="auto"/>
              </w:rPr>
              <w:t>Brightmore Brands LLC</w:t>
            </w:r>
          </w:p>
        </w:tc>
        <w:tc>
          <w:tcPr>
            <w:tcW w:w="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340" w:type="dxa"/>
            <w:vAlign w:val="bottom"/>
            <w:gridSpan w:val="3"/>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Retail</w:t>
            </w: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7949 E Acoma Dr, Ste</w:t>
            </w:r>
          </w:p>
        </w:tc>
        <w:tc>
          <w:tcPr>
            <w:tcW w:w="1420" w:type="dxa"/>
            <w:vAlign w:val="bottom"/>
            <w:gridSpan w:val="2"/>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 (j)(al)</w:t>
            </w: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gridSpan w:val="2"/>
          </w:tcPr>
          <w:p>
            <w:pPr>
              <w:ind w:left="40"/>
              <w:spacing w:after="0" w:line="90" w:lineRule="exact"/>
              <w:rPr>
                <w:sz w:val="20"/>
                <w:szCs w:val="20"/>
                <w:color w:val="auto"/>
              </w:rPr>
            </w:pPr>
            <w:r>
              <w:rPr>
                <w:rFonts w:ascii="Times New Roman" w:cs="Times New Roman" w:eastAsia="Times New Roman" w:hAnsi="Times New Roman"/>
                <w:sz w:val="10"/>
                <w:szCs w:val="10"/>
                <w:color w:val="auto"/>
              </w:rPr>
              <w:t>(S + 5.38%)</w:t>
            </w: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100</w:t>
            </w: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 (1.50%)</w:t>
            </w:r>
          </w:p>
        </w:tc>
        <w:tc>
          <w:tcPr>
            <w:tcW w:w="60" w:type="dxa"/>
            <w:vAlign w:val="bottom"/>
          </w:tcPr>
          <w:p>
            <w:pPr>
              <w:spacing w:after="0"/>
              <w:rPr>
                <w:sz w:val="10"/>
                <w:szCs w:val="1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9.38%/0.00%</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9/13/2022</w:t>
            </w:r>
          </w:p>
        </w:tc>
        <w:tc>
          <w:tcPr>
            <w:tcW w:w="60" w:type="dxa"/>
            <w:vAlign w:val="bottom"/>
          </w:tcPr>
          <w:p>
            <w:pPr>
              <w:spacing w:after="0"/>
              <w:rPr>
                <w:sz w:val="10"/>
                <w:szCs w:val="10"/>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9/9/2029</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24,000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23,744</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24,000</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Scottsdale, AZ 85260</w:t>
            </w:r>
          </w:p>
        </w:tc>
        <w:tc>
          <w:tcPr>
            <w:tcW w:w="1420" w:type="dxa"/>
            <w:vAlign w:val="bottom"/>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(1,000 units)</w:t>
            </w: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0.7%</w:t>
            </w: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3" w:lineRule="exact"/>
              <w:rPr>
                <w:sz w:val="20"/>
                <w:szCs w:val="20"/>
                <w:color w:val="auto"/>
              </w:rPr>
            </w:pPr>
            <w:r>
              <w:rPr>
                <w:rFonts w:ascii="Times New Roman" w:cs="Times New Roman" w:eastAsia="Times New Roman" w:hAnsi="Times New Roman"/>
                <w:sz w:val="10"/>
                <w:szCs w:val="10"/>
                <w:color w:val="auto"/>
              </w:rPr>
              <w:t>9/13/2022</w:t>
            </w: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1,000</w:t>
            </w:r>
          </w:p>
        </w:tc>
        <w:tc>
          <w:tcPr>
            <w:tcW w:w="4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1,736</w:t>
            </w: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142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(371 units)</w:t>
            </w: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0.3%</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9/9/2024</w:t>
            </w: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713</w:t>
            </w:r>
          </w:p>
        </w:tc>
        <w:tc>
          <w:tcPr>
            <w:tcW w:w="4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714</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25,457</w:t>
            </w:r>
          </w:p>
        </w:tc>
        <w:tc>
          <w:tcPr>
            <w:tcW w:w="4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26,450</w:t>
            </w:r>
          </w:p>
        </w:tc>
        <w:tc>
          <w:tcPr>
            <w:tcW w:w="500" w:type="dxa"/>
            <w:vAlign w:val="bottom"/>
            <w:gridSpan w:val="2"/>
            <w:shd w:val="clear" w:color="auto" w:fill="CCEEFF"/>
          </w:tcPr>
          <w:p>
            <w:pPr>
              <w:jc w:val="right"/>
              <w:ind w:right="40"/>
              <w:spacing w:after="0" w:line="103" w:lineRule="exact"/>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39"/>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w w:val="98"/>
              </w:rPr>
              <w:t>Cardback Intermediate, LLC</w:t>
            </w: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160" w:type="dxa"/>
            <w:vAlign w:val="bottom"/>
          </w:tcPr>
          <w:p>
            <w:pPr>
              <w:ind w:left="100"/>
              <w:spacing w:after="0"/>
              <w:rPr>
                <w:sz w:val="20"/>
                <w:szCs w:val="20"/>
                <w:color w:val="auto"/>
              </w:rPr>
            </w:pPr>
            <w:r>
              <w:rPr>
                <w:rFonts w:ascii="Times New Roman" w:cs="Times New Roman" w:eastAsia="Times New Roman" w:hAnsi="Times New Roman"/>
                <w:sz w:val="10"/>
                <w:szCs w:val="10"/>
                <w:i w:val="1"/>
                <w:iCs w:val="1"/>
                <w:color w:val="auto"/>
              </w:rPr>
              <w:t>(dba Chargeback Gurus)</w:t>
            </w: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w w:val="96"/>
              </w:rPr>
              <w:t>Information Technology Services</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rPr>
              <w:t>8951 Collin McKinney</w:t>
            </w:r>
          </w:p>
        </w:tc>
        <w:tc>
          <w:tcPr>
            <w:tcW w:w="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280"/>
              <w:spacing w:after="0" w:line="103" w:lineRule="exact"/>
              <w:rPr>
                <w:sz w:val="20"/>
                <w:szCs w:val="20"/>
                <w:color w:val="auto"/>
              </w:rPr>
            </w:pPr>
            <w:r>
              <w:rPr>
                <w:rFonts w:ascii="Times New Roman" w:cs="Times New Roman" w:eastAsia="Times New Roman" w:hAnsi="Times New Roman"/>
                <w:sz w:val="10"/>
                <w:szCs w:val="10"/>
                <w:color w:val="auto"/>
              </w:rPr>
              <w:t>Pkwy, Suite 1001-</w:t>
            </w:r>
          </w:p>
        </w:tc>
        <w:tc>
          <w:tcPr>
            <w:tcW w:w="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gridSpan w:val="2"/>
            <w:shd w:val="clear" w:color="auto" w:fill="CCEEFF"/>
          </w:tcPr>
          <w:p>
            <w:pPr>
              <w:ind w:left="40"/>
              <w:spacing w:after="0" w:line="103" w:lineRule="exact"/>
              <w:rPr>
                <w:sz w:val="20"/>
                <w:szCs w:val="20"/>
                <w:color w:val="auto"/>
              </w:rPr>
            </w:pPr>
            <w:r>
              <w:rPr>
                <w:rFonts w:ascii="Times New Roman" w:cs="Times New Roman" w:eastAsia="Times New Roman" w:hAnsi="Times New Roman"/>
                <w:sz w:val="10"/>
                <w:szCs w:val="10"/>
                <w:color w:val="auto"/>
              </w:rPr>
              <w:t>(S + 5.50%)</w:t>
            </w: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1002</w:t>
            </w: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First Lien Debt (j)(bl)</w:t>
            </w:r>
          </w:p>
        </w:tc>
        <w:tc>
          <w:tcPr>
            <w:tcW w:w="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 (0.75%)</w:t>
            </w: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9.20%/0.00%</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12/16/2025</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w w:val="96"/>
              </w:rPr>
              <w:t>12/16/2030</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14,663</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14,569</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14,569</w:t>
            </w: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tcPr>
          <w:p>
            <w:pPr>
              <w:ind w:left="200"/>
              <w:spacing w:after="0" w:line="103" w:lineRule="exact"/>
              <w:rPr>
                <w:sz w:val="20"/>
                <w:szCs w:val="20"/>
                <w:color w:val="auto"/>
              </w:rPr>
            </w:pPr>
            <w:r>
              <w:rPr>
                <w:rFonts w:ascii="Times New Roman" w:cs="Times New Roman" w:eastAsia="Times New Roman" w:hAnsi="Times New Roman"/>
                <w:sz w:val="10"/>
                <w:szCs w:val="10"/>
                <w:color w:val="auto"/>
              </w:rPr>
              <w:t>McKinney, TX 75070</w:t>
            </w:r>
          </w:p>
        </w:tc>
        <w:tc>
          <w:tcPr>
            <w:tcW w:w="142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(495 shares)</w:t>
            </w: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0.4%</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8/10/2021</w:t>
            </w: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45</w:t>
            </w:r>
          </w:p>
        </w:tc>
        <w:tc>
          <w:tcPr>
            <w:tcW w:w="60" w:type="dxa"/>
            <w:vAlign w:val="bottom"/>
          </w:tcPr>
          <w:p>
            <w:pPr>
              <w:spacing w:after="0"/>
              <w:rPr>
                <w:sz w:val="8"/>
                <w:szCs w:val="8"/>
                <w:color w:val="auto"/>
              </w:rPr>
            </w:pPr>
          </w:p>
        </w:tc>
        <w:tc>
          <w:tcPr>
            <w:tcW w:w="4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332</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1420" w:type="dxa"/>
            <w:vAlign w:val="bottom"/>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Preferred Equity (495 shares)</w:t>
            </w: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0.0%</w:t>
            </w: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3" w:lineRule="exact"/>
              <w:rPr>
                <w:sz w:val="20"/>
                <w:szCs w:val="20"/>
                <w:color w:val="auto"/>
              </w:rPr>
            </w:pPr>
            <w:r>
              <w:rPr>
                <w:rFonts w:ascii="Times New Roman" w:cs="Times New Roman" w:eastAsia="Times New Roman" w:hAnsi="Times New Roman"/>
                <w:sz w:val="10"/>
                <w:szCs w:val="10"/>
                <w:color w:val="auto"/>
              </w:rPr>
              <w:t>8/10/2021</w:t>
            </w: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103" w:lineRule="exact"/>
              <w:rPr>
                <w:sz w:val="20"/>
                <w:szCs w:val="20"/>
                <w:color w:val="auto"/>
              </w:rPr>
            </w:pPr>
            <w:r>
              <w:rPr>
                <w:rFonts w:ascii="Times New Roman" w:cs="Times New Roman" w:eastAsia="Times New Roman" w:hAnsi="Times New Roman"/>
                <w:sz w:val="10"/>
                <w:szCs w:val="10"/>
                <w:color w:val="auto"/>
              </w:rPr>
              <w:t>45</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190</w:t>
            </w: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Borders>
              <w:top w:val="single" w:sz="8" w:color="auto"/>
            </w:tcBorders>
          </w:tcPr>
          <w:p>
            <w:pPr>
              <w:jc w:val="right"/>
              <w:spacing w:after="0" w:line="104" w:lineRule="exact"/>
              <w:rPr>
                <w:sz w:val="20"/>
                <w:szCs w:val="20"/>
                <w:color w:val="auto"/>
              </w:rPr>
            </w:pPr>
            <w:r>
              <w:rPr>
                <w:rFonts w:ascii="Times New Roman" w:cs="Times New Roman" w:eastAsia="Times New Roman" w:hAnsi="Times New Roman"/>
                <w:sz w:val="10"/>
                <w:szCs w:val="10"/>
                <w:color w:val="auto"/>
              </w:rPr>
              <w:t>14,659</w:t>
            </w:r>
          </w:p>
        </w:tc>
        <w:tc>
          <w:tcPr>
            <w:tcW w:w="60" w:type="dxa"/>
            <w:vAlign w:val="bottom"/>
          </w:tcPr>
          <w:p>
            <w:pPr>
              <w:spacing w:after="0"/>
              <w:rPr>
                <w:sz w:val="8"/>
                <w:szCs w:val="8"/>
                <w:color w:val="auto"/>
              </w:rPr>
            </w:pPr>
          </w:p>
        </w:tc>
        <w:tc>
          <w:tcPr>
            <w:tcW w:w="360" w:type="dxa"/>
            <w:vAlign w:val="bottom"/>
            <w:tcBorders>
              <w:top w:val="single" w:sz="8" w:color="auto"/>
            </w:tcBorders>
          </w:tcPr>
          <w:p>
            <w:pPr>
              <w:jc w:val="right"/>
              <w:spacing w:after="0" w:line="104" w:lineRule="exact"/>
              <w:rPr>
                <w:sz w:val="20"/>
                <w:szCs w:val="20"/>
                <w:color w:val="auto"/>
              </w:rPr>
            </w:pPr>
            <w:r>
              <w:rPr>
                <w:rFonts w:ascii="Times New Roman" w:cs="Times New Roman" w:eastAsia="Times New Roman" w:hAnsi="Times New Roman"/>
                <w:sz w:val="10"/>
                <w:szCs w:val="10"/>
                <w:color w:val="auto"/>
              </w:rPr>
              <w:t>15,091</w:t>
            </w:r>
          </w:p>
        </w:tc>
        <w:tc>
          <w:tcPr>
            <w:tcW w:w="60" w:type="dxa"/>
            <w:vAlign w:val="bottom"/>
          </w:tcPr>
          <w:p>
            <w:pPr>
              <w:spacing w:after="0"/>
              <w:rPr>
                <w:sz w:val="8"/>
                <w:szCs w:val="8"/>
                <w:color w:val="auto"/>
              </w:rPr>
            </w:pPr>
          </w:p>
        </w:tc>
        <w:tc>
          <w:tcPr>
            <w:tcW w:w="500" w:type="dxa"/>
            <w:vAlign w:val="bottom"/>
            <w:gridSpan w:val="2"/>
          </w:tcPr>
          <w:p>
            <w:pPr>
              <w:jc w:val="right"/>
              <w:ind w:right="40"/>
              <w:spacing w:after="0" w:line="104" w:lineRule="exact"/>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87"/>
        </w:trPr>
        <w:tc>
          <w:tcPr>
            <w:tcW w:w="11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i w:val="1"/>
                <w:iCs w:val="1"/>
                <w:color w:val="auto"/>
                <w:w w:val="95"/>
              </w:rPr>
              <w:t>Choice Technology Solutions,</w:t>
            </w:r>
          </w:p>
        </w:tc>
        <w:tc>
          <w:tcPr>
            <w:tcW w:w="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100"/>
              <w:spacing w:after="0" w:line="103" w:lineRule="exact"/>
              <w:rPr>
                <w:sz w:val="20"/>
                <w:szCs w:val="20"/>
                <w:color w:val="auto"/>
              </w:rPr>
            </w:pPr>
            <w:r>
              <w:rPr>
                <w:rFonts w:ascii="Times New Roman" w:cs="Times New Roman" w:eastAsia="Times New Roman" w:hAnsi="Times New Roman"/>
                <w:sz w:val="10"/>
                <w:szCs w:val="10"/>
                <w:i w:val="1"/>
                <w:iCs w:val="1"/>
                <w:color w:val="auto"/>
                <w:w w:val="93"/>
              </w:rPr>
              <w:t>LLC (dba Choice Merchant</w:t>
            </w:r>
          </w:p>
        </w:tc>
        <w:tc>
          <w:tcPr>
            <w:tcW w:w="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i w:val="1"/>
                <w:iCs w:val="1"/>
                <w:color w:val="auto"/>
              </w:rPr>
              <w:t>Solutions, LLC) (n)</w:t>
            </w:r>
          </w:p>
        </w:tc>
        <w:tc>
          <w:tcPr>
            <w:tcW w:w="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96"/>
              </w:rPr>
              <w:t>Information Technology Services</w:t>
            </w: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10 Columbus Blvd, 6th</w:t>
            </w:r>
          </w:p>
        </w:tc>
        <w:tc>
          <w:tcPr>
            <w:tcW w:w="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Floor</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w w:val="95"/>
              </w:rPr>
              <w:t>Preferred Equity (500,000 units) (h)</w:t>
            </w: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0.0%</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8/21/2023</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— </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— </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Hartford, CT 06106</w:t>
            </w:r>
          </w:p>
        </w:tc>
        <w:tc>
          <w:tcPr>
            <w:tcW w:w="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CIH Intermediate, LLC</w:t>
            </w: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Business Services</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w w:val="94"/>
              </w:rPr>
              <w:t>120 South LaSalle Street</w:t>
            </w:r>
          </w:p>
        </w:tc>
        <w:tc>
          <w:tcPr>
            <w:tcW w:w="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Suite 2200</w:t>
            </w: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Common Equity (563 shares)</w:t>
            </w:r>
          </w:p>
        </w:tc>
        <w:tc>
          <w:tcPr>
            <w:tcW w:w="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0.5%</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3/3/2022</w:t>
            </w: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400</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3,464</w:t>
            </w: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tcPr>
          <w:p>
            <w:pPr>
              <w:ind w:left="200"/>
              <w:spacing w:after="0" w:line="103" w:lineRule="exact"/>
              <w:rPr>
                <w:sz w:val="20"/>
                <w:szCs w:val="20"/>
                <w:color w:val="auto"/>
              </w:rPr>
            </w:pPr>
            <w:r>
              <w:rPr>
                <w:rFonts w:ascii="Times New Roman" w:cs="Times New Roman" w:eastAsia="Times New Roman" w:hAnsi="Times New Roman"/>
                <w:sz w:val="10"/>
                <w:szCs w:val="10"/>
                <w:color w:val="auto"/>
              </w:rPr>
              <w:t>Chicago, IL 60603</w:t>
            </w:r>
          </w:p>
        </w:tc>
        <w:tc>
          <w:tcPr>
            <w:tcW w:w="142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Preferred Equity (563 shares)</w:t>
            </w: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0.0%</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3/3/2022</w:t>
            </w: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270</w:t>
            </w:r>
          </w:p>
        </w:tc>
        <w:tc>
          <w:tcPr>
            <w:tcW w:w="4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512</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670</w:t>
            </w:r>
          </w:p>
        </w:tc>
        <w:tc>
          <w:tcPr>
            <w:tcW w:w="4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3,976</w:t>
            </w:r>
          </w:p>
        </w:tc>
        <w:tc>
          <w:tcPr>
            <w:tcW w:w="500" w:type="dxa"/>
            <w:vAlign w:val="bottom"/>
            <w:gridSpan w:val="2"/>
            <w:shd w:val="clear" w:color="auto" w:fill="CCEEFF"/>
          </w:tcPr>
          <w:p>
            <w:pPr>
              <w:jc w:val="right"/>
              <w:ind w:right="40"/>
              <w:spacing w:after="0" w:line="103" w:lineRule="exact"/>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bl>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03440" cy="450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65" w:right="1440" w:bottom="1440" w:gutter="0" w:footer="0" w:header="0"/>
        </w:sectPr>
      </w:pPr>
    </w:p>
    <w:bookmarkStart w:id="25" w:name="page26"/>
    <w:bookmarkEnd w:id="25"/>
    <w:tbl>
      <w:tblPr>
        <w:tblLayout w:type="fixed"/>
        <w:tblInd w:w="320" w:type="dxa"/>
        <w:tblCellMar>
          <w:top w:w="0" w:type="dxa"/>
          <w:left w:w="0" w:type="dxa"/>
          <w:bottom w:w="0" w:type="dxa"/>
          <w:right w:w="0" w:type="dxa"/>
        </w:tblCellMar>
      </w:tblPr>
      <w:tr>
        <w:trPr>
          <w:trHeight w:val="103"/>
        </w:trPr>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w w:val="95"/>
              </w:rPr>
              <w:t>Variable</w:t>
            </w: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Portfolio Company (a)(b)</w:t>
            </w:r>
          </w:p>
        </w:tc>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w w:val="98"/>
              </w:rPr>
              <w:t>Percentage</w:t>
            </w:r>
          </w:p>
        </w:tc>
        <w:tc>
          <w:tcPr>
            <w:tcW w:w="58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rPr>
              <w:t>Index Spread</w:t>
            </w:r>
          </w:p>
        </w:tc>
        <w:tc>
          <w:tcPr>
            <w:tcW w:w="6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9"/>
                <w:szCs w:val="9"/>
                <w:b w:val="1"/>
                <w:bCs w:val="1"/>
                <w:color w:val="auto"/>
                <w:w w:val="99"/>
              </w:rPr>
              <w:t>Rate (e)</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2"/>
          </w:tcPr>
          <w:p>
            <w:pPr>
              <w:jc w:val="center"/>
              <w:ind w:right="140"/>
              <w:spacing w:after="0" w:line="93" w:lineRule="exact"/>
              <w:rPr>
                <w:sz w:val="20"/>
                <w:szCs w:val="20"/>
                <w:color w:val="auto"/>
              </w:rPr>
            </w:pPr>
            <w:r>
              <w:rPr>
                <w:rFonts w:ascii="Times New Roman" w:cs="Times New Roman" w:eastAsia="Times New Roman" w:hAnsi="Times New Roman"/>
                <w:sz w:val="9"/>
                <w:szCs w:val="9"/>
                <w:b w:val="1"/>
                <w:bCs w:val="1"/>
                <w:color w:val="auto"/>
                <w:w w:val="99"/>
              </w:rPr>
              <w:t>of Class</w:t>
            </w:r>
          </w:p>
        </w:tc>
        <w:tc>
          <w:tcPr>
            <w:tcW w:w="520" w:type="dxa"/>
            <w:vAlign w:val="bottom"/>
          </w:tcPr>
          <w:p>
            <w:pPr>
              <w:jc w:val="center"/>
              <w:spacing w:after="0" w:line="93" w:lineRule="exact"/>
              <w:rPr>
                <w:sz w:val="20"/>
                <w:szCs w:val="20"/>
                <w:color w:val="auto"/>
              </w:rPr>
            </w:pPr>
            <w:r>
              <w:rPr>
                <w:rFonts w:ascii="Times New Roman" w:cs="Times New Roman" w:eastAsia="Times New Roman" w:hAnsi="Times New Roman"/>
                <w:sz w:val="9"/>
                <w:szCs w:val="9"/>
                <w:b w:val="1"/>
                <w:bCs w:val="1"/>
                <w:color w:val="auto"/>
              </w:rPr>
              <w:t>/</w:t>
            </w:r>
          </w:p>
        </w:tc>
        <w:tc>
          <w:tcPr>
            <w:tcW w:w="6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540" w:type="dxa"/>
            <w:vAlign w:val="bottom"/>
            <w:gridSpan w:val="2"/>
          </w:tcPr>
          <w:p>
            <w:pPr>
              <w:jc w:val="center"/>
              <w:ind w:right="60"/>
              <w:spacing w:after="0" w:line="93" w:lineRule="exact"/>
              <w:rPr>
                <w:sz w:val="20"/>
                <w:szCs w:val="20"/>
                <w:color w:val="auto"/>
              </w:rPr>
            </w:pPr>
            <w:r>
              <w:rPr>
                <w:rFonts w:ascii="Times New Roman" w:cs="Times New Roman" w:eastAsia="Times New Roman" w:hAnsi="Times New Roman"/>
                <w:sz w:val="9"/>
                <w:szCs w:val="9"/>
                <w:b w:val="1"/>
                <w:bCs w:val="1"/>
                <w:color w:val="auto"/>
              </w:rPr>
              <w:t>Investment</w:t>
            </w: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60"/>
              <w:spacing w:after="0" w:line="93" w:lineRule="exact"/>
              <w:rPr>
                <w:sz w:val="20"/>
                <w:szCs w:val="20"/>
                <w:color w:val="auto"/>
              </w:rPr>
            </w:pPr>
            <w:r>
              <w:rPr>
                <w:rFonts w:ascii="Times New Roman" w:cs="Times New Roman" w:eastAsia="Times New Roman" w:hAnsi="Times New Roman"/>
                <w:sz w:val="9"/>
                <w:szCs w:val="9"/>
                <w:b w:val="1"/>
                <w:bCs w:val="1"/>
                <w:color w:val="auto"/>
                <w:w w:val="95"/>
              </w:rPr>
              <w:t>Principal</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gridSpan w:val="2"/>
          </w:tcPr>
          <w:p>
            <w:pPr>
              <w:jc w:val="right"/>
              <w:ind w:right="140"/>
              <w:spacing w:after="0" w:line="93" w:lineRule="exact"/>
              <w:rPr>
                <w:sz w:val="20"/>
                <w:szCs w:val="20"/>
                <w:color w:val="auto"/>
              </w:rPr>
            </w:pPr>
            <w:r>
              <w:rPr>
                <w:rFonts w:ascii="Times New Roman" w:cs="Times New Roman" w:eastAsia="Times New Roman" w:hAnsi="Times New Roman"/>
                <w:sz w:val="9"/>
                <w:szCs w:val="9"/>
                <w:b w:val="1"/>
                <w:bCs w:val="1"/>
                <w:color w:val="auto"/>
              </w:rPr>
              <w:t>Fair</w:t>
            </w:r>
          </w:p>
        </w:tc>
        <w:tc>
          <w:tcPr>
            <w:tcW w:w="520" w:type="dxa"/>
            <w:vAlign w:val="bottom"/>
            <w:gridSpan w:val="2"/>
          </w:tcPr>
          <w:p>
            <w:pPr>
              <w:jc w:val="right"/>
              <w:ind w:right="120"/>
              <w:spacing w:after="0" w:line="93" w:lineRule="exact"/>
              <w:rPr>
                <w:sz w:val="20"/>
                <w:szCs w:val="20"/>
                <w:color w:val="auto"/>
              </w:rPr>
            </w:pPr>
            <w:r>
              <w:rPr>
                <w:rFonts w:ascii="Times New Roman" w:cs="Times New Roman" w:eastAsia="Times New Roman" w:hAnsi="Times New Roman"/>
                <w:sz w:val="9"/>
                <w:szCs w:val="9"/>
                <w:b w:val="1"/>
                <w:bCs w:val="1"/>
                <w:color w:val="auto"/>
                <w:w w:val="96"/>
              </w:rPr>
              <w:t>Percent of</w:t>
            </w:r>
          </w:p>
        </w:tc>
        <w:tc>
          <w:tcPr>
            <w:tcW w:w="0" w:type="dxa"/>
            <w:vAlign w:val="bottom"/>
          </w:tcPr>
          <w:p>
            <w:pPr>
              <w:spacing w:after="0"/>
              <w:rPr>
                <w:sz w:val="1"/>
                <w:szCs w:val="1"/>
                <w:color w:val="auto"/>
              </w:rPr>
            </w:pPr>
          </w:p>
        </w:tc>
      </w:tr>
      <w:tr>
        <w:trPr>
          <w:trHeight w:val="130"/>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w w:val="97"/>
              </w:rPr>
              <w:t>Address of Portfolio Company</w:t>
            </w:r>
          </w:p>
        </w:tc>
        <w:tc>
          <w:tcPr>
            <w:tcW w:w="20" w:type="dxa"/>
            <w:vAlign w:val="bottom"/>
          </w:tcPr>
          <w:p>
            <w:pPr>
              <w:spacing w:after="0"/>
              <w:rPr>
                <w:sz w:val="11"/>
                <w:szCs w:val="11"/>
                <w:color w:val="auto"/>
              </w:rPr>
            </w:pPr>
          </w:p>
        </w:tc>
        <w:tc>
          <w:tcPr>
            <w:tcW w:w="1440" w:type="dxa"/>
            <w:vAlign w:val="bottom"/>
          </w:tcPr>
          <w:p>
            <w:pPr>
              <w:ind w:left="340"/>
              <w:spacing w:after="0"/>
              <w:rPr>
                <w:sz w:val="20"/>
                <w:szCs w:val="20"/>
                <w:color w:val="auto"/>
              </w:rPr>
            </w:pPr>
            <w:r>
              <w:rPr>
                <w:rFonts w:ascii="Times New Roman" w:cs="Times New Roman" w:eastAsia="Times New Roman" w:hAnsi="Times New Roman"/>
                <w:sz w:val="9"/>
                <w:szCs w:val="9"/>
                <w:b w:val="1"/>
                <w:bCs w:val="1"/>
                <w:color w:val="auto"/>
              </w:rPr>
              <w:t>Investment Type (c)</w:t>
            </w:r>
          </w:p>
        </w:tc>
        <w:tc>
          <w:tcPr>
            <w:tcW w:w="20" w:type="dxa"/>
            <w:vAlign w:val="bottom"/>
          </w:tcPr>
          <w:p>
            <w:pPr>
              <w:spacing w:after="0"/>
              <w:rPr>
                <w:sz w:val="11"/>
                <w:szCs w:val="11"/>
                <w:color w:val="auto"/>
              </w:rPr>
            </w:pPr>
          </w:p>
        </w:tc>
        <w:tc>
          <w:tcPr>
            <w:tcW w:w="1320" w:type="dxa"/>
            <w:vAlign w:val="bottom"/>
            <w:gridSpan w:val="2"/>
          </w:tcPr>
          <w:p>
            <w:pPr>
              <w:ind w:left="48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99"/>
              </w:rPr>
              <w:t>Held (bo)</w:t>
            </w:r>
          </w:p>
        </w:tc>
        <w:tc>
          <w:tcPr>
            <w:tcW w:w="58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w w:val="93"/>
              </w:rPr>
              <w:t>Floor (d)</w:t>
            </w: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9"/>
                <w:szCs w:val="9"/>
                <w:b w:val="1"/>
                <w:bCs w:val="1"/>
                <w:color w:val="auto"/>
                <w:w w:val="99"/>
              </w:rPr>
              <w:t>Cash/PIK</w:t>
            </w:r>
          </w:p>
        </w:tc>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w w:val="95"/>
              </w:rPr>
              <w:t>Date (f)</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Maturity</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Amount</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b w:val="1"/>
                <w:bCs w:val="1"/>
                <w:color w:val="auto"/>
              </w:rPr>
              <w:t>Cost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b w:val="1"/>
                <w:bCs w:val="1"/>
                <w:color w:val="auto"/>
                <w:w w:val="90"/>
              </w:rPr>
              <w:t>Value (g)</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b w:val="1"/>
                <w:bCs w:val="1"/>
                <w:color w:val="auto"/>
                <w:w w:val="95"/>
              </w:rPr>
              <w:t>Net Assets</w:t>
            </w:r>
          </w:p>
        </w:tc>
        <w:tc>
          <w:tcPr>
            <w:tcW w:w="0" w:type="dxa"/>
            <w:vAlign w:val="bottom"/>
          </w:tcPr>
          <w:p>
            <w:pPr>
              <w:spacing w:after="0"/>
              <w:rPr>
                <w:sz w:val="1"/>
                <w:szCs w:val="1"/>
                <w:color w:val="auto"/>
              </w:rPr>
            </w:pPr>
          </w:p>
        </w:tc>
      </w:tr>
      <w:tr>
        <w:trPr>
          <w:trHeight w:val="83"/>
        </w:trPr>
        <w:tc>
          <w:tcPr>
            <w:tcW w:w="1160" w:type="dxa"/>
            <w:vAlign w:val="bottom"/>
            <w:tcBorders>
              <w:top w:val="single" w:sz="8" w:color="CCEEFF"/>
            </w:tcBorders>
            <w:shd w:val="clear" w:color="auto" w:fill="CCEEFF"/>
          </w:tcPr>
          <w:p>
            <w:pPr>
              <w:spacing w:after="0" w:line="83" w:lineRule="exact"/>
              <w:rPr>
                <w:sz w:val="20"/>
                <w:szCs w:val="20"/>
                <w:color w:val="auto"/>
              </w:rPr>
            </w:pPr>
            <w:r>
              <w:rPr>
                <w:rFonts w:ascii="Times New Roman" w:cs="Times New Roman" w:eastAsia="Times New Roman" w:hAnsi="Times New Roman"/>
                <w:sz w:val="8"/>
                <w:szCs w:val="8"/>
                <w:i w:val="1"/>
                <w:iCs w:val="1"/>
                <w:color w:val="auto"/>
              </w:rPr>
              <w:t>Cleanova Topco Limited</w:t>
            </w:r>
          </w:p>
        </w:tc>
        <w:tc>
          <w:tcPr>
            <w:tcW w:w="20" w:type="dxa"/>
            <w:vAlign w:val="bottom"/>
            <w:tcBorders>
              <w:top w:val="single" w:sz="8" w:color="CCEEFF"/>
            </w:tcBorders>
            <w:shd w:val="clear" w:color="auto" w:fill="CCEEFF"/>
          </w:tcPr>
          <w:p>
            <w:pPr>
              <w:spacing w:after="0"/>
              <w:rPr>
                <w:sz w:val="7"/>
                <w:szCs w:val="7"/>
                <w:color w:val="auto"/>
              </w:rPr>
            </w:pPr>
          </w:p>
        </w:tc>
        <w:tc>
          <w:tcPr>
            <w:tcW w:w="144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280" w:type="dxa"/>
            <w:vAlign w:val="bottom"/>
            <w:tcBorders>
              <w:top w:val="single" w:sz="8" w:color="auto"/>
            </w:tcBorders>
            <w:shd w:val="clear" w:color="auto" w:fill="CCEEFF"/>
          </w:tcPr>
          <w:p>
            <w:pPr>
              <w:spacing w:after="0" w:line="83" w:lineRule="exact"/>
              <w:rPr>
                <w:sz w:val="20"/>
                <w:szCs w:val="20"/>
                <w:color w:val="auto"/>
              </w:rPr>
            </w:pPr>
            <w:r>
              <w:rPr>
                <w:rFonts w:ascii="Times New Roman" w:cs="Times New Roman" w:eastAsia="Times New Roman" w:hAnsi="Times New Roman"/>
                <w:sz w:val="8"/>
                <w:szCs w:val="8"/>
                <w:color w:val="auto"/>
              </w:rPr>
              <w:t>Component Manufacturing</w:t>
            </w:r>
          </w:p>
        </w:tc>
        <w:tc>
          <w:tcPr>
            <w:tcW w:w="4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1201 Riverfront</w:t>
            </w:r>
          </w:p>
        </w:tc>
        <w:tc>
          <w:tcPr>
            <w:tcW w:w="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Parkway, Unit A</w:t>
            </w: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Preferred Equity (746,893 shares)</w:t>
            </w: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0.1%</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6/12/2025</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841</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841</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w w:val="97"/>
              </w:rPr>
              <w:t>Chattanooga, TN 37402</w:t>
            </w:r>
          </w:p>
        </w:tc>
        <w:tc>
          <w:tcPr>
            <w:tcW w:w="1460" w:type="dxa"/>
            <w:vAlign w:val="bottom"/>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Preferred Equity (373,447 shares)</w:t>
            </w: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0.1%</w:t>
            </w: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6/12/2025</w:t>
            </w: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00"/>
              <w:spacing w:after="0" w:line="103" w:lineRule="exact"/>
              <w:rPr>
                <w:sz w:val="20"/>
                <w:szCs w:val="20"/>
                <w:color w:val="auto"/>
              </w:rPr>
            </w:pPr>
            <w:r>
              <w:rPr>
                <w:rFonts w:ascii="Times New Roman" w:cs="Times New Roman" w:eastAsia="Times New Roman" w:hAnsi="Times New Roman"/>
                <w:sz w:val="10"/>
                <w:szCs w:val="10"/>
                <w:color w:val="auto"/>
              </w:rPr>
              <w:t>436</w:t>
            </w:r>
          </w:p>
        </w:tc>
        <w:tc>
          <w:tcPr>
            <w:tcW w:w="40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436</w:t>
            </w: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146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(113,166 shares)</w:t>
            </w: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0.0%</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6/12/2025</w:t>
            </w: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gridSpan w:val="2"/>
          </w:tcPr>
          <w:p>
            <w:pPr>
              <w:jc w:val="right"/>
              <w:ind w:right="100"/>
              <w:spacing w:after="0" w:line="103" w:lineRule="exact"/>
              <w:rPr>
                <w:sz w:val="20"/>
                <w:szCs w:val="20"/>
                <w:color w:val="auto"/>
              </w:rPr>
            </w:pPr>
            <w:r>
              <w:rPr>
                <w:rFonts w:ascii="Times New Roman" w:cs="Times New Roman" w:eastAsia="Times New Roman" w:hAnsi="Times New Roman"/>
                <w:sz w:val="10"/>
                <w:szCs w:val="10"/>
                <w:color w:val="auto"/>
              </w:rPr>
              <w:t>454</w:t>
            </w:r>
          </w:p>
        </w:tc>
        <w:tc>
          <w:tcPr>
            <w:tcW w:w="40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454</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00"/>
              <w:spacing w:after="0" w:line="103" w:lineRule="exact"/>
              <w:rPr>
                <w:sz w:val="20"/>
                <w:szCs w:val="20"/>
                <w:color w:val="auto"/>
              </w:rPr>
            </w:pPr>
            <w:r>
              <w:rPr>
                <w:rFonts w:ascii="Times New Roman" w:cs="Times New Roman" w:eastAsia="Times New Roman" w:hAnsi="Times New Roman"/>
                <w:sz w:val="10"/>
                <w:szCs w:val="10"/>
                <w:color w:val="auto"/>
              </w:rPr>
              <w:t>1,731</w:t>
            </w:r>
          </w:p>
        </w:tc>
        <w:tc>
          <w:tcPr>
            <w:tcW w:w="40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1,731</w:t>
            </w:r>
          </w:p>
        </w:tc>
        <w:tc>
          <w:tcPr>
            <w:tcW w:w="520" w:type="dxa"/>
            <w:vAlign w:val="bottom"/>
            <w:gridSpan w:val="2"/>
            <w:shd w:val="clear" w:color="auto" w:fill="CCEEFF"/>
          </w:tcPr>
          <w:p>
            <w:pPr>
              <w:jc w:val="right"/>
              <w:ind w:right="40"/>
              <w:spacing w:after="0" w:line="103" w:lineRule="exact"/>
              <w:rPr>
                <w:sz w:val="20"/>
                <w:szCs w:val="20"/>
                <w:color w:val="auto"/>
              </w:rPr>
            </w:pPr>
            <w:r>
              <w:rPr>
                <w:rFonts w:ascii="Times New Roman" w:cs="Times New Roman" w:eastAsia="Times New Roman" w:hAnsi="Times New Roman"/>
                <w:sz w:val="10"/>
                <w:szCs w:val="10"/>
                <w:color w:val="auto"/>
              </w:rPr>
              <w:t>0%</w:t>
            </w:r>
          </w:p>
        </w:tc>
        <w:tc>
          <w:tcPr>
            <w:tcW w:w="0" w:type="dxa"/>
            <w:vAlign w:val="bottom"/>
          </w:tcPr>
          <w:p>
            <w:pPr>
              <w:spacing w:after="0"/>
              <w:rPr>
                <w:sz w:val="1"/>
                <w:szCs w:val="1"/>
                <w:color w:val="auto"/>
              </w:rPr>
            </w:pPr>
          </w:p>
        </w:tc>
      </w:tr>
      <w:tr>
        <w:trPr>
          <w:trHeight w:val="139"/>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w w:val="95"/>
              </w:rPr>
              <w:t>CRS Solutions Holdings, LLC</w:t>
            </w: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160" w:type="dxa"/>
            <w:vAlign w:val="bottom"/>
          </w:tcPr>
          <w:p>
            <w:pPr>
              <w:ind w:left="100"/>
              <w:spacing w:after="0"/>
              <w:rPr>
                <w:sz w:val="20"/>
                <w:szCs w:val="20"/>
                <w:color w:val="auto"/>
              </w:rPr>
            </w:pPr>
            <w:r>
              <w:rPr>
                <w:rFonts w:ascii="Times New Roman" w:cs="Times New Roman" w:eastAsia="Times New Roman" w:hAnsi="Times New Roman"/>
                <w:sz w:val="10"/>
                <w:szCs w:val="10"/>
                <w:i w:val="1"/>
                <w:iCs w:val="1"/>
                <w:color w:val="auto"/>
              </w:rPr>
              <w:t>(dba CRS Texas)</w:t>
            </w:r>
          </w:p>
        </w:tc>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Business Services</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rPr>
              <w:t>4501 S. Pinemont Dr.,</w:t>
            </w:r>
          </w:p>
        </w:tc>
        <w:tc>
          <w:tcPr>
            <w:tcW w:w="1460" w:type="dxa"/>
            <w:vAlign w:val="bottom"/>
            <w:gridSpan w:val="2"/>
            <w:shd w:val="clear" w:color="auto" w:fill="CCEEFF"/>
          </w:tcPr>
          <w:p>
            <w:pPr>
              <w:ind w:left="20"/>
              <w:spacing w:after="0" w:line="90" w:lineRule="exact"/>
              <w:rPr>
                <w:sz w:val="20"/>
                <w:szCs w:val="20"/>
                <w:color w:val="auto"/>
              </w:rPr>
            </w:pPr>
            <w:r>
              <w:rPr>
                <w:rFonts w:ascii="Times New Roman" w:cs="Times New Roman" w:eastAsia="Times New Roman" w:hAnsi="Times New Roman"/>
                <w:sz w:val="10"/>
                <w:szCs w:val="10"/>
                <w:color w:val="auto"/>
              </w:rPr>
              <w:t>Common Equity (574,929</w:t>
            </w:r>
          </w:p>
        </w:tc>
        <w:tc>
          <w:tcPr>
            <w:tcW w:w="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Suite 108</w:t>
            </w:r>
          </w:p>
        </w:tc>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units) (h)</w:t>
            </w:r>
          </w:p>
        </w:tc>
        <w:tc>
          <w:tcPr>
            <w:tcW w:w="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0.2%</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6/28/2022</w:t>
            </w: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272</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— </w:t>
            </w: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16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Houston, TX 77041</w:t>
            </w:r>
          </w:p>
        </w:tc>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7"/>
        </w:trPr>
        <w:tc>
          <w:tcPr>
            <w:tcW w:w="11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i w:val="1"/>
                <w:iCs w:val="1"/>
                <w:color w:val="auto"/>
              </w:rPr>
              <w:t>CTM Group, Inc. (dba</w:t>
            </w:r>
          </w:p>
        </w:tc>
        <w:tc>
          <w:tcPr>
            <w:tcW w:w="2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i w:val="1"/>
                <w:iCs w:val="1"/>
                <w:color w:val="auto"/>
              </w:rPr>
              <w:t>Venuplus, Inc.)</w:t>
            </w:r>
          </w:p>
        </w:tc>
        <w:tc>
          <w:tcPr>
            <w:tcW w:w="2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Business Services</w:t>
            </w: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200 W Sand Lake Rd</w:t>
            </w:r>
          </w:p>
        </w:tc>
        <w:tc>
          <w:tcPr>
            <w:tcW w:w="1460" w:type="dxa"/>
            <w:vAlign w:val="bottom"/>
            <w:gridSpan w:val="2"/>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w:t>
            </w: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gridSpan w:val="2"/>
          </w:tcPr>
          <w:p>
            <w:pPr>
              <w:ind w:left="40"/>
              <w:spacing w:after="0" w:line="90" w:lineRule="exact"/>
              <w:rPr>
                <w:sz w:val="20"/>
                <w:szCs w:val="20"/>
                <w:color w:val="auto"/>
              </w:rPr>
            </w:pPr>
            <w:r>
              <w:rPr>
                <w:rFonts w:ascii="Times New Roman" w:cs="Times New Roman" w:eastAsia="Times New Roman" w:hAnsi="Times New Roman"/>
                <w:sz w:val="10"/>
                <w:szCs w:val="10"/>
                <w:color w:val="auto"/>
              </w:rPr>
              <w:t>(S + 6.75%)</w:t>
            </w: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#800</w:t>
            </w:r>
          </w:p>
        </w:tc>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 (1.00%)</w:t>
            </w:r>
          </w:p>
        </w:tc>
        <w:tc>
          <w:tcPr>
            <w:tcW w:w="60" w:type="dxa"/>
            <w:vAlign w:val="bottom"/>
          </w:tcPr>
          <w:p>
            <w:pPr>
              <w:spacing w:after="0"/>
              <w:rPr>
                <w:sz w:val="10"/>
                <w:szCs w:val="1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w w:val="94"/>
              </w:rPr>
              <w:t>10.57%/0.75%</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2/28/2023</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w w:val="96"/>
              </w:rPr>
              <w:t>11/30/2026</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7,986</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7,946</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7,922</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Orlando, FL 32809</w:t>
            </w:r>
          </w:p>
        </w:tc>
        <w:tc>
          <w:tcPr>
            <w:tcW w:w="1460" w:type="dxa"/>
            <w:vAlign w:val="bottom"/>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Subordinated Debt</w:t>
            </w: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3" w:lineRule="exact"/>
              <w:rPr>
                <w:sz w:val="20"/>
                <w:szCs w:val="20"/>
                <w:color w:val="auto"/>
              </w:rPr>
            </w:pPr>
            <w:r>
              <w:rPr>
                <w:rFonts w:ascii="Times New Roman" w:cs="Times New Roman" w:eastAsia="Times New Roman" w:hAnsi="Times New Roman"/>
                <w:sz w:val="10"/>
                <w:szCs w:val="10"/>
                <w:color w:val="auto"/>
                <w:w w:val="94"/>
              </w:rPr>
              <w:t>11.50%/2.75%</w:t>
            </w:r>
          </w:p>
        </w:tc>
        <w:tc>
          <w:tcPr>
            <w:tcW w:w="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2/28/2023</w:t>
            </w:r>
          </w:p>
        </w:tc>
        <w:tc>
          <w:tcPr>
            <w:tcW w:w="5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w w:val="96"/>
              </w:rPr>
              <w:t>11/30/2027</w:t>
            </w:r>
          </w:p>
        </w:tc>
        <w:tc>
          <w:tcPr>
            <w:tcW w:w="4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2,380</w:t>
            </w:r>
          </w:p>
        </w:tc>
        <w:tc>
          <w:tcPr>
            <w:tcW w:w="400" w:type="dxa"/>
            <w:vAlign w:val="bottom"/>
            <w:gridSpan w:val="2"/>
            <w:shd w:val="clear" w:color="auto" w:fill="CCEEFF"/>
          </w:tcPr>
          <w:p>
            <w:pPr>
              <w:jc w:val="right"/>
              <w:ind w:right="100"/>
              <w:spacing w:after="0" w:line="103" w:lineRule="exact"/>
              <w:rPr>
                <w:sz w:val="20"/>
                <w:szCs w:val="20"/>
                <w:color w:val="auto"/>
              </w:rPr>
            </w:pPr>
            <w:r>
              <w:rPr>
                <w:rFonts w:ascii="Times New Roman" w:cs="Times New Roman" w:eastAsia="Times New Roman" w:hAnsi="Times New Roman"/>
                <w:sz w:val="10"/>
                <w:szCs w:val="10"/>
                <w:color w:val="auto"/>
              </w:rPr>
              <w:t>2,370</w:t>
            </w:r>
          </w:p>
        </w:tc>
        <w:tc>
          <w:tcPr>
            <w:tcW w:w="40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2,211</w:t>
            </w: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146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(400,000 units)</w:t>
            </w: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0.2%</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2/28/2023</w:t>
            </w: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gridSpan w:val="2"/>
          </w:tcPr>
          <w:p>
            <w:pPr>
              <w:jc w:val="right"/>
              <w:ind w:right="100"/>
              <w:spacing w:after="0" w:line="103" w:lineRule="exact"/>
              <w:rPr>
                <w:sz w:val="20"/>
                <w:szCs w:val="20"/>
                <w:color w:val="auto"/>
              </w:rPr>
            </w:pPr>
            <w:r>
              <w:rPr>
                <w:rFonts w:ascii="Times New Roman" w:cs="Times New Roman" w:eastAsia="Times New Roman" w:hAnsi="Times New Roman"/>
                <w:sz w:val="10"/>
                <w:szCs w:val="10"/>
                <w:color w:val="auto"/>
              </w:rPr>
              <w:t>400</w:t>
            </w:r>
          </w:p>
        </w:tc>
        <w:tc>
          <w:tcPr>
            <w:tcW w:w="400" w:type="dxa"/>
            <w:vAlign w:val="bottom"/>
            <w:gridSpan w:val="2"/>
          </w:tcPr>
          <w:p>
            <w:pPr>
              <w:jc w:val="right"/>
              <w:ind w:right="8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00"/>
              <w:spacing w:after="0" w:line="103" w:lineRule="exact"/>
              <w:rPr>
                <w:sz w:val="20"/>
                <w:szCs w:val="20"/>
                <w:color w:val="auto"/>
              </w:rPr>
            </w:pPr>
            <w:r>
              <w:rPr>
                <w:rFonts w:ascii="Times New Roman" w:cs="Times New Roman" w:eastAsia="Times New Roman" w:hAnsi="Times New Roman"/>
                <w:sz w:val="10"/>
                <w:szCs w:val="10"/>
                <w:color w:val="auto"/>
              </w:rPr>
              <w:t>10,716</w:t>
            </w:r>
          </w:p>
        </w:tc>
        <w:tc>
          <w:tcPr>
            <w:tcW w:w="40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10,133</w:t>
            </w:r>
          </w:p>
        </w:tc>
        <w:tc>
          <w:tcPr>
            <w:tcW w:w="520" w:type="dxa"/>
            <w:vAlign w:val="bottom"/>
            <w:gridSpan w:val="2"/>
            <w:shd w:val="clear" w:color="auto" w:fill="CCEEFF"/>
          </w:tcPr>
          <w:p>
            <w:pPr>
              <w:jc w:val="right"/>
              <w:ind w:right="40"/>
              <w:spacing w:after="0" w:line="103" w:lineRule="exact"/>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39"/>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Customer Expressions Corp</w:t>
            </w: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160" w:type="dxa"/>
            <w:vAlign w:val="bottom"/>
          </w:tcPr>
          <w:p>
            <w:pPr>
              <w:ind w:left="100"/>
              <w:spacing w:after="0"/>
              <w:rPr>
                <w:sz w:val="20"/>
                <w:szCs w:val="20"/>
                <w:color w:val="auto"/>
              </w:rPr>
            </w:pPr>
            <w:r>
              <w:rPr>
                <w:rFonts w:ascii="Times New Roman" w:cs="Times New Roman" w:eastAsia="Times New Roman" w:hAnsi="Times New Roman"/>
                <w:sz w:val="10"/>
                <w:szCs w:val="10"/>
                <w:i w:val="1"/>
                <w:iCs w:val="1"/>
                <w:color w:val="auto"/>
              </w:rPr>
              <w:t>(dba Case IQ) (aq)</w:t>
            </w:r>
          </w:p>
        </w:tc>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w w:val="96"/>
              </w:rPr>
              <w:t>Information Technology Services</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w w:val="93"/>
              </w:rPr>
              <w:t>300 March Rd, Suite 501</w:t>
            </w:r>
          </w:p>
        </w:tc>
        <w:tc>
          <w:tcPr>
            <w:tcW w:w="1460" w:type="dxa"/>
            <w:vAlign w:val="bottom"/>
            <w:gridSpan w:val="2"/>
            <w:shd w:val="clear" w:color="auto" w:fill="CCEEFF"/>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 (bc)(ao)</w:t>
            </w:r>
          </w:p>
        </w:tc>
        <w:tc>
          <w:tcPr>
            <w:tcW w:w="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80" w:type="dxa"/>
            <w:vAlign w:val="bottom"/>
            <w:gridSpan w:val="2"/>
            <w:shd w:val="clear" w:color="auto" w:fill="CCEEFF"/>
          </w:tcPr>
          <w:p>
            <w:pPr>
              <w:ind w:left="40"/>
              <w:spacing w:after="0" w:line="90" w:lineRule="exact"/>
              <w:rPr>
                <w:sz w:val="20"/>
                <w:szCs w:val="20"/>
                <w:color w:val="auto"/>
              </w:rPr>
            </w:pPr>
            <w:r>
              <w:rPr>
                <w:rFonts w:ascii="Times New Roman" w:cs="Times New Roman" w:eastAsia="Times New Roman" w:hAnsi="Times New Roman"/>
                <w:sz w:val="10"/>
                <w:szCs w:val="10"/>
                <w:color w:val="auto"/>
              </w:rPr>
              <w:t>(S + 5.00%)</w:t>
            </w: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 (1.00%)</w:t>
            </w: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8.82%/0.50%</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1/6/2025</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4/15/2029</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15,188</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15,101</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15,188</w:t>
            </w: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Ottawa, ON K2K 2E2</w:t>
            </w:r>
          </w:p>
        </w:tc>
        <w:tc>
          <w:tcPr>
            <w:tcW w:w="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Canada</w:t>
            </w: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w w:val="95"/>
              </w:rPr>
              <w:t>Common Equity (502,894 units) (ao)</w:t>
            </w: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0.5%</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1/6/2025</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771</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827</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00"/>
              <w:spacing w:after="0" w:line="103" w:lineRule="exact"/>
              <w:rPr>
                <w:sz w:val="20"/>
                <w:szCs w:val="20"/>
                <w:color w:val="auto"/>
              </w:rPr>
            </w:pPr>
            <w:r>
              <w:rPr>
                <w:rFonts w:ascii="Times New Roman" w:cs="Times New Roman" w:eastAsia="Times New Roman" w:hAnsi="Times New Roman"/>
                <w:sz w:val="10"/>
                <w:szCs w:val="10"/>
                <w:color w:val="auto"/>
              </w:rPr>
              <w:t>15,872</w:t>
            </w:r>
          </w:p>
        </w:tc>
        <w:tc>
          <w:tcPr>
            <w:tcW w:w="40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16,015</w:t>
            </w:r>
          </w:p>
        </w:tc>
        <w:tc>
          <w:tcPr>
            <w:tcW w:w="520" w:type="dxa"/>
            <w:vAlign w:val="bottom"/>
            <w:gridSpan w:val="2"/>
            <w:shd w:val="clear" w:color="auto" w:fill="CCEEFF"/>
          </w:tcPr>
          <w:p>
            <w:pPr>
              <w:jc w:val="right"/>
              <w:ind w:right="40"/>
              <w:spacing w:after="0" w:line="103" w:lineRule="exact"/>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154"/>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Dataguise, Inc.</w:t>
            </w: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w w:val="96"/>
              </w:rPr>
              <w:t>Information Technology Services</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rPr>
              <w:t>39650 Liberty St Suite</w:t>
            </w:r>
          </w:p>
        </w:tc>
        <w:tc>
          <w:tcPr>
            <w:tcW w:w="2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400</w:t>
            </w:r>
          </w:p>
        </w:tc>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Common Equity (909 shares)</w:t>
            </w:r>
          </w:p>
        </w:tc>
        <w:tc>
          <w:tcPr>
            <w:tcW w:w="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0.9%</w:t>
            </w: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12/31/2020</w:t>
            </w: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1,500</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1,703</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0%</w:t>
            </w:r>
          </w:p>
        </w:tc>
        <w:tc>
          <w:tcPr>
            <w:tcW w:w="0" w:type="dxa"/>
            <w:vAlign w:val="bottom"/>
          </w:tcPr>
          <w:p>
            <w:pPr>
              <w:spacing w:after="0"/>
              <w:rPr>
                <w:sz w:val="1"/>
                <w:szCs w:val="1"/>
                <w:color w:val="auto"/>
              </w:rPr>
            </w:pPr>
          </w:p>
        </w:tc>
      </w:tr>
      <w:tr>
        <w:trPr>
          <w:trHeight w:val="123"/>
        </w:trPr>
        <w:tc>
          <w:tcPr>
            <w:tcW w:w="116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Fremont, CA 94538</w:t>
            </w:r>
          </w:p>
        </w:tc>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0"/>
                <w:szCs w:val="10"/>
                <w:i w:val="1"/>
                <w:iCs w:val="1"/>
                <w:color w:val="auto"/>
                <w:w w:val="97"/>
              </w:rPr>
              <w:t>Dealerbuilt Acquisition, LLC</w:t>
            </w:r>
          </w:p>
        </w:tc>
        <w:tc>
          <w:tcPr>
            <w:tcW w:w="2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1340" w:type="dxa"/>
            <w:vAlign w:val="bottom"/>
            <w:gridSpan w:val="3"/>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w w:val="96"/>
              </w:rPr>
              <w:t>Information Technology Services</w:t>
            </w: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1321 Upland Dr., PMB</w:t>
            </w:r>
          </w:p>
        </w:tc>
        <w:tc>
          <w:tcPr>
            <w:tcW w:w="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gridSpan w:val="2"/>
          </w:tcPr>
          <w:p>
            <w:pPr>
              <w:ind w:left="40"/>
              <w:spacing w:after="0" w:line="90" w:lineRule="exact"/>
              <w:rPr>
                <w:sz w:val="20"/>
                <w:szCs w:val="20"/>
                <w:color w:val="auto"/>
              </w:rPr>
            </w:pPr>
            <w:r>
              <w:rPr>
                <w:rFonts w:ascii="Times New Roman" w:cs="Times New Roman" w:eastAsia="Times New Roman" w:hAnsi="Times New Roman"/>
                <w:sz w:val="10"/>
                <w:szCs w:val="10"/>
                <w:color w:val="auto"/>
              </w:rPr>
              <w:t>(S + 5.75%)</w:t>
            </w: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22449</w:t>
            </w: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First Lien Debt (ac)</w:t>
            </w: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 (4.00%)</w:t>
            </w:r>
          </w:p>
        </w:tc>
        <w:tc>
          <w:tcPr>
            <w:tcW w:w="60" w:type="dxa"/>
            <w:vAlign w:val="bottom"/>
          </w:tcPr>
          <w:p>
            <w:pPr>
              <w:spacing w:after="0"/>
              <w:rPr>
                <w:sz w:val="10"/>
                <w:szCs w:val="1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9.75%/1.00%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7/21/2023</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7/21/2026</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13,766</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13,748</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13,766</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Houston, TX 77043</w:t>
            </w:r>
          </w:p>
        </w:tc>
        <w:tc>
          <w:tcPr>
            <w:tcW w:w="1460" w:type="dxa"/>
            <w:vAlign w:val="bottom"/>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Subordinated Debt</w:t>
            </w: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7.50%/7.50%</w:t>
            </w:r>
          </w:p>
        </w:tc>
        <w:tc>
          <w:tcPr>
            <w:tcW w:w="54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7/21/2023</w:t>
            </w:r>
          </w:p>
        </w:tc>
        <w:tc>
          <w:tcPr>
            <w:tcW w:w="5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1/21/2027</w:t>
            </w:r>
          </w:p>
        </w:tc>
        <w:tc>
          <w:tcPr>
            <w:tcW w:w="4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12,511</w:t>
            </w:r>
          </w:p>
        </w:tc>
        <w:tc>
          <w:tcPr>
            <w:tcW w:w="400" w:type="dxa"/>
            <w:vAlign w:val="bottom"/>
            <w:gridSpan w:val="2"/>
            <w:shd w:val="clear" w:color="auto" w:fill="CCEEFF"/>
          </w:tcPr>
          <w:p>
            <w:pPr>
              <w:jc w:val="right"/>
              <w:ind w:right="100"/>
              <w:spacing w:after="0" w:line="103" w:lineRule="exact"/>
              <w:rPr>
                <w:sz w:val="20"/>
                <w:szCs w:val="20"/>
                <w:color w:val="auto"/>
              </w:rPr>
            </w:pPr>
            <w:r>
              <w:rPr>
                <w:rFonts w:ascii="Times New Roman" w:cs="Times New Roman" w:eastAsia="Times New Roman" w:hAnsi="Times New Roman"/>
                <w:sz w:val="10"/>
                <w:szCs w:val="10"/>
                <w:color w:val="auto"/>
              </w:rPr>
              <w:t>12,486</w:t>
            </w:r>
          </w:p>
        </w:tc>
        <w:tc>
          <w:tcPr>
            <w:tcW w:w="40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12,511</w:t>
            </w: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146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(1,000 Units) (h)</w:t>
            </w: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0.9%</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7/21/2023</w:t>
            </w: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gridSpan w:val="2"/>
          </w:tcPr>
          <w:p>
            <w:pPr>
              <w:jc w:val="right"/>
              <w:ind w:right="12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gridSpan w:val="2"/>
          </w:tcPr>
          <w:p>
            <w:pPr>
              <w:jc w:val="right"/>
              <w:ind w:right="8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1460" w:type="dxa"/>
            <w:vAlign w:val="bottom"/>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Preferred Equity (1,000 Units) (h)</w:t>
            </w: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0.0%</w:t>
            </w: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7/21/2023</w:t>
            </w: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00"/>
              <w:spacing w:after="0" w:line="103" w:lineRule="exact"/>
              <w:rPr>
                <w:sz w:val="20"/>
                <w:szCs w:val="20"/>
                <w:color w:val="auto"/>
              </w:rPr>
            </w:pPr>
            <w:r>
              <w:rPr>
                <w:rFonts w:ascii="Times New Roman" w:cs="Times New Roman" w:eastAsia="Times New Roman" w:hAnsi="Times New Roman"/>
                <w:sz w:val="10"/>
                <w:szCs w:val="10"/>
                <w:color w:val="auto"/>
              </w:rPr>
              <w:t>1,000</w:t>
            </w:r>
          </w:p>
        </w:tc>
        <w:tc>
          <w:tcPr>
            <w:tcW w:w="40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1,033</w:t>
            </w: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27,234</w:t>
            </w:r>
          </w:p>
        </w:tc>
        <w:tc>
          <w:tcPr>
            <w:tcW w:w="100" w:type="dxa"/>
            <w:vAlign w:val="bottom"/>
          </w:tcPr>
          <w:p>
            <w:pPr>
              <w:spacing w:after="0"/>
              <w:rPr>
                <w:sz w:val="9"/>
                <w:szCs w:val="9"/>
                <w:color w:val="auto"/>
              </w:rPr>
            </w:pPr>
          </w:p>
        </w:tc>
        <w:tc>
          <w:tcPr>
            <w:tcW w:w="3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27,310</w:t>
            </w:r>
          </w:p>
        </w:tc>
        <w:tc>
          <w:tcPr>
            <w:tcW w:w="60" w:type="dxa"/>
            <w:vAlign w:val="bottom"/>
          </w:tcPr>
          <w:p>
            <w:pPr>
              <w:spacing w:after="0"/>
              <w:rPr>
                <w:sz w:val="9"/>
                <w:szCs w:val="9"/>
                <w:color w:val="auto"/>
              </w:rPr>
            </w:pPr>
          </w:p>
        </w:tc>
        <w:tc>
          <w:tcPr>
            <w:tcW w:w="520" w:type="dxa"/>
            <w:vAlign w:val="bottom"/>
            <w:gridSpan w:val="2"/>
          </w:tcPr>
          <w:p>
            <w:pPr>
              <w:jc w:val="right"/>
              <w:ind w:right="40"/>
              <w:spacing w:after="0" w:line="111" w:lineRule="exact"/>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41"/>
        </w:trPr>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0"/>
                <w:szCs w:val="10"/>
                <w:i w:val="1"/>
                <w:iCs w:val="1"/>
                <w:color w:val="auto"/>
              </w:rPr>
              <w:t>Detechtion Holdings, LLC</w:t>
            </w:r>
          </w:p>
        </w:tc>
        <w:tc>
          <w:tcPr>
            <w:tcW w:w="2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1340" w:type="dxa"/>
            <w:vAlign w:val="bottom"/>
            <w:gridSpan w:val="3"/>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w w:val="96"/>
              </w:rPr>
              <w:t>Information Technology Services</w:t>
            </w: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2700 Post Oak Blvd,</w:t>
            </w:r>
          </w:p>
        </w:tc>
        <w:tc>
          <w:tcPr>
            <w:tcW w:w="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gridSpan w:val="2"/>
          </w:tcPr>
          <w:p>
            <w:pPr>
              <w:ind w:left="40"/>
              <w:spacing w:after="0" w:line="90" w:lineRule="exact"/>
              <w:rPr>
                <w:sz w:val="20"/>
                <w:szCs w:val="20"/>
                <w:color w:val="auto"/>
              </w:rPr>
            </w:pPr>
            <w:r>
              <w:rPr>
                <w:rFonts w:ascii="Times New Roman" w:cs="Times New Roman" w:eastAsia="Times New Roman" w:hAnsi="Times New Roman"/>
                <w:sz w:val="10"/>
                <w:szCs w:val="10"/>
                <w:color w:val="auto"/>
              </w:rPr>
              <w:t>(S + 5.75%)</w:t>
            </w: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Suite 700</w:t>
            </w: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First Lien Debt</w:t>
            </w: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 (2.25%)</w:t>
            </w:r>
          </w:p>
        </w:tc>
        <w:tc>
          <w:tcPr>
            <w:tcW w:w="60" w:type="dxa"/>
            <w:vAlign w:val="bottom"/>
          </w:tcPr>
          <w:p>
            <w:pPr>
              <w:spacing w:after="0"/>
              <w:rPr>
                <w:sz w:val="10"/>
                <w:szCs w:val="1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9.74%/2.50%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6/21/2023</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6/21/2028</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27,712</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27,628</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27,712</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rPr>
              <w:t>Houston, TX 77056</w:t>
            </w:r>
          </w:p>
        </w:tc>
        <w:tc>
          <w:tcPr>
            <w:tcW w:w="1460" w:type="dxa"/>
            <w:vAlign w:val="bottom"/>
            <w:gridSpan w:val="2"/>
            <w:shd w:val="clear" w:color="auto" w:fill="CCEEFF"/>
          </w:tcPr>
          <w:p>
            <w:pPr>
              <w:ind w:left="20"/>
              <w:spacing w:after="0" w:line="90" w:lineRule="exact"/>
              <w:rPr>
                <w:sz w:val="20"/>
                <w:szCs w:val="20"/>
                <w:color w:val="auto"/>
              </w:rPr>
            </w:pPr>
            <w:r>
              <w:rPr>
                <w:rFonts w:ascii="Times New Roman" w:cs="Times New Roman" w:eastAsia="Times New Roman" w:hAnsi="Times New Roman"/>
                <w:sz w:val="10"/>
                <w:szCs w:val="10"/>
                <w:color w:val="auto"/>
              </w:rPr>
              <w:t>Revolving Loan ($1,000</w:t>
            </w:r>
          </w:p>
        </w:tc>
        <w:tc>
          <w:tcPr>
            <w:tcW w:w="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80" w:type="dxa"/>
            <w:vAlign w:val="bottom"/>
            <w:gridSpan w:val="2"/>
            <w:shd w:val="clear" w:color="auto" w:fill="CCEEFF"/>
          </w:tcPr>
          <w:p>
            <w:pPr>
              <w:ind w:left="40"/>
              <w:spacing w:after="0" w:line="90" w:lineRule="exact"/>
              <w:rPr>
                <w:sz w:val="20"/>
                <w:szCs w:val="20"/>
                <w:color w:val="auto"/>
              </w:rPr>
            </w:pPr>
            <w:r>
              <w:rPr>
                <w:rFonts w:ascii="Times New Roman" w:cs="Times New Roman" w:eastAsia="Times New Roman" w:hAnsi="Times New Roman"/>
                <w:sz w:val="10"/>
                <w:szCs w:val="10"/>
                <w:color w:val="auto"/>
              </w:rPr>
              <w:t>(S + 8.25%)</w:t>
            </w: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spacing w:after="0"/>
              <w:rPr>
                <w:sz w:val="10"/>
                <w:szCs w:val="10"/>
                <w:color w:val="auto"/>
              </w:rPr>
            </w:pPr>
          </w:p>
        </w:tc>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unfunded commitment) (w)</w:t>
            </w:r>
          </w:p>
        </w:tc>
        <w:tc>
          <w:tcPr>
            <w:tcW w:w="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 (2.25%)</w:t>
            </w: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w w:val="94"/>
              </w:rPr>
              <w:t>12.24%/0.00%</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7/12/2024</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6/21/2028</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— </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— </w:t>
            </w: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146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Subordinated Debt</w:t>
            </w: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2"/>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w w:val="94"/>
              </w:rPr>
              <w:t>0.00%/14.00%</w:t>
            </w: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6/21/2023</w:t>
            </w:r>
          </w:p>
        </w:tc>
        <w:tc>
          <w:tcPr>
            <w:tcW w:w="5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6/21/2028</w:t>
            </w:r>
          </w:p>
        </w:tc>
        <w:tc>
          <w:tcPr>
            <w:tcW w:w="4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2,848</w:t>
            </w:r>
          </w:p>
        </w:tc>
        <w:tc>
          <w:tcPr>
            <w:tcW w:w="400" w:type="dxa"/>
            <w:vAlign w:val="bottom"/>
            <w:gridSpan w:val="2"/>
          </w:tcPr>
          <w:p>
            <w:pPr>
              <w:jc w:val="right"/>
              <w:ind w:right="100"/>
              <w:spacing w:after="0" w:line="103" w:lineRule="exact"/>
              <w:rPr>
                <w:sz w:val="20"/>
                <w:szCs w:val="20"/>
                <w:color w:val="auto"/>
              </w:rPr>
            </w:pPr>
            <w:r>
              <w:rPr>
                <w:rFonts w:ascii="Times New Roman" w:cs="Times New Roman" w:eastAsia="Times New Roman" w:hAnsi="Times New Roman"/>
                <w:sz w:val="10"/>
                <w:szCs w:val="10"/>
                <w:color w:val="auto"/>
              </w:rPr>
              <w:t>2,842</w:t>
            </w:r>
          </w:p>
        </w:tc>
        <w:tc>
          <w:tcPr>
            <w:tcW w:w="40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2,848</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1460" w:type="dxa"/>
            <w:vAlign w:val="bottom"/>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w w:val="98"/>
              </w:rPr>
              <w:t>Common Equity (601,532 units) (h)</w:t>
            </w: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1.8%</w:t>
            </w: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6/21/2023</w:t>
            </w: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00"/>
              <w:spacing w:after="0" w:line="103" w:lineRule="exact"/>
              <w:rPr>
                <w:sz w:val="20"/>
                <w:szCs w:val="20"/>
                <w:color w:val="auto"/>
              </w:rPr>
            </w:pPr>
            <w:r>
              <w:rPr>
                <w:rFonts w:ascii="Times New Roman" w:cs="Times New Roman" w:eastAsia="Times New Roman" w:hAnsi="Times New Roman"/>
                <w:sz w:val="10"/>
                <w:szCs w:val="10"/>
                <w:color w:val="auto"/>
              </w:rPr>
              <w:t>602</w:t>
            </w:r>
          </w:p>
        </w:tc>
        <w:tc>
          <w:tcPr>
            <w:tcW w:w="40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501</w:t>
            </w: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31,069</w:t>
            </w:r>
          </w:p>
        </w:tc>
        <w:tc>
          <w:tcPr>
            <w:tcW w:w="100" w:type="dxa"/>
            <w:vAlign w:val="bottom"/>
          </w:tcPr>
          <w:p>
            <w:pPr>
              <w:spacing w:after="0"/>
              <w:rPr>
                <w:sz w:val="9"/>
                <w:szCs w:val="9"/>
                <w:color w:val="auto"/>
              </w:rPr>
            </w:pPr>
          </w:p>
        </w:tc>
        <w:tc>
          <w:tcPr>
            <w:tcW w:w="3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31,061</w:t>
            </w:r>
          </w:p>
        </w:tc>
        <w:tc>
          <w:tcPr>
            <w:tcW w:w="60" w:type="dxa"/>
            <w:vAlign w:val="bottom"/>
          </w:tcPr>
          <w:p>
            <w:pPr>
              <w:spacing w:after="0"/>
              <w:rPr>
                <w:sz w:val="9"/>
                <w:szCs w:val="9"/>
                <w:color w:val="auto"/>
              </w:rPr>
            </w:pPr>
          </w:p>
        </w:tc>
        <w:tc>
          <w:tcPr>
            <w:tcW w:w="520" w:type="dxa"/>
            <w:vAlign w:val="bottom"/>
            <w:gridSpan w:val="2"/>
          </w:tcPr>
          <w:p>
            <w:pPr>
              <w:jc w:val="right"/>
              <w:ind w:right="40"/>
              <w:spacing w:after="0" w:line="111" w:lineRule="exact"/>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03440" cy="450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65" w:right="1440" w:bottom="1440" w:gutter="0" w:footer="0" w:header="0"/>
        </w:sectPr>
      </w:pPr>
    </w:p>
    <w:bookmarkStart w:id="26" w:name="page27"/>
    <w:bookmarkEnd w:id="26"/>
    <w:p>
      <w:pPr>
        <w:spacing w:after="0" w:line="103" w:lineRule="exact"/>
        <w:rPr>
          <w:sz w:val="20"/>
          <w:szCs w:val="20"/>
          <w:color w:val="auto"/>
        </w:rPr>
      </w:pPr>
    </w:p>
    <w:tbl>
      <w:tblPr>
        <w:tblLayout w:type="fixed"/>
        <w:tblInd w:w="320" w:type="dxa"/>
        <w:tblCellMar>
          <w:top w:w="0" w:type="dxa"/>
          <w:left w:w="0" w:type="dxa"/>
          <w:bottom w:w="0" w:type="dxa"/>
          <w:right w:w="0" w:type="dxa"/>
        </w:tblCellMar>
      </w:tblPr>
      <w:tr>
        <w:trPr>
          <w:trHeight w:val="115"/>
        </w:trPr>
        <w:tc>
          <w:tcPr>
            <w:tcW w:w="116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Portfolio Company (a)(b)</w:t>
            </w: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209"/>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w w:val="97"/>
              </w:rPr>
              <w:t>Address of Portfolio Company</w:t>
            </w:r>
          </w:p>
        </w:tc>
        <w:tc>
          <w:tcPr>
            <w:tcW w:w="20" w:type="dxa"/>
            <w:vAlign w:val="bottom"/>
          </w:tcPr>
          <w:p>
            <w:pPr>
              <w:spacing w:after="0"/>
              <w:rPr>
                <w:sz w:val="18"/>
                <w:szCs w:val="18"/>
                <w:color w:val="auto"/>
              </w:rPr>
            </w:pPr>
          </w:p>
        </w:tc>
        <w:tc>
          <w:tcPr>
            <w:tcW w:w="14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9"/>
                <w:szCs w:val="9"/>
                <w:b w:val="1"/>
                <w:bCs w:val="1"/>
                <w:color w:val="auto"/>
              </w:rPr>
              <w:t>Investment Type (c)</w:t>
            </w:r>
          </w:p>
        </w:tc>
        <w:tc>
          <w:tcPr>
            <w:tcW w:w="20" w:type="dxa"/>
            <w:vAlign w:val="bottom"/>
          </w:tcPr>
          <w:p>
            <w:pPr>
              <w:spacing w:after="0"/>
              <w:rPr>
                <w:sz w:val="18"/>
                <w:szCs w:val="18"/>
                <w:color w:val="auto"/>
              </w:rPr>
            </w:pPr>
          </w:p>
        </w:tc>
        <w:tc>
          <w:tcPr>
            <w:tcW w:w="12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9"/>
                <w:szCs w:val="9"/>
                <w:b w:val="1"/>
                <w:bCs w:val="1"/>
                <w:color w:val="auto"/>
              </w:rPr>
              <w:t>Industry</w:t>
            </w:r>
          </w:p>
        </w:tc>
      </w:tr>
      <w:tr>
        <w:trPr>
          <w:trHeight w:val="70"/>
        </w:trPr>
        <w:tc>
          <w:tcPr>
            <w:tcW w:w="1160" w:type="dxa"/>
            <w:vAlign w:val="bottom"/>
          </w:tcPr>
          <w:p>
            <w:pPr>
              <w:spacing w:after="0" w:line="70" w:lineRule="exact"/>
              <w:rPr>
                <w:sz w:val="20"/>
                <w:szCs w:val="20"/>
                <w:color w:val="auto"/>
              </w:rPr>
            </w:pPr>
            <w:r>
              <w:rPr>
                <w:rFonts w:ascii="Times New Roman" w:cs="Times New Roman" w:eastAsia="Times New Roman" w:hAnsi="Times New Roman"/>
                <w:sz w:val="8"/>
                <w:szCs w:val="8"/>
                <w:i w:val="1"/>
                <w:iCs w:val="1"/>
                <w:color w:val="auto"/>
              </w:rPr>
              <w:t>Diversified Search LLC</w:t>
            </w:r>
          </w:p>
        </w:tc>
        <w:tc>
          <w:tcPr>
            <w:tcW w:w="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80" w:type="dxa"/>
            <w:vAlign w:val="bottom"/>
          </w:tcPr>
          <w:p>
            <w:pPr>
              <w:spacing w:after="0" w:line="70" w:lineRule="exact"/>
              <w:rPr>
                <w:sz w:val="20"/>
                <w:szCs w:val="20"/>
                <w:color w:val="auto"/>
              </w:rPr>
            </w:pPr>
            <w:r>
              <w:rPr>
                <w:rFonts w:ascii="Times New Roman" w:cs="Times New Roman" w:eastAsia="Times New Roman" w:hAnsi="Times New Roman"/>
                <w:sz w:val="8"/>
                <w:szCs w:val="8"/>
                <w:color w:val="auto"/>
              </w:rPr>
              <w:t>Business Services</w:t>
            </w:r>
          </w:p>
        </w:tc>
      </w:tr>
      <w:tr>
        <w:trPr>
          <w:trHeight w:val="123"/>
        </w:trPr>
        <w:tc>
          <w:tcPr>
            <w:tcW w:w="116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2005 Market St.</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First Lien Debt (j)(r)</w:t>
            </w: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205"/>
        </w:trPr>
        <w:tc>
          <w:tcPr>
            <w:tcW w:w="1160" w:type="dxa"/>
            <w:vAlign w:val="bottom"/>
          </w:tcPr>
          <w:p>
            <w:pPr>
              <w:ind w:left="200"/>
              <w:spacing w:after="0"/>
              <w:rPr>
                <w:sz w:val="20"/>
                <w:szCs w:val="20"/>
                <w:color w:val="auto"/>
              </w:rPr>
            </w:pPr>
            <w:r>
              <w:rPr>
                <w:rFonts w:ascii="Times New Roman" w:cs="Times New Roman" w:eastAsia="Times New Roman" w:hAnsi="Times New Roman"/>
                <w:sz w:val="10"/>
                <w:szCs w:val="10"/>
                <w:color w:val="auto"/>
                <w:w w:val="98"/>
              </w:rPr>
              <w:t>Philadelphia, PA 19103</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Common Equity (573 units) (h)</w:t>
            </w: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54"/>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Donovan Food Brokerage,</w:t>
            </w:r>
          </w:p>
        </w:tc>
        <w:tc>
          <w:tcPr>
            <w:tcW w:w="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105"/>
        </w:trPr>
        <w:tc>
          <w:tcPr>
            <w:tcW w:w="1160" w:type="dxa"/>
            <w:vAlign w:val="bottom"/>
          </w:tcPr>
          <w:p>
            <w:pPr>
              <w:ind w:left="100"/>
              <w:spacing w:after="0" w:line="105" w:lineRule="exact"/>
              <w:rPr>
                <w:sz w:val="20"/>
                <w:szCs w:val="20"/>
                <w:color w:val="auto"/>
              </w:rPr>
            </w:pPr>
            <w:r>
              <w:rPr>
                <w:rFonts w:ascii="Times New Roman" w:cs="Times New Roman" w:eastAsia="Times New Roman" w:hAnsi="Times New Roman"/>
                <w:sz w:val="10"/>
                <w:szCs w:val="10"/>
                <w:i w:val="1"/>
                <w:iCs w:val="1"/>
                <w:color w:val="auto"/>
              </w:rPr>
              <w:t>LLC</w:t>
            </w:r>
          </w:p>
        </w:tc>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300" w:type="dxa"/>
            <w:vAlign w:val="bottom"/>
            <w:gridSpan w:val="2"/>
          </w:tcPr>
          <w:p>
            <w:pPr>
              <w:ind w:left="20"/>
              <w:spacing w:after="0" w:line="105" w:lineRule="exact"/>
              <w:rPr>
                <w:sz w:val="20"/>
                <w:szCs w:val="20"/>
                <w:color w:val="auto"/>
              </w:rPr>
            </w:pPr>
            <w:r>
              <w:rPr>
                <w:rFonts w:ascii="Times New Roman" w:cs="Times New Roman" w:eastAsia="Times New Roman" w:hAnsi="Times New Roman"/>
                <w:sz w:val="10"/>
                <w:szCs w:val="10"/>
                <w:color w:val="auto"/>
              </w:rPr>
              <w:t>Business Services</w:t>
            </w:r>
          </w:p>
        </w:tc>
      </w:tr>
      <w:tr>
        <w:trPr>
          <w:trHeight w:val="123"/>
        </w:trPr>
        <w:tc>
          <w:tcPr>
            <w:tcW w:w="1160" w:type="dxa"/>
            <w:vAlign w:val="bottom"/>
          </w:tcPr>
          <w:p>
            <w:pPr>
              <w:ind w:left="200"/>
              <w:spacing w:after="0"/>
              <w:rPr>
                <w:sz w:val="20"/>
                <w:szCs w:val="20"/>
                <w:color w:val="auto"/>
              </w:rPr>
            </w:pPr>
            <w:r>
              <w:rPr>
                <w:rFonts w:ascii="Times New Roman" w:cs="Times New Roman" w:eastAsia="Times New Roman" w:hAnsi="Times New Roman"/>
                <w:sz w:val="10"/>
                <w:szCs w:val="10"/>
                <w:color w:val="auto"/>
                <w:w w:val="99"/>
              </w:rPr>
              <w:t>231 Woodland Lake Dr</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First Lien Debt (ae)</w:t>
            </w: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205"/>
        </w:trPr>
        <w:tc>
          <w:tcPr>
            <w:tcW w:w="116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Cordova, TN 38018</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Common Equity (679,301 units)</w:t>
            </w: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54"/>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E-PlanSoft Buyer, LLC</w:t>
            </w:r>
          </w:p>
        </w:tc>
        <w:tc>
          <w:tcPr>
            <w:tcW w:w="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105"/>
        </w:trPr>
        <w:tc>
          <w:tcPr>
            <w:tcW w:w="1160" w:type="dxa"/>
            <w:vAlign w:val="bottom"/>
          </w:tcPr>
          <w:p>
            <w:pPr>
              <w:ind w:left="100"/>
              <w:spacing w:after="0" w:line="105" w:lineRule="exact"/>
              <w:rPr>
                <w:sz w:val="20"/>
                <w:szCs w:val="20"/>
                <w:color w:val="auto"/>
              </w:rPr>
            </w:pPr>
            <w:r>
              <w:rPr>
                <w:rFonts w:ascii="Times New Roman" w:cs="Times New Roman" w:eastAsia="Times New Roman" w:hAnsi="Times New Roman"/>
                <w:sz w:val="10"/>
                <w:szCs w:val="10"/>
                <w:i w:val="1"/>
                <w:iCs w:val="1"/>
                <w:color w:val="auto"/>
              </w:rPr>
              <w:t>(dba e-PlanSoft)</w:t>
            </w:r>
          </w:p>
        </w:tc>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300" w:type="dxa"/>
            <w:vAlign w:val="bottom"/>
            <w:gridSpan w:val="2"/>
          </w:tcPr>
          <w:p>
            <w:pPr>
              <w:ind w:left="20"/>
              <w:spacing w:after="0" w:line="105" w:lineRule="exact"/>
              <w:rPr>
                <w:sz w:val="20"/>
                <w:szCs w:val="20"/>
                <w:color w:val="auto"/>
              </w:rPr>
            </w:pPr>
            <w:r>
              <w:rPr>
                <w:rFonts w:ascii="Times New Roman" w:cs="Times New Roman" w:eastAsia="Times New Roman" w:hAnsi="Times New Roman"/>
                <w:sz w:val="10"/>
                <w:szCs w:val="10"/>
                <w:color w:val="auto"/>
                <w:w w:val="93"/>
              </w:rPr>
              <w:t>Information Technology Services</w:t>
            </w:r>
          </w:p>
        </w:tc>
      </w:tr>
      <w:tr>
        <w:trPr>
          <w:trHeight w:val="103"/>
        </w:trPr>
        <w:tc>
          <w:tcPr>
            <w:tcW w:w="1160" w:type="dxa"/>
            <w:vAlign w:val="bottom"/>
          </w:tcPr>
          <w:p>
            <w:pPr>
              <w:ind w:left="200"/>
              <w:spacing w:after="0" w:line="103" w:lineRule="exact"/>
              <w:rPr>
                <w:sz w:val="20"/>
                <w:szCs w:val="20"/>
                <w:color w:val="auto"/>
              </w:rPr>
            </w:pPr>
            <w:r>
              <w:rPr>
                <w:rFonts w:ascii="Times New Roman" w:cs="Times New Roman" w:eastAsia="Times New Roman" w:hAnsi="Times New Roman"/>
                <w:sz w:val="10"/>
                <w:szCs w:val="10"/>
                <w:color w:val="auto"/>
              </w:rPr>
              <w:t>111 Pacifica Suite 100</w:t>
            </w:r>
          </w:p>
        </w:tc>
        <w:tc>
          <w:tcPr>
            <w:tcW w:w="142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First Lien Debt</w:t>
            </w: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123"/>
        </w:trPr>
        <w:tc>
          <w:tcPr>
            <w:tcW w:w="116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Irvine, CA 92618</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Preferred Equity (1,500 units)</w:t>
            </w: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254"/>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w w:val="94"/>
              </w:rPr>
              <w:t>Enterprise Asset Management</w:t>
            </w:r>
          </w:p>
        </w:tc>
        <w:tc>
          <w:tcPr>
            <w:tcW w:w="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103"/>
        </w:trPr>
        <w:tc>
          <w:tcPr>
            <w:tcW w:w="1160" w:type="dxa"/>
            <w:vAlign w:val="bottom"/>
          </w:tcPr>
          <w:p>
            <w:pPr>
              <w:ind w:left="100"/>
              <w:spacing w:after="0" w:line="103" w:lineRule="exact"/>
              <w:rPr>
                <w:sz w:val="20"/>
                <w:szCs w:val="20"/>
                <w:color w:val="auto"/>
              </w:rPr>
            </w:pPr>
            <w:r>
              <w:rPr>
                <w:rFonts w:ascii="Times New Roman" w:cs="Times New Roman" w:eastAsia="Times New Roman" w:hAnsi="Times New Roman"/>
                <w:sz w:val="10"/>
                <w:szCs w:val="10"/>
                <w:i w:val="1"/>
                <w:iCs w:val="1"/>
                <w:color w:val="auto"/>
              </w:rPr>
              <w:t>FM Purchaser, Inc. (dba</w:t>
            </w:r>
          </w:p>
        </w:tc>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105"/>
        </w:trPr>
        <w:tc>
          <w:tcPr>
            <w:tcW w:w="1160" w:type="dxa"/>
            <w:vAlign w:val="bottom"/>
          </w:tcPr>
          <w:p>
            <w:pPr>
              <w:ind w:left="100"/>
              <w:spacing w:after="0" w:line="105" w:lineRule="exact"/>
              <w:rPr>
                <w:sz w:val="20"/>
                <w:szCs w:val="20"/>
                <w:color w:val="auto"/>
              </w:rPr>
            </w:pPr>
            <w:r>
              <w:rPr>
                <w:rFonts w:ascii="Times New Roman" w:cs="Times New Roman" w:eastAsia="Times New Roman" w:hAnsi="Times New Roman"/>
                <w:sz w:val="10"/>
                <w:szCs w:val="10"/>
                <w:i w:val="1"/>
                <w:iCs w:val="1"/>
                <w:color w:val="auto"/>
              </w:rPr>
              <w:t>MCIM)</w:t>
            </w:r>
          </w:p>
        </w:tc>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300" w:type="dxa"/>
            <w:vAlign w:val="bottom"/>
            <w:gridSpan w:val="2"/>
          </w:tcPr>
          <w:p>
            <w:pPr>
              <w:ind w:left="20"/>
              <w:spacing w:after="0" w:line="105" w:lineRule="exact"/>
              <w:rPr>
                <w:sz w:val="20"/>
                <w:szCs w:val="20"/>
                <w:color w:val="auto"/>
              </w:rPr>
            </w:pPr>
            <w:r>
              <w:rPr>
                <w:rFonts w:ascii="Times New Roman" w:cs="Times New Roman" w:eastAsia="Times New Roman" w:hAnsi="Times New Roman"/>
                <w:sz w:val="10"/>
                <w:szCs w:val="10"/>
                <w:color w:val="auto"/>
                <w:w w:val="93"/>
              </w:rPr>
              <w:t>Information Technology Services</w:t>
            </w:r>
          </w:p>
        </w:tc>
      </w:tr>
      <w:tr>
        <w:trPr>
          <w:trHeight w:val="103"/>
        </w:trPr>
        <w:tc>
          <w:tcPr>
            <w:tcW w:w="1160" w:type="dxa"/>
            <w:vAlign w:val="bottom"/>
          </w:tcPr>
          <w:p>
            <w:pPr>
              <w:ind w:left="200"/>
              <w:spacing w:after="0" w:line="103" w:lineRule="exact"/>
              <w:rPr>
                <w:sz w:val="20"/>
                <w:szCs w:val="20"/>
                <w:color w:val="auto"/>
              </w:rPr>
            </w:pPr>
            <w:r>
              <w:rPr>
                <w:rFonts w:ascii="Times New Roman" w:cs="Times New Roman" w:eastAsia="Times New Roman" w:hAnsi="Times New Roman"/>
                <w:sz w:val="10"/>
                <w:szCs w:val="10"/>
                <w:color w:val="auto"/>
                <w:w w:val="98"/>
              </w:rPr>
              <w:t>120 Eastshore Dr. Suite</w:t>
            </w:r>
          </w:p>
        </w:tc>
        <w:tc>
          <w:tcPr>
            <w:tcW w:w="142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First Lien Debt ($3,000</w:t>
            </w: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103"/>
        </w:trPr>
        <w:tc>
          <w:tcPr>
            <w:tcW w:w="1160" w:type="dxa"/>
            <w:vAlign w:val="bottom"/>
          </w:tcPr>
          <w:p>
            <w:pPr>
              <w:ind w:left="280"/>
              <w:spacing w:after="0" w:line="103" w:lineRule="exact"/>
              <w:rPr>
                <w:sz w:val="20"/>
                <w:szCs w:val="20"/>
                <w:color w:val="auto"/>
              </w:rPr>
            </w:pPr>
            <w:r>
              <w:rPr>
                <w:rFonts w:ascii="Times New Roman" w:cs="Times New Roman" w:eastAsia="Times New Roman" w:hAnsi="Times New Roman"/>
                <w:sz w:val="10"/>
                <w:szCs w:val="10"/>
                <w:color w:val="auto"/>
              </w:rPr>
              <w:t>100</w:t>
            </w:r>
          </w:p>
        </w:tc>
        <w:tc>
          <w:tcPr>
            <w:tcW w:w="142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unfunded commitment)</w:t>
            </w: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123"/>
        </w:trPr>
        <w:tc>
          <w:tcPr>
            <w:tcW w:w="116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Glen Allen, VA 23059</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Common Equity (551,470 units)</w:t>
            </w: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254"/>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Estex Manufacturing</w:t>
            </w:r>
          </w:p>
        </w:tc>
        <w:tc>
          <w:tcPr>
            <w:tcW w:w="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105"/>
        </w:trPr>
        <w:tc>
          <w:tcPr>
            <w:tcW w:w="1160" w:type="dxa"/>
            <w:vAlign w:val="bottom"/>
          </w:tcPr>
          <w:p>
            <w:pPr>
              <w:ind w:left="100"/>
              <w:spacing w:after="0" w:line="105" w:lineRule="exact"/>
              <w:rPr>
                <w:sz w:val="20"/>
                <w:szCs w:val="20"/>
                <w:color w:val="auto"/>
              </w:rPr>
            </w:pPr>
            <w:r>
              <w:rPr>
                <w:rFonts w:ascii="Times New Roman" w:cs="Times New Roman" w:eastAsia="Times New Roman" w:hAnsi="Times New Roman"/>
                <w:sz w:val="10"/>
                <w:szCs w:val="10"/>
                <w:i w:val="1"/>
                <w:iCs w:val="1"/>
                <w:color w:val="auto"/>
              </w:rPr>
              <w:t>Company, LLC</w:t>
            </w:r>
          </w:p>
        </w:tc>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300" w:type="dxa"/>
            <w:vAlign w:val="bottom"/>
            <w:gridSpan w:val="2"/>
          </w:tcPr>
          <w:p>
            <w:pPr>
              <w:ind w:left="20"/>
              <w:spacing w:after="0" w:line="105" w:lineRule="exact"/>
              <w:rPr>
                <w:sz w:val="20"/>
                <w:szCs w:val="20"/>
                <w:color w:val="auto"/>
              </w:rPr>
            </w:pPr>
            <w:r>
              <w:rPr>
                <w:rFonts w:ascii="Times New Roman" w:cs="Times New Roman" w:eastAsia="Times New Roman" w:hAnsi="Times New Roman"/>
                <w:sz w:val="10"/>
                <w:szCs w:val="10"/>
                <w:color w:val="auto"/>
              </w:rPr>
              <w:t>Component Manufacturing</w:t>
            </w:r>
          </w:p>
        </w:tc>
      </w:tr>
      <w:tr>
        <w:trPr>
          <w:trHeight w:val="123"/>
        </w:trPr>
        <w:tc>
          <w:tcPr>
            <w:tcW w:w="116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402 East Broad Street</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First Lien Debt (j)(az)</w:t>
            </w: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205"/>
        </w:trPr>
        <w:tc>
          <w:tcPr>
            <w:tcW w:w="116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Fairburn, GA 30213</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Common Equity (75,000 units)</w:t>
            </w: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3"/>
        </w:trPr>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w w:val="95"/>
              </w:rPr>
              <w:t>Variable</w:t>
            </w: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56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w w:val="98"/>
              </w:rPr>
              <w:t>Percentage</w:t>
            </w:r>
          </w:p>
        </w:tc>
        <w:tc>
          <w:tcPr>
            <w:tcW w:w="58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rPr>
              <w:t>Index Spread</w:t>
            </w:r>
          </w:p>
        </w:tc>
        <w:tc>
          <w:tcPr>
            <w:tcW w:w="600" w:type="dxa"/>
            <w:vAlign w:val="bottom"/>
            <w:gridSpan w:val="2"/>
            <w:vMerge w:val="restart"/>
          </w:tcPr>
          <w:p>
            <w:pPr>
              <w:ind w:left="140"/>
              <w:spacing w:after="0"/>
              <w:rPr>
                <w:sz w:val="20"/>
                <w:szCs w:val="20"/>
                <w:color w:val="auto"/>
              </w:rPr>
            </w:pPr>
            <w:r>
              <w:rPr>
                <w:rFonts w:ascii="Times New Roman" w:cs="Times New Roman" w:eastAsia="Times New Roman" w:hAnsi="Times New Roman"/>
                <w:sz w:val="9"/>
                <w:szCs w:val="9"/>
                <w:b w:val="1"/>
                <w:bCs w:val="1"/>
                <w:color w:val="auto"/>
              </w:rPr>
              <w:t>Rate (e)</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560" w:type="dxa"/>
            <w:vAlign w:val="bottom"/>
            <w:gridSpan w:val="2"/>
          </w:tcPr>
          <w:p>
            <w:pPr>
              <w:jc w:val="center"/>
              <w:ind w:right="140"/>
              <w:spacing w:after="0" w:line="93" w:lineRule="exact"/>
              <w:rPr>
                <w:sz w:val="20"/>
                <w:szCs w:val="20"/>
                <w:color w:val="auto"/>
              </w:rPr>
            </w:pPr>
            <w:r>
              <w:rPr>
                <w:rFonts w:ascii="Times New Roman" w:cs="Times New Roman" w:eastAsia="Times New Roman" w:hAnsi="Times New Roman"/>
                <w:sz w:val="9"/>
                <w:szCs w:val="9"/>
                <w:b w:val="1"/>
                <w:bCs w:val="1"/>
                <w:color w:val="auto"/>
                <w:w w:val="99"/>
              </w:rPr>
              <w:t>of Class</w:t>
            </w:r>
          </w:p>
        </w:tc>
        <w:tc>
          <w:tcPr>
            <w:tcW w:w="520" w:type="dxa"/>
            <w:vAlign w:val="bottom"/>
          </w:tcPr>
          <w:p>
            <w:pPr>
              <w:jc w:val="center"/>
              <w:spacing w:after="0" w:line="93" w:lineRule="exact"/>
              <w:rPr>
                <w:sz w:val="20"/>
                <w:szCs w:val="20"/>
                <w:color w:val="auto"/>
              </w:rPr>
            </w:pPr>
            <w:r>
              <w:rPr>
                <w:rFonts w:ascii="Times New Roman" w:cs="Times New Roman" w:eastAsia="Times New Roman" w:hAnsi="Times New Roman"/>
                <w:sz w:val="9"/>
                <w:szCs w:val="9"/>
                <w:b w:val="1"/>
                <w:bCs w:val="1"/>
                <w:color w:val="auto"/>
              </w:rPr>
              <w:t>/</w:t>
            </w:r>
          </w:p>
        </w:tc>
        <w:tc>
          <w:tcPr>
            <w:tcW w:w="6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540" w:type="dxa"/>
            <w:vAlign w:val="bottom"/>
            <w:gridSpan w:val="2"/>
          </w:tcPr>
          <w:p>
            <w:pPr>
              <w:ind w:left="20"/>
              <w:spacing w:after="0" w:line="93" w:lineRule="exact"/>
              <w:rPr>
                <w:sz w:val="20"/>
                <w:szCs w:val="20"/>
                <w:color w:val="auto"/>
              </w:rPr>
            </w:pPr>
            <w:r>
              <w:rPr>
                <w:rFonts w:ascii="Times New Roman" w:cs="Times New Roman" w:eastAsia="Times New Roman" w:hAnsi="Times New Roman"/>
                <w:sz w:val="9"/>
                <w:szCs w:val="9"/>
                <w:b w:val="1"/>
                <w:bCs w:val="1"/>
                <w:color w:val="auto"/>
              </w:rPr>
              <w:t>Investment</w:t>
            </w: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60"/>
              <w:spacing w:after="0" w:line="93" w:lineRule="exact"/>
              <w:rPr>
                <w:sz w:val="20"/>
                <w:szCs w:val="20"/>
                <w:color w:val="auto"/>
              </w:rPr>
            </w:pPr>
            <w:r>
              <w:rPr>
                <w:rFonts w:ascii="Times New Roman" w:cs="Times New Roman" w:eastAsia="Times New Roman" w:hAnsi="Times New Roman"/>
                <w:sz w:val="9"/>
                <w:szCs w:val="9"/>
                <w:b w:val="1"/>
                <w:bCs w:val="1"/>
                <w:color w:val="auto"/>
                <w:w w:val="95"/>
              </w:rPr>
              <w:t>Principal</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ind w:left="100"/>
              <w:spacing w:after="0" w:line="93" w:lineRule="exact"/>
              <w:rPr>
                <w:sz w:val="20"/>
                <w:szCs w:val="20"/>
                <w:color w:val="auto"/>
              </w:rPr>
            </w:pPr>
            <w:r>
              <w:rPr>
                <w:rFonts w:ascii="Times New Roman" w:cs="Times New Roman" w:eastAsia="Times New Roman" w:hAnsi="Times New Roman"/>
                <w:sz w:val="9"/>
                <w:szCs w:val="9"/>
                <w:b w:val="1"/>
                <w:bCs w:val="1"/>
                <w:color w:val="auto"/>
              </w:rPr>
              <w:t>Fair</w:t>
            </w:r>
          </w:p>
        </w:tc>
        <w:tc>
          <w:tcPr>
            <w:tcW w:w="460" w:type="dxa"/>
            <w:vAlign w:val="bottom"/>
            <w:gridSpan w:val="2"/>
          </w:tcPr>
          <w:p>
            <w:pPr>
              <w:jc w:val="right"/>
              <w:ind w:right="80"/>
              <w:spacing w:after="0" w:line="93" w:lineRule="exact"/>
              <w:rPr>
                <w:sz w:val="20"/>
                <w:szCs w:val="20"/>
                <w:color w:val="auto"/>
              </w:rPr>
            </w:pPr>
            <w:r>
              <w:rPr>
                <w:rFonts w:ascii="Times New Roman" w:cs="Times New Roman" w:eastAsia="Times New Roman" w:hAnsi="Times New Roman"/>
                <w:sz w:val="9"/>
                <w:szCs w:val="9"/>
                <w:b w:val="1"/>
                <w:bCs w:val="1"/>
                <w:color w:val="auto"/>
                <w:w w:val="91"/>
              </w:rPr>
              <w:t>Percent of</w:t>
            </w:r>
          </w:p>
        </w:tc>
        <w:tc>
          <w:tcPr>
            <w:tcW w:w="0" w:type="dxa"/>
            <w:vAlign w:val="bottom"/>
          </w:tcPr>
          <w:p>
            <w:pPr>
              <w:spacing w:after="0"/>
              <w:rPr>
                <w:sz w:val="1"/>
                <w:szCs w:val="1"/>
                <w:color w:val="auto"/>
              </w:rPr>
            </w:pPr>
          </w:p>
        </w:tc>
      </w:tr>
      <w:tr>
        <w:trPr>
          <w:trHeight w:val="120"/>
        </w:trPr>
        <w:tc>
          <w:tcPr>
            <w:tcW w:w="4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Held (bo)</w:t>
            </w:r>
          </w:p>
        </w:tc>
        <w:tc>
          <w:tcPr>
            <w:tcW w:w="14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Floor (d)</w:t>
            </w:r>
          </w:p>
        </w:tc>
        <w:tc>
          <w:tcPr>
            <w:tcW w:w="60" w:type="dxa"/>
            <w:vAlign w:val="bottom"/>
          </w:tcPr>
          <w:p>
            <w:pPr>
              <w:spacing w:after="0"/>
              <w:rPr>
                <w:sz w:val="10"/>
                <w:szCs w:val="10"/>
                <w:color w:val="auto"/>
              </w:rPr>
            </w:pP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9"/>
                <w:szCs w:val="9"/>
                <w:b w:val="1"/>
                <w:bCs w:val="1"/>
                <w:color w:val="auto"/>
              </w:rPr>
              <w:t>Cash/PIK</w:t>
            </w:r>
          </w:p>
        </w:tc>
        <w:tc>
          <w:tcPr>
            <w:tcW w:w="20" w:type="dxa"/>
            <w:vAlign w:val="bottom"/>
          </w:tcPr>
          <w:p>
            <w:pPr>
              <w:spacing w:after="0"/>
              <w:rPr>
                <w:sz w:val="10"/>
                <w:szCs w:val="10"/>
                <w:color w:val="auto"/>
              </w:rPr>
            </w:pPr>
          </w:p>
        </w:tc>
        <w:tc>
          <w:tcPr>
            <w:tcW w:w="480" w:type="dxa"/>
            <w:vAlign w:val="bottom"/>
          </w:tcPr>
          <w:p>
            <w:pPr>
              <w:jc w:val="right"/>
              <w:ind w:right="53"/>
              <w:spacing w:after="0"/>
              <w:rPr>
                <w:sz w:val="20"/>
                <w:szCs w:val="20"/>
                <w:color w:val="auto"/>
              </w:rPr>
            </w:pPr>
            <w:r>
              <w:rPr>
                <w:rFonts w:ascii="Times New Roman" w:cs="Times New Roman" w:eastAsia="Times New Roman" w:hAnsi="Times New Roman"/>
                <w:sz w:val="9"/>
                <w:szCs w:val="9"/>
                <w:b w:val="1"/>
                <w:bCs w:val="1"/>
                <w:color w:val="auto"/>
              </w:rPr>
              <w:t>Date (f)</w:t>
            </w:r>
          </w:p>
        </w:tc>
        <w:tc>
          <w:tcPr>
            <w:tcW w:w="60" w:type="dxa"/>
            <w:vAlign w:val="bottom"/>
          </w:tcPr>
          <w:p>
            <w:pPr>
              <w:spacing w:after="0"/>
              <w:rPr>
                <w:sz w:val="10"/>
                <w:szCs w:val="10"/>
                <w:color w:val="auto"/>
              </w:rPr>
            </w:pPr>
          </w:p>
        </w:tc>
        <w:tc>
          <w:tcPr>
            <w:tcW w:w="460" w:type="dxa"/>
            <w:vAlign w:val="bottom"/>
          </w:tcPr>
          <w:p>
            <w:pPr>
              <w:jc w:val="right"/>
              <w:ind w:right="13"/>
              <w:spacing w:after="0"/>
              <w:rPr>
                <w:sz w:val="20"/>
                <w:szCs w:val="20"/>
                <w:color w:val="auto"/>
              </w:rPr>
            </w:pPr>
            <w:r>
              <w:rPr>
                <w:rFonts w:ascii="Times New Roman" w:cs="Times New Roman" w:eastAsia="Times New Roman" w:hAnsi="Times New Roman"/>
                <w:sz w:val="9"/>
                <w:szCs w:val="9"/>
                <w:b w:val="1"/>
                <w:bCs w:val="1"/>
                <w:color w:val="auto"/>
              </w:rPr>
              <w:t>Maturity</w:t>
            </w:r>
          </w:p>
        </w:tc>
        <w:tc>
          <w:tcPr>
            <w:tcW w:w="6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Amount</w:t>
            </w:r>
          </w:p>
        </w:tc>
        <w:tc>
          <w:tcPr>
            <w:tcW w:w="60" w:type="dxa"/>
            <w:vAlign w:val="bottom"/>
          </w:tcPr>
          <w:p>
            <w:pPr>
              <w:spacing w:after="0"/>
              <w:rPr>
                <w:sz w:val="10"/>
                <w:szCs w:val="10"/>
                <w:color w:val="auto"/>
              </w:rPr>
            </w:pP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9"/>
                <w:szCs w:val="9"/>
                <w:b w:val="1"/>
                <w:bCs w:val="1"/>
                <w:color w:val="auto"/>
              </w:rPr>
              <w:t>Cost</w:t>
            </w:r>
          </w:p>
        </w:tc>
        <w:tc>
          <w:tcPr>
            <w:tcW w:w="6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96"/>
              </w:rPr>
              <w:t>Value (g)</w:t>
            </w:r>
          </w:p>
        </w:tc>
        <w:tc>
          <w:tcPr>
            <w:tcW w:w="60" w:type="dxa"/>
            <w:vAlign w:val="bottom"/>
          </w:tcPr>
          <w:p>
            <w:pPr>
              <w:spacing w:after="0"/>
              <w:rPr>
                <w:sz w:val="10"/>
                <w:szCs w:val="10"/>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b w:val="1"/>
                <w:bCs w:val="1"/>
                <w:color w:val="auto"/>
                <w:w w:val="90"/>
              </w:rPr>
              <w:t>Net Assets</w:t>
            </w:r>
          </w:p>
        </w:tc>
        <w:tc>
          <w:tcPr>
            <w:tcW w:w="0" w:type="dxa"/>
            <w:vAlign w:val="bottom"/>
          </w:tcPr>
          <w:p>
            <w:pPr>
              <w:spacing w:after="0"/>
              <w:rPr>
                <w:sz w:val="1"/>
                <w:szCs w:val="1"/>
                <w:color w:val="auto"/>
              </w:rPr>
            </w:pPr>
          </w:p>
        </w:tc>
      </w:tr>
      <w:tr>
        <w:trPr>
          <w:trHeight w:val="182"/>
        </w:trPr>
        <w:tc>
          <w:tcPr>
            <w:tcW w:w="4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4"/>
              </w:rPr>
              <w:t>(S + 7.50%)</w:t>
            </w:r>
          </w:p>
        </w:tc>
        <w:tc>
          <w:tcPr>
            <w:tcW w:w="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ind w:left="40"/>
              <w:spacing w:after="0" w:line="103" w:lineRule="exact"/>
              <w:rPr>
                <w:sz w:val="20"/>
                <w:szCs w:val="20"/>
                <w:color w:val="auto"/>
              </w:rPr>
            </w:pPr>
            <w:r>
              <w:rPr>
                <w:rFonts w:ascii="Times New Roman" w:cs="Times New Roman" w:eastAsia="Times New Roman" w:hAnsi="Times New Roman"/>
                <w:sz w:val="10"/>
                <w:szCs w:val="10"/>
                <w:color w:val="auto"/>
              </w:rPr>
              <w:t>/ (1.00%)</w:t>
            </w:r>
          </w:p>
        </w:tc>
        <w:tc>
          <w:tcPr>
            <w:tcW w:w="60" w:type="dxa"/>
            <w:vAlign w:val="bottom"/>
          </w:tcPr>
          <w:p>
            <w:pPr>
              <w:spacing w:after="0"/>
              <w:rPr>
                <w:sz w:val="8"/>
                <w:szCs w:val="8"/>
                <w:color w:val="auto"/>
              </w:rPr>
            </w:pPr>
          </w:p>
        </w:tc>
        <w:tc>
          <w:tcPr>
            <w:tcW w:w="600" w:type="dxa"/>
            <w:vAlign w:val="bottom"/>
            <w:gridSpan w:val="2"/>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w w:val="94"/>
              </w:rPr>
              <w:t>11.17%/0.00%</w:t>
            </w: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6/10/2019</w:t>
            </w:r>
          </w:p>
        </w:tc>
        <w:tc>
          <w:tcPr>
            <w:tcW w:w="60" w:type="dxa"/>
            <w:vAlign w:val="bottom"/>
          </w:tcPr>
          <w:p>
            <w:pPr>
              <w:spacing w:after="0"/>
              <w:rPr>
                <w:sz w:val="8"/>
                <w:szCs w:val="8"/>
                <w:color w:val="auto"/>
              </w:rPr>
            </w:pPr>
          </w:p>
        </w:tc>
        <w:tc>
          <w:tcPr>
            <w:tcW w:w="5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w w:val="96"/>
              </w:rPr>
              <w:t>12/23/2026</w:t>
            </w:r>
          </w:p>
        </w:tc>
        <w:tc>
          <w:tcPr>
            <w:tcW w:w="4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24,155</w:t>
            </w:r>
          </w:p>
        </w:tc>
        <w:tc>
          <w:tcPr>
            <w:tcW w:w="30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24,143</w:t>
            </w:r>
          </w:p>
        </w:tc>
        <w:tc>
          <w:tcPr>
            <w:tcW w:w="480" w:type="dxa"/>
            <w:vAlign w:val="bottom"/>
            <w:gridSpan w:val="3"/>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23,623</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1.3%</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2/7/2019</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551</w:t>
            </w: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88</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14"/>
        </w:trPr>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24,694</w:t>
            </w:r>
          </w:p>
        </w:tc>
        <w:tc>
          <w:tcPr>
            <w:tcW w:w="60" w:type="dxa"/>
            <w:vAlign w:val="bottom"/>
          </w:tcPr>
          <w:p>
            <w:pPr>
              <w:spacing w:after="0"/>
              <w:rPr>
                <w:sz w:val="9"/>
                <w:szCs w:val="9"/>
                <w:color w:val="auto"/>
              </w:rPr>
            </w:pPr>
          </w:p>
        </w:tc>
        <w:tc>
          <w:tcPr>
            <w:tcW w:w="3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23,711</w:t>
            </w:r>
          </w:p>
        </w:tc>
        <w:tc>
          <w:tcPr>
            <w:tcW w:w="6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5"/>
        </w:trPr>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(S + 6.00%)</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ind w:left="40"/>
              <w:spacing w:after="0" w:line="103" w:lineRule="exact"/>
              <w:rPr>
                <w:sz w:val="20"/>
                <w:szCs w:val="20"/>
                <w:color w:val="auto"/>
              </w:rPr>
            </w:pPr>
            <w:r>
              <w:rPr>
                <w:rFonts w:ascii="Times New Roman" w:cs="Times New Roman" w:eastAsia="Times New Roman" w:hAnsi="Times New Roman"/>
                <w:sz w:val="10"/>
                <w:szCs w:val="10"/>
                <w:color w:val="auto"/>
              </w:rPr>
              <w:t>/ (2.00%)</w:t>
            </w:r>
          </w:p>
        </w:tc>
        <w:tc>
          <w:tcPr>
            <w:tcW w:w="60" w:type="dxa"/>
            <w:vAlign w:val="bottom"/>
          </w:tcPr>
          <w:p>
            <w:pPr>
              <w:spacing w:after="0"/>
              <w:rPr>
                <w:sz w:val="8"/>
                <w:szCs w:val="8"/>
                <w:color w:val="auto"/>
              </w:rPr>
            </w:pPr>
          </w:p>
        </w:tc>
        <w:tc>
          <w:tcPr>
            <w:tcW w:w="600" w:type="dxa"/>
            <w:vAlign w:val="bottom"/>
            <w:gridSpan w:val="2"/>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9.67%/0.00%</w:t>
            </w: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2/23/2024</w:t>
            </w:r>
          </w:p>
        </w:tc>
        <w:tc>
          <w:tcPr>
            <w:tcW w:w="60" w:type="dxa"/>
            <w:vAlign w:val="bottom"/>
          </w:tcPr>
          <w:p>
            <w:pPr>
              <w:spacing w:after="0"/>
              <w:rPr>
                <w:sz w:val="8"/>
                <w:szCs w:val="8"/>
                <w:color w:val="auto"/>
              </w:rPr>
            </w:pPr>
          </w:p>
        </w:tc>
        <w:tc>
          <w:tcPr>
            <w:tcW w:w="46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2/23/2029</w:t>
            </w:r>
          </w:p>
        </w:tc>
        <w:tc>
          <w:tcPr>
            <w:tcW w:w="60" w:type="dxa"/>
            <w:vAlign w:val="bottom"/>
          </w:tcPr>
          <w:p>
            <w:pPr>
              <w:spacing w:after="0"/>
              <w:rPr>
                <w:sz w:val="8"/>
                <w:szCs w:val="8"/>
                <w:color w:val="auto"/>
              </w:rPr>
            </w:pPr>
          </w:p>
        </w:tc>
        <w:tc>
          <w:tcPr>
            <w:tcW w:w="4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24,209</w:t>
            </w:r>
          </w:p>
        </w:tc>
        <w:tc>
          <w:tcPr>
            <w:tcW w:w="30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24,113</w:t>
            </w:r>
          </w:p>
        </w:tc>
        <w:tc>
          <w:tcPr>
            <w:tcW w:w="480" w:type="dxa"/>
            <w:vAlign w:val="bottom"/>
            <w:gridSpan w:val="3"/>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24,209</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1.6%</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2/23/2024</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728</w:t>
            </w: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1,691</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14"/>
        </w:trPr>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24,841</w:t>
            </w:r>
          </w:p>
        </w:tc>
        <w:tc>
          <w:tcPr>
            <w:tcW w:w="60" w:type="dxa"/>
            <w:vAlign w:val="bottom"/>
          </w:tcPr>
          <w:p>
            <w:pPr>
              <w:spacing w:after="0"/>
              <w:rPr>
                <w:sz w:val="9"/>
                <w:szCs w:val="9"/>
                <w:color w:val="auto"/>
              </w:rPr>
            </w:pPr>
          </w:p>
        </w:tc>
        <w:tc>
          <w:tcPr>
            <w:tcW w:w="3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25,900</w:t>
            </w:r>
          </w:p>
        </w:tc>
        <w:tc>
          <w:tcPr>
            <w:tcW w:w="6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5"/>
        </w:trPr>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w w:val="94"/>
              </w:rPr>
              <w:t>11.00%/2.00%</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6/30/2025</w:t>
            </w:r>
          </w:p>
        </w:tc>
        <w:tc>
          <w:tcPr>
            <w:tcW w:w="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6/30/2030</w:t>
            </w:r>
          </w:p>
        </w:tc>
        <w:tc>
          <w:tcPr>
            <w:tcW w:w="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8,082</w:t>
            </w:r>
          </w:p>
        </w:tc>
        <w:tc>
          <w:tcPr>
            <w:tcW w:w="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8,044</w:t>
            </w: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8,082</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4.1%</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6/27/2025</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1,500</w:t>
            </w: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1,326</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14"/>
        </w:trPr>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9,544</w:t>
            </w:r>
          </w:p>
        </w:tc>
        <w:tc>
          <w:tcPr>
            <w:tcW w:w="60" w:type="dxa"/>
            <w:vAlign w:val="bottom"/>
          </w:tcPr>
          <w:p>
            <w:pPr>
              <w:spacing w:after="0"/>
              <w:rPr>
                <w:sz w:val="9"/>
                <w:szCs w:val="9"/>
                <w:color w:val="auto"/>
              </w:rPr>
            </w:pPr>
          </w:p>
        </w:tc>
        <w:tc>
          <w:tcPr>
            <w:tcW w:w="3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9,408</w:t>
            </w:r>
          </w:p>
        </w:tc>
        <w:tc>
          <w:tcPr>
            <w:tcW w:w="6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8"/>
        </w:trPr>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(S + 5.75%)</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ind w:left="40"/>
              <w:spacing w:after="0" w:line="103" w:lineRule="exact"/>
              <w:rPr>
                <w:sz w:val="20"/>
                <w:szCs w:val="20"/>
                <w:color w:val="auto"/>
              </w:rPr>
            </w:pPr>
            <w:r>
              <w:rPr>
                <w:rFonts w:ascii="Times New Roman" w:cs="Times New Roman" w:eastAsia="Times New Roman" w:hAnsi="Times New Roman"/>
                <w:sz w:val="10"/>
                <w:szCs w:val="10"/>
                <w:color w:val="auto"/>
              </w:rPr>
              <w:t>/ (2.00%)</w:t>
            </w:r>
          </w:p>
        </w:tc>
        <w:tc>
          <w:tcPr>
            <w:tcW w:w="60" w:type="dxa"/>
            <w:vAlign w:val="bottom"/>
          </w:tcPr>
          <w:p>
            <w:pPr>
              <w:spacing w:after="0"/>
              <w:rPr>
                <w:sz w:val="8"/>
                <w:szCs w:val="8"/>
                <w:color w:val="auto"/>
              </w:rPr>
            </w:pPr>
          </w:p>
        </w:tc>
        <w:tc>
          <w:tcPr>
            <w:tcW w:w="600" w:type="dxa"/>
            <w:vAlign w:val="bottom"/>
            <w:gridSpan w:val="2"/>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9.74%/2.00%</w:t>
            </w: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5/20/2024</w:t>
            </w:r>
          </w:p>
        </w:tc>
        <w:tc>
          <w:tcPr>
            <w:tcW w:w="60" w:type="dxa"/>
            <w:vAlign w:val="bottom"/>
          </w:tcPr>
          <w:p>
            <w:pPr>
              <w:spacing w:after="0"/>
              <w:rPr>
                <w:sz w:val="8"/>
                <w:szCs w:val="8"/>
                <w:color w:val="auto"/>
              </w:rPr>
            </w:pPr>
          </w:p>
        </w:tc>
        <w:tc>
          <w:tcPr>
            <w:tcW w:w="46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5/20/2029</w:t>
            </w:r>
          </w:p>
        </w:tc>
        <w:tc>
          <w:tcPr>
            <w:tcW w:w="60" w:type="dxa"/>
            <w:vAlign w:val="bottom"/>
          </w:tcPr>
          <w:p>
            <w:pPr>
              <w:spacing w:after="0"/>
              <w:rPr>
                <w:sz w:val="8"/>
                <w:szCs w:val="8"/>
                <w:color w:val="auto"/>
              </w:rPr>
            </w:pPr>
          </w:p>
        </w:tc>
        <w:tc>
          <w:tcPr>
            <w:tcW w:w="4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18,572</w:t>
            </w:r>
          </w:p>
        </w:tc>
        <w:tc>
          <w:tcPr>
            <w:tcW w:w="30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18,503</w:t>
            </w:r>
          </w:p>
        </w:tc>
        <w:tc>
          <w:tcPr>
            <w:tcW w:w="480" w:type="dxa"/>
            <w:vAlign w:val="bottom"/>
            <w:gridSpan w:val="3"/>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18,572</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1.1%</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5/20/2024</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750</w:t>
            </w: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1,010</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14"/>
        </w:trPr>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19,253</w:t>
            </w:r>
          </w:p>
        </w:tc>
        <w:tc>
          <w:tcPr>
            <w:tcW w:w="60" w:type="dxa"/>
            <w:vAlign w:val="bottom"/>
          </w:tcPr>
          <w:p>
            <w:pPr>
              <w:spacing w:after="0"/>
              <w:rPr>
                <w:sz w:val="9"/>
                <w:szCs w:val="9"/>
                <w:color w:val="auto"/>
              </w:rPr>
            </w:pPr>
          </w:p>
        </w:tc>
        <w:tc>
          <w:tcPr>
            <w:tcW w:w="3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19,582</w:t>
            </w:r>
          </w:p>
        </w:tc>
        <w:tc>
          <w:tcPr>
            <w:tcW w:w="6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5"/>
        </w:trPr>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(S + 5.00%)</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ind w:left="40"/>
              <w:spacing w:after="0" w:line="103" w:lineRule="exact"/>
              <w:rPr>
                <w:sz w:val="20"/>
                <w:szCs w:val="20"/>
                <w:color w:val="auto"/>
              </w:rPr>
            </w:pPr>
            <w:r>
              <w:rPr>
                <w:rFonts w:ascii="Times New Roman" w:cs="Times New Roman" w:eastAsia="Times New Roman" w:hAnsi="Times New Roman"/>
                <w:sz w:val="10"/>
                <w:szCs w:val="10"/>
                <w:color w:val="auto"/>
              </w:rPr>
              <w:t>/ (2.00%)</w:t>
            </w:r>
          </w:p>
        </w:tc>
        <w:tc>
          <w:tcPr>
            <w:tcW w:w="60" w:type="dxa"/>
            <w:vAlign w:val="bottom"/>
          </w:tcPr>
          <w:p>
            <w:pPr>
              <w:spacing w:after="0"/>
              <w:rPr>
                <w:sz w:val="8"/>
                <w:szCs w:val="8"/>
                <w:color w:val="auto"/>
              </w:rPr>
            </w:pPr>
          </w:p>
        </w:tc>
        <w:tc>
          <w:tcPr>
            <w:tcW w:w="600" w:type="dxa"/>
            <w:vAlign w:val="bottom"/>
            <w:gridSpan w:val="2"/>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8.87%/0.00%</w:t>
            </w: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10/1/2024</w:t>
            </w:r>
          </w:p>
        </w:tc>
        <w:tc>
          <w:tcPr>
            <w:tcW w:w="60" w:type="dxa"/>
            <w:vAlign w:val="bottom"/>
          </w:tcPr>
          <w:p>
            <w:pPr>
              <w:spacing w:after="0"/>
              <w:rPr>
                <w:sz w:val="8"/>
                <w:szCs w:val="8"/>
                <w:color w:val="auto"/>
              </w:rPr>
            </w:pPr>
          </w:p>
        </w:tc>
        <w:tc>
          <w:tcPr>
            <w:tcW w:w="46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10/1/2029</w:t>
            </w:r>
          </w:p>
        </w:tc>
        <w:tc>
          <w:tcPr>
            <w:tcW w:w="60" w:type="dxa"/>
            <w:vAlign w:val="bottom"/>
          </w:tcPr>
          <w:p>
            <w:pPr>
              <w:spacing w:after="0"/>
              <w:rPr>
                <w:sz w:val="8"/>
                <w:szCs w:val="8"/>
                <w:color w:val="auto"/>
              </w:rPr>
            </w:pPr>
          </w:p>
        </w:tc>
        <w:tc>
          <w:tcPr>
            <w:tcW w:w="36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5,531</w:t>
            </w:r>
          </w:p>
        </w:tc>
        <w:tc>
          <w:tcPr>
            <w:tcW w:w="60" w:type="dxa"/>
            <w:vAlign w:val="bottom"/>
          </w:tcPr>
          <w:p>
            <w:pPr>
              <w:spacing w:after="0"/>
              <w:rPr>
                <w:sz w:val="8"/>
                <w:szCs w:val="8"/>
                <w:color w:val="auto"/>
              </w:rPr>
            </w:pPr>
          </w:p>
        </w:tc>
        <w:tc>
          <w:tcPr>
            <w:tcW w:w="30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5,486</w:t>
            </w:r>
          </w:p>
        </w:tc>
        <w:tc>
          <w:tcPr>
            <w:tcW w:w="480" w:type="dxa"/>
            <w:vAlign w:val="bottom"/>
            <w:gridSpan w:val="3"/>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5,531</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3.2%</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10/1/2024</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750</w:t>
            </w: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566</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14"/>
        </w:trPr>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6,236</w:t>
            </w:r>
          </w:p>
        </w:tc>
        <w:tc>
          <w:tcPr>
            <w:tcW w:w="60" w:type="dxa"/>
            <w:vAlign w:val="bottom"/>
          </w:tcPr>
          <w:p>
            <w:pPr>
              <w:spacing w:after="0"/>
              <w:rPr>
                <w:sz w:val="9"/>
                <w:szCs w:val="9"/>
                <w:color w:val="auto"/>
              </w:rPr>
            </w:pPr>
          </w:p>
        </w:tc>
        <w:tc>
          <w:tcPr>
            <w:tcW w:w="3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6,097</w:t>
            </w:r>
          </w:p>
        </w:tc>
        <w:tc>
          <w:tcPr>
            <w:tcW w:w="6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-2442210</wp:posOffset>
            </wp:positionV>
            <wp:extent cx="7203440" cy="450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03440" cy="45085"/>
                    </a:xfrm>
                    <a:prstGeom prst="rect">
                      <a:avLst/>
                    </a:prstGeom>
                    <a:noFill/>
                  </pic:spPr>
                </pic:pic>
              </a:graphicData>
            </a:graphic>
          </wp:anchor>
        </w:drawing>
        <w:drawing>
          <wp:anchor simplePos="0" relativeHeight="251657728" behindDoc="1" locked="0" layoutInCell="0" allowOverlap="1">
            <wp:simplePos x="0" y="0"/>
            <wp:positionH relativeFrom="column">
              <wp:posOffset>-2489200</wp:posOffset>
            </wp:positionH>
            <wp:positionV relativeFrom="paragraph">
              <wp:posOffset>-2096770</wp:posOffset>
            </wp:positionV>
            <wp:extent cx="5347970" cy="717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347970" cy="71755"/>
                    </a:xfrm>
                    <a:prstGeom prst="rect">
                      <a:avLst/>
                    </a:prstGeom>
                    <a:noFill/>
                  </pic:spPr>
                </pic:pic>
              </a:graphicData>
            </a:graphic>
          </wp:anchor>
        </w:drawing>
        <w:drawing>
          <wp:anchor simplePos="0" relativeHeight="251657728" behindDoc="1" locked="0" layoutInCell="0" allowOverlap="1">
            <wp:simplePos x="0" y="0"/>
            <wp:positionH relativeFrom="column">
              <wp:posOffset>-2489200</wp:posOffset>
            </wp:positionH>
            <wp:positionV relativeFrom="paragraph">
              <wp:posOffset>-1894840</wp:posOffset>
            </wp:positionV>
            <wp:extent cx="5347970" cy="654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347970" cy="65405"/>
                    </a:xfrm>
                    <a:prstGeom prst="rect">
                      <a:avLst/>
                    </a:prstGeom>
                    <a:noFill/>
                  </pic:spPr>
                </pic:pic>
              </a:graphicData>
            </a:graphic>
          </wp:anchor>
        </w:drawing>
        <w:drawing>
          <wp:anchor simplePos="0" relativeHeight="251657728" behindDoc="1" locked="0" layoutInCell="0" allowOverlap="1">
            <wp:simplePos x="0" y="0"/>
            <wp:positionH relativeFrom="column">
              <wp:posOffset>-2489200</wp:posOffset>
            </wp:positionH>
            <wp:positionV relativeFrom="paragraph">
              <wp:posOffset>-1718945</wp:posOffset>
            </wp:positionV>
            <wp:extent cx="5347970" cy="1301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347970" cy="130175"/>
                    </a:xfrm>
                    <a:prstGeom prst="rect">
                      <a:avLst/>
                    </a:prstGeom>
                    <a:noFill/>
                  </pic:spPr>
                </pic:pic>
              </a:graphicData>
            </a:graphic>
          </wp:anchor>
        </w:drawing>
        <w:drawing>
          <wp:anchor simplePos="0" relativeHeight="251657728" behindDoc="1" locked="0" layoutInCell="0" allowOverlap="1">
            <wp:simplePos x="0" y="0"/>
            <wp:positionH relativeFrom="column">
              <wp:posOffset>-2489200</wp:posOffset>
            </wp:positionH>
            <wp:positionV relativeFrom="paragraph">
              <wp:posOffset>-1458595</wp:posOffset>
            </wp:positionV>
            <wp:extent cx="5347970" cy="654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5347970" cy="65405"/>
                    </a:xfrm>
                    <a:prstGeom prst="rect">
                      <a:avLst/>
                    </a:prstGeom>
                    <a:noFill/>
                  </pic:spPr>
                </pic:pic>
              </a:graphicData>
            </a:graphic>
          </wp:anchor>
        </w:drawing>
        <w:drawing>
          <wp:anchor simplePos="0" relativeHeight="251657728" behindDoc="1" locked="0" layoutInCell="0" allowOverlap="1">
            <wp:simplePos x="0" y="0"/>
            <wp:positionH relativeFrom="column">
              <wp:posOffset>-2489200</wp:posOffset>
            </wp:positionH>
            <wp:positionV relativeFrom="paragraph">
              <wp:posOffset>-1282700</wp:posOffset>
            </wp:positionV>
            <wp:extent cx="5347970" cy="1301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347970" cy="130175"/>
                    </a:xfrm>
                    <a:prstGeom prst="rect">
                      <a:avLst/>
                    </a:prstGeom>
                    <a:noFill/>
                  </pic:spPr>
                </pic:pic>
              </a:graphicData>
            </a:graphic>
          </wp:anchor>
        </w:drawing>
        <w:drawing>
          <wp:anchor simplePos="0" relativeHeight="251657728" behindDoc="1" locked="0" layoutInCell="0" allowOverlap="1">
            <wp:simplePos x="0" y="0"/>
            <wp:positionH relativeFrom="column">
              <wp:posOffset>-2489200</wp:posOffset>
            </wp:positionH>
            <wp:positionV relativeFrom="paragraph">
              <wp:posOffset>-1087120</wp:posOffset>
            </wp:positionV>
            <wp:extent cx="5347970" cy="654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5347970" cy="65405"/>
                    </a:xfrm>
                    <a:prstGeom prst="rect">
                      <a:avLst/>
                    </a:prstGeom>
                    <a:noFill/>
                  </pic:spPr>
                </pic:pic>
              </a:graphicData>
            </a:graphic>
          </wp:anchor>
        </w:drawing>
        <w:drawing>
          <wp:anchor simplePos="0" relativeHeight="251657728" behindDoc="1" locked="0" layoutInCell="0" allowOverlap="1">
            <wp:simplePos x="0" y="0"/>
            <wp:positionH relativeFrom="column">
              <wp:posOffset>-2489200</wp:posOffset>
            </wp:positionH>
            <wp:positionV relativeFrom="paragraph">
              <wp:posOffset>-911225</wp:posOffset>
            </wp:positionV>
            <wp:extent cx="5347970" cy="1955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347970" cy="195580"/>
                    </a:xfrm>
                    <a:prstGeom prst="rect">
                      <a:avLst/>
                    </a:prstGeom>
                    <a:noFill/>
                  </pic:spPr>
                </pic:pic>
              </a:graphicData>
            </a:graphic>
          </wp:anchor>
        </w:drawing>
        <w:drawing>
          <wp:anchor simplePos="0" relativeHeight="251657728" behindDoc="1" locked="0" layoutInCell="0" allowOverlap="1">
            <wp:simplePos x="0" y="0"/>
            <wp:positionH relativeFrom="column">
              <wp:posOffset>-2489200</wp:posOffset>
            </wp:positionH>
            <wp:positionV relativeFrom="paragraph">
              <wp:posOffset>-585470</wp:posOffset>
            </wp:positionV>
            <wp:extent cx="5347970" cy="654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347970" cy="65405"/>
                    </a:xfrm>
                    <a:prstGeom prst="rect">
                      <a:avLst/>
                    </a:prstGeom>
                    <a:noFill/>
                  </pic:spPr>
                </pic:pic>
              </a:graphicData>
            </a:graphic>
          </wp:anchor>
        </w:drawing>
        <w:drawing>
          <wp:anchor simplePos="0" relativeHeight="251657728" behindDoc="1" locked="0" layoutInCell="0" allowOverlap="1">
            <wp:simplePos x="0" y="0"/>
            <wp:positionH relativeFrom="column">
              <wp:posOffset>-2489200</wp:posOffset>
            </wp:positionH>
            <wp:positionV relativeFrom="paragraph">
              <wp:posOffset>-409575</wp:posOffset>
            </wp:positionV>
            <wp:extent cx="5347970" cy="1301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347970" cy="130175"/>
                    </a:xfrm>
                    <a:prstGeom prst="rect">
                      <a:avLst/>
                    </a:prstGeom>
                    <a:noFill/>
                  </pic:spPr>
                </pic:pic>
              </a:graphicData>
            </a:graphic>
          </wp:anchor>
        </w:drawing>
        <w:drawing>
          <wp:anchor simplePos="0" relativeHeight="251657728" behindDoc="1" locked="0" layoutInCell="0" allowOverlap="1">
            <wp:simplePos x="0" y="0"/>
            <wp:positionH relativeFrom="column">
              <wp:posOffset>-2489200</wp:posOffset>
            </wp:positionH>
            <wp:positionV relativeFrom="paragraph">
              <wp:posOffset>-149225</wp:posOffset>
            </wp:positionV>
            <wp:extent cx="5347970" cy="654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347970" cy="65405"/>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4200" w:space="40"/>
            <w:col w:w="4779"/>
          </w:cols>
          <w:pgMar w:left="1440" w:top="265" w:right="1440" w:bottom="1440" w:gutter="0" w:footer="0" w:header="0"/>
        </w:sectPr>
      </w:pPr>
    </w:p>
    <w:tbl>
      <w:tblPr>
        <w:tblLayout w:type="fixed"/>
        <w:tblInd w:w="320" w:type="dxa"/>
        <w:tblCellMar>
          <w:top w:w="0" w:type="dxa"/>
          <w:left w:w="0" w:type="dxa"/>
          <w:bottom w:w="0" w:type="dxa"/>
          <w:right w:w="0" w:type="dxa"/>
        </w:tblCellMar>
      </w:tblPr>
      <w:tr>
        <w:trPr>
          <w:trHeight w:val="115"/>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i w:val="1"/>
                <w:iCs w:val="1"/>
                <w:color w:val="auto"/>
              </w:rPr>
              <w:t>Fishbowl Solutions, LLC</w:t>
            </w:r>
          </w:p>
        </w:tc>
        <w:tc>
          <w:tcPr>
            <w:tcW w:w="1420" w:type="dxa"/>
            <w:vAlign w:val="bottom"/>
            <w:shd w:val="clear" w:color="auto" w:fill="CCEEFF"/>
          </w:tcPr>
          <w:p>
            <w:pPr>
              <w:spacing w:after="0"/>
              <w:rPr>
                <w:sz w:val="10"/>
                <w:szCs w:val="10"/>
                <w:color w:val="auto"/>
              </w:rPr>
            </w:pPr>
          </w:p>
        </w:tc>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Information Technology Services</w:t>
            </w:r>
          </w:p>
        </w:tc>
        <w:tc>
          <w:tcPr>
            <w:tcW w:w="6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4500 Park Glen Road,</w:t>
            </w:r>
          </w:p>
        </w:tc>
        <w:tc>
          <w:tcPr>
            <w:tcW w:w="1420" w:type="dxa"/>
            <w:vAlign w:val="bottom"/>
          </w:tcPr>
          <w:p>
            <w:pPr>
              <w:spacing w:after="0"/>
              <w:rPr>
                <w:sz w:val="7"/>
                <w:szCs w:val="7"/>
                <w:color w:val="auto"/>
              </w:rPr>
            </w:pPr>
          </w:p>
        </w:tc>
        <w:tc>
          <w:tcPr>
            <w:tcW w:w="2440" w:type="dxa"/>
            <w:vAlign w:val="bottom"/>
          </w:tcPr>
          <w:p>
            <w:pPr>
              <w:ind w:left="1940"/>
              <w:spacing w:after="0" w:line="90" w:lineRule="exact"/>
              <w:rPr>
                <w:sz w:val="20"/>
                <w:szCs w:val="20"/>
                <w:color w:val="auto"/>
              </w:rPr>
            </w:pPr>
            <w:r>
              <w:rPr>
                <w:rFonts w:ascii="Times New Roman" w:cs="Times New Roman" w:eastAsia="Times New Roman" w:hAnsi="Times New Roman"/>
                <w:sz w:val="10"/>
                <w:szCs w:val="10"/>
                <w:color w:val="auto"/>
                <w:w w:val="98"/>
              </w:rPr>
              <w:t>(S + 7.75%)</w:t>
            </w: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116"/>
        </w:trPr>
        <w:tc>
          <w:tcPr>
            <w:tcW w:w="11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Suite 200</w:t>
            </w:r>
          </w:p>
        </w:tc>
        <w:tc>
          <w:tcPr>
            <w:tcW w:w="1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First Lien Debt</w:t>
            </w:r>
          </w:p>
        </w:tc>
        <w:tc>
          <w:tcPr>
            <w:tcW w:w="2440" w:type="dxa"/>
            <w:vAlign w:val="bottom"/>
          </w:tcPr>
          <w:p>
            <w:pPr>
              <w:ind w:left="1940"/>
              <w:spacing w:after="0"/>
              <w:rPr>
                <w:sz w:val="20"/>
                <w:szCs w:val="20"/>
                <w:color w:val="auto"/>
              </w:rPr>
            </w:pPr>
            <w:r>
              <w:rPr>
                <w:rFonts w:ascii="Times New Roman" w:cs="Times New Roman" w:eastAsia="Times New Roman" w:hAnsi="Times New Roman"/>
                <w:sz w:val="10"/>
                <w:szCs w:val="10"/>
                <w:color w:val="auto"/>
              </w:rPr>
              <w:t>/ (1.00%)</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11.97%/0.00%</w:t>
            </w: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3/25/2022</w:t>
            </w: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3/25/2027</w:t>
            </w: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22,894</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22,836</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22,895</w:t>
            </w:r>
          </w:p>
        </w:tc>
        <w:tc>
          <w:tcPr>
            <w:tcW w:w="360" w:type="dxa"/>
            <w:vAlign w:val="bottom"/>
          </w:tcPr>
          <w:p>
            <w:pPr>
              <w:spacing w:after="0"/>
              <w:rPr>
                <w:sz w:val="10"/>
                <w:szCs w:val="10"/>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w w:val="95"/>
              </w:rPr>
              <w:t>Minneapolis, MN 55416</w:t>
            </w:r>
          </w:p>
        </w:tc>
        <w:tc>
          <w:tcPr>
            <w:tcW w:w="1420" w:type="dxa"/>
            <w:vAlign w:val="bottom"/>
            <w:shd w:val="clear" w:color="auto" w:fill="CCEEFF"/>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w:t>
            </w:r>
          </w:p>
        </w:tc>
        <w:tc>
          <w:tcPr>
            <w:tcW w:w="2440" w:type="dxa"/>
            <w:vAlign w:val="bottom"/>
            <w:shd w:val="clear" w:color="auto" w:fill="CCEEFF"/>
          </w:tcPr>
          <w:p>
            <w:pPr>
              <w:ind w:left="1940"/>
              <w:spacing w:after="0" w:line="90" w:lineRule="exact"/>
              <w:rPr>
                <w:sz w:val="20"/>
                <w:szCs w:val="20"/>
                <w:color w:val="auto"/>
              </w:rPr>
            </w:pPr>
            <w:r>
              <w:rPr>
                <w:rFonts w:ascii="Times New Roman" w:cs="Times New Roman" w:eastAsia="Times New Roman" w:hAnsi="Times New Roman"/>
                <w:sz w:val="10"/>
                <w:szCs w:val="10"/>
                <w:color w:val="auto"/>
                <w:w w:val="98"/>
              </w:rPr>
              <w:t>(S + 7.75%)</w:t>
            </w:r>
          </w:p>
        </w:tc>
        <w:tc>
          <w:tcPr>
            <w:tcW w:w="6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r>
      <w:tr>
        <w:trPr>
          <w:trHeight w:val="116"/>
        </w:trPr>
        <w:tc>
          <w:tcPr>
            <w:tcW w:w="11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2440" w:type="dxa"/>
            <w:vAlign w:val="bottom"/>
            <w:shd w:val="clear" w:color="auto" w:fill="CCEEFF"/>
          </w:tcPr>
          <w:p>
            <w:pPr>
              <w:ind w:left="1940"/>
              <w:spacing w:after="0"/>
              <w:rPr>
                <w:sz w:val="20"/>
                <w:szCs w:val="20"/>
                <w:color w:val="auto"/>
              </w:rPr>
            </w:pPr>
            <w:r>
              <w:rPr>
                <w:rFonts w:ascii="Times New Roman" w:cs="Times New Roman" w:eastAsia="Times New Roman" w:hAnsi="Times New Roman"/>
                <w:sz w:val="10"/>
                <w:szCs w:val="10"/>
                <w:color w:val="auto"/>
              </w:rPr>
              <w:t>/ (1.00%)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11.97%/0.00%</w:t>
            </w:r>
          </w:p>
        </w:tc>
        <w:tc>
          <w:tcPr>
            <w:tcW w:w="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12/27/2024</w:t>
            </w:r>
          </w:p>
        </w:tc>
        <w:tc>
          <w:tcPr>
            <w:tcW w:w="5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3/25/2027</w:t>
            </w:r>
          </w:p>
        </w:tc>
        <w:tc>
          <w:tcPr>
            <w:tcW w:w="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12,168</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12,159</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12,168</w:t>
            </w:r>
          </w:p>
        </w:tc>
        <w:tc>
          <w:tcPr>
            <w:tcW w:w="360" w:type="dxa"/>
            <w:vAlign w:val="bottom"/>
            <w:shd w:val="clear" w:color="auto" w:fill="CCEEFF"/>
          </w:tcPr>
          <w:p>
            <w:pPr>
              <w:spacing w:after="0"/>
              <w:rPr>
                <w:sz w:val="10"/>
                <w:szCs w:val="10"/>
                <w:color w:val="auto"/>
              </w:rPr>
            </w:pPr>
          </w:p>
        </w:tc>
      </w:tr>
      <w:tr>
        <w:trPr>
          <w:trHeight w:val="89"/>
        </w:trPr>
        <w:tc>
          <w:tcPr>
            <w:tcW w:w="1160" w:type="dxa"/>
            <w:vAlign w:val="bottom"/>
          </w:tcPr>
          <w:p>
            <w:pPr>
              <w:spacing w:after="0"/>
              <w:rPr>
                <w:sz w:val="7"/>
                <w:szCs w:val="7"/>
                <w:color w:val="auto"/>
              </w:rPr>
            </w:pPr>
          </w:p>
        </w:tc>
        <w:tc>
          <w:tcPr>
            <w:tcW w:w="1420" w:type="dxa"/>
            <w:vAlign w:val="bottom"/>
          </w:tcPr>
          <w:p>
            <w:pPr>
              <w:ind w:left="20"/>
              <w:spacing w:after="0" w:line="90" w:lineRule="exact"/>
              <w:rPr>
                <w:sz w:val="20"/>
                <w:szCs w:val="20"/>
                <w:color w:val="auto"/>
              </w:rPr>
            </w:pPr>
            <w:r>
              <w:rPr>
                <w:rFonts w:ascii="Times New Roman" w:cs="Times New Roman" w:eastAsia="Times New Roman" w:hAnsi="Times New Roman"/>
                <w:sz w:val="10"/>
                <w:szCs w:val="10"/>
                <w:color w:val="auto"/>
              </w:rPr>
              <w:t>Revolving Loan ($3,000</w:t>
            </w:r>
          </w:p>
        </w:tc>
        <w:tc>
          <w:tcPr>
            <w:tcW w:w="2440" w:type="dxa"/>
            <w:vAlign w:val="bottom"/>
          </w:tcPr>
          <w:p>
            <w:pPr>
              <w:ind w:left="1940"/>
              <w:spacing w:after="0" w:line="90" w:lineRule="exact"/>
              <w:rPr>
                <w:sz w:val="20"/>
                <w:szCs w:val="20"/>
                <w:color w:val="auto"/>
              </w:rPr>
            </w:pPr>
            <w:r>
              <w:rPr>
                <w:rFonts w:ascii="Times New Roman" w:cs="Times New Roman" w:eastAsia="Times New Roman" w:hAnsi="Times New Roman"/>
                <w:sz w:val="10"/>
                <w:szCs w:val="10"/>
                <w:color w:val="auto"/>
                <w:w w:val="98"/>
              </w:rPr>
              <w:t>(S + 7.75%)</w:t>
            </w: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116"/>
        </w:trPr>
        <w:tc>
          <w:tcPr>
            <w:tcW w:w="1160" w:type="dxa"/>
            <w:vAlign w:val="bottom"/>
          </w:tcPr>
          <w:p>
            <w:pPr>
              <w:spacing w:after="0"/>
              <w:rPr>
                <w:sz w:val="10"/>
                <w:szCs w:val="10"/>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unfunded commitment) (i)</w:t>
            </w:r>
          </w:p>
        </w:tc>
        <w:tc>
          <w:tcPr>
            <w:tcW w:w="2440" w:type="dxa"/>
            <w:vAlign w:val="bottom"/>
          </w:tcPr>
          <w:p>
            <w:pPr>
              <w:ind w:left="1940"/>
              <w:spacing w:after="0"/>
              <w:rPr>
                <w:sz w:val="20"/>
                <w:szCs w:val="20"/>
                <w:color w:val="auto"/>
              </w:rPr>
            </w:pPr>
            <w:r>
              <w:rPr>
                <w:rFonts w:ascii="Times New Roman" w:cs="Times New Roman" w:eastAsia="Times New Roman" w:hAnsi="Times New Roman"/>
                <w:sz w:val="10"/>
                <w:szCs w:val="10"/>
                <w:color w:val="auto"/>
              </w:rPr>
              <w:t>/ (1.00%)</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11.97%/0.00%</w:t>
            </w: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12/27/2024</w:t>
            </w: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3/25/2027</w:t>
            </w:r>
          </w:p>
        </w:tc>
        <w:tc>
          <w:tcPr>
            <w:tcW w:w="4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— </w:t>
            </w:r>
          </w:p>
        </w:tc>
        <w:tc>
          <w:tcPr>
            <w:tcW w:w="3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0"/>
                <w:szCs w:val="10"/>
                <w:color w:val="auto"/>
                <w:w w:val="79"/>
              </w:rPr>
              <w:t>— </w:t>
            </w:r>
          </w:p>
        </w:tc>
        <w:tc>
          <w:tcPr>
            <w:tcW w:w="60" w:type="dxa"/>
            <w:vAlign w:val="bottom"/>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03"/>
        </w:trPr>
        <w:tc>
          <w:tcPr>
            <w:tcW w:w="116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24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34,995</w:t>
            </w:r>
          </w:p>
        </w:tc>
        <w:tc>
          <w:tcPr>
            <w:tcW w:w="560" w:type="dxa"/>
            <w:vAlign w:val="bottom"/>
            <w:gridSpan w:val="2"/>
            <w:shd w:val="clear" w:color="auto" w:fill="CCEEFF"/>
          </w:tcPr>
          <w:p>
            <w:pPr>
              <w:jc w:val="right"/>
              <w:ind w:right="200"/>
              <w:spacing w:after="0" w:line="103" w:lineRule="exact"/>
              <w:rPr>
                <w:sz w:val="20"/>
                <w:szCs w:val="20"/>
                <w:color w:val="auto"/>
              </w:rPr>
            </w:pPr>
            <w:r>
              <w:rPr>
                <w:rFonts w:ascii="Times New Roman" w:cs="Times New Roman" w:eastAsia="Times New Roman" w:hAnsi="Times New Roman"/>
                <w:sz w:val="10"/>
                <w:szCs w:val="10"/>
                <w:color w:val="auto"/>
              </w:rPr>
              <w:t>35,063</w:t>
            </w:r>
          </w:p>
        </w:tc>
        <w:tc>
          <w:tcPr>
            <w:tcW w:w="360" w:type="dxa"/>
            <w:vAlign w:val="bottom"/>
            <w:shd w:val="clear" w:color="auto" w:fill="CCEEFF"/>
          </w:tcPr>
          <w:p>
            <w:pPr>
              <w:jc w:val="right"/>
              <w:spacing w:after="0" w:line="103" w:lineRule="exact"/>
              <w:rPr>
                <w:sz w:val="20"/>
                <w:szCs w:val="20"/>
                <w:color w:val="auto"/>
              </w:rPr>
            </w:pPr>
            <w:r>
              <w:rPr>
                <w:rFonts w:ascii="Times New Roman" w:cs="Times New Roman" w:eastAsia="Times New Roman" w:hAnsi="Times New Roman"/>
                <w:sz w:val="10"/>
                <w:szCs w:val="10"/>
                <w:color w:val="auto"/>
              </w:rPr>
              <w:t>5%</w:t>
            </w:r>
          </w:p>
        </w:tc>
      </w:tr>
      <w:tr>
        <w:trPr>
          <w:trHeight w:val="154"/>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Fraser Steel LLC</w:t>
            </w:r>
          </w:p>
        </w:tc>
        <w:tc>
          <w:tcPr>
            <w:tcW w:w="1420" w:type="dxa"/>
            <w:vAlign w:val="bottom"/>
          </w:tcPr>
          <w:p>
            <w:pPr>
              <w:spacing w:after="0"/>
              <w:rPr>
                <w:sz w:val="13"/>
                <w:szCs w:val="13"/>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Component Manufacturing</w:t>
            </w: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rPr>
              <w:t>11915 53rd St. NE</w:t>
            </w:r>
          </w:p>
        </w:tc>
        <w:tc>
          <w:tcPr>
            <w:tcW w:w="1420" w:type="dxa"/>
            <w:vAlign w:val="bottom"/>
            <w:shd w:val="clear" w:color="auto" w:fill="CCEEFF"/>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 (bn)</w:t>
            </w:r>
          </w:p>
        </w:tc>
        <w:tc>
          <w:tcPr>
            <w:tcW w:w="2440" w:type="dxa"/>
            <w:vAlign w:val="bottom"/>
            <w:shd w:val="clear" w:color="auto" w:fill="CCEEFF"/>
          </w:tcPr>
          <w:p>
            <w:pPr>
              <w:ind w:left="1940"/>
              <w:spacing w:after="0" w:line="90" w:lineRule="exact"/>
              <w:rPr>
                <w:sz w:val="20"/>
                <w:szCs w:val="20"/>
                <w:color w:val="auto"/>
              </w:rPr>
            </w:pPr>
            <w:r>
              <w:rPr>
                <w:rFonts w:ascii="Times New Roman" w:cs="Times New Roman" w:eastAsia="Times New Roman" w:hAnsi="Times New Roman"/>
                <w:sz w:val="10"/>
                <w:szCs w:val="10"/>
                <w:color w:val="auto"/>
                <w:w w:val="98"/>
              </w:rPr>
              <w:t>(S + 6.00%)</w:t>
            </w:r>
          </w:p>
        </w:tc>
        <w:tc>
          <w:tcPr>
            <w:tcW w:w="6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r>
      <w:tr>
        <w:trPr>
          <w:trHeight w:val="116"/>
        </w:trPr>
        <w:tc>
          <w:tcPr>
            <w:tcW w:w="11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2440" w:type="dxa"/>
            <w:vAlign w:val="bottom"/>
            <w:shd w:val="clear" w:color="auto" w:fill="CCEEFF"/>
          </w:tcPr>
          <w:p>
            <w:pPr>
              <w:ind w:left="1940"/>
              <w:spacing w:after="0"/>
              <w:rPr>
                <w:sz w:val="20"/>
                <w:szCs w:val="20"/>
                <w:color w:val="auto"/>
              </w:rPr>
            </w:pPr>
            <w:r>
              <w:rPr>
                <w:rFonts w:ascii="Times New Roman" w:cs="Times New Roman" w:eastAsia="Times New Roman" w:hAnsi="Times New Roman"/>
                <w:sz w:val="10"/>
                <w:szCs w:val="10"/>
                <w:color w:val="auto"/>
              </w:rPr>
              <w:t>/ (2.00%)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9.99%/0.00%</w:t>
            </w:r>
          </w:p>
        </w:tc>
        <w:tc>
          <w:tcPr>
            <w:tcW w:w="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11/5/2025</w:t>
            </w:r>
          </w:p>
        </w:tc>
        <w:tc>
          <w:tcPr>
            <w:tcW w:w="5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2/5/2030</w:t>
            </w:r>
          </w:p>
        </w:tc>
        <w:tc>
          <w:tcPr>
            <w:tcW w:w="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13,800</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13,737</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13,800</w:t>
            </w:r>
          </w:p>
        </w:tc>
        <w:tc>
          <w:tcPr>
            <w:tcW w:w="360" w:type="dxa"/>
            <w:vAlign w:val="bottom"/>
            <w:shd w:val="clear" w:color="auto" w:fill="CCEEFF"/>
          </w:tcPr>
          <w:p>
            <w:pPr>
              <w:spacing w:after="0"/>
              <w:rPr>
                <w:sz w:val="10"/>
                <w:szCs w:val="10"/>
                <w:color w:val="auto"/>
              </w:rPr>
            </w:pPr>
          </w:p>
        </w:tc>
      </w:tr>
      <w:tr>
        <w:trPr>
          <w:trHeight w:val="103"/>
        </w:trPr>
        <w:tc>
          <w:tcPr>
            <w:tcW w:w="1160" w:type="dxa"/>
            <w:vAlign w:val="bottom"/>
          </w:tcPr>
          <w:p>
            <w:pPr>
              <w:ind w:left="200"/>
              <w:spacing w:after="0" w:line="103" w:lineRule="exact"/>
              <w:rPr>
                <w:sz w:val="20"/>
                <w:szCs w:val="20"/>
                <w:color w:val="auto"/>
              </w:rPr>
            </w:pPr>
            <w:r>
              <w:rPr>
                <w:rFonts w:ascii="Times New Roman" w:cs="Times New Roman" w:eastAsia="Times New Roman" w:hAnsi="Times New Roman"/>
                <w:sz w:val="10"/>
                <w:szCs w:val="10"/>
                <w:color w:val="auto"/>
              </w:rPr>
              <w:t>Albertville, MN 55362</w:t>
            </w:r>
          </w:p>
        </w:tc>
        <w:tc>
          <w:tcPr>
            <w:tcW w:w="1420" w:type="dxa"/>
            <w:vAlign w:val="bottom"/>
          </w:tcPr>
          <w:p>
            <w:pPr>
              <w:ind w:left="20"/>
              <w:spacing w:after="0" w:line="103" w:lineRule="exact"/>
              <w:rPr>
                <w:sz w:val="20"/>
                <w:szCs w:val="20"/>
                <w:color w:val="auto"/>
              </w:rPr>
            </w:pPr>
            <w:r>
              <w:rPr>
                <w:rFonts w:ascii="Times New Roman" w:cs="Times New Roman" w:eastAsia="Times New Roman" w:hAnsi="Times New Roman"/>
                <w:sz w:val="10"/>
                <w:szCs w:val="10"/>
                <w:color w:val="auto"/>
                <w:w w:val="95"/>
              </w:rPr>
              <w:t>Common Equity (500,000 units) (h)</w:t>
            </w:r>
          </w:p>
        </w:tc>
        <w:tc>
          <w:tcPr>
            <w:tcW w:w="2440" w:type="dxa"/>
            <w:vAlign w:val="bottom"/>
          </w:tcPr>
          <w:p>
            <w:pPr>
              <w:ind w:left="1640"/>
              <w:spacing w:after="0" w:line="103" w:lineRule="exact"/>
              <w:rPr>
                <w:sz w:val="20"/>
                <w:szCs w:val="20"/>
                <w:color w:val="auto"/>
              </w:rPr>
            </w:pPr>
            <w:r>
              <w:rPr>
                <w:rFonts w:ascii="Times New Roman" w:cs="Times New Roman" w:eastAsia="Times New Roman" w:hAnsi="Times New Roman"/>
                <w:sz w:val="10"/>
                <w:szCs w:val="10"/>
                <w:color w:val="auto"/>
              </w:rPr>
              <w:t>1.8%</w:t>
            </w:r>
          </w:p>
        </w:tc>
        <w:tc>
          <w:tcPr>
            <w:tcW w:w="640" w:type="dxa"/>
            <w:vAlign w:val="bottom"/>
          </w:tcPr>
          <w:p>
            <w:pPr>
              <w:spacing w:after="0"/>
              <w:rPr>
                <w:sz w:val="8"/>
                <w:szCs w:val="8"/>
                <w:color w:val="auto"/>
              </w:rPr>
            </w:pPr>
          </w:p>
        </w:tc>
        <w:tc>
          <w:tcPr>
            <w:tcW w:w="540" w:type="dxa"/>
            <w:vAlign w:val="bottom"/>
          </w:tcPr>
          <w:p>
            <w:pPr>
              <w:jc w:val="right"/>
              <w:ind w:right="12"/>
              <w:spacing w:after="0" w:line="103" w:lineRule="exact"/>
              <w:rPr>
                <w:sz w:val="20"/>
                <w:szCs w:val="20"/>
                <w:color w:val="auto"/>
              </w:rPr>
            </w:pPr>
            <w:r>
              <w:rPr>
                <w:rFonts w:ascii="Times New Roman" w:cs="Times New Roman" w:eastAsia="Times New Roman" w:hAnsi="Times New Roman"/>
                <w:sz w:val="10"/>
                <w:szCs w:val="10"/>
                <w:color w:val="auto"/>
              </w:rPr>
              <w:t>2/5/2025</w:t>
            </w: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500</w:t>
            </w:r>
          </w:p>
        </w:tc>
        <w:tc>
          <w:tcPr>
            <w:tcW w:w="560" w:type="dxa"/>
            <w:vAlign w:val="bottom"/>
            <w:gridSpan w:val="2"/>
          </w:tcPr>
          <w:p>
            <w:pPr>
              <w:jc w:val="right"/>
              <w:ind w:right="200"/>
              <w:spacing w:after="0" w:line="103" w:lineRule="exact"/>
              <w:rPr>
                <w:sz w:val="20"/>
                <w:szCs w:val="20"/>
                <w:color w:val="auto"/>
              </w:rPr>
            </w:pPr>
            <w:r>
              <w:rPr>
                <w:rFonts w:ascii="Times New Roman" w:cs="Times New Roman" w:eastAsia="Times New Roman" w:hAnsi="Times New Roman"/>
                <w:sz w:val="10"/>
                <w:szCs w:val="10"/>
                <w:color w:val="auto"/>
              </w:rPr>
              <w:t>549</w:t>
            </w:r>
          </w:p>
        </w:tc>
        <w:tc>
          <w:tcPr>
            <w:tcW w:w="360" w:type="dxa"/>
            <w:vAlign w:val="bottom"/>
          </w:tcPr>
          <w:p>
            <w:pPr>
              <w:spacing w:after="0"/>
              <w:rPr>
                <w:sz w:val="8"/>
                <w:szCs w:val="8"/>
                <w:color w:val="auto"/>
              </w:rPr>
            </w:pPr>
          </w:p>
        </w:tc>
      </w:tr>
      <w:tr>
        <w:trPr>
          <w:trHeight w:val="21"/>
        </w:trPr>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24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14,237</w:t>
            </w:r>
          </w:p>
        </w:tc>
        <w:tc>
          <w:tcPr>
            <w:tcW w:w="560" w:type="dxa"/>
            <w:vAlign w:val="bottom"/>
            <w:gridSpan w:val="2"/>
            <w:shd w:val="clear" w:color="auto" w:fill="CCEEFF"/>
          </w:tcPr>
          <w:p>
            <w:pPr>
              <w:jc w:val="right"/>
              <w:ind w:right="200"/>
              <w:spacing w:after="0" w:line="103" w:lineRule="exact"/>
              <w:rPr>
                <w:sz w:val="20"/>
                <w:szCs w:val="20"/>
                <w:color w:val="auto"/>
              </w:rPr>
            </w:pPr>
            <w:r>
              <w:rPr>
                <w:rFonts w:ascii="Times New Roman" w:cs="Times New Roman" w:eastAsia="Times New Roman" w:hAnsi="Times New Roman"/>
                <w:sz w:val="10"/>
                <w:szCs w:val="10"/>
                <w:color w:val="auto"/>
              </w:rPr>
              <w:t>14,349</w:t>
            </w:r>
          </w:p>
        </w:tc>
        <w:tc>
          <w:tcPr>
            <w:tcW w:w="360" w:type="dxa"/>
            <w:vAlign w:val="bottom"/>
            <w:shd w:val="clear" w:color="auto" w:fill="CCEEFF"/>
          </w:tcPr>
          <w:p>
            <w:pPr>
              <w:jc w:val="right"/>
              <w:spacing w:after="0" w:line="103" w:lineRule="exact"/>
              <w:rPr>
                <w:sz w:val="20"/>
                <w:szCs w:val="20"/>
                <w:color w:val="auto"/>
              </w:rPr>
            </w:pPr>
            <w:r>
              <w:rPr>
                <w:rFonts w:ascii="Times New Roman" w:cs="Times New Roman" w:eastAsia="Times New Roman" w:hAnsi="Times New Roman"/>
                <w:sz w:val="10"/>
                <w:szCs w:val="10"/>
                <w:color w:val="auto"/>
              </w:rPr>
              <w:t>2%</w:t>
            </w:r>
          </w:p>
        </w:tc>
      </w:tr>
    </w:tbl>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65" w:right="1440" w:bottom="1440" w:gutter="0" w:footer="0" w:header="0"/>
          <w:type w:val="continuous"/>
        </w:sectPr>
      </w:pPr>
    </w:p>
    <w:bookmarkStart w:id="27" w:name="page28"/>
    <w:bookmarkEnd w:id="27"/>
    <w:tbl>
      <w:tblPr>
        <w:tblLayout w:type="fixed"/>
        <w:tblInd w:w="320" w:type="dxa"/>
        <w:tblCellMar>
          <w:top w:w="0" w:type="dxa"/>
          <w:left w:w="0" w:type="dxa"/>
          <w:bottom w:w="0" w:type="dxa"/>
          <w:right w:w="0" w:type="dxa"/>
        </w:tblCellMar>
      </w:tblPr>
      <w:tr>
        <w:trPr>
          <w:trHeight w:val="103"/>
        </w:trPr>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gridSpan w:val="2"/>
          </w:tcPr>
          <w:p>
            <w:pPr>
              <w:jc w:val="center"/>
              <w:ind w:right="20"/>
              <w:spacing w:after="0"/>
              <w:rPr>
                <w:sz w:val="20"/>
                <w:szCs w:val="20"/>
                <w:color w:val="auto"/>
              </w:rPr>
            </w:pPr>
            <w:r>
              <w:rPr>
                <w:rFonts w:ascii="Times New Roman" w:cs="Times New Roman" w:eastAsia="Times New Roman" w:hAnsi="Times New Roman"/>
                <w:sz w:val="9"/>
                <w:szCs w:val="9"/>
                <w:b w:val="1"/>
                <w:bCs w:val="1"/>
                <w:color w:val="auto"/>
                <w:w w:val="95"/>
              </w:rPr>
              <w:t>Variable</w:t>
            </w: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Portfolio Company (a)(b)</w:t>
            </w:r>
          </w:p>
        </w:tc>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w w:val="98"/>
              </w:rPr>
              <w:t>Percentage</w:t>
            </w:r>
          </w:p>
        </w:tc>
        <w:tc>
          <w:tcPr>
            <w:tcW w:w="54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Index Spread</w:t>
            </w:r>
          </w:p>
        </w:tc>
        <w:tc>
          <w:tcPr>
            <w:tcW w:w="6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9"/>
                <w:szCs w:val="9"/>
                <w:b w:val="1"/>
                <w:bCs w:val="1"/>
                <w:color w:val="auto"/>
                <w:w w:val="99"/>
              </w:rPr>
              <w:t>Rate (e)</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2"/>
          </w:tcPr>
          <w:p>
            <w:pPr>
              <w:jc w:val="center"/>
              <w:ind w:right="140"/>
              <w:spacing w:after="0" w:line="93" w:lineRule="exact"/>
              <w:rPr>
                <w:sz w:val="20"/>
                <w:szCs w:val="20"/>
                <w:color w:val="auto"/>
              </w:rPr>
            </w:pPr>
            <w:r>
              <w:rPr>
                <w:rFonts w:ascii="Times New Roman" w:cs="Times New Roman" w:eastAsia="Times New Roman" w:hAnsi="Times New Roman"/>
                <w:sz w:val="9"/>
                <w:szCs w:val="9"/>
                <w:b w:val="1"/>
                <w:bCs w:val="1"/>
                <w:color w:val="auto"/>
                <w:w w:val="99"/>
              </w:rPr>
              <w:t>of Class</w:t>
            </w:r>
          </w:p>
        </w:tc>
        <w:tc>
          <w:tcPr>
            <w:tcW w:w="520" w:type="dxa"/>
            <w:vAlign w:val="bottom"/>
          </w:tcPr>
          <w:p>
            <w:pPr>
              <w:jc w:val="center"/>
              <w:spacing w:after="0" w:line="93" w:lineRule="exact"/>
              <w:rPr>
                <w:sz w:val="20"/>
                <w:szCs w:val="20"/>
                <w:color w:val="auto"/>
              </w:rPr>
            </w:pPr>
            <w:r>
              <w:rPr>
                <w:rFonts w:ascii="Times New Roman" w:cs="Times New Roman" w:eastAsia="Times New Roman" w:hAnsi="Times New Roman"/>
                <w:sz w:val="9"/>
                <w:szCs w:val="9"/>
                <w:b w:val="1"/>
                <w:bCs w:val="1"/>
                <w:color w:val="auto"/>
                <w:w w:val="77"/>
              </w:rPr>
              <w:t>/</w:t>
            </w:r>
          </w:p>
        </w:tc>
        <w:tc>
          <w:tcPr>
            <w:tcW w:w="2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540" w:type="dxa"/>
            <w:vAlign w:val="bottom"/>
            <w:gridSpan w:val="2"/>
          </w:tcPr>
          <w:p>
            <w:pPr>
              <w:jc w:val="right"/>
              <w:ind w:right="80"/>
              <w:spacing w:after="0" w:line="93" w:lineRule="exact"/>
              <w:rPr>
                <w:sz w:val="20"/>
                <w:szCs w:val="20"/>
                <w:color w:val="auto"/>
              </w:rPr>
            </w:pPr>
            <w:r>
              <w:rPr>
                <w:rFonts w:ascii="Times New Roman" w:cs="Times New Roman" w:eastAsia="Times New Roman" w:hAnsi="Times New Roman"/>
                <w:sz w:val="9"/>
                <w:szCs w:val="9"/>
                <w:b w:val="1"/>
                <w:bCs w:val="1"/>
                <w:color w:val="auto"/>
              </w:rPr>
              <w:t>Investment</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2"/>
          </w:tcPr>
          <w:p>
            <w:pPr>
              <w:jc w:val="right"/>
              <w:ind w:right="80"/>
              <w:spacing w:after="0" w:line="93" w:lineRule="exact"/>
              <w:rPr>
                <w:sz w:val="20"/>
                <w:szCs w:val="20"/>
                <w:color w:val="auto"/>
              </w:rPr>
            </w:pPr>
            <w:r>
              <w:rPr>
                <w:rFonts w:ascii="Times New Roman" w:cs="Times New Roman" w:eastAsia="Times New Roman" w:hAnsi="Times New Roman"/>
                <w:sz w:val="9"/>
                <w:szCs w:val="9"/>
                <w:b w:val="1"/>
                <w:bCs w:val="1"/>
                <w:color w:val="auto"/>
                <w:w w:val="95"/>
              </w:rPr>
              <w:t>Principal</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center"/>
              <w:ind w:right="60"/>
              <w:spacing w:after="0" w:line="93" w:lineRule="exact"/>
              <w:rPr>
                <w:sz w:val="20"/>
                <w:szCs w:val="20"/>
                <w:color w:val="auto"/>
              </w:rPr>
            </w:pPr>
            <w:r>
              <w:rPr>
                <w:rFonts w:ascii="Times New Roman" w:cs="Times New Roman" w:eastAsia="Times New Roman" w:hAnsi="Times New Roman"/>
                <w:sz w:val="9"/>
                <w:szCs w:val="9"/>
                <w:b w:val="1"/>
                <w:bCs w:val="1"/>
                <w:color w:val="auto"/>
                <w:w w:val="96"/>
              </w:rPr>
              <w:t>Fair</w:t>
            </w:r>
          </w:p>
        </w:tc>
        <w:tc>
          <w:tcPr>
            <w:tcW w:w="500" w:type="dxa"/>
            <w:vAlign w:val="bottom"/>
            <w:gridSpan w:val="2"/>
          </w:tcPr>
          <w:p>
            <w:pPr>
              <w:jc w:val="right"/>
              <w:ind w:right="100"/>
              <w:spacing w:after="0" w:line="93" w:lineRule="exact"/>
              <w:rPr>
                <w:sz w:val="20"/>
                <w:szCs w:val="20"/>
                <w:color w:val="auto"/>
              </w:rPr>
            </w:pPr>
            <w:r>
              <w:rPr>
                <w:rFonts w:ascii="Times New Roman" w:cs="Times New Roman" w:eastAsia="Times New Roman" w:hAnsi="Times New Roman"/>
                <w:sz w:val="9"/>
                <w:szCs w:val="9"/>
                <w:b w:val="1"/>
                <w:bCs w:val="1"/>
                <w:color w:val="auto"/>
                <w:w w:val="96"/>
              </w:rPr>
              <w:t>Percent of</w:t>
            </w:r>
          </w:p>
        </w:tc>
        <w:tc>
          <w:tcPr>
            <w:tcW w:w="0" w:type="dxa"/>
            <w:vAlign w:val="bottom"/>
          </w:tcPr>
          <w:p>
            <w:pPr>
              <w:spacing w:after="0"/>
              <w:rPr>
                <w:sz w:val="1"/>
                <w:szCs w:val="1"/>
                <w:color w:val="auto"/>
              </w:rPr>
            </w:pPr>
          </w:p>
        </w:tc>
      </w:tr>
      <w:tr>
        <w:trPr>
          <w:trHeight w:val="130"/>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w w:val="97"/>
              </w:rPr>
              <w:t>Address of Portfolio Company</w:t>
            </w:r>
          </w:p>
        </w:tc>
        <w:tc>
          <w:tcPr>
            <w:tcW w:w="20" w:type="dxa"/>
            <w:vAlign w:val="bottom"/>
          </w:tcPr>
          <w:p>
            <w:pPr>
              <w:spacing w:after="0"/>
              <w:rPr>
                <w:sz w:val="11"/>
                <w:szCs w:val="11"/>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9"/>
                <w:szCs w:val="9"/>
                <w:b w:val="1"/>
                <w:bCs w:val="1"/>
                <w:color w:val="auto"/>
              </w:rPr>
              <w:t>Investment Type (c)</w:t>
            </w:r>
          </w:p>
        </w:tc>
        <w:tc>
          <w:tcPr>
            <w:tcW w:w="1320" w:type="dxa"/>
            <w:vAlign w:val="bottom"/>
            <w:gridSpan w:val="2"/>
          </w:tcPr>
          <w:p>
            <w:pPr>
              <w:ind w:left="48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99"/>
              </w:rPr>
              <w:t>Held (bo)</w:t>
            </w: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9"/>
                <w:szCs w:val="9"/>
                <w:b w:val="1"/>
                <w:bCs w:val="1"/>
                <w:color w:val="auto"/>
                <w:w w:val="99"/>
              </w:rPr>
              <w:t>Floor (d)</w:t>
            </w: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9"/>
                <w:szCs w:val="9"/>
                <w:b w:val="1"/>
                <w:bCs w:val="1"/>
                <w:color w:val="auto"/>
                <w:w w:val="99"/>
              </w:rPr>
              <w:t>Cash/PIK</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b w:val="1"/>
                <w:bCs w:val="1"/>
                <w:color w:val="auto"/>
              </w:rPr>
              <w:t>Date (f)</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Maturity</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b w:val="1"/>
                <w:bCs w:val="1"/>
                <w:color w:val="auto"/>
              </w:rPr>
              <w:t>Amount</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Cost</w:t>
            </w: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9"/>
                <w:szCs w:val="9"/>
                <w:b w:val="1"/>
                <w:bCs w:val="1"/>
                <w:color w:val="auto"/>
                <w:w w:val="96"/>
              </w:rPr>
              <w:t>Value (g)</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b w:val="1"/>
                <w:bCs w:val="1"/>
                <w:color w:val="auto"/>
                <w:w w:val="95"/>
              </w:rPr>
              <w:t>Net Assets</w:t>
            </w:r>
          </w:p>
        </w:tc>
        <w:tc>
          <w:tcPr>
            <w:tcW w:w="0" w:type="dxa"/>
            <w:vAlign w:val="bottom"/>
          </w:tcPr>
          <w:p>
            <w:pPr>
              <w:spacing w:after="0"/>
              <w:rPr>
                <w:sz w:val="1"/>
                <w:szCs w:val="1"/>
                <w:color w:val="auto"/>
              </w:rPr>
            </w:pPr>
          </w:p>
        </w:tc>
      </w:tr>
      <w:tr>
        <w:trPr>
          <w:trHeight w:val="83"/>
        </w:trPr>
        <w:tc>
          <w:tcPr>
            <w:tcW w:w="1160" w:type="dxa"/>
            <w:vAlign w:val="bottom"/>
            <w:tcBorders>
              <w:top w:val="single" w:sz="8" w:color="CCEEFF"/>
            </w:tcBorders>
            <w:shd w:val="clear" w:color="auto" w:fill="CCEEFF"/>
          </w:tcPr>
          <w:p>
            <w:pPr>
              <w:spacing w:after="0" w:line="83" w:lineRule="exact"/>
              <w:rPr>
                <w:sz w:val="20"/>
                <w:szCs w:val="20"/>
                <w:color w:val="auto"/>
              </w:rPr>
            </w:pPr>
            <w:r>
              <w:rPr>
                <w:rFonts w:ascii="Times New Roman" w:cs="Times New Roman" w:eastAsia="Times New Roman" w:hAnsi="Times New Roman"/>
                <w:sz w:val="8"/>
                <w:szCs w:val="8"/>
                <w:i w:val="1"/>
                <w:iCs w:val="1"/>
                <w:color w:val="auto"/>
              </w:rPr>
              <w:t>Fumex, LLC</w:t>
            </w:r>
          </w:p>
        </w:tc>
        <w:tc>
          <w:tcPr>
            <w:tcW w:w="20" w:type="dxa"/>
            <w:vAlign w:val="bottom"/>
            <w:tcBorders>
              <w:top w:val="single" w:sz="8" w:color="CCEEFF"/>
            </w:tcBorders>
            <w:shd w:val="clear" w:color="auto" w:fill="CCEEFF"/>
          </w:tcPr>
          <w:p>
            <w:pPr>
              <w:spacing w:after="0"/>
              <w:rPr>
                <w:sz w:val="7"/>
                <w:szCs w:val="7"/>
                <w:color w:val="auto"/>
              </w:rPr>
            </w:pPr>
          </w:p>
        </w:tc>
        <w:tc>
          <w:tcPr>
            <w:tcW w:w="134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280" w:type="dxa"/>
            <w:vAlign w:val="bottom"/>
            <w:tcBorders>
              <w:top w:val="single" w:sz="8" w:color="auto"/>
            </w:tcBorders>
            <w:shd w:val="clear" w:color="auto" w:fill="CCEEFF"/>
          </w:tcPr>
          <w:p>
            <w:pPr>
              <w:spacing w:after="0" w:line="83" w:lineRule="exact"/>
              <w:rPr>
                <w:sz w:val="20"/>
                <w:szCs w:val="20"/>
                <w:color w:val="auto"/>
              </w:rPr>
            </w:pPr>
            <w:r>
              <w:rPr>
                <w:rFonts w:ascii="Times New Roman" w:cs="Times New Roman" w:eastAsia="Times New Roman" w:hAnsi="Times New Roman"/>
                <w:sz w:val="8"/>
                <w:szCs w:val="8"/>
                <w:color w:val="auto"/>
              </w:rPr>
              <w:t>Industrial Product Services</w:t>
            </w:r>
          </w:p>
        </w:tc>
        <w:tc>
          <w:tcPr>
            <w:tcW w:w="4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w w:val="96"/>
              </w:rPr>
              <w:t>1150 Cobb International</w:t>
            </w:r>
          </w:p>
        </w:tc>
        <w:tc>
          <w:tcPr>
            <w:tcW w:w="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(S + 4.75%)</w:t>
            </w: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Place</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First Lien Debt (j)(ar)</w:t>
            </w: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0"/>
                <w:szCs w:val="10"/>
                <w:color w:val="auto"/>
              </w:rPr>
              <w:t>/ (1.00%)</w:t>
            </w:r>
          </w:p>
        </w:tc>
        <w:tc>
          <w:tcPr>
            <w:tcW w:w="20" w:type="dxa"/>
            <w:vAlign w:val="bottom"/>
          </w:tcPr>
          <w:p>
            <w:pPr>
              <w:spacing w:after="0"/>
              <w:rPr>
                <w:sz w:val="10"/>
                <w:szCs w:val="1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8.75%/0.00%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11/27/2024</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11/27/2029</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7,000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6,959</w:t>
            </w: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7,000</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Kennesaw, GA 30152</w:t>
            </w:r>
          </w:p>
        </w:tc>
        <w:tc>
          <w:tcPr>
            <w:tcW w:w="1380" w:type="dxa"/>
            <w:vAlign w:val="bottom"/>
            <w:gridSpan w:val="3"/>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w w:val="99"/>
              </w:rPr>
              <w:t>Common Equity (3,500 units) (h)</w:t>
            </w: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0.7%</w:t>
            </w: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11/27/2024</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350</w:t>
            </w:r>
          </w:p>
        </w:tc>
        <w:tc>
          <w:tcPr>
            <w:tcW w:w="4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346</w:t>
            </w: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7,309</w:t>
            </w:r>
          </w:p>
        </w:tc>
        <w:tc>
          <w:tcPr>
            <w:tcW w:w="60" w:type="dxa"/>
            <w:vAlign w:val="bottom"/>
          </w:tcPr>
          <w:p>
            <w:pPr>
              <w:spacing w:after="0"/>
              <w:rPr>
                <w:sz w:val="9"/>
                <w:szCs w:val="9"/>
                <w:color w:val="auto"/>
              </w:rPr>
            </w:pPr>
          </w:p>
        </w:tc>
        <w:tc>
          <w:tcPr>
            <w:tcW w:w="3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7,346</w:t>
            </w:r>
          </w:p>
        </w:tc>
        <w:tc>
          <w:tcPr>
            <w:tcW w:w="60" w:type="dxa"/>
            <w:vAlign w:val="bottom"/>
          </w:tcPr>
          <w:p>
            <w:pPr>
              <w:spacing w:after="0"/>
              <w:rPr>
                <w:sz w:val="9"/>
                <w:szCs w:val="9"/>
                <w:color w:val="auto"/>
              </w:rPr>
            </w:pPr>
          </w:p>
        </w:tc>
        <w:tc>
          <w:tcPr>
            <w:tcW w:w="500" w:type="dxa"/>
            <w:vAlign w:val="bottom"/>
            <w:gridSpan w:val="2"/>
          </w:tcPr>
          <w:p>
            <w:pPr>
              <w:jc w:val="right"/>
              <w:ind w:right="20"/>
              <w:spacing w:after="0" w:line="111" w:lineRule="exact"/>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41"/>
        </w:trPr>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0"/>
                <w:szCs w:val="10"/>
                <w:i w:val="1"/>
                <w:iCs w:val="1"/>
                <w:color w:val="auto"/>
                <w:w w:val="94"/>
              </w:rPr>
              <w:t>Global Plasma Solutions, Inc.</w:t>
            </w:r>
          </w:p>
        </w:tc>
        <w:tc>
          <w:tcPr>
            <w:tcW w:w="2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20" w:type="dxa"/>
            <w:vAlign w:val="bottom"/>
            <w:gridSpan w:val="2"/>
            <w:shd w:val="clear" w:color="auto" w:fill="CCEEFF"/>
          </w:tcPr>
          <w:p>
            <w:pPr>
              <w:spacing w:after="0" w:line="103" w:lineRule="exact"/>
              <w:rPr>
                <w:sz w:val="20"/>
                <w:szCs w:val="20"/>
                <w:color w:val="auto"/>
              </w:rPr>
            </w:pPr>
            <w:r>
              <w:rPr>
                <w:rFonts w:ascii="Times New Roman" w:cs="Times New Roman" w:eastAsia="Times New Roman" w:hAnsi="Times New Roman"/>
                <w:sz w:val="10"/>
                <w:szCs w:val="10"/>
                <w:color w:val="auto"/>
              </w:rPr>
              <w:t>Component Manufacturing</w:t>
            </w: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3101 Yorkmont Road,</w:t>
            </w:r>
          </w:p>
        </w:tc>
        <w:tc>
          <w:tcPr>
            <w:tcW w:w="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Suite 1500</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Preferred Equity (601 shares)</w:t>
            </w: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0.0%</w:t>
            </w: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2/1/2024</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162</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282</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Charlotte, NC 28208</w:t>
            </w:r>
          </w:p>
        </w:tc>
        <w:tc>
          <w:tcPr>
            <w:tcW w:w="1380" w:type="dxa"/>
            <w:vAlign w:val="bottom"/>
            <w:gridSpan w:val="3"/>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(1,705 shares)</w:t>
            </w: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0.9%</w:t>
            </w: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9/21/2018</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188</w:t>
            </w:r>
          </w:p>
        </w:tc>
        <w:tc>
          <w:tcPr>
            <w:tcW w:w="4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199</w:t>
            </w: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350</w:t>
            </w:r>
          </w:p>
        </w:tc>
        <w:tc>
          <w:tcPr>
            <w:tcW w:w="60" w:type="dxa"/>
            <w:vAlign w:val="bottom"/>
          </w:tcPr>
          <w:p>
            <w:pPr>
              <w:spacing w:after="0"/>
              <w:rPr>
                <w:sz w:val="9"/>
                <w:szCs w:val="9"/>
                <w:color w:val="auto"/>
              </w:rPr>
            </w:pPr>
          </w:p>
        </w:tc>
        <w:tc>
          <w:tcPr>
            <w:tcW w:w="3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481</w:t>
            </w:r>
          </w:p>
        </w:tc>
        <w:tc>
          <w:tcPr>
            <w:tcW w:w="60" w:type="dxa"/>
            <w:vAlign w:val="bottom"/>
          </w:tcPr>
          <w:p>
            <w:pPr>
              <w:spacing w:after="0"/>
              <w:rPr>
                <w:sz w:val="9"/>
                <w:szCs w:val="9"/>
                <w:color w:val="auto"/>
              </w:rPr>
            </w:pPr>
          </w:p>
        </w:tc>
        <w:tc>
          <w:tcPr>
            <w:tcW w:w="500" w:type="dxa"/>
            <w:vAlign w:val="bottom"/>
            <w:gridSpan w:val="2"/>
          </w:tcPr>
          <w:p>
            <w:pPr>
              <w:jc w:val="right"/>
              <w:ind w:right="20"/>
              <w:spacing w:after="0" w:line="111" w:lineRule="exact"/>
              <w:rPr>
                <w:sz w:val="20"/>
                <w:szCs w:val="20"/>
                <w:color w:val="auto"/>
              </w:rPr>
            </w:pPr>
            <w:r>
              <w:rPr>
                <w:rFonts w:ascii="Times New Roman" w:cs="Times New Roman" w:eastAsia="Times New Roman" w:hAnsi="Times New Roman"/>
                <w:sz w:val="10"/>
                <w:szCs w:val="10"/>
                <w:color w:val="auto"/>
              </w:rPr>
              <w:t>0%</w:t>
            </w:r>
          </w:p>
        </w:tc>
        <w:tc>
          <w:tcPr>
            <w:tcW w:w="0" w:type="dxa"/>
            <w:vAlign w:val="bottom"/>
          </w:tcPr>
          <w:p>
            <w:pPr>
              <w:spacing w:after="0"/>
              <w:rPr>
                <w:sz w:val="1"/>
                <w:szCs w:val="1"/>
                <w:color w:val="auto"/>
              </w:rPr>
            </w:pPr>
          </w:p>
        </w:tc>
      </w:tr>
      <w:tr>
        <w:trPr>
          <w:trHeight w:val="41"/>
        </w:trPr>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11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i w:val="1"/>
                <w:iCs w:val="1"/>
                <w:color w:val="auto"/>
              </w:rPr>
              <w:t>GMP HVAC, LLC (dba</w:t>
            </w:r>
          </w:p>
        </w:tc>
        <w:tc>
          <w:tcPr>
            <w:tcW w:w="2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320" w:type="dxa"/>
            <w:vAlign w:val="bottom"/>
            <w:gridSpan w:val="2"/>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Utilities: Services</w:t>
            </w: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100"/>
              <w:spacing w:after="0" w:line="103" w:lineRule="exact"/>
              <w:rPr>
                <w:sz w:val="20"/>
                <w:szCs w:val="20"/>
                <w:color w:val="auto"/>
              </w:rPr>
            </w:pPr>
            <w:r>
              <w:rPr>
                <w:rFonts w:ascii="Times New Roman" w:cs="Times New Roman" w:eastAsia="Times New Roman" w:hAnsi="Times New Roman"/>
                <w:sz w:val="10"/>
                <w:szCs w:val="10"/>
                <w:i w:val="1"/>
                <w:iCs w:val="1"/>
                <w:color w:val="auto"/>
              </w:rPr>
              <w:t>McGee Heating &amp; Air,</w:t>
            </w:r>
          </w:p>
        </w:tc>
        <w:tc>
          <w:tcPr>
            <w:tcW w:w="2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i w:val="1"/>
                <w:iCs w:val="1"/>
                <w:color w:val="auto"/>
              </w:rPr>
              <w:t>LLC)</w:t>
            </w:r>
          </w:p>
        </w:tc>
        <w:tc>
          <w:tcPr>
            <w:tcW w:w="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93 Old 29 Highway</w:t>
            </w:r>
          </w:p>
        </w:tc>
        <w:tc>
          <w:tcPr>
            <w:tcW w:w="1380" w:type="dxa"/>
            <w:vAlign w:val="bottom"/>
            <w:gridSpan w:val="3"/>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 (j)(bb)</w:t>
            </w: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(S + 6.50%)</w:t>
            </w: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0"/>
                <w:szCs w:val="10"/>
                <w:color w:val="auto"/>
              </w:rPr>
              <w:t>/ (2.00%)</w:t>
            </w:r>
          </w:p>
        </w:tc>
        <w:tc>
          <w:tcPr>
            <w:tcW w:w="20" w:type="dxa"/>
            <w:vAlign w:val="bottom"/>
          </w:tcPr>
          <w:p>
            <w:pPr>
              <w:spacing w:after="0"/>
              <w:rPr>
                <w:sz w:val="10"/>
                <w:szCs w:val="1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w w:val="94"/>
              </w:rPr>
              <w:t>10.37%/0.00%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12/8/2023</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12/8/2028</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29,460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29,246</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29,460</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Hartwell, GA 30643</w:t>
            </w:r>
          </w:p>
        </w:tc>
        <w:tc>
          <w:tcPr>
            <w:tcW w:w="1380" w:type="dxa"/>
            <w:vAlign w:val="bottom"/>
            <w:gridSpan w:val="3"/>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w w:val="99"/>
              </w:rPr>
              <w:t>Preferred Equity (1,366 units) (h)</w:t>
            </w: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2.2%</w:t>
            </w: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12/8/2023</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1,406</w:t>
            </w:r>
          </w:p>
        </w:tc>
        <w:tc>
          <w:tcPr>
            <w:tcW w:w="360" w:type="dxa"/>
            <w:vAlign w:val="bottom"/>
            <w:shd w:val="clear" w:color="auto" w:fill="CCEEFF"/>
          </w:tcPr>
          <w:p>
            <w:pPr>
              <w:jc w:val="right"/>
              <w:spacing w:after="0" w:line="103" w:lineRule="exact"/>
              <w:rPr>
                <w:sz w:val="20"/>
                <w:szCs w:val="20"/>
                <w:color w:val="auto"/>
              </w:rPr>
            </w:pPr>
            <w:r>
              <w:rPr>
                <w:rFonts w:ascii="Times New Roman" w:cs="Times New Roman" w:eastAsia="Times New Roman" w:hAnsi="Times New Roman"/>
                <w:sz w:val="10"/>
                <w:szCs w:val="10"/>
                <w:color w:val="auto"/>
              </w:rPr>
              <w:t>1,890</w:t>
            </w: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30,652</w:t>
            </w:r>
          </w:p>
        </w:tc>
        <w:tc>
          <w:tcPr>
            <w:tcW w:w="60" w:type="dxa"/>
            <w:vAlign w:val="bottom"/>
          </w:tcPr>
          <w:p>
            <w:pPr>
              <w:spacing w:after="0"/>
              <w:rPr>
                <w:sz w:val="9"/>
                <w:szCs w:val="9"/>
                <w:color w:val="auto"/>
              </w:rPr>
            </w:pPr>
          </w:p>
        </w:tc>
        <w:tc>
          <w:tcPr>
            <w:tcW w:w="3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31,350</w:t>
            </w:r>
          </w:p>
        </w:tc>
        <w:tc>
          <w:tcPr>
            <w:tcW w:w="60" w:type="dxa"/>
            <w:vAlign w:val="bottom"/>
          </w:tcPr>
          <w:p>
            <w:pPr>
              <w:spacing w:after="0"/>
              <w:rPr>
                <w:sz w:val="9"/>
                <w:szCs w:val="9"/>
                <w:color w:val="auto"/>
              </w:rPr>
            </w:pPr>
          </w:p>
        </w:tc>
        <w:tc>
          <w:tcPr>
            <w:tcW w:w="500" w:type="dxa"/>
            <w:vAlign w:val="bottom"/>
            <w:gridSpan w:val="2"/>
          </w:tcPr>
          <w:p>
            <w:pPr>
              <w:jc w:val="right"/>
              <w:ind w:right="20"/>
              <w:spacing w:after="0" w:line="111" w:lineRule="exact"/>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41"/>
        </w:trPr>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0"/>
                <w:szCs w:val="10"/>
                <w:i w:val="1"/>
                <w:iCs w:val="1"/>
                <w:color w:val="auto"/>
              </w:rPr>
              <w:t>GPS Insight, Inc.</w:t>
            </w:r>
          </w:p>
        </w:tc>
        <w:tc>
          <w:tcPr>
            <w:tcW w:w="2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20" w:type="dxa"/>
            <w:vAlign w:val="bottom"/>
            <w:gridSpan w:val="2"/>
            <w:shd w:val="clear" w:color="auto" w:fill="CCEEFF"/>
          </w:tcPr>
          <w:p>
            <w:pPr>
              <w:spacing w:after="0" w:line="103" w:lineRule="exact"/>
              <w:rPr>
                <w:sz w:val="20"/>
                <w:szCs w:val="20"/>
                <w:color w:val="auto"/>
              </w:rPr>
            </w:pPr>
            <w:r>
              <w:rPr>
                <w:rFonts w:ascii="Times New Roman" w:cs="Times New Roman" w:eastAsia="Times New Roman" w:hAnsi="Times New Roman"/>
                <w:sz w:val="10"/>
                <w:szCs w:val="10"/>
                <w:color w:val="auto"/>
                <w:w w:val="96"/>
              </w:rPr>
              <w:t>Information Technology Services</w:t>
            </w: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7201 E Henkel Way,</w:t>
            </w:r>
          </w:p>
        </w:tc>
        <w:tc>
          <w:tcPr>
            <w:tcW w:w="1380" w:type="dxa"/>
            <w:vAlign w:val="bottom"/>
            <w:gridSpan w:val="3"/>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 (av)</w:t>
            </w: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(S + 5.58%)</w:t>
            </w: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Suite 400</w:t>
            </w:r>
          </w:p>
        </w:tc>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0"/>
                <w:szCs w:val="10"/>
                <w:color w:val="auto"/>
              </w:rPr>
              <w:t>/ (1.00%)</w:t>
            </w:r>
          </w:p>
        </w:tc>
        <w:tc>
          <w:tcPr>
            <w:tcW w:w="20" w:type="dxa"/>
            <w:vAlign w:val="bottom"/>
          </w:tcPr>
          <w:p>
            <w:pPr>
              <w:spacing w:after="0"/>
              <w:rPr>
                <w:sz w:val="10"/>
                <w:szCs w:val="1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9.57%/0.00%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10/17/2025</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5/18/2028</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23,201</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23,094</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23,094</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Scottsdale, AZ 85255</w:t>
            </w:r>
          </w:p>
        </w:tc>
        <w:tc>
          <w:tcPr>
            <w:tcW w:w="2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Green Cubes Technology,</w:t>
            </w: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0"/>
                <w:szCs w:val="10"/>
                <w:color w:val="auto"/>
                <w:w w:val="96"/>
              </w:rPr>
              <w:t>Information Technology Services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160" w:type="dxa"/>
            <w:vAlign w:val="bottom"/>
          </w:tcPr>
          <w:p>
            <w:pPr>
              <w:ind w:left="100"/>
              <w:spacing w:after="0"/>
              <w:rPr>
                <w:sz w:val="20"/>
                <w:szCs w:val="20"/>
                <w:color w:val="auto"/>
              </w:rPr>
            </w:pPr>
            <w:r>
              <w:rPr>
                <w:rFonts w:ascii="Times New Roman" w:cs="Times New Roman" w:eastAsia="Times New Roman" w:hAnsi="Times New Roman"/>
                <w:sz w:val="10"/>
                <w:szCs w:val="10"/>
                <w:i w:val="1"/>
                <w:iCs w:val="1"/>
                <w:color w:val="auto"/>
              </w:rPr>
              <w:t>LLC (dba Green Cubes)</w:t>
            </w:r>
          </w:p>
        </w:tc>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rPr>
              <w:t>2121 East Boulevard</w:t>
            </w:r>
          </w:p>
        </w:tc>
        <w:tc>
          <w:tcPr>
            <w:tcW w:w="1380" w:type="dxa"/>
            <w:vAlign w:val="bottom"/>
            <w:gridSpan w:val="3"/>
            <w:shd w:val="clear" w:color="auto" w:fill="CCEEFF"/>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 (j)(ax)</w:t>
            </w: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gridSpan w:val="2"/>
            <w:shd w:val="clear" w:color="auto" w:fill="CCEEFF"/>
          </w:tcPr>
          <w:p>
            <w:pPr>
              <w:spacing w:after="0" w:line="90" w:lineRule="exact"/>
              <w:rPr>
                <w:sz w:val="20"/>
                <w:szCs w:val="20"/>
                <w:color w:val="auto"/>
              </w:rPr>
            </w:pPr>
            <w:r>
              <w:rPr>
                <w:rFonts w:ascii="Times New Roman" w:cs="Times New Roman" w:eastAsia="Times New Roman" w:hAnsi="Times New Roman"/>
                <w:sz w:val="10"/>
                <w:szCs w:val="10"/>
                <w:color w:val="auto"/>
              </w:rPr>
              <w:t>(S + 7.50%)</w:t>
            </w: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 (2.00%)</w:t>
            </w:r>
          </w:p>
        </w:tc>
        <w:tc>
          <w:tcPr>
            <w:tcW w:w="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w w:val="94"/>
              </w:rPr>
              <w:t>11.46%/0.00%</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10/16/2024</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10/16/2029</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22,500</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22,289</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22,500</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23"/>
        </w:trPr>
        <w:tc>
          <w:tcPr>
            <w:tcW w:w="116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Kokomo. IN 46902</w:t>
            </w:r>
          </w:p>
        </w:tc>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7"/>
        </w:trPr>
        <w:tc>
          <w:tcPr>
            <w:tcW w:w="11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i w:val="1"/>
                <w:iCs w:val="1"/>
                <w:color w:val="auto"/>
                <w:w w:val="99"/>
              </w:rPr>
              <w:t>Haematologic Technologies,</w:t>
            </w:r>
          </w:p>
        </w:tc>
        <w:tc>
          <w:tcPr>
            <w:tcW w:w="2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320" w:type="dxa"/>
            <w:vAlign w:val="bottom"/>
            <w:gridSpan w:val="2"/>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Healthcare Services</w:t>
            </w: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i w:val="1"/>
                <w:iCs w:val="1"/>
                <w:color w:val="auto"/>
              </w:rPr>
              <w:t>Inc.</w:t>
            </w:r>
          </w:p>
        </w:tc>
        <w:tc>
          <w:tcPr>
            <w:tcW w:w="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57 River Road</w:t>
            </w:r>
          </w:p>
        </w:tc>
        <w:tc>
          <w:tcPr>
            <w:tcW w:w="1380" w:type="dxa"/>
            <w:vAlign w:val="bottom"/>
            <w:gridSpan w:val="3"/>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w:t>
            </w: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(S + 5.25%)</w:t>
            </w: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0"/>
                <w:szCs w:val="10"/>
                <w:color w:val="auto"/>
              </w:rPr>
              <w:t>/ (3.00%)</w:t>
            </w:r>
          </w:p>
        </w:tc>
        <w:tc>
          <w:tcPr>
            <w:tcW w:w="20" w:type="dxa"/>
            <w:vAlign w:val="bottom"/>
          </w:tcPr>
          <w:p>
            <w:pPr>
              <w:spacing w:after="0"/>
              <w:rPr>
                <w:sz w:val="10"/>
                <w:szCs w:val="1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9.49%/3.00%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10/11/2019</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6/30/2026</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6,579</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6,579</w:t>
            </w: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6,381</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rPr>
              <w:t>Essex Junction, VT</w:t>
            </w:r>
          </w:p>
        </w:tc>
        <w:tc>
          <w:tcPr>
            <w:tcW w:w="1380" w:type="dxa"/>
            <w:vAlign w:val="bottom"/>
            <w:gridSpan w:val="3"/>
            <w:shd w:val="clear" w:color="auto" w:fill="CCEEFF"/>
          </w:tcPr>
          <w:p>
            <w:pPr>
              <w:ind w:left="20"/>
              <w:spacing w:after="0" w:line="90" w:lineRule="exact"/>
              <w:rPr>
                <w:sz w:val="20"/>
                <w:szCs w:val="20"/>
                <w:color w:val="auto"/>
              </w:rPr>
            </w:pPr>
            <w:r>
              <w:rPr>
                <w:rFonts w:ascii="Times New Roman" w:cs="Times New Roman" w:eastAsia="Times New Roman" w:hAnsi="Times New Roman"/>
                <w:sz w:val="10"/>
                <w:szCs w:val="10"/>
                <w:color w:val="auto"/>
              </w:rPr>
              <w:t>Common Equity (630 units) (h)</w:t>
            </w: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05452</w:t>
            </w:r>
          </w:p>
        </w:tc>
        <w:tc>
          <w:tcPr>
            <w:tcW w:w="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3.1%</w:t>
            </w: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10/11/2019</w:t>
            </w: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630</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— </w:t>
            </w: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1380" w:type="dxa"/>
            <w:vAlign w:val="bottom"/>
            <w:gridSpan w:val="3"/>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(169 units) (h)</w:t>
            </w: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0.4%</w:t>
            </w: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6/26/2023</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bottom w:val="single" w:sz="8" w:color="auto"/>
            </w:tcBorders>
          </w:tcPr>
          <w:p>
            <w:pPr>
              <w:jc w:val="right"/>
              <w:spacing w:after="0" w:line="103" w:lineRule="exact"/>
              <w:rPr>
                <w:sz w:val="20"/>
                <w:szCs w:val="20"/>
                <w:color w:val="auto"/>
              </w:rPr>
            </w:pPr>
            <w:r>
              <w:rPr>
                <w:rFonts w:ascii="Times New Roman" w:cs="Times New Roman" w:eastAsia="Times New Roman" w:hAnsi="Times New Roman"/>
                <w:sz w:val="10"/>
                <w:szCs w:val="10"/>
                <w:color w:val="auto"/>
              </w:rPr>
              <w:t>169</w:t>
            </w:r>
          </w:p>
        </w:tc>
        <w:tc>
          <w:tcPr>
            <w:tcW w:w="60" w:type="dxa"/>
            <w:vAlign w:val="bottom"/>
          </w:tcPr>
          <w:p>
            <w:pPr>
              <w:spacing w:after="0"/>
              <w:rPr>
                <w:sz w:val="8"/>
                <w:szCs w:val="8"/>
                <w:color w:val="auto"/>
              </w:rPr>
            </w:pPr>
          </w:p>
        </w:tc>
        <w:tc>
          <w:tcPr>
            <w:tcW w:w="360" w:type="dxa"/>
            <w:vAlign w:val="bottom"/>
            <w:tcBorders>
              <w:bottom w:val="single" w:sz="8" w:color="auto"/>
            </w:tcBorders>
          </w:tcPr>
          <w:p>
            <w:pPr>
              <w:ind w:left="220"/>
              <w:spacing w:after="0" w:line="103" w:lineRule="exact"/>
              <w:rPr>
                <w:sz w:val="20"/>
                <w:szCs w:val="20"/>
                <w:color w:val="auto"/>
              </w:rPr>
            </w:pPr>
            <w:r>
              <w:rPr>
                <w:rFonts w:ascii="Times New Roman" w:cs="Times New Roman" w:eastAsia="Times New Roman" w:hAnsi="Times New Roman"/>
                <w:sz w:val="10"/>
                <w:szCs w:val="10"/>
                <w:color w:val="auto"/>
                <w:w w:val="79"/>
              </w:rPr>
              <w:t>— </w:t>
            </w: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7,378</w:t>
            </w:r>
          </w:p>
        </w:tc>
        <w:tc>
          <w:tcPr>
            <w:tcW w:w="360" w:type="dxa"/>
            <w:vAlign w:val="bottom"/>
            <w:shd w:val="clear" w:color="auto" w:fill="CCEEFF"/>
          </w:tcPr>
          <w:p>
            <w:pPr>
              <w:jc w:val="right"/>
              <w:spacing w:after="0" w:line="103" w:lineRule="exact"/>
              <w:rPr>
                <w:sz w:val="20"/>
                <w:szCs w:val="20"/>
                <w:color w:val="auto"/>
              </w:rPr>
            </w:pPr>
            <w:r>
              <w:rPr>
                <w:rFonts w:ascii="Times New Roman" w:cs="Times New Roman" w:eastAsia="Times New Roman" w:hAnsi="Times New Roman"/>
                <w:sz w:val="10"/>
                <w:szCs w:val="10"/>
                <w:color w:val="auto"/>
              </w:rPr>
              <w:t>6,381</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39"/>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Hallmark Health Care</w:t>
            </w: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Healthcare Services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160" w:type="dxa"/>
            <w:vAlign w:val="bottom"/>
          </w:tcPr>
          <w:p>
            <w:pPr>
              <w:ind w:left="100"/>
              <w:spacing w:after="0"/>
              <w:rPr>
                <w:sz w:val="20"/>
                <w:szCs w:val="20"/>
                <w:color w:val="auto"/>
              </w:rPr>
            </w:pPr>
            <w:r>
              <w:rPr>
                <w:rFonts w:ascii="Times New Roman" w:cs="Times New Roman" w:eastAsia="Times New Roman" w:hAnsi="Times New Roman"/>
                <w:sz w:val="10"/>
                <w:szCs w:val="10"/>
                <w:i w:val="1"/>
                <w:iCs w:val="1"/>
                <w:color w:val="auto"/>
              </w:rPr>
              <w:t>Solutions, Inc.</w:t>
            </w:r>
          </w:p>
        </w:tc>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rPr>
              <w:t>200 Motor Parkway,</w:t>
            </w:r>
          </w:p>
        </w:tc>
        <w:tc>
          <w:tcPr>
            <w:tcW w:w="1380" w:type="dxa"/>
            <w:vAlign w:val="bottom"/>
            <w:gridSpan w:val="3"/>
            <w:shd w:val="clear" w:color="auto" w:fill="CCEEFF"/>
          </w:tcPr>
          <w:p>
            <w:pPr>
              <w:ind w:left="20"/>
              <w:spacing w:after="0" w:line="90" w:lineRule="exact"/>
              <w:rPr>
                <w:sz w:val="20"/>
                <w:szCs w:val="20"/>
                <w:color w:val="auto"/>
              </w:rPr>
            </w:pPr>
            <w:r>
              <w:rPr>
                <w:rFonts w:ascii="Times New Roman" w:cs="Times New Roman" w:eastAsia="Times New Roman" w:hAnsi="Times New Roman"/>
                <w:sz w:val="10"/>
                <w:szCs w:val="10"/>
                <w:color w:val="auto"/>
                <w:w w:val="97"/>
              </w:rPr>
              <w:t>Common Equity (3,645,752 units)</w:t>
            </w: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Suite D-26</w:t>
            </w:r>
          </w:p>
        </w:tc>
        <w:tc>
          <w:tcPr>
            <w:tcW w:w="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0.4%</w:t>
            </w: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9/18/2023</w:t>
            </w: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3,646</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1,638</w:t>
            </w: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0%</w:t>
            </w:r>
          </w:p>
        </w:tc>
        <w:tc>
          <w:tcPr>
            <w:tcW w:w="0" w:type="dxa"/>
            <w:vAlign w:val="bottom"/>
          </w:tcPr>
          <w:p>
            <w:pPr>
              <w:spacing w:after="0"/>
              <w:rPr>
                <w:sz w:val="1"/>
                <w:szCs w:val="1"/>
                <w:color w:val="auto"/>
              </w:rPr>
            </w:pPr>
          </w:p>
        </w:tc>
      </w:tr>
      <w:tr>
        <w:trPr>
          <w:trHeight w:val="123"/>
        </w:trPr>
        <w:tc>
          <w:tcPr>
            <w:tcW w:w="116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Hauppauge, NY 11788</w:t>
            </w:r>
          </w:p>
        </w:tc>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7"/>
        </w:trPr>
        <w:tc>
          <w:tcPr>
            <w:tcW w:w="11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i w:val="1"/>
                <w:iCs w:val="1"/>
                <w:color w:val="auto"/>
              </w:rPr>
              <w:t>Hub Acquisition Sub, LLC</w:t>
            </w:r>
          </w:p>
        </w:tc>
        <w:tc>
          <w:tcPr>
            <w:tcW w:w="2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320" w:type="dxa"/>
            <w:vAlign w:val="bottom"/>
            <w:gridSpan w:val="2"/>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Promotional products</w:t>
            </w: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i w:val="1"/>
                <w:iCs w:val="1"/>
                <w:color w:val="auto"/>
              </w:rPr>
              <w:t>(dba Hub Pen)</w:t>
            </w:r>
          </w:p>
        </w:tc>
        <w:tc>
          <w:tcPr>
            <w:tcW w:w="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tcPr>
          <w:p>
            <w:pPr>
              <w:ind w:left="200"/>
              <w:spacing w:after="0" w:line="103" w:lineRule="exact"/>
              <w:rPr>
                <w:sz w:val="20"/>
                <w:szCs w:val="20"/>
                <w:color w:val="auto"/>
              </w:rPr>
            </w:pPr>
            <w:r>
              <w:rPr>
                <w:rFonts w:ascii="Times New Roman" w:cs="Times New Roman" w:eastAsia="Times New Roman" w:hAnsi="Times New Roman"/>
                <w:sz w:val="10"/>
                <w:szCs w:val="10"/>
                <w:color w:val="auto"/>
                <w:w w:val="97"/>
              </w:rPr>
              <w:t>1525 Washington Street</w:t>
            </w:r>
          </w:p>
        </w:tc>
        <w:tc>
          <w:tcPr>
            <w:tcW w:w="1380" w:type="dxa"/>
            <w:vAlign w:val="bottom"/>
            <w:gridSpan w:val="3"/>
          </w:tcPr>
          <w:p>
            <w:pPr>
              <w:ind w:left="20"/>
              <w:spacing w:after="0" w:line="103" w:lineRule="exact"/>
              <w:rPr>
                <w:sz w:val="20"/>
                <w:szCs w:val="20"/>
                <w:color w:val="auto"/>
              </w:rPr>
            </w:pPr>
            <w:r>
              <w:rPr>
                <w:rFonts w:ascii="Times New Roman" w:cs="Times New Roman" w:eastAsia="Times New Roman" w:hAnsi="Times New Roman"/>
                <w:sz w:val="10"/>
                <w:szCs w:val="10"/>
                <w:color w:val="auto"/>
              </w:rPr>
              <w:t>Second Lien Debt</w:t>
            </w: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gridSpan w:val="2"/>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w w:val="94"/>
              </w:rPr>
              <w:t>11.50%/1.25%</w:t>
            </w: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4/25/2023</w:t>
            </w: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6/30/2028</w:t>
            </w:r>
          </w:p>
        </w:tc>
        <w:tc>
          <w:tcPr>
            <w:tcW w:w="440" w:type="dxa"/>
            <w:vAlign w:val="bottom"/>
            <w:gridSpan w:val="2"/>
          </w:tcPr>
          <w:p>
            <w:pPr>
              <w:jc w:val="right"/>
              <w:ind w:right="80"/>
              <w:spacing w:after="0" w:line="103" w:lineRule="exact"/>
              <w:rPr>
                <w:sz w:val="20"/>
                <w:szCs w:val="20"/>
                <w:color w:val="auto"/>
              </w:rPr>
            </w:pPr>
            <w:r>
              <w:rPr>
                <w:rFonts w:ascii="Times New Roman" w:cs="Times New Roman" w:eastAsia="Times New Roman" w:hAnsi="Times New Roman"/>
                <w:sz w:val="10"/>
                <w:szCs w:val="10"/>
                <w:color w:val="auto"/>
              </w:rPr>
              <w:t>25,121</w:t>
            </w:r>
          </w:p>
        </w:tc>
        <w:tc>
          <w:tcPr>
            <w:tcW w:w="36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24,947</w:t>
            </w:r>
          </w:p>
        </w:tc>
        <w:tc>
          <w:tcPr>
            <w:tcW w:w="4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25,121</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Braintree, MA 02184</w:t>
            </w:r>
          </w:p>
        </w:tc>
        <w:tc>
          <w:tcPr>
            <w:tcW w:w="1380" w:type="dxa"/>
            <w:vAlign w:val="bottom"/>
            <w:gridSpan w:val="3"/>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(5,837 units)</w:t>
            </w: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0.6%</w:t>
            </w: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3/23/2016</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ind w:left="16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360" w:type="dxa"/>
            <w:vAlign w:val="bottom"/>
            <w:shd w:val="clear" w:color="auto" w:fill="CCEEFF"/>
          </w:tcPr>
          <w:p>
            <w:pPr>
              <w:jc w:val="right"/>
              <w:spacing w:after="0" w:line="103" w:lineRule="exact"/>
              <w:rPr>
                <w:sz w:val="20"/>
                <w:szCs w:val="20"/>
                <w:color w:val="auto"/>
              </w:rPr>
            </w:pPr>
            <w:r>
              <w:rPr>
                <w:rFonts w:ascii="Times New Roman" w:cs="Times New Roman" w:eastAsia="Times New Roman" w:hAnsi="Times New Roman"/>
                <w:sz w:val="10"/>
                <w:szCs w:val="10"/>
                <w:color w:val="auto"/>
              </w:rPr>
              <w:t>1,224</w:t>
            </w: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1380" w:type="dxa"/>
            <w:vAlign w:val="bottom"/>
            <w:gridSpan w:val="3"/>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(637 units)</w:t>
            </w: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0.1%</w:t>
            </w: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8/7/2023</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102</w:t>
            </w:r>
          </w:p>
        </w:tc>
        <w:tc>
          <w:tcPr>
            <w:tcW w:w="4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134</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1380" w:type="dxa"/>
            <w:vAlign w:val="bottom"/>
            <w:gridSpan w:val="3"/>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Preferred Equity (868 units)</w:t>
            </w: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0.0%</w:t>
            </w: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10/16/2020</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154</w:t>
            </w:r>
          </w:p>
        </w:tc>
        <w:tc>
          <w:tcPr>
            <w:tcW w:w="4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363</w:t>
            </w: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25,203</w:t>
            </w:r>
          </w:p>
        </w:tc>
        <w:tc>
          <w:tcPr>
            <w:tcW w:w="60" w:type="dxa"/>
            <w:vAlign w:val="bottom"/>
          </w:tcPr>
          <w:p>
            <w:pPr>
              <w:spacing w:after="0"/>
              <w:rPr>
                <w:sz w:val="9"/>
                <w:szCs w:val="9"/>
                <w:color w:val="auto"/>
              </w:rPr>
            </w:pPr>
          </w:p>
        </w:tc>
        <w:tc>
          <w:tcPr>
            <w:tcW w:w="3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26,842</w:t>
            </w:r>
          </w:p>
        </w:tc>
        <w:tc>
          <w:tcPr>
            <w:tcW w:w="60" w:type="dxa"/>
            <w:vAlign w:val="bottom"/>
          </w:tcPr>
          <w:p>
            <w:pPr>
              <w:spacing w:after="0"/>
              <w:rPr>
                <w:sz w:val="9"/>
                <w:szCs w:val="9"/>
                <w:color w:val="auto"/>
              </w:rPr>
            </w:pPr>
          </w:p>
        </w:tc>
        <w:tc>
          <w:tcPr>
            <w:tcW w:w="500" w:type="dxa"/>
            <w:vAlign w:val="bottom"/>
            <w:gridSpan w:val="2"/>
          </w:tcPr>
          <w:p>
            <w:pPr>
              <w:jc w:val="right"/>
              <w:ind w:right="20"/>
              <w:spacing w:after="0" w:line="111" w:lineRule="exact"/>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203440" cy="450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65" w:right="1440" w:bottom="1440" w:gutter="0" w:footer="0" w:header="0"/>
        </w:sectPr>
      </w:pPr>
    </w:p>
    <w:bookmarkStart w:id="28" w:name="page29"/>
    <w:bookmarkEnd w:id="28"/>
    <w:tbl>
      <w:tblPr>
        <w:tblLayout w:type="fixed"/>
        <w:tblInd w:w="320" w:type="dxa"/>
        <w:tblCellMar>
          <w:top w:w="0" w:type="dxa"/>
          <w:left w:w="0" w:type="dxa"/>
          <w:bottom w:w="0" w:type="dxa"/>
          <w:right w:w="0" w:type="dxa"/>
        </w:tblCellMar>
      </w:tblPr>
      <w:tr>
        <w:trPr>
          <w:trHeight w:val="103"/>
        </w:trPr>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gridSpan w:val="2"/>
          </w:tcPr>
          <w:p>
            <w:pPr>
              <w:jc w:val="center"/>
              <w:ind w:right="20"/>
              <w:spacing w:after="0"/>
              <w:rPr>
                <w:sz w:val="20"/>
                <w:szCs w:val="20"/>
                <w:color w:val="auto"/>
              </w:rPr>
            </w:pPr>
            <w:r>
              <w:rPr>
                <w:rFonts w:ascii="Times New Roman" w:cs="Times New Roman" w:eastAsia="Times New Roman" w:hAnsi="Times New Roman"/>
                <w:sz w:val="9"/>
                <w:szCs w:val="9"/>
                <w:b w:val="1"/>
                <w:bCs w:val="1"/>
                <w:color w:val="auto"/>
                <w:w w:val="95"/>
              </w:rPr>
              <w:t>Variable</w:t>
            </w: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Portfolio Company (a)(b)</w:t>
            </w:r>
          </w:p>
        </w:tc>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w w:val="98"/>
              </w:rPr>
              <w:t>Percentage</w:t>
            </w:r>
          </w:p>
        </w:tc>
        <w:tc>
          <w:tcPr>
            <w:tcW w:w="40" w:type="dxa"/>
            <w:vAlign w:val="bottom"/>
          </w:tcPr>
          <w:p>
            <w:pPr>
              <w:spacing w:after="0"/>
              <w:rPr>
                <w:sz w:val="8"/>
                <w:szCs w:val="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Index Spread</w:t>
            </w:r>
          </w:p>
        </w:tc>
        <w:tc>
          <w:tcPr>
            <w:tcW w:w="6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9"/>
                <w:szCs w:val="9"/>
                <w:b w:val="1"/>
                <w:bCs w:val="1"/>
                <w:color w:val="auto"/>
                <w:w w:val="99"/>
              </w:rPr>
              <w:t>Rate (e)</w:t>
            </w: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center"/>
              <w:ind w:right="100"/>
              <w:spacing w:after="0" w:line="93" w:lineRule="exact"/>
              <w:rPr>
                <w:sz w:val="20"/>
                <w:szCs w:val="20"/>
                <w:color w:val="auto"/>
              </w:rPr>
            </w:pPr>
            <w:r>
              <w:rPr>
                <w:rFonts w:ascii="Times New Roman" w:cs="Times New Roman" w:eastAsia="Times New Roman" w:hAnsi="Times New Roman"/>
                <w:sz w:val="9"/>
                <w:szCs w:val="9"/>
                <w:b w:val="1"/>
                <w:bCs w:val="1"/>
                <w:color w:val="auto"/>
                <w:w w:val="99"/>
              </w:rPr>
              <w:t>of Class</w:t>
            </w:r>
          </w:p>
        </w:tc>
        <w:tc>
          <w:tcPr>
            <w:tcW w:w="560" w:type="dxa"/>
            <w:vAlign w:val="bottom"/>
            <w:gridSpan w:val="2"/>
          </w:tcPr>
          <w:p>
            <w:pPr>
              <w:jc w:val="center"/>
              <w:spacing w:after="0" w:line="93" w:lineRule="exact"/>
              <w:rPr>
                <w:sz w:val="20"/>
                <w:szCs w:val="20"/>
                <w:color w:val="auto"/>
              </w:rPr>
            </w:pPr>
            <w:r>
              <w:rPr>
                <w:rFonts w:ascii="Times New Roman" w:cs="Times New Roman" w:eastAsia="Times New Roman" w:hAnsi="Times New Roman"/>
                <w:sz w:val="9"/>
                <w:szCs w:val="9"/>
                <w:b w:val="1"/>
                <w:bCs w:val="1"/>
                <w:color w:val="auto"/>
              </w:rPr>
              <w:t>/</w:t>
            </w:r>
          </w:p>
        </w:tc>
        <w:tc>
          <w:tcPr>
            <w:tcW w:w="2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520" w:type="dxa"/>
            <w:vAlign w:val="bottom"/>
            <w:gridSpan w:val="2"/>
          </w:tcPr>
          <w:p>
            <w:pPr>
              <w:jc w:val="right"/>
              <w:ind w:right="80"/>
              <w:spacing w:after="0" w:line="93" w:lineRule="exact"/>
              <w:rPr>
                <w:sz w:val="20"/>
                <w:szCs w:val="20"/>
                <w:color w:val="auto"/>
              </w:rPr>
            </w:pPr>
            <w:r>
              <w:rPr>
                <w:rFonts w:ascii="Times New Roman" w:cs="Times New Roman" w:eastAsia="Times New Roman" w:hAnsi="Times New Roman"/>
                <w:sz w:val="9"/>
                <w:szCs w:val="9"/>
                <w:b w:val="1"/>
                <w:bCs w:val="1"/>
                <w:color w:val="auto"/>
                <w:w w:val="97"/>
              </w:rPr>
              <w:t>Investment</w:t>
            </w: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2"/>
          </w:tcPr>
          <w:p>
            <w:pPr>
              <w:jc w:val="right"/>
              <w:ind w:right="80"/>
              <w:spacing w:after="0" w:line="93" w:lineRule="exact"/>
              <w:rPr>
                <w:sz w:val="20"/>
                <w:szCs w:val="20"/>
                <w:color w:val="auto"/>
              </w:rPr>
            </w:pPr>
            <w:r>
              <w:rPr>
                <w:rFonts w:ascii="Times New Roman" w:cs="Times New Roman" w:eastAsia="Times New Roman" w:hAnsi="Times New Roman"/>
                <w:sz w:val="9"/>
                <w:szCs w:val="9"/>
                <w:b w:val="1"/>
                <w:bCs w:val="1"/>
                <w:color w:val="auto"/>
                <w:w w:val="95"/>
              </w:rPr>
              <w:t>Principal</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center"/>
              <w:ind w:right="60"/>
              <w:spacing w:after="0" w:line="93" w:lineRule="exact"/>
              <w:rPr>
                <w:sz w:val="20"/>
                <w:szCs w:val="20"/>
                <w:color w:val="auto"/>
              </w:rPr>
            </w:pPr>
            <w:r>
              <w:rPr>
                <w:rFonts w:ascii="Times New Roman" w:cs="Times New Roman" w:eastAsia="Times New Roman" w:hAnsi="Times New Roman"/>
                <w:sz w:val="9"/>
                <w:szCs w:val="9"/>
                <w:b w:val="1"/>
                <w:bCs w:val="1"/>
                <w:color w:val="auto"/>
                <w:w w:val="96"/>
              </w:rPr>
              <w:t>Fair</w:t>
            </w:r>
          </w:p>
        </w:tc>
        <w:tc>
          <w:tcPr>
            <w:tcW w:w="500" w:type="dxa"/>
            <w:vAlign w:val="bottom"/>
            <w:gridSpan w:val="2"/>
          </w:tcPr>
          <w:p>
            <w:pPr>
              <w:jc w:val="right"/>
              <w:ind w:right="100"/>
              <w:spacing w:after="0" w:line="93" w:lineRule="exact"/>
              <w:rPr>
                <w:sz w:val="20"/>
                <w:szCs w:val="20"/>
                <w:color w:val="auto"/>
              </w:rPr>
            </w:pPr>
            <w:r>
              <w:rPr>
                <w:rFonts w:ascii="Times New Roman" w:cs="Times New Roman" w:eastAsia="Times New Roman" w:hAnsi="Times New Roman"/>
                <w:sz w:val="9"/>
                <w:szCs w:val="9"/>
                <w:b w:val="1"/>
                <w:bCs w:val="1"/>
                <w:color w:val="auto"/>
                <w:w w:val="96"/>
              </w:rPr>
              <w:t>Percent of</w:t>
            </w:r>
          </w:p>
        </w:tc>
        <w:tc>
          <w:tcPr>
            <w:tcW w:w="0" w:type="dxa"/>
            <w:vAlign w:val="bottom"/>
          </w:tcPr>
          <w:p>
            <w:pPr>
              <w:spacing w:after="0"/>
              <w:rPr>
                <w:sz w:val="1"/>
                <w:szCs w:val="1"/>
                <w:color w:val="auto"/>
              </w:rPr>
            </w:pPr>
          </w:p>
        </w:tc>
      </w:tr>
      <w:tr>
        <w:trPr>
          <w:trHeight w:val="130"/>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w w:val="97"/>
              </w:rPr>
              <w:t>Address of Portfolio Company</w:t>
            </w:r>
          </w:p>
        </w:tc>
        <w:tc>
          <w:tcPr>
            <w:tcW w:w="20" w:type="dxa"/>
            <w:vAlign w:val="bottom"/>
          </w:tcPr>
          <w:p>
            <w:pPr>
              <w:spacing w:after="0"/>
              <w:rPr>
                <w:sz w:val="11"/>
                <w:szCs w:val="11"/>
                <w:color w:val="auto"/>
              </w:rPr>
            </w:pPr>
          </w:p>
        </w:tc>
        <w:tc>
          <w:tcPr>
            <w:tcW w:w="1400" w:type="dxa"/>
            <w:vAlign w:val="bottom"/>
          </w:tcPr>
          <w:p>
            <w:pPr>
              <w:ind w:left="320"/>
              <w:spacing w:after="0"/>
              <w:rPr>
                <w:sz w:val="20"/>
                <w:szCs w:val="20"/>
                <w:color w:val="auto"/>
              </w:rPr>
            </w:pPr>
            <w:r>
              <w:rPr>
                <w:rFonts w:ascii="Times New Roman" w:cs="Times New Roman" w:eastAsia="Times New Roman" w:hAnsi="Times New Roman"/>
                <w:sz w:val="9"/>
                <w:szCs w:val="9"/>
                <w:b w:val="1"/>
                <w:bCs w:val="1"/>
                <w:color w:val="auto"/>
              </w:rPr>
              <w:t>Investment Type (c)</w:t>
            </w:r>
          </w:p>
        </w:tc>
        <w:tc>
          <w:tcPr>
            <w:tcW w:w="20" w:type="dxa"/>
            <w:vAlign w:val="bottom"/>
          </w:tcPr>
          <w:p>
            <w:pPr>
              <w:spacing w:after="0"/>
              <w:rPr>
                <w:sz w:val="11"/>
                <w:szCs w:val="11"/>
                <w:color w:val="auto"/>
              </w:rPr>
            </w:pPr>
          </w:p>
        </w:tc>
        <w:tc>
          <w:tcPr>
            <w:tcW w:w="1320" w:type="dxa"/>
            <w:vAlign w:val="bottom"/>
            <w:gridSpan w:val="2"/>
          </w:tcPr>
          <w:p>
            <w:pPr>
              <w:ind w:left="48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520" w:type="dxa"/>
            <w:vAlign w:val="bottom"/>
            <w:gridSpan w:val="2"/>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w w:val="99"/>
              </w:rPr>
              <w:t>Held (bo)</w:t>
            </w:r>
          </w:p>
        </w:tc>
        <w:tc>
          <w:tcPr>
            <w:tcW w:w="40" w:type="dxa"/>
            <w:vAlign w:val="bottom"/>
          </w:tcPr>
          <w:p>
            <w:pPr>
              <w:spacing w:after="0"/>
              <w:rPr>
                <w:sz w:val="11"/>
                <w:szCs w:val="11"/>
                <w:color w:val="auto"/>
              </w:rPr>
            </w:pP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9"/>
                <w:szCs w:val="9"/>
                <w:b w:val="1"/>
                <w:bCs w:val="1"/>
                <w:color w:val="auto"/>
                <w:w w:val="99"/>
              </w:rPr>
              <w:t>Floor (d)</w:t>
            </w: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9"/>
                <w:szCs w:val="9"/>
                <w:b w:val="1"/>
                <w:bCs w:val="1"/>
                <w:color w:val="auto"/>
                <w:w w:val="99"/>
              </w:rPr>
              <w:t>Cash/PIK</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Date (f)</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b w:val="1"/>
                <w:bCs w:val="1"/>
                <w:color w:val="auto"/>
              </w:rPr>
              <w:t>Maturity</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b w:val="1"/>
                <w:bCs w:val="1"/>
                <w:color w:val="auto"/>
              </w:rPr>
              <w:t>Amount</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Cost</w:t>
            </w: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9"/>
                <w:szCs w:val="9"/>
                <w:b w:val="1"/>
                <w:bCs w:val="1"/>
                <w:color w:val="auto"/>
                <w:w w:val="96"/>
              </w:rPr>
              <w:t>Value (g)</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b w:val="1"/>
                <w:bCs w:val="1"/>
                <w:color w:val="auto"/>
                <w:w w:val="95"/>
              </w:rPr>
              <w:t>Net Assets</w:t>
            </w:r>
          </w:p>
        </w:tc>
        <w:tc>
          <w:tcPr>
            <w:tcW w:w="0" w:type="dxa"/>
            <w:vAlign w:val="bottom"/>
          </w:tcPr>
          <w:p>
            <w:pPr>
              <w:spacing w:after="0"/>
              <w:rPr>
                <w:sz w:val="1"/>
                <w:szCs w:val="1"/>
                <w:color w:val="auto"/>
              </w:rPr>
            </w:pPr>
          </w:p>
        </w:tc>
      </w:tr>
      <w:tr>
        <w:trPr>
          <w:trHeight w:val="22"/>
        </w:trPr>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1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i w:val="1"/>
                <w:iCs w:val="1"/>
                <w:color w:val="auto"/>
              </w:rPr>
              <w:t>IBH Holdings, LLC (fka</w:t>
            </w:r>
          </w:p>
        </w:tc>
        <w:tc>
          <w:tcPr>
            <w:tcW w:w="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i w:val="1"/>
                <w:iCs w:val="1"/>
                <w:color w:val="auto"/>
              </w:rPr>
              <w:t>Inflexxion, Inc.)</w:t>
            </w:r>
          </w:p>
        </w:tc>
        <w:tc>
          <w:tcPr>
            <w:tcW w:w="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Business Services</w:t>
            </w: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tcPr>
          <w:p>
            <w:pPr>
              <w:ind w:left="200"/>
              <w:spacing w:after="0" w:line="103" w:lineRule="exact"/>
              <w:rPr>
                <w:sz w:val="20"/>
                <w:szCs w:val="20"/>
                <w:color w:val="auto"/>
              </w:rPr>
            </w:pPr>
            <w:r>
              <w:rPr>
                <w:rFonts w:ascii="Times New Roman" w:cs="Times New Roman" w:eastAsia="Times New Roman" w:hAnsi="Times New Roman"/>
                <w:sz w:val="10"/>
                <w:szCs w:val="10"/>
                <w:color w:val="auto"/>
              </w:rPr>
              <w:t>3070 Bristol ST #350</w:t>
            </w:r>
          </w:p>
        </w:tc>
        <w:tc>
          <w:tcPr>
            <w:tcW w:w="142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(150,000 units)</w:t>
            </w: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1.5%</w:t>
            </w: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6/20/2018</w:t>
            </w: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2"/>
          </w:tcPr>
          <w:p>
            <w:pPr>
              <w:ind w:left="16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420" w:type="dxa"/>
            <w:vAlign w:val="bottom"/>
            <w:gridSpan w:val="2"/>
          </w:tcPr>
          <w:p>
            <w:pPr>
              <w:ind w:left="22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gridSpan w:val="2"/>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0%</w:t>
            </w: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Costa Mesa, CA 92626</w:t>
            </w:r>
          </w:p>
        </w:tc>
        <w:tc>
          <w:tcPr>
            <w:tcW w:w="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w w:val="98"/>
              </w:rPr>
              <w:t>InductiveHealth Informatics,</w:t>
            </w: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160" w:type="dxa"/>
            <w:vAlign w:val="bottom"/>
          </w:tcPr>
          <w:p>
            <w:pPr>
              <w:ind w:left="100"/>
              <w:spacing w:after="0"/>
              <w:rPr>
                <w:sz w:val="20"/>
                <w:szCs w:val="20"/>
                <w:color w:val="auto"/>
              </w:rPr>
            </w:pPr>
            <w:r>
              <w:rPr>
                <w:rFonts w:ascii="Times New Roman" w:cs="Times New Roman" w:eastAsia="Times New Roman" w:hAnsi="Times New Roman"/>
                <w:sz w:val="10"/>
                <w:szCs w:val="10"/>
                <w:i w:val="1"/>
                <w:iCs w:val="1"/>
                <w:color w:val="auto"/>
              </w:rPr>
              <w:t>LLC</w:t>
            </w: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Healthcare Services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w w:val="99"/>
              </w:rPr>
              <w:t>2870 Peachtree Rd NW</w:t>
            </w:r>
          </w:p>
        </w:tc>
        <w:tc>
          <w:tcPr>
            <w:tcW w:w="1420" w:type="dxa"/>
            <w:vAlign w:val="bottom"/>
            <w:gridSpan w:val="2"/>
            <w:shd w:val="clear" w:color="auto" w:fill="CCEEFF"/>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 (j)</w:t>
            </w:r>
          </w:p>
        </w:tc>
        <w:tc>
          <w:tcPr>
            <w:tcW w:w="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gridSpan w:val="3"/>
            <w:shd w:val="clear" w:color="auto" w:fill="CCEEFF"/>
          </w:tcPr>
          <w:p>
            <w:pPr>
              <w:ind w:left="40"/>
              <w:spacing w:after="0" w:line="90" w:lineRule="exact"/>
              <w:rPr>
                <w:sz w:val="20"/>
                <w:szCs w:val="20"/>
                <w:color w:val="auto"/>
              </w:rPr>
            </w:pPr>
            <w:r>
              <w:rPr>
                <w:rFonts w:ascii="Times New Roman" w:cs="Times New Roman" w:eastAsia="Times New Roman" w:hAnsi="Times New Roman"/>
                <w:sz w:val="10"/>
                <w:szCs w:val="10"/>
                <w:color w:val="auto"/>
              </w:rPr>
              <w:t>(S + 7.75%)</w:t>
            </w:r>
          </w:p>
        </w:tc>
        <w:tc>
          <w:tcPr>
            <w:tcW w:w="5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 (2.00%)</w:t>
            </w: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4"/>
              </w:rPr>
              <w:t>11.71%/0.50%</w:t>
            </w:r>
          </w:p>
        </w:tc>
        <w:tc>
          <w:tcPr>
            <w:tcW w:w="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9/20/2024</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w w:val="98"/>
              </w:rPr>
              <w:t>9/20/2028</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35,065</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34,775</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35,065</w:t>
            </w: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Atlanta, GA 30305</w:t>
            </w:r>
          </w:p>
        </w:tc>
        <w:tc>
          <w:tcPr>
            <w:tcW w:w="1420" w:type="dxa"/>
            <w:vAlign w:val="bottom"/>
            <w:gridSpan w:val="2"/>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w:t>
            </w: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3"/>
          </w:tcPr>
          <w:p>
            <w:pPr>
              <w:ind w:left="40"/>
              <w:spacing w:after="0" w:line="90" w:lineRule="exact"/>
              <w:rPr>
                <w:sz w:val="20"/>
                <w:szCs w:val="20"/>
                <w:color w:val="auto"/>
              </w:rPr>
            </w:pPr>
            <w:r>
              <w:rPr>
                <w:rFonts w:ascii="Times New Roman" w:cs="Times New Roman" w:eastAsia="Times New Roman" w:hAnsi="Times New Roman"/>
                <w:sz w:val="10"/>
                <w:szCs w:val="10"/>
                <w:color w:val="auto"/>
              </w:rPr>
              <w:t>(S + 7.75%)</w:t>
            </w: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(2.00%)</w:t>
            </w:r>
          </w:p>
        </w:tc>
        <w:tc>
          <w:tcPr>
            <w:tcW w:w="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4"/>
              </w:rPr>
              <w:t>11.71%/0.50%</w:t>
            </w:r>
          </w:p>
        </w:tc>
        <w:tc>
          <w:tcPr>
            <w:tcW w:w="40" w:type="dxa"/>
            <w:vAlign w:val="bottom"/>
          </w:tcPr>
          <w:p>
            <w:pPr>
              <w:spacing w:after="0"/>
              <w:rPr>
                <w:sz w:val="10"/>
                <w:szCs w:val="10"/>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w w:val="96"/>
              </w:rPr>
              <w:t>12/16/2025</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w w:val="98"/>
              </w:rPr>
              <w:t>9/20/2028</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2,993</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2,964</w:t>
            </w: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2,994</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1420" w:type="dxa"/>
            <w:vAlign w:val="bottom"/>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Preferred Equity (367 units)</w:t>
            </w: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0.0%</w:t>
            </w: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9/20/2024</w:t>
            </w: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292</w:t>
            </w:r>
          </w:p>
        </w:tc>
        <w:tc>
          <w:tcPr>
            <w:tcW w:w="4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330</w:t>
            </w: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142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(1,361 units)</w:t>
            </w: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0.3%</w:t>
            </w: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9/20/2024</w:t>
            </w: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bottom w:val="single" w:sz="8" w:color="auto"/>
            </w:tcBorders>
          </w:tcPr>
          <w:p>
            <w:pPr>
              <w:ind w:left="160"/>
              <w:spacing w:after="0" w:line="103" w:lineRule="exact"/>
              <w:rPr>
                <w:sz w:val="20"/>
                <w:szCs w:val="20"/>
                <w:color w:val="auto"/>
              </w:rPr>
            </w:pPr>
            <w:r>
              <w:rPr>
                <w:rFonts w:ascii="Times New Roman" w:cs="Times New Roman" w:eastAsia="Times New Roman" w:hAnsi="Times New Roman"/>
                <w:sz w:val="10"/>
                <w:szCs w:val="10"/>
                <w:color w:val="auto"/>
                <w:w w:val="79"/>
              </w:rPr>
              <w:t>— </w:t>
            </w:r>
          </w:p>
        </w:tc>
        <w:tc>
          <w:tcPr>
            <w:tcW w:w="60" w:type="dxa"/>
            <w:vAlign w:val="bottom"/>
          </w:tcPr>
          <w:p>
            <w:pPr>
              <w:spacing w:after="0"/>
              <w:rPr>
                <w:sz w:val="8"/>
                <w:szCs w:val="8"/>
                <w:color w:val="auto"/>
              </w:rPr>
            </w:pPr>
          </w:p>
        </w:tc>
        <w:tc>
          <w:tcPr>
            <w:tcW w:w="360" w:type="dxa"/>
            <w:vAlign w:val="bottom"/>
            <w:tcBorders>
              <w:bottom w:val="single" w:sz="8" w:color="auto"/>
            </w:tcBorders>
          </w:tcPr>
          <w:p>
            <w:pPr>
              <w:ind w:left="220"/>
              <w:spacing w:after="0" w:line="103" w:lineRule="exact"/>
              <w:rPr>
                <w:sz w:val="20"/>
                <w:szCs w:val="20"/>
                <w:color w:val="auto"/>
              </w:rPr>
            </w:pPr>
            <w:r>
              <w:rPr>
                <w:rFonts w:ascii="Times New Roman" w:cs="Times New Roman" w:eastAsia="Times New Roman" w:hAnsi="Times New Roman"/>
                <w:sz w:val="10"/>
                <w:szCs w:val="10"/>
                <w:color w:val="auto"/>
                <w:w w:val="79"/>
              </w:rPr>
              <w:t>— </w:t>
            </w: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38,031</w:t>
            </w:r>
          </w:p>
        </w:tc>
        <w:tc>
          <w:tcPr>
            <w:tcW w:w="4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38,389</w:t>
            </w:r>
          </w:p>
        </w:tc>
        <w:tc>
          <w:tcPr>
            <w:tcW w:w="500" w:type="dxa"/>
            <w:vAlign w:val="bottom"/>
            <w:gridSpan w:val="2"/>
            <w:shd w:val="clear" w:color="auto" w:fill="CCEEFF"/>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39"/>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Info Tech Operating, LLC</w:t>
            </w: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160" w:type="dxa"/>
            <w:vAlign w:val="bottom"/>
          </w:tcPr>
          <w:p>
            <w:pPr>
              <w:ind w:left="100"/>
              <w:spacing w:after="0"/>
              <w:rPr>
                <w:sz w:val="20"/>
                <w:szCs w:val="20"/>
                <w:color w:val="auto"/>
              </w:rPr>
            </w:pPr>
            <w:r>
              <w:rPr>
                <w:rFonts w:ascii="Times New Roman" w:cs="Times New Roman" w:eastAsia="Times New Roman" w:hAnsi="Times New Roman"/>
                <w:sz w:val="10"/>
                <w:szCs w:val="10"/>
                <w:i w:val="1"/>
                <w:iCs w:val="1"/>
                <w:color w:val="auto"/>
              </w:rPr>
              <w:t>(dba infotech)</w:t>
            </w: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w w:val="96"/>
              </w:rPr>
              <w:t>Information Technology Services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rPr>
              <w:t>2970 SW 50th Terrace</w:t>
            </w:r>
          </w:p>
        </w:tc>
        <w:tc>
          <w:tcPr>
            <w:tcW w:w="1420" w:type="dxa"/>
            <w:vAlign w:val="bottom"/>
            <w:gridSpan w:val="2"/>
            <w:shd w:val="clear" w:color="auto" w:fill="CCEEFF"/>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 (bd)</w:t>
            </w:r>
          </w:p>
        </w:tc>
        <w:tc>
          <w:tcPr>
            <w:tcW w:w="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gridSpan w:val="3"/>
            <w:shd w:val="clear" w:color="auto" w:fill="CCEEFF"/>
          </w:tcPr>
          <w:p>
            <w:pPr>
              <w:ind w:left="40"/>
              <w:spacing w:after="0" w:line="90" w:lineRule="exact"/>
              <w:rPr>
                <w:sz w:val="20"/>
                <w:szCs w:val="20"/>
                <w:color w:val="auto"/>
              </w:rPr>
            </w:pPr>
            <w:r>
              <w:rPr>
                <w:rFonts w:ascii="Times New Roman" w:cs="Times New Roman" w:eastAsia="Times New Roman" w:hAnsi="Times New Roman"/>
                <w:sz w:val="10"/>
                <w:szCs w:val="10"/>
                <w:color w:val="auto"/>
              </w:rPr>
              <w:t>(S + 4.88%)</w:t>
            </w:r>
          </w:p>
        </w:tc>
        <w:tc>
          <w:tcPr>
            <w:tcW w:w="5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 (2.00%)</w:t>
            </w:r>
          </w:p>
        </w:tc>
        <w:tc>
          <w:tcPr>
            <w:tcW w:w="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8.55%/0.00%</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3/31/2025</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w w:val="98"/>
              </w:rPr>
              <w:t>3/31/2030</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18,000</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17,882</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18,000</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123"/>
        </w:trPr>
        <w:tc>
          <w:tcPr>
            <w:tcW w:w="116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Gainesville, FL 32608</w:t>
            </w: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7"/>
        </w:trPr>
        <w:tc>
          <w:tcPr>
            <w:tcW w:w="11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i w:val="1"/>
                <w:iCs w:val="1"/>
                <w:color w:val="auto"/>
              </w:rPr>
              <w:t>Informatics Holdings, Inc.</w:t>
            </w:r>
          </w:p>
        </w:tc>
        <w:tc>
          <w:tcPr>
            <w:tcW w:w="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100"/>
              <w:spacing w:after="0" w:line="103" w:lineRule="exact"/>
              <w:rPr>
                <w:sz w:val="20"/>
                <w:szCs w:val="20"/>
                <w:color w:val="auto"/>
              </w:rPr>
            </w:pPr>
            <w:r>
              <w:rPr>
                <w:rFonts w:ascii="Times New Roman" w:cs="Times New Roman" w:eastAsia="Times New Roman" w:hAnsi="Times New Roman"/>
                <w:sz w:val="10"/>
                <w:szCs w:val="10"/>
                <w:i w:val="1"/>
                <w:iCs w:val="1"/>
                <w:color w:val="auto"/>
              </w:rPr>
              <w:t>(dba Wasp Barcode</w:t>
            </w:r>
          </w:p>
        </w:tc>
        <w:tc>
          <w:tcPr>
            <w:tcW w:w="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i w:val="1"/>
                <w:iCs w:val="1"/>
                <w:color w:val="auto"/>
              </w:rPr>
              <w:t>Technologies)</w:t>
            </w:r>
          </w:p>
        </w:tc>
        <w:tc>
          <w:tcPr>
            <w:tcW w:w="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96"/>
              </w:rPr>
              <w:t>Information Technology Services</w:t>
            </w: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14241 Dallas Parkway,</w:t>
            </w:r>
          </w:p>
        </w:tc>
        <w:tc>
          <w:tcPr>
            <w:tcW w:w="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3"/>
          </w:tcPr>
          <w:p>
            <w:pPr>
              <w:ind w:left="40"/>
              <w:spacing w:after="0" w:line="90" w:lineRule="exact"/>
              <w:rPr>
                <w:sz w:val="20"/>
                <w:szCs w:val="20"/>
                <w:color w:val="auto"/>
              </w:rPr>
            </w:pPr>
            <w:r>
              <w:rPr>
                <w:rFonts w:ascii="Times New Roman" w:cs="Times New Roman" w:eastAsia="Times New Roman" w:hAnsi="Times New Roman"/>
                <w:sz w:val="10"/>
                <w:szCs w:val="10"/>
                <w:color w:val="auto"/>
              </w:rPr>
              <w:t>(S + 6.50%)</w:t>
            </w: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Suite 1230</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First Lien Debt (j)(v)</w:t>
            </w: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(2.50%)</w:t>
            </w:r>
          </w:p>
        </w:tc>
        <w:tc>
          <w:tcPr>
            <w:tcW w:w="20" w:type="dxa"/>
            <w:vAlign w:val="bottom"/>
          </w:tcPr>
          <w:p>
            <w:pPr>
              <w:spacing w:after="0"/>
              <w:rPr>
                <w:sz w:val="10"/>
                <w:szCs w:val="1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w w:val="94"/>
              </w:rPr>
              <w:t>10.49%/0.00%</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5/1/2024</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3/7/2029</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9,000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8,989</w:t>
            </w: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9,000</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Dallas, TX 75254</w:t>
            </w:r>
          </w:p>
        </w:tc>
        <w:tc>
          <w:tcPr>
            <w:tcW w:w="1420" w:type="dxa"/>
            <w:vAlign w:val="bottom"/>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Preferred Equity (1,000,000 units)</w:t>
            </w: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3.8%</w:t>
            </w: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3/7/2024</w:t>
            </w: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1,000</w:t>
            </w:r>
          </w:p>
        </w:tc>
        <w:tc>
          <w:tcPr>
            <w:tcW w:w="4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504</w:t>
            </w: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9,989</w:t>
            </w:r>
          </w:p>
        </w:tc>
        <w:tc>
          <w:tcPr>
            <w:tcW w:w="60" w:type="dxa"/>
            <w:vAlign w:val="bottom"/>
          </w:tcPr>
          <w:p>
            <w:pPr>
              <w:spacing w:after="0"/>
              <w:rPr>
                <w:sz w:val="9"/>
                <w:szCs w:val="9"/>
                <w:color w:val="auto"/>
              </w:rPr>
            </w:pPr>
          </w:p>
        </w:tc>
        <w:tc>
          <w:tcPr>
            <w:tcW w:w="3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9,504</w:t>
            </w:r>
          </w:p>
        </w:tc>
        <w:tc>
          <w:tcPr>
            <w:tcW w:w="60" w:type="dxa"/>
            <w:vAlign w:val="bottom"/>
          </w:tcPr>
          <w:p>
            <w:pPr>
              <w:spacing w:after="0"/>
              <w:rPr>
                <w:sz w:val="9"/>
                <w:szCs w:val="9"/>
                <w:color w:val="auto"/>
              </w:rPr>
            </w:pPr>
          </w:p>
        </w:tc>
        <w:tc>
          <w:tcPr>
            <w:tcW w:w="500" w:type="dxa"/>
            <w:vAlign w:val="bottom"/>
            <w:gridSpan w:val="2"/>
          </w:tcPr>
          <w:p>
            <w:pPr>
              <w:jc w:val="right"/>
              <w:ind w:right="20"/>
              <w:spacing w:after="0" w:line="111" w:lineRule="exact"/>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41"/>
        </w:trPr>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11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i w:val="1"/>
                <w:iCs w:val="1"/>
                <w:color w:val="auto"/>
                <w:w w:val="98"/>
              </w:rPr>
              <w:t>ISI PSG Holdings, LLC (dba</w:t>
            </w:r>
          </w:p>
        </w:tc>
        <w:tc>
          <w:tcPr>
            <w:tcW w:w="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i w:val="1"/>
                <w:iCs w:val="1"/>
                <w:color w:val="auto"/>
              </w:rPr>
              <w:t>Incentive Solutions, Inc.)</w:t>
            </w:r>
          </w:p>
        </w:tc>
        <w:tc>
          <w:tcPr>
            <w:tcW w:w="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Business Services</w:t>
            </w: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4170 Ashford</w:t>
            </w:r>
          </w:p>
        </w:tc>
        <w:tc>
          <w:tcPr>
            <w:tcW w:w="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3"/>
          </w:tcPr>
          <w:p>
            <w:pPr>
              <w:ind w:left="40"/>
              <w:spacing w:after="0" w:line="90" w:lineRule="exact"/>
              <w:rPr>
                <w:sz w:val="20"/>
                <w:szCs w:val="20"/>
                <w:color w:val="auto"/>
              </w:rPr>
            </w:pPr>
            <w:r>
              <w:rPr>
                <w:rFonts w:ascii="Times New Roman" w:cs="Times New Roman" w:eastAsia="Times New Roman" w:hAnsi="Times New Roman"/>
                <w:sz w:val="10"/>
                <w:szCs w:val="10"/>
                <w:color w:val="auto"/>
              </w:rPr>
              <w:t>(S + 7.50%)</w:t>
            </w: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Dunwoody Rd, #250</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First Lien Debt (j)(aj)</w:t>
            </w: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(0.50%)</w:t>
            </w:r>
          </w:p>
        </w:tc>
        <w:tc>
          <w:tcPr>
            <w:tcW w:w="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4"/>
              </w:rPr>
              <w:t>11.32%/0.00%</w:t>
            </w:r>
          </w:p>
        </w:tc>
        <w:tc>
          <w:tcPr>
            <w:tcW w:w="40" w:type="dxa"/>
            <w:vAlign w:val="bottom"/>
          </w:tcPr>
          <w:p>
            <w:pPr>
              <w:spacing w:after="0"/>
              <w:rPr>
                <w:sz w:val="10"/>
                <w:szCs w:val="10"/>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4/5/2021</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4/5/2026</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9,465</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9,460</w:t>
            </w: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9,465</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rPr>
              <w:t>Atlanta, GA 30319</w:t>
            </w:r>
          </w:p>
        </w:tc>
        <w:tc>
          <w:tcPr>
            <w:tcW w:w="1420" w:type="dxa"/>
            <w:vAlign w:val="bottom"/>
            <w:gridSpan w:val="2"/>
            <w:shd w:val="clear" w:color="auto" w:fill="CCEEFF"/>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 (an)</w:t>
            </w:r>
          </w:p>
        </w:tc>
        <w:tc>
          <w:tcPr>
            <w:tcW w:w="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gridSpan w:val="3"/>
            <w:shd w:val="clear" w:color="auto" w:fill="CCEEFF"/>
          </w:tcPr>
          <w:p>
            <w:pPr>
              <w:ind w:left="40"/>
              <w:spacing w:after="0" w:line="90" w:lineRule="exact"/>
              <w:rPr>
                <w:sz w:val="20"/>
                <w:szCs w:val="20"/>
                <w:color w:val="auto"/>
              </w:rPr>
            </w:pPr>
            <w:r>
              <w:rPr>
                <w:rFonts w:ascii="Times New Roman" w:cs="Times New Roman" w:eastAsia="Times New Roman" w:hAnsi="Times New Roman"/>
                <w:sz w:val="10"/>
                <w:szCs w:val="10"/>
                <w:color w:val="auto"/>
              </w:rPr>
              <w:t>(S + 7.50%)</w:t>
            </w:r>
          </w:p>
        </w:tc>
        <w:tc>
          <w:tcPr>
            <w:tcW w:w="5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 (0.50%)</w:t>
            </w:r>
          </w:p>
        </w:tc>
        <w:tc>
          <w:tcPr>
            <w:tcW w:w="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7.82%/0.00%</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6/30/2021</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4/5/2026</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9,813</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9,813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9,809</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142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w w:val="95"/>
              </w:rPr>
              <w:t>Common Equity (256,964 units) (h)</w:t>
            </w: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1.1%</w:t>
            </w: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4/5/2021</w:t>
            </w: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bottom w:val="single" w:sz="8" w:color="auto"/>
            </w:tcBorders>
          </w:tcPr>
          <w:p>
            <w:pPr>
              <w:jc w:val="right"/>
              <w:spacing w:after="0" w:line="103" w:lineRule="exact"/>
              <w:rPr>
                <w:sz w:val="20"/>
                <w:szCs w:val="20"/>
                <w:color w:val="auto"/>
              </w:rPr>
            </w:pPr>
            <w:r>
              <w:rPr>
                <w:rFonts w:ascii="Times New Roman" w:cs="Times New Roman" w:eastAsia="Times New Roman" w:hAnsi="Times New Roman"/>
                <w:sz w:val="10"/>
                <w:szCs w:val="10"/>
                <w:color w:val="auto"/>
              </w:rPr>
              <w:t>500</w:t>
            </w:r>
          </w:p>
        </w:tc>
        <w:tc>
          <w:tcPr>
            <w:tcW w:w="60" w:type="dxa"/>
            <w:vAlign w:val="bottom"/>
          </w:tcPr>
          <w:p>
            <w:pPr>
              <w:spacing w:after="0"/>
              <w:rPr>
                <w:sz w:val="8"/>
                <w:szCs w:val="8"/>
                <w:color w:val="auto"/>
              </w:rPr>
            </w:pPr>
          </w:p>
        </w:tc>
        <w:tc>
          <w:tcPr>
            <w:tcW w:w="360" w:type="dxa"/>
            <w:vAlign w:val="bottom"/>
            <w:tcBorders>
              <w:bottom w:val="single" w:sz="8" w:color="auto"/>
            </w:tcBorders>
          </w:tcPr>
          <w:p>
            <w:pPr>
              <w:jc w:val="right"/>
              <w:spacing w:after="0" w:line="103" w:lineRule="exact"/>
              <w:rPr>
                <w:sz w:val="20"/>
                <w:szCs w:val="20"/>
                <w:color w:val="auto"/>
              </w:rPr>
            </w:pPr>
            <w:r>
              <w:rPr>
                <w:rFonts w:ascii="Times New Roman" w:cs="Times New Roman" w:eastAsia="Times New Roman" w:hAnsi="Times New Roman"/>
                <w:sz w:val="10"/>
                <w:szCs w:val="10"/>
                <w:color w:val="auto"/>
              </w:rPr>
              <w:t>349</w:t>
            </w: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19,773</w:t>
            </w:r>
          </w:p>
        </w:tc>
        <w:tc>
          <w:tcPr>
            <w:tcW w:w="4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19,623</w:t>
            </w:r>
          </w:p>
        </w:tc>
        <w:tc>
          <w:tcPr>
            <w:tcW w:w="500" w:type="dxa"/>
            <w:vAlign w:val="bottom"/>
            <w:gridSpan w:val="2"/>
            <w:shd w:val="clear" w:color="auto" w:fill="CCEEFF"/>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39"/>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Janus Health Technologies,</w:t>
            </w: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160" w:type="dxa"/>
            <w:vAlign w:val="bottom"/>
          </w:tcPr>
          <w:p>
            <w:pPr>
              <w:ind w:left="100"/>
              <w:spacing w:after="0"/>
              <w:rPr>
                <w:sz w:val="20"/>
                <w:szCs w:val="20"/>
                <w:color w:val="auto"/>
              </w:rPr>
            </w:pPr>
            <w:r>
              <w:rPr>
                <w:rFonts w:ascii="Times New Roman" w:cs="Times New Roman" w:eastAsia="Times New Roman" w:hAnsi="Times New Roman"/>
                <w:sz w:val="10"/>
                <w:szCs w:val="10"/>
                <w:i w:val="1"/>
                <w:iCs w:val="1"/>
                <w:color w:val="auto"/>
              </w:rPr>
              <w:t>Inc.</w:t>
            </w: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w w:val="96"/>
              </w:rPr>
              <w:t>Information Technology Services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rPr>
              <w:t>4850 Tamiami Trl N,</w:t>
            </w:r>
          </w:p>
        </w:tc>
        <w:tc>
          <w:tcPr>
            <w:tcW w:w="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Suite 301</w:t>
            </w: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Preferred Equity (68,361 units)</w:t>
            </w:r>
          </w:p>
        </w:tc>
        <w:tc>
          <w:tcPr>
            <w:tcW w:w="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0.6%</w:t>
            </w: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1/3/2024</w:t>
            </w: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1,500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1,020</w:t>
            </w: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0%</w:t>
            </w:r>
          </w:p>
        </w:tc>
        <w:tc>
          <w:tcPr>
            <w:tcW w:w="0" w:type="dxa"/>
            <w:vAlign w:val="bottom"/>
          </w:tcPr>
          <w:p>
            <w:pPr>
              <w:spacing w:after="0"/>
              <w:rPr>
                <w:sz w:val="1"/>
                <w:szCs w:val="1"/>
                <w:color w:val="auto"/>
              </w:rPr>
            </w:pPr>
          </w:p>
        </w:tc>
      </w:tr>
      <w:tr>
        <w:trPr>
          <w:trHeight w:val="123"/>
        </w:trPr>
        <w:tc>
          <w:tcPr>
            <w:tcW w:w="116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Naples, FL 34103</w:t>
            </w: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0"/>
                <w:szCs w:val="10"/>
                <w:i w:val="1"/>
                <w:iCs w:val="1"/>
                <w:color w:val="auto"/>
              </w:rPr>
              <w:t>Jumo Health, Inc.</w:t>
            </w:r>
          </w:p>
        </w:tc>
        <w:tc>
          <w:tcPr>
            <w:tcW w:w="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340" w:type="dxa"/>
            <w:vAlign w:val="bottom"/>
            <w:gridSpan w:val="3"/>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Healthcare Services</w:t>
            </w: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470 James Street, Suite</w:t>
            </w:r>
          </w:p>
        </w:tc>
        <w:tc>
          <w:tcPr>
            <w:tcW w:w="1420" w:type="dxa"/>
            <w:vAlign w:val="bottom"/>
            <w:gridSpan w:val="2"/>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 (j)(aw)</w:t>
            </w: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3"/>
          </w:tcPr>
          <w:p>
            <w:pPr>
              <w:ind w:left="40"/>
              <w:spacing w:after="0" w:line="90" w:lineRule="exact"/>
              <w:rPr>
                <w:sz w:val="20"/>
                <w:szCs w:val="20"/>
                <w:color w:val="auto"/>
              </w:rPr>
            </w:pPr>
            <w:r>
              <w:rPr>
                <w:rFonts w:ascii="Times New Roman" w:cs="Times New Roman" w:eastAsia="Times New Roman" w:hAnsi="Times New Roman"/>
                <w:sz w:val="10"/>
                <w:szCs w:val="10"/>
                <w:color w:val="auto"/>
              </w:rPr>
              <w:t>(S + 5.50%)</w:t>
            </w: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232</w:t>
            </w: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(2.00%)</w:t>
            </w:r>
          </w:p>
        </w:tc>
        <w:tc>
          <w:tcPr>
            <w:tcW w:w="20" w:type="dxa"/>
            <w:vAlign w:val="bottom"/>
          </w:tcPr>
          <w:p>
            <w:pPr>
              <w:spacing w:after="0"/>
              <w:rPr>
                <w:sz w:val="10"/>
                <w:szCs w:val="1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9.46%/0.00%</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8/16/2024</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w w:val="98"/>
              </w:rPr>
              <w:t>8/16/2029</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5,940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5,888</w:t>
            </w: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5,940</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580" w:type="dxa"/>
            <w:vAlign w:val="bottom"/>
            <w:gridSpan w:val="3"/>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New Haven, CT 06513  Common Equity (1,359 shares)</w:t>
            </w: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1.2%</w:t>
            </w: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8/16/2024</w:t>
            </w: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ind w:left="16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420" w:type="dxa"/>
            <w:vAlign w:val="bottom"/>
            <w:gridSpan w:val="2"/>
            <w:shd w:val="clear" w:color="auto" w:fill="CCEEFF"/>
          </w:tcPr>
          <w:p>
            <w:pPr>
              <w:ind w:left="22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142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Preferred Equity (1,359 shares)</w:t>
            </w: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0.0%</w:t>
            </w: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8/16/2024</w:t>
            </w: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bottom w:val="single" w:sz="8" w:color="auto"/>
            </w:tcBorders>
          </w:tcPr>
          <w:p>
            <w:pPr>
              <w:jc w:val="right"/>
              <w:spacing w:after="0" w:line="103" w:lineRule="exact"/>
              <w:rPr>
                <w:sz w:val="20"/>
                <w:szCs w:val="20"/>
                <w:color w:val="auto"/>
              </w:rPr>
            </w:pPr>
            <w:r>
              <w:rPr>
                <w:rFonts w:ascii="Times New Roman" w:cs="Times New Roman" w:eastAsia="Times New Roman" w:hAnsi="Times New Roman"/>
                <w:sz w:val="10"/>
                <w:szCs w:val="10"/>
                <w:color w:val="auto"/>
              </w:rPr>
              <w:t>750</w:t>
            </w:r>
          </w:p>
        </w:tc>
        <w:tc>
          <w:tcPr>
            <w:tcW w:w="60" w:type="dxa"/>
            <w:vAlign w:val="bottom"/>
          </w:tcPr>
          <w:p>
            <w:pPr>
              <w:spacing w:after="0"/>
              <w:rPr>
                <w:sz w:val="8"/>
                <w:szCs w:val="8"/>
                <w:color w:val="auto"/>
              </w:rPr>
            </w:pPr>
          </w:p>
        </w:tc>
        <w:tc>
          <w:tcPr>
            <w:tcW w:w="360" w:type="dxa"/>
            <w:vAlign w:val="bottom"/>
            <w:tcBorders>
              <w:bottom w:val="single" w:sz="8" w:color="auto"/>
            </w:tcBorders>
          </w:tcPr>
          <w:p>
            <w:pPr>
              <w:jc w:val="right"/>
              <w:spacing w:after="0" w:line="103" w:lineRule="exact"/>
              <w:rPr>
                <w:sz w:val="20"/>
                <w:szCs w:val="20"/>
                <w:color w:val="auto"/>
              </w:rPr>
            </w:pPr>
            <w:r>
              <w:rPr>
                <w:rFonts w:ascii="Times New Roman" w:cs="Times New Roman" w:eastAsia="Times New Roman" w:hAnsi="Times New Roman"/>
                <w:sz w:val="10"/>
                <w:szCs w:val="10"/>
                <w:color w:val="auto"/>
              </w:rPr>
              <w:t>438</w:t>
            </w: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6,638</w:t>
            </w:r>
          </w:p>
        </w:tc>
        <w:tc>
          <w:tcPr>
            <w:tcW w:w="360" w:type="dxa"/>
            <w:vAlign w:val="bottom"/>
            <w:shd w:val="clear" w:color="auto" w:fill="CCEEFF"/>
          </w:tcPr>
          <w:p>
            <w:pPr>
              <w:jc w:val="right"/>
              <w:spacing w:after="0" w:line="103" w:lineRule="exact"/>
              <w:rPr>
                <w:sz w:val="20"/>
                <w:szCs w:val="20"/>
                <w:color w:val="auto"/>
              </w:rPr>
            </w:pPr>
            <w:r>
              <w:rPr>
                <w:rFonts w:ascii="Times New Roman" w:cs="Times New Roman" w:eastAsia="Times New Roman" w:hAnsi="Times New Roman"/>
                <w:sz w:val="10"/>
                <w:szCs w:val="10"/>
                <w:color w:val="auto"/>
              </w:rPr>
              <w:t>6,378</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bl>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203440" cy="450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65" w:right="1440" w:bottom="1440" w:gutter="0" w:footer="0" w:header="0"/>
        </w:sectPr>
      </w:pPr>
    </w:p>
    <w:bookmarkStart w:id="29" w:name="page30"/>
    <w:bookmarkEnd w:id="29"/>
    <w:tbl>
      <w:tblPr>
        <w:tblLayout w:type="fixed"/>
        <w:tblInd w:w="320" w:type="dxa"/>
        <w:tblCellMar>
          <w:top w:w="0" w:type="dxa"/>
          <w:left w:w="0" w:type="dxa"/>
          <w:bottom w:w="0" w:type="dxa"/>
          <w:right w:w="0" w:type="dxa"/>
        </w:tblCellMar>
      </w:tblPr>
      <w:tr>
        <w:trPr>
          <w:trHeight w:val="103"/>
        </w:trPr>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gridSpan w:val="2"/>
          </w:tcPr>
          <w:p>
            <w:pPr>
              <w:jc w:val="center"/>
              <w:ind w:right="20"/>
              <w:spacing w:after="0"/>
              <w:rPr>
                <w:sz w:val="20"/>
                <w:szCs w:val="20"/>
                <w:color w:val="auto"/>
              </w:rPr>
            </w:pPr>
            <w:r>
              <w:rPr>
                <w:rFonts w:ascii="Times New Roman" w:cs="Times New Roman" w:eastAsia="Times New Roman" w:hAnsi="Times New Roman"/>
                <w:sz w:val="9"/>
                <w:szCs w:val="9"/>
                <w:b w:val="1"/>
                <w:bCs w:val="1"/>
                <w:color w:val="auto"/>
                <w:w w:val="95"/>
              </w:rPr>
              <w:t>Variable</w:t>
            </w: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Portfolio Company (a)(b)</w:t>
            </w:r>
          </w:p>
        </w:tc>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w w:val="98"/>
              </w:rPr>
              <w:t>Percentage</w:t>
            </w:r>
          </w:p>
        </w:tc>
        <w:tc>
          <w:tcPr>
            <w:tcW w:w="40" w:type="dxa"/>
            <w:vAlign w:val="bottom"/>
          </w:tcPr>
          <w:p>
            <w:pPr>
              <w:spacing w:after="0"/>
              <w:rPr>
                <w:sz w:val="8"/>
                <w:szCs w:val="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Index Spread</w:t>
            </w:r>
          </w:p>
        </w:tc>
        <w:tc>
          <w:tcPr>
            <w:tcW w:w="6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9"/>
                <w:szCs w:val="9"/>
                <w:b w:val="1"/>
                <w:bCs w:val="1"/>
                <w:color w:val="auto"/>
                <w:w w:val="99"/>
              </w:rPr>
              <w:t>Rate (e)</w:t>
            </w: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center"/>
              <w:ind w:right="100"/>
              <w:spacing w:after="0" w:line="93" w:lineRule="exact"/>
              <w:rPr>
                <w:sz w:val="20"/>
                <w:szCs w:val="20"/>
                <w:color w:val="auto"/>
              </w:rPr>
            </w:pPr>
            <w:r>
              <w:rPr>
                <w:rFonts w:ascii="Times New Roman" w:cs="Times New Roman" w:eastAsia="Times New Roman" w:hAnsi="Times New Roman"/>
                <w:sz w:val="9"/>
                <w:szCs w:val="9"/>
                <w:b w:val="1"/>
                <w:bCs w:val="1"/>
                <w:color w:val="auto"/>
                <w:w w:val="99"/>
              </w:rPr>
              <w:t>of Class</w:t>
            </w:r>
          </w:p>
        </w:tc>
        <w:tc>
          <w:tcPr>
            <w:tcW w:w="560" w:type="dxa"/>
            <w:vAlign w:val="bottom"/>
            <w:gridSpan w:val="2"/>
          </w:tcPr>
          <w:p>
            <w:pPr>
              <w:jc w:val="center"/>
              <w:spacing w:after="0" w:line="93" w:lineRule="exact"/>
              <w:rPr>
                <w:sz w:val="20"/>
                <w:szCs w:val="20"/>
                <w:color w:val="auto"/>
              </w:rPr>
            </w:pPr>
            <w:r>
              <w:rPr>
                <w:rFonts w:ascii="Times New Roman" w:cs="Times New Roman" w:eastAsia="Times New Roman" w:hAnsi="Times New Roman"/>
                <w:sz w:val="9"/>
                <w:szCs w:val="9"/>
                <w:b w:val="1"/>
                <w:bCs w:val="1"/>
                <w:color w:val="auto"/>
              </w:rPr>
              <w:t>/</w:t>
            </w:r>
          </w:p>
        </w:tc>
        <w:tc>
          <w:tcPr>
            <w:tcW w:w="2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520" w:type="dxa"/>
            <w:vAlign w:val="bottom"/>
            <w:gridSpan w:val="2"/>
          </w:tcPr>
          <w:p>
            <w:pPr>
              <w:jc w:val="right"/>
              <w:ind w:right="80"/>
              <w:spacing w:after="0" w:line="93" w:lineRule="exact"/>
              <w:rPr>
                <w:sz w:val="20"/>
                <w:szCs w:val="20"/>
                <w:color w:val="auto"/>
              </w:rPr>
            </w:pPr>
            <w:r>
              <w:rPr>
                <w:rFonts w:ascii="Times New Roman" w:cs="Times New Roman" w:eastAsia="Times New Roman" w:hAnsi="Times New Roman"/>
                <w:sz w:val="9"/>
                <w:szCs w:val="9"/>
                <w:b w:val="1"/>
                <w:bCs w:val="1"/>
                <w:color w:val="auto"/>
                <w:w w:val="97"/>
              </w:rPr>
              <w:t>Investment</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spacing w:after="0" w:line="93" w:lineRule="exact"/>
              <w:rPr>
                <w:sz w:val="20"/>
                <w:szCs w:val="20"/>
                <w:color w:val="auto"/>
              </w:rPr>
            </w:pPr>
            <w:r>
              <w:rPr>
                <w:rFonts w:ascii="Times New Roman" w:cs="Times New Roman" w:eastAsia="Times New Roman" w:hAnsi="Times New Roman"/>
                <w:sz w:val="9"/>
                <w:szCs w:val="9"/>
                <w:b w:val="1"/>
                <w:bCs w:val="1"/>
                <w:color w:val="auto"/>
              </w:rPr>
              <w:t>Principal</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gridSpan w:val="2"/>
          </w:tcPr>
          <w:p>
            <w:pPr>
              <w:jc w:val="right"/>
              <w:ind w:right="140"/>
              <w:spacing w:after="0" w:line="93" w:lineRule="exact"/>
              <w:rPr>
                <w:sz w:val="20"/>
                <w:szCs w:val="20"/>
                <w:color w:val="auto"/>
              </w:rPr>
            </w:pPr>
            <w:r>
              <w:rPr>
                <w:rFonts w:ascii="Times New Roman" w:cs="Times New Roman" w:eastAsia="Times New Roman" w:hAnsi="Times New Roman"/>
                <w:sz w:val="9"/>
                <w:szCs w:val="9"/>
                <w:b w:val="1"/>
                <w:bCs w:val="1"/>
                <w:color w:val="auto"/>
              </w:rPr>
              <w:t>Fair</w:t>
            </w:r>
          </w:p>
        </w:tc>
        <w:tc>
          <w:tcPr>
            <w:tcW w:w="500" w:type="dxa"/>
            <w:vAlign w:val="bottom"/>
            <w:gridSpan w:val="2"/>
          </w:tcPr>
          <w:p>
            <w:pPr>
              <w:jc w:val="right"/>
              <w:ind w:right="100"/>
              <w:spacing w:after="0" w:line="93" w:lineRule="exact"/>
              <w:rPr>
                <w:sz w:val="20"/>
                <w:szCs w:val="20"/>
                <w:color w:val="auto"/>
              </w:rPr>
            </w:pPr>
            <w:r>
              <w:rPr>
                <w:rFonts w:ascii="Times New Roman" w:cs="Times New Roman" w:eastAsia="Times New Roman" w:hAnsi="Times New Roman"/>
                <w:sz w:val="9"/>
                <w:szCs w:val="9"/>
                <w:b w:val="1"/>
                <w:bCs w:val="1"/>
                <w:color w:val="auto"/>
                <w:w w:val="96"/>
              </w:rPr>
              <w:t>Percent of</w:t>
            </w:r>
          </w:p>
        </w:tc>
        <w:tc>
          <w:tcPr>
            <w:tcW w:w="0" w:type="dxa"/>
            <w:vAlign w:val="bottom"/>
          </w:tcPr>
          <w:p>
            <w:pPr>
              <w:spacing w:after="0"/>
              <w:rPr>
                <w:sz w:val="1"/>
                <w:szCs w:val="1"/>
                <w:color w:val="auto"/>
              </w:rPr>
            </w:pPr>
          </w:p>
        </w:tc>
      </w:tr>
      <w:tr>
        <w:trPr>
          <w:trHeight w:val="130"/>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w w:val="97"/>
              </w:rPr>
              <w:t>Address of Portfolio Company</w:t>
            </w:r>
          </w:p>
        </w:tc>
        <w:tc>
          <w:tcPr>
            <w:tcW w:w="20" w:type="dxa"/>
            <w:vAlign w:val="bottom"/>
          </w:tcPr>
          <w:p>
            <w:pPr>
              <w:spacing w:after="0"/>
              <w:rPr>
                <w:sz w:val="11"/>
                <w:szCs w:val="11"/>
                <w:color w:val="auto"/>
              </w:rPr>
            </w:pPr>
          </w:p>
        </w:tc>
        <w:tc>
          <w:tcPr>
            <w:tcW w:w="1400" w:type="dxa"/>
            <w:vAlign w:val="bottom"/>
          </w:tcPr>
          <w:p>
            <w:pPr>
              <w:ind w:left="320"/>
              <w:spacing w:after="0"/>
              <w:rPr>
                <w:sz w:val="20"/>
                <w:szCs w:val="20"/>
                <w:color w:val="auto"/>
              </w:rPr>
            </w:pPr>
            <w:r>
              <w:rPr>
                <w:rFonts w:ascii="Times New Roman" w:cs="Times New Roman" w:eastAsia="Times New Roman" w:hAnsi="Times New Roman"/>
                <w:sz w:val="9"/>
                <w:szCs w:val="9"/>
                <w:b w:val="1"/>
                <w:bCs w:val="1"/>
                <w:color w:val="auto"/>
              </w:rPr>
              <w:t>Investment Type (c)</w:t>
            </w:r>
          </w:p>
        </w:tc>
        <w:tc>
          <w:tcPr>
            <w:tcW w:w="20" w:type="dxa"/>
            <w:vAlign w:val="bottom"/>
          </w:tcPr>
          <w:p>
            <w:pPr>
              <w:spacing w:after="0"/>
              <w:rPr>
                <w:sz w:val="11"/>
                <w:szCs w:val="11"/>
                <w:color w:val="auto"/>
              </w:rPr>
            </w:pPr>
          </w:p>
        </w:tc>
        <w:tc>
          <w:tcPr>
            <w:tcW w:w="1320" w:type="dxa"/>
            <w:vAlign w:val="bottom"/>
            <w:gridSpan w:val="2"/>
          </w:tcPr>
          <w:p>
            <w:pPr>
              <w:ind w:left="48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520" w:type="dxa"/>
            <w:vAlign w:val="bottom"/>
            <w:gridSpan w:val="2"/>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w w:val="99"/>
              </w:rPr>
              <w:t>Held (bo)</w:t>
            </w:r>
          </w:p>
        </w:tc>
        <w:tc>
          <w:tcPr>
            <w:tcW w:w="40" w:type="dxa"/>
            <w:vAlign w:val="bottom"/>
          </w:tcPr>
          <w:p>
            <w:pPr>
              <w:spacing w:after="0"/>
              <w:rPr>
                <w:sz w:val="11"/>
                <w:szCs w:val="11"/>
                <w:color w:val="auto"/>
              </w:rPr>
            </w:pP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9"/>
                <w:szCs w:val="9"/>
                <w:b w:val="1"/>
                <w:bCs w:val="1"/>
                <w:color w:val="auto"/>
                <w:w w:val="99"/>
              </w:rPr>
              <w:t>Floor (d)</w:t>
            </w: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9"/>
                <w:szCs w:val="9"/>
                <w:b w:val="1"/>
                <w:bCs w:val="1"/>
                <w:color w:val="auto"/>
                <w:w w:val="99"/>
              </w:rPr>
              <w:t>Cash/PIK</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Date (f)</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Maturity</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Amount</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Cost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b w:val="1"/>
                <w:bCs w:val="1"/>
                <w:color w:val="auto"/>
                <w:w w:val="90"/>
              </w:rPr>
              <w:t>Value (g)</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b w:val="1"/>
                <w:bCs w:val="1"/>
                <w:color w:val="auto"/>
                <w:w w:val="95"/>
              </w:rPr>
              <w:t>Net Assets</w:t>
            </w:r>
          </w:p>
        </w:tc>
        <w:tc>
          <w:tcPr>
            <w:tcW w:w="0" w:type="dxa"/>
            <w:vAlign w:val="bottom"/>
          </w:tcPr>
          <w:p>
            <w:pPr>
              <w:spacing w:after="0"/>
              <w:rPr>
                <w:sz w:val="1"/>
                <w:szCs w:val="1"/>
                <w:color w:val="auto"/>
              </w:rPr>
            </w:pPr>
          </w:p>
        </w:tc>
      </w:tr>
      <w:tr>
        <w:trPr>
          <w:trHeight w:val="58"/>
        </w:trPr>
        <w:tc>
          <w:tcPr>
            <w:tcW w:w="1160" w:type="dxa"/>
            <w:vAlign w:val="bottom"/>
            <w:tcBorders>
              <w:top w:val="single" w:sz="8" w:color="CCEEFF"/>
            </w:tcBorders>
            <w:shd w:val="clear" w:color="auto" w:fill="CCEEFF"/>
          </w:tcPr>
          <w:p>
            <w:pPr>
              <w:spacing w:after="0" w:line="58" w:lineRule="exact"/>
              <w:rPr>
                <w:sz w:val="20"/>
                <w:szCs w:val="20"/>
                <w:color w:val="auto"/>
              </w:rPr>
            </w:pPr>
            <w:r>
              <w:rPr>
                <w:rFonts w:ascii="Times New Roman" w:cs="Times New Roman" w:eastAsia="Times New Roman" w:hAnsi="Times New Roman"/>
                <w:sz w:val="6"/>
                <w:szCs w:val="6"/>
                <w:i w:val="1"/>
                <w:iCs w:val="1"/>
                <w:color w:val="auto"/>
              </w:rPr>
              <w:t>KG Lawn Care, Inc. (dba</w:t>
            </w:r>
          </w:p>
        </w:tc>
        <w:tc>
          <w:tcPr>
            <w:tcW w:w="2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1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i w:val="1"/>
                <w:iCs w:val="1"/>
                <w:color w:val="auto"/>
              </w:rPr>
              <w:t>King Green)</w:t>
            </w:r>
          </w:p>
        </w:tc>
        <w:tc>
          <w:tcPr>
            <w:tcW w:w="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Consumer Services</w:t>
            </w: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1631 Gibbs. Dr</w:t>
            </w:r>
          </w:p>
        </w:tc>
        <w:tc>
          <w:tcPr>
            <w:tcW w:w="1420" w:type="dxa"/>
            <w:vAlign w:val="bottom"/>
            <w:gridSpan w:val="2"/>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 ($2,500</w:t>
            </w: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3"/>
          </w:tcPr>
          <w:p>
            <w:pPr>
              <w:ind w:left="40"/>
              <w:spacing w:after="0" w:line="90" w:lineRule="exact"/>
              <w:rPr>
                <w:sz w:val="20"/>
                <w:szCs w:val="20"/>
                <w:color w:val="auto"/>
              </w:rPr>
            </w:pPr>
            <w:r>
              <w:rPr>
                <w:rFonts w:ascii="Times New Roman" w:cs="Times New Roman" w:eastAsia="Times New Roman" w:hAnsi="Times New Roman"/>
                <w:sz w:val="10"/>
                <w:szCs w:val="10"/>
                <w:color w:val="auto"/>
              </w:rPr>
              <w:t>(S + 5.50%)</w:t>
            </w: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unfunded commitment) (i)</w:t>
            </w: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(2.00%)</w:t>
            </w:r>
          </w:p>
        </w:tc>
        <w:tc>
          <w:tcPr>
            <w:tcW w:w="20" w:type="dxa"/>
            <w:vAlign w:val="bottom"/>
          </w:tcPr>
          <w:p>
            <w:pPr>
              <w:spacing w:after="0"/>
              <w:rPr>
                <w:sz w:val="10"/>
                <w:szCs w:val="1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9.34%/0.00%</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w w:val="96"/>
              </w:rPr>
              <w:t>11/26/2025</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11/26/2030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10,000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9,933</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9,945</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Gainesville, GA 30507</w:t>
            </w:r>
          </w:p>
        </w:tc>
        <w:tc>
          <w:tcPr>
            <w:tcW w:w="1420" w:type="dxa"/>
            <w:vAlign w:val="bottom"/>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(62 Units)</w:t>
            </w: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1.2%</w:t>
            </w: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w w:val="96"/>
              </w:rPr>
              <w:t>11/26/2025</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616</w:t>
            </w:r>
          </w:p>
        </w:tc>
        <w:tc>
          <w:tcPr>
            <w:tcW w:w="40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616</w:t>
            </w: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10,549</w:t>
            </w:r>
          </w:p>
        </w:tc>
        <w:tc>
          <w:tcPr>
            <w:tcW w:w="60" w:type="dxa"/>
            <w:vAlign w:val="bottom"/>
          </w:tcPr>
          <w:p>
            <w:pPr>
              <w:spacing w:after="0"/>
              <w:rPr>
                <w:sz w:val="9"/>
                <w:szCs w:val="9"/>
                <w:color w:val="auto"/>
              </w:rPr>
            </w:pPr>
          </w:p>
        </w:tc>
        <w:tc>
          <w:tcPr>
            <w:tcW w:w="3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10,561</w:t>
            </w:r>
          </w:p>
        </w:tc>
        <w:tc>
          <w:tcPr>
            <w:tcW w:w="60" w:type="dxa"/>
            <w:vAlign w:val="bottom"/>
          </w:tcPr>
          <w:p>
            <w:pPr>
              <w:spacing w:after="0"/>
              <w:rPr>
                <w:sz w:val="9"/>
                <w:szCs w:val="9"/>
                <w:color w:val="auto"/>
              </w:rPr>
            </w:pPr>
          </w:p>
        </w:tc>
        <w:tc>
          <w:tcPr>
            <w:tcW w:w="500" w:type="dxa"/>
            <w:vAlign w:val="bottom"/>
            <w:gridSpan w:val="2"/>
          </w:tcPr>
          <w:p>
            <w:pPr>
              <w:jc w:val="right"/>
              <w:ind w:right="20"/>
              <w:spacing w:after="0" w:line="111" w:lineRule="exact"/>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41"/>
        </w:trPr>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11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i w:val="1"/>
                <w:iCs w:val="1"/>
                <w:color w:val="auto"/>
              </w:rPr>
              <w:t>The Kyjen Company, LLC</w:t>
            </w:r>
          </w:p>
        </w:tc>
        <w:tc>
          <w:tcPr>
            <w:tcW w:w="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i w:val="1"/>
                <w:iCs w:val="1"/>
                <w:color w:val="auto"/>
              </w:rPr>
              <w:t>(dba Outward Hound)</w:t>
            </w:r>
          </w:p>
        </w:tc>
        <w:tc>
          <w:tcPr>
            <w:tcW w:w="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Consumer Products</w:t>
            </w: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tcPr>
          <w:p>
            <w:pPr>
              <w:ind w:left="200"/>
              <w:spacing w:after="0" w:line="103" w:lineRule="exact"/>
              <w:rPr>
                <w:sz w:val="20"/>
                <w:szCs w:val="20"/>
                <w:color w:val="auto"/>
              </w:rPr>
            </w:pPr>
            <w:r>
              <w:rPr>
                <w:rFonts w:ascii="Times New Roman" w:cs="Times New Roman" w:eastAsia="Times New Roman" w:hAnsi="Times New Roman"/>
                <w:sz w:val="10"/>
                <w:szCs w:val="10"/>
                <w:color w:val="auto"/>
                <w:w w:val="97"/>
              </w:rPr>
              <w:t>7337 S Revere Parkway</w:t>
            </w:r>
          </w:p>
        </w:tc>
        <w:tc>
          <w:tcPr>
            <w:tcW w:w="142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(855 shares)</w:t>
            </w: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1.1%</w:t>
            </w: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12/8/2017</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933</w:t>
            </w:r>
          </w:p>
        </w:tc>
        <w:tc>
          <w:tcPr>
            <w:tcW w:w="400" w:type="dxa"/>
            <w:vAlign w:val="bottom"/>
            <w:gridSpan w:val="2"/>
          </w:tcPr>
          <w:p>
            <w:pPr>
              <w:jc w:val="right"/>
              <w:ind w:right="8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gridSpan w:val="2"/>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0%</w:t>
            </w: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Centennial, CO 80112</w:t>
            </w:r>
          </w:p>
        </w:tc>
        <w:tc>
          <w:tcPr>
            <w:tcW w:w="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Laboratory Testing, LLC</w:t>
            </w: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Business Services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rPr>
              <w:t>2331 Topaz Drive</w:t>
            </w:r>
          </w:p>
        </w:tc>
        <w:tc>
          <w:tcPr>
            <w:tcW w:w="1420" w:type="dxa"/>
            <w:vAlign w:val="bottom"/>
            <w:gridSpan w:val="2"/>
            <w:shd w:val="clear" w:color="auto" w:fill="CCEEFF"/>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w:t>
            </w:r>
          </w:p>
        </w:tc>
        <w:tc>
          <w:tcPr>
            <w:tcW w:w="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gridSpan w:val="3"/>
            <w:shd w:val="clear" w:color="auto" w:fill="CCEEFF"/>
          </w:tcPr>
          <w:p>
            <w:pPr>
              <w:ind w:left="40"/>
              <w:spacing w:after="0" w:line="90" w:lineRule="exact"/>
              <w:rPr>
                <w:sz w:val="20"/>
                <w:szCs w:val="20"/>
                <w:color w:val="auto"/>
              </w:rPr>
            </w:pPr>
            <w:r>
              <w:rPr>
                <w:rFonts w:ascii="Times New Roman" w:cs="Times New Roman" w:eastAsia="Times New Roman" w:hAnsi="Times New Roman"/>
                <w:sz w:val="10"/>
                <w:szCs w:val="10"/>
                <w:color w:val="auto"/>
              </w:rPr>
              <w:t>(S + 5.25%)</w:t>
            </w:r>
          </w:p>
        </w:tc>
        <w:tc>
          <w:tcPr>
            <w:tcW w:w="5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 (2.00%)</w:t>
            </w:r>
          </w:p>
        </w:tc>
        <w:tc>
          <w:tcPr>
            <w:tcW w:w="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9.24%/0.00%</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4/15/2025</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4/15/2030</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9,606</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9,565</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9,606</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Hatfield, PA 19440</w:t>
            </w:r>
          </w:p>
        </w:tc>
        <w:tc>
          <w:tcPr>
            <w:tcW w:w="1420" w:type="dxa"/>
            <w:vAlign w:val="bottom"/>
            <w:gridSpan w:val="2"/>
          </w:tcPr>
          <w:p>
            <w:pPr>
              <w:ind w:left="20"/>
              <w:spacing w:after="0" w:line="90" w:lineRule="exact"/>
              <w:rPr>
                <w:sz w:val="20"/>
                <w:szCs w:val="20"/>
                <w:color w:val="auto"/>
              </w:rPr>
            </w:pPr>
            <w:r>
              <w:rPr>
                <w:rFonts w:ascii="Times New Roman" w:cs="Times New Roman" w:eastAsia="Times New Roman" w:hAnsi="Times New Roman"/>
                <w:sz w:val="10"/>
                <w:szCs w:val="10"/>
                <w:color w:val="auto"/>
              </w:rPr>
              <w:t>Revolving Loan ($3,427</w:t>
            </w: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3"/>
          </w:tcPr>
          <w:p>
            <w:pPr>
              <w:ind w:left="40"/>
              <w:spacing w:after="0" w:line="90" w:lineRule="exact"/>
              <w:rPr>
                <w:sz w:val="20"/>
                <w:szCs w:val="20"/>
                <w:color w:val="auto"/>
              </w:rPr>
            </w:pPr>
            <w:r>
              <w:rPr>
                <w:rFonts w:ascii="Times New Roman" w:cs="Times New Roman" w:eastAsia="Times New Roman" w:hAnsi="Times New Roman"/>
                <w:sz w:val="10"/>
                <w:szCs w:val="10"/>
                <w:color w:val="auto"/>
              </w:rPr>
              <w:t>(S + 5.25%)</w:t>
            </w: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unfunded commitment) (i)</w:t>
            </w: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(2.00%)</w:t>
            </w:r>
          </w:p>
        </w:tc>
        <w:tc>
          <w:tcPr>
            <w:tcW w:w="20" w:type="dxa"/>
            <w:vAlign w:val="bottom"/>
          </w:tcPr>
          <w:p>
            <w:pPr>
              <w:spacing w:after="0"/>
              <w:rPr>
                <w:sz w:val="10"/>
                <w:szCs w:val="1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9.24%/0.00%</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4/15/2025</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4/15/2030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573</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558</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573</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1420" w:type="dxa"/>
            <w:vAlign w:val="bottom"/>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(3,881 units) (h)</w:t>
            </w: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1.1%</w:t>
            </w: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4/15/2025</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388</w:t>
            </w:r>
          </w:p>
        </w:tc>
        <w:tc>
          <w:tcPr>
            <w:tcW w:w="40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254</w:t>
            </w: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142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Preferred Equity (3,619 units) (h)</w:t>
            </w: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1.0%</w:t>
            </w: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4/15/2025</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362</w:t>
            </w:r>
          </w:p>
        </w:tc>
        <w:tc>
          <w:tcPr>
            <w:tcW w:w="60" w:type="dxa"/>
            <w:vAlign w:val="bottom"/>
          </w:tcPr>
          <w:p>
            <w:pPr>
              <w:spacing w:after="0"/>
              <w:rPr>
                <w:sz w:val="8"/>
                <w:szCs w:val="8"/>
                <w:color w:val="auto"/>
              </w:rPr>
            </w:pPr>
          </w:p>
        </w:tc>
        <w:tc>
          <w:tcPr>
            <w:tcW w:w="40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555</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103" w:lineRule="exact"/>
              <w:rPr>
                <w:sz w:val="20"/>
                <w:szCs w:val="20"/>
                <w:color w:val="auto"/>
              </w:rPr>
            </w:pPr>
            <w:r>
              <w:rPr>
                <w:rFonts w:ascii="Times New Roman" w:cs="Times New Roman" w:eastAsia="Times New Roman" w:hAnsi="Times New Roman"/>
                <w:sz w:val="10"/>
                <w:szCs w:val="10"/>
                <w:color w:val="auto"/>
              </w:rPr>
              <w:t>10,873</w:t>
            </w:r>
          </w:p>
        </w:tc>
        <w:tc>
          <w:tcPr>
            <w:tcW w:w="6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10,988</w:t>
            </w:r>
          </w:p>
        </w:tc>
        <w:tc>
          <w:tcPr>
            <w:tcW w:w="500" w:type="dxa"/>
            <w:vAlign w:val="bottom"/>
            <w:gridSpan w:val="2"/>
            <w:shd w:val="clear" w:color="auto" w:fill="CCEEFF"/>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139"/>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w w:val="97"/>
              </w:rPr>
              <w:t>Level Education Group, LLC</w:t>
            </w: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160" w:type="dxa"/>
            <w:vAlign w:val="bottom"/>
          </w:tcPr>
          <w:p>
            <w:pPr>
              <w:ind w:left="100"/>
              <w:spacing w:after="0"/>
              <w:rPr>
                <w:sz w:val="20"/>
                <w:szCs w:val="20"/>
                <w:color w:val="auto"/>
              </w:rPr>
            </w:pPr>
            <w:r>
              <w:rPr>
                <w:rFonts w:ascii="Times New Roman" w:cs="Times New Roman" w:eastAsia="Times New Roman" w:hAnsi="Times New Roman"/>
                <w:sz w:val="10"/>
                <w:szCs w:val="10"/>
                <w:i w:val="1"/>
                <w:iCs w:val="1"/>
                <w:color w:val="auto"/>
              </w:rPr>
              <w:t>(dba CE4Less)</w:t>
            </w: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Business Services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rPr>
              <w:t>5414 W Daybreak</w:t>
            </w:r>
          </w:p>
        </w:tc>
        <w:tc>
          <w:tcPr>
            <w:tcW w:w="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gridSpan w:val="3"/>
            <w:shd w:val="clear" w:color="auto" w:fill="CCEEFF"/>
          </w:tcPr>
          <w:p>
            <w:pPr>
              <w:ind w:left="40"/>
              <w:spacing w:after="0" w:line="90" w:lineRule="exact"/>
              <w:rPr>
                <w:sz w:val="20"/>
                <w:szCs w:val="20"/>
                <w:color w:val="auto"/>
              </w:rPr>
            </w:pPr>
            <w:r>
              <w:rPr>
                <w:rFonts w:ascii="Times New Roman" w:cs="Times New Roman" w:eastAsia="Times New Roman" w:hAnsi="Times New Roman"/>
                <w:sz w:val="10"/>
                <w:szCs w:val="10"/>
                <w:color w:val="auto"/>
              </w:rPr>
              <w:t>(S + 5.25%)</w:t>
            </w:r>
          </w:p>
        </w:tc>
        <w:tc>
          <w:tcPr>
            <w:tcW w:w="5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Parkway C-4 #401</w:t>
            </w: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First Lien Debt (ak)</w:t>
            </w:r>
          </w:p>
        </w:tc>
        <w:tc>
          <w:tcPr>
            <w:tcW w:w="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 (2.00%)</w:t>
            </w:r>
          </w:p>
        </w:tc>
        <w:tc>
          <w:tcPr>
            <w:tcW w:w="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9.47%/0.00%</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4/1/2021</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9/30/2030</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12,485</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12,405</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12,485</w:t>
            </w: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tcPr>
          <w:p>
            <w:pPr>
              <w:ind w:left="200"/>
              <w:spacing w:after="0" w:line="103" w:lineRule="exact"/>
              <w:rPr>
                <w:sz w:val="20"/>
                <w:szCs w:val="20"/>
                <w:color w:val="auto"/>
              </w:rPr>
            </w:pPr>
            <w:r>
              <w:rPr>
                <w:rFonts w:ascii="Times New Roman" w:cs="Times New Roman" w:eastAsia="Times New Roman" w:hAnsi="Times New Roman"/>
                <w:sz w:val="10"/>
                <w:szCs w:val="10"/>
                <w:color w:val="auto"/>
                <w:w w:val="95"/>
              </w:rPr>
              <w:t>South Jordan, UT 84009</w:t>
            </w:r>
          </w:p>
        </w:tc>
        <w:tc>
          <w:tcPr>
            <w:tcW w:w="142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(1,000,000 units)</w:t>
            </w: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4.0%</w:t>
            </w: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4/1/2021</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Borders>
              <w:bottom w:val="single" w:sz="8" w:color="auto"/>
            </w:tcBorders>
          </w:tcPr>
          <w:p>
            <w:pPr>
              <w:jc w:val="right"/>
              <w:spacing w:after="0" w:line="103" w:lineRule="exact"/>
              <w:rPr>
                <w:sz w:val="20"/>
                <w:szCs w:val="20"/>
                <w:color w:val="auto"/>
              </w:rPr>
            </w:pPr>
            <w:r>
              <w:rPr>
                <w:rFonts w:ascii="Times New Roman" w:cs="Times New Roman" w:eastAsia="Times New Roman" w:hAnsi="Times New Roman"/>
                <w:sz w:val="10"/>
                <w:szCs w:val="10"/>
                <w:color w:val="auto"/>
              </w:rPr>
              <w:t>934</w:t>
            </w:r>
          </w:p>
        </w:tc>
        <w:tc>
          <w:tcPr>
            <w:tcW w:w="60" w:type="dxa"/>
            <w:vAlign w:val="bottom"/>
          </w:tcPr>
          <w:p>
            <w:pPr>
              <w:spacing w:after="0"/>
              <w:rPr>
                <w:sz w:val="8"/>
                <w:szCs w:val="8"/>
                <w:color w:val="auto"/>
              </w:rPr>
            </w:pPr>
          </w:p>
        </w:tc>
        <w:tc>
          <w:tcPr>
            <w:tcW w:w="340" w:type="dxa"/>
            <w:vAlign w:val="bottom"/>
            <w:tcBorders>
              <w:bottom w:val="single" w:sz="8" w:color="auto"/>
            </w:tcBorders>
          </w:tcPr>
          <w:p>
            <w:pPr>
              <w:jc w:val="right"/>
              <w:spacing w:after="0" w:line="103" w:lineRule="exact"/>
              <w:rPr>
                <w:sz w:val="20"/>
                <w:szCs w:val="20"/>
                <w:color w:val="auto"/>
              </w:rPr>
            </w:pPr>
            <w:r>
              <w:rPr>
                <w:rFonts w:ascii="Times New Roman" w:cs="Times New Roman" w:eastAsia="Times New Roman" w:hAnsi="Times New Roman"/>
                <w:sz w:val="10"/>
                <w:szCs w:val="10"/>
                <w:color w:val="auto"/>
              </w:rPr>
              <w:t>2,798</w:t>
            </w: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13,339</w:t>
            </w:r>
          </w:p>
        </w:tc>
        <w:tc>
          <w:tcPr>
            <w:tcW w:w="40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15,283</w:t>
            </w:r>
          </w:p>
        </w:tc>
        <w:tc>
          <w:tcPr>
            <w:tcW w:w="500" w:type="dxa"/>
            <w:vAlign w:val="bottom"/>
            <w:gridSpan w:val="2"/>
            <w:shd w:val="clear" w:color="auto" w:fill="CCEEFF"/>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154"/>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LifeSpan Biosciences, Inc.</w:t>
            </w: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Healthcare Products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rPr>
              <w:t>2 Shaker Rd Suites</w:t>
            </w:r>
          </w:p>
        </w:tc>
        <w:tc>
          <w:tcPr>
            <w:tcW w:w="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B001/B101</w:t>
            </w: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Subordinated Debt</w:t>
            </w:r>
          </w:p>
        </w:tc>
        <w:tc>
          <w:tcPr>
            <w:tcW w:w="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4"/>
              </w:rPr>
              <w:t>11.50%/0.00%</w:t>
            </w:r>
          </w:p>
        </w:tc>
        <w:tc>
          <w:tcPr>
            <w:tcW w:w="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3/19/2021</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4/7/2028</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16,000</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15,980</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14,983</w:t>
            </w: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tcPr>
          <w:p>
            <w:pPr>
              <w:ind w:left="200"/>
              <w:spacing w:after="0" w:line="103" w:lineRule="exact"/>
              <w:rPr>
                <w:sz w:val="20"/>
                <w:szCs w:val="20"/>
                <w:color w:val="auto"/>
              </w:rPr>
            </w:pPr>
            <w:r>
              <w:rPr>
                <w:rFonts w:ascii="Times New Roman" w:cs="Times New Roman" w:eastAsia="Times New Roman" w:hAnsi="Times New Roman"/>
                <w:sz w:val="10"/>
                <w:szCs w:val="10"/>
                <w:color w:val="auto"/>
              </w:rPr>
              <w:t>Shirley, MA 01464</w:t>
            </w:r>
          </w:p>
        </w:tc>
        <w:tc>
          <w:tcPr>
            <w:tcW w:w="142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(108 shares)</w:t>
            </w: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0.3%</w:t>
            </w: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6/7/2024</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595</w:t>
            </w:r>
          </w:p>
        </w:tc>
        <w:tc>
          <w:tcPr>
            <w:tcW w:w="60" w:type="dxa"/>
            <w:vAlign w:val="bottom"/>
          </w:tcPr>
          <w:p>
            <w:pPr>
              <w:spacing w:after="0"/>
              <w:rPr>
                <w:sz w:val="8"/>
                <w:szCs w:val="8"/>
                <w:color w:val="auto"/>
              </w:rPr>
            </w:pPr>
          </w:p>
        </w:tc>
        <w:tc>
          <w:tcPr>
            <w:tcW w:w="40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421</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103" w:lineRule="exact"/>
              <w:rPr>
                <w:sz w:val="20"/>
                <w:szCs w:val="20"/>
                <w:color w:val="auto"/>
              </w:rPr>
            </w:pPr>
            <w:r>
              <w:rPr>
                <w:rFonts w:ascii="Times New Roman" w:cs="Times New Roman" w:eastAsia="Times New Roman" w:hAnsi="Times New Roman"/>
                <w:sz w:val="10"/>
                <w:szCs w:val="10"/>
                <w:color w:val="auto"/>
              </w:rPr>
              <w:t>16,575</w:t>
            </w:r>
          </w:p>
        </w:tc>
        <w:tc>
          <w:tcPr>
            <w:tcW w:w="6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15,404</w:t>
            </w:r>
          </w:p>
        </w:tc>
        <w:tc>
          <w:tcPr>
            <w:tcW w:w="500" w:type="dxa"/>
            <w:vAlign w:val="bottom"/>
            <w:gridSpan w:val="2"/>
            <w:shd w:val="clear" w:color="auto" w:fill="CCEEFF"/>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139"/>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Mayesh Wholesale Florist,</w:t>
            </w: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160" w:type="dxa"/>
            <w:vAlign w:val="bottom"/>
          </w:tcPr>
          <w:p>
            <w:pPr>
              <w:ind w:left="100"/>
              <w:spacing w:after="0"/>
              <w:rPr>
                <w:sz w:val="20"/>
                <w:szCs w:val="20"/>
                <w:color w:val="auto"/>
              </w:rPr>
            </w:pPr>
            <w:r>
              <w:rPr>
                <w:rFonts w:ascii="Times New Roman" w:cs="Times New Roman" w:eastAsia="Times New Roman" w:hAnsi="Times New Roman"/>
                <w:sz w:val="10"/>
                <w:szCs w:val="10"/>
                <w:i w:val="1"/>
                <w:iCs w:val="1"/>
                <w:color w:val="auto"/>
              </w:rPr>
              <w:t>LLC</w:t>
            </w: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Specialty Distribution</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rPr>
              <w:t>5401 W. 104th Street</w:t>
            </w:r>
          </w:p>
        </w:tc>
        <w:tc>
          <w:tcPr>
            <w:tcW w:w="1420" w:type="dxa"/>
            <w:vAlign w:val="bottom"/>
            <w:gridSpan w:val="2"/>
            <w:shd w:val="clear" w:color="auto" w:fill="CCEEFF"/>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 (j)(be)</w:t>
            </w:r>
          </w:p>
        </w:tc>
        <w:tc>
          <w:tcPr>
            <w:tcW w:w="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gridSpan w:val="3"/>
            <w:shd w:val="clear" w:color="auto" w:fill="CCEEFF"/>
          </w:tcPr>
          <w:p>
            <w:pPr>
              <w:ind w:left="40"/>
              <w:spacing w:after="0" w:line="90" w:lineRule="exact"/>
              <w:rPr>
                <w:sz w:val="20"/>
                <w:szCs w:val="20"/>
                <w:color w:val="auto"/>
              </w:rPr>
            </w:pPr>
            <w:r>
              <w:rPr>
                <w:rFonts w:ascii="Times New Roman" w:cs="Times New Roman" w:eastAsia="Times New Roman" w:hAnsi="Times New Roman"/>
                <w:sz w:val="10"/>
                <w:szCs w:val="10"/>
                <w:color w:val="auto"/>
              </w:rPr>
              <w:t>(S + 6.00%)</w:t>
            </w:r>
          </w:p>
        </w:tc>
        <w:tc>
          <w:tcPr>
            <w:tcW w:w="5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 (2.00%)</w:t>
            </w:r>
          </w:p>
        </w:tc>
        <w:tc>
          <w:tcPr>
            <w:tcW w:w="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9.96%/0.00%</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3/18/2025</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3/18/2030</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10,500</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10,397</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10,500</w:t>
            </w: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w w:val="97"/>
              </w:rPr>
              <w:t>Los Angeles, CA 90045</w:t>
            </w:r>
          </w:p>
        </w:tc>
        <w:tc>
          <w:tcPr>
            <w:tcW w:w="1420" w:type="dxa"/>
            <w:vAlign w:val="bottom"/>
            <w:gridSpan w:val="2"/>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 ($2,000</w:t>
            </w: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3"/>
          </w:tcPr>
          <w:p>
            <w:pPr>
              <w:ind w:left="40"/>
              <w:spacing w:after="0" w:line="90" w:lineRule="exact"/>
              <w:rPr>
                <w:sz w:val="20"/>
                <w:szCs w:val="20"/>
                <w:color w:val="auto"/>
              </w:rPr>
            </w:pPr>
            <w:r>
              <w:rPr>
                <w:rFonts w:ascii="Times New Roman" w:cs="Times New Roman" w:eastAsia="Times New Roman" w:hAnsi="Times New Roman"/>
                <w:sz w:val="10"/>
                <w:szCs w:val="10"/>
                <w:color w:val="auto"/>
              </w:rPr>
              <w:t>(S + 6.00%)</w:t>
            </w: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unfunded commitment) (i)(be)</w:t>
            </w: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(2.00%)</w:t>
            </w:r>
          </w:p>
        </w:tc>
        <w:tc>
          <w:tcPr>
            <w:tcW w:w="20" w:type="dxa"/>
            <w:vAlign w:val="bottom"/>
          </w:tcPr>
          <w:p>
            <w:pPr>
              <w:spacing w:after="0"/>
              <w:rPr>
                <w:sz w:val="10"/>
                <w:szCs w:val="1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9.96%/0.00%</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3/18/2025</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3/18/2030</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— </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— </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1420" w:type="dxa"/>
            <w:vAlign w:val="bottom"/>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w w:val="95"/>
              </w:rPr>
              <w:t>Preferred Equity (500,000 units) (h)</w:t>
            </w: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1.2%</w:t>
            </w: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3/18/2025</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500</w:t>
            </w:r>
          </w:p>
        </w:tc>
        <w:tc>
          <w:tcPr>
            <w:tcW w:w="40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736</w:t>
            </w: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10,897</w:t>
            </w:r>
          </w:p>
        </w:tc>
        <w:tc>
          <w:tcPr>
            <w:tcW w:w="60" w:type="dxa"/>
            <w:vAlign w:val="bottom"/>
          </w:tcPr>
          <w:p>
            <w:pPr>
              <w:spacing w:after="0"/>
              <w:rPr>
                <w:sz w:val="9"/>
                <w:szCs w:val="9"/>
                <w:color w:val="auto"/>
              </w:rPr>
            </w:pPr>
          </w:p>
        </w:tc>
        <w:tc>
          <w:tcPr>
            <w:tcW w:w="3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11,236</w:t>
            </w:r>
          </w:p>
        </w:tc>
        <w:tc>
          <w:tcPr>
            <w:tcW w:w="60" w:type="dxa"/>
            <w:vAlign w:val="bottom"/>
          </w:tcPr>
          <w:p>
            <w:pPr>
              <w:spacing w:after="0"/>
              <w:rPr>
                <w:sz w:val="9"/>
                <w:szCs w:val="9"/>
                <w:color w:val="auto"/>
              </w:rPr>
            </w:pPr>
          </w:p>
        </w:tc>
        <w:tc>
          <w:tcPr>
            <w:tcW w:w="500" w:type="dxa"/>
            <w:vAlign w:val="bottom"/>
            <w:gridSpan w:val="2"/>
          </w:tcPr>
          <w:p>
            <w:pPr>
              <w:jc w:val="right"/>
              <w:ind w:right="20"/>
              <w:spacing w:after="0" w:line="111" w:lineRule="exact"/>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41"/>
        </w:trPr>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11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i w:val="1"/>
                <w:iCs w:val="1"/>
                <w:color w:val="auto"/>
              </w:rPr>
              <w:t>MBS Opco, LLC (dba</w:t>
            </w:r>
          </w:p>
        </w:tc>
        <w:tc>
          <w:tcPr>
            <w:tcW w:w="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i w:val="1"/>
                <w:iCs w:val="1"/>
                <w:color w:val="auto"/>
              </w:rPr>
              <w:t>Marketron)</w:t>
            </w:r>
          </w:p>
        </w:tc>
        <w:tc>
          <w:tcPr>
            <w:tcW w:w="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96"/>
              </w:rPr>
              <w:t>Information Technology Services</w:t>
            </w: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w w:val="98"/>
              </w:rPr>
              <w:t>101 Empty Saddle Trail</w:t>
            </w:r>
          </w:p>
        </w:tc>
        <w:tc>
          <w:tcPr>
            <w:tcW w:w="1420" w:type="dxa"/>
            <w:vAlign w:val="bottom"/>
            <w:gridSpan w:val="2"/>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w:t>
            </w: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3"/>
          </w:tcPr>
          <w:p>
            <w:pPr>
              <w:ind w:left="40"/>
              <w:spacing w:after="0" w:line="90" w:lineRule="exact"/>
              <w:rPr>
                <w:sz w:val="20"/>
                <w:szCs w:val="20"/>
                <w:color w:val="auto"/>
              </w:rPr>
            </w:pPr>
            <w:r>
              <w:rPr>
                <w:rFonts w:ascii="Times New Roman" w:cs="Times New Roman" w:eastAsia="Times New Roman" w:hAnsi="Times New Roman"/>
                <w:sz w:val="10"/>
                <w:szCs w:val="10"/>
                <w:color w:val="auto"/>
              </w:rPr>
              <w:t>(S + 8.50%)</w:t>
            </w: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(1.50%)</w:t>
            </w:r>
          </w:p>
        </w:tc>
        <w:tc>
          <w:tcPr>
            <w:tcW w:w="20" w:type="dxa"/>
            <w:vAlign w:val="bottom"/>
          </w:tcPr>
          <w:p>
            <w:pPr>
              <w:spacing w:after="0"/>
              <w:rPr>
                <w:sz w:val="10"/>
                <w:szCs w:val="1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w w:val="94"/>
              </w:rPr>
              <w:t>12.75%/0.00%</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9/29/2022</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9/28/2026</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27,000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26,975</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27,000</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Hailey, ID 83333</w:t>
            </w:r>
          </w:p>
        </w:tc>
        <w:tc>
          <w:tcPr>
            <w:tcW w:w="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203440" cy="450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65" w:right="1440" w:bottom="1440" w:gutter="0" w:footer="0" w:header="0"/>
        </w:sectPr>
      </w:pPr>
    </w:p>
    <w:bookmarkStart w:id="30" w:name="page31"/>
    <w:bookmarkEnd w:id="30"/>
    <w:tbl>
      <w:tblPr>
        <w:tblLayout w:type="fixed"/>
        <w:tblInd w:w="320" w:type="dxa"/>
        <w:tblCellMar>
          <w:top w:w="0" w:type="dxa"/>
          <w:left w:w="0" w:type="dxa"/>
          <w:bottom w:w="0" w:type="dxa"/>
          <w:right w:w="0" w:type="dxa"/>
        </w:tblCellMar>
      </w:tblPr>
      <w:tr>
        <w:trPr>
          <w:trHeight w:val="103"/>
        </w:trPr>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gridSpan w:val="2"/>
          </w:tcPr>
          <w:p>
            <w:pPr>
              <w:jc w:val="center"/>
              <w:ind w:right="20"/>
              <w:spacing w:after="0"/>
              <w:rPr>
                <w:sz w:val="20"/>
                <w:szCs w:val="20"/>
                <w:color w:val="auto"/>
              </w:rPr>
            </w:pPr>
            <w:r>
              <w:rPr>
                <w:rFonts w:ascii="Times New Roman" w:cs="Times New Roman" w:eastAsia="Times New Roman" w:hAnsi="Times New Roman"/>
                <w:sz w:val="9"/>
                <w:szCs w:val="9"/>
                <w:b w:val="1"/>
                <w:bCs w:val="1"/>
                <w:color w:val="auto"/>
                <w:w w:val="95"/>
              </w:rPr>
              <w:t>Variable</w:t>
            </w: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Portfolio Company (a)(b)</w:t>
            </w:r>
          </w:p>
        </w:tc>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w w:val="98"/>
              </w:rPr>
              <w:t>Percentage</w:t>
            </w:r>
          </w:p>
        </w:tc>
        <w:tc>
          <w:tcPr>
            <w:tcW w:w="40" w:type="dxa"/>
            <w:vAlign w:val="bottom"/>
          </w:tcPr>
          <w:p>
            <w:pPr>
              <w:spacing w:after="0"/>
              <w:rPr>
                <w:sz w:val="8"/>
                <w:szCs w:val="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Index Spread</w:t>
            </w:r>
          </w:p>
        </w:tc>
        <w:tc>
          <w:tcPr>
            <w:tcW w:w="6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9"/>
                <w:szCs w:val="9"/>
                <w:b w:val="1"/>
                <w:bCs w:val="1"/>
                <w:color w:val="auto"/>
                <w:w w:val="99"/>
              </w:rPr>
              <w:t>Rate (e)</w:t>
            </w: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center"/>
              <w:ind w:right="100"/>
              <w:spacing w:after="0" w:line="93" w:lineRule="exact"/>
              <w:rPr>
                <w:sz w:val="20"/>
                <w:szCs w:val="20"/>
                <w:color w:val="auto"/>
              </w:rPr>
            </w:pPr>
            <w:r>
              <w:rPr>
                <w:rFonts w:ascii="Times New Roman" w:cs="Times New Roman" w:eastAsia="Times New Roman" w:hAnsi="Times New Roman"/>
                <w:sz w:val="9"/>
                <w:szCs w:val="9"/>
                <w:b w:val="1"/>
                <w:bCs w:val="1"/>
                <w:color w:val="auto"/>
                <w:w w:val="99"/>
              </w:rPr>
              <w:t>of Class</w:t>
            </w:r>
          </w:p>
        </w:tc>
        <w:tc>
          <w:tcPr>
            <w:tcW w:w="560" w:type="dxa"/>
            <w:vAlign w:val="bottom"/>
            <w:gridSpan w:val="2"/>
          </w:tcPr>
          <w:p>
            <w:pPr>
              <w:jc w:val="center"/>
              <w:spacing w:after="0" w:line="93" w:lineRule="exact"/>
              <w:rPr>
                <w:sz w:val="20"/>
                <w:szCs w:val="20"/>
                <w:color w:val="auto"/>
              </w:rPr>
            </w:pPr>
            <w:r>
              <w:rPr>
                <w:rFonts w:ascii="Times New Roman" w:cs="Times New Roman" w:eastAsia="Times New Roman" w:hAnsi="Times New Roman"/>
                <w:sz w:val="9"/>
                <w:szCs w:val="9"/>
                <w:b w:val="1"/>
                <w:bCs w:val="1"/>
                <w:color w:val="auto"/>
              </w:rPr>
              <w:t>/</w:t>
            </w:r>
          </w:p>
        </w:tc>
        <w:tc>
          <w:tcPr>
            <w:tcW w:w="2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520" w:type="dxa"/>
            <w:vAlign w:val="bottom"/>
            <w:gridSpan w:val="2"/>
          </w:tcPr>
          <w:p>
            <w:pPr>
              <w:jc w:val="right"/>
              <w:ind w:right="80"/>
              <w:spacing w:after="0" w:line="93" w:lineRule="exact"/>
              <w:rPr>
                <w:sz w:val="20"/>
                <w:szCs w:val="20"/>
                <w:color w:val="auto"/>
              </w:rPr>
            </w:pPr>
            <w:r>
              <w:rPr>
                <w:rFonts w:ascii="Times New Roman" w:cs="Times New Roman" w:eastAsia="Times New Roman" w:hAnsi="Times New Roman"/>
                <w:sz w:val="9"/>
                <w:szCs w:val="9"/>
                <w:b w:val="1"/>
                <w:bCs w:val="1"/>
                <w:color w:val="auto"/>
                <w:w w:val="97"/>
              </w:rPr>
              <w:t>Investment</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spacing w:after="0" w:line="93" w:lineRule="exact"/>
              <w:rPr>
                <w:sz w:val="20"/>
                <w:szCs w:val="20"/>
                <w:color w:val="auto"/>
              </w:rPr>
            </w:pPr>
            <w:r>
              <w:rPr>
                <w:rFonts w:ascii="Times New Roman" w:cs="Times New Roman" w:eastAsia="Times New Roman" w:hAnsi="Times New Roman"/>
                <w:sz w:val="9"/>
                <w:szCs w:val="9"/>
                <w:b w:val="1"/>
                <w:bCs w:val="1"/>
                <w:color w:val="auto"/>
              </w:rPr>
              <w:t>Principal</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gridSpan w:val="2"/>
          </w:tcPr>
          <w:p>
            <w:pPr>
              <w:jc w:val="right"/>
              <w:ind w:right="140"/>
              <w:spacing w:after="0" w:line="93" w:lineRule="exact"/>
              <w:rPr>
                <w:sz w:val="20"/>
                <w:szCs w:val="20"/>
                <w:color w:val="auto"/>
              </w:rPr>
            </w:pPr>
            <w:r>
              <w:rPr>
                <w:rFonts w:ascii="Times New Roman" w:cs="Times New Roman" w:eastAsia="Times New Roman" w:hAnsi="Times New Roman"/>
                <w:sz w:val="9"/>
                <w:szCs w:val="9"/>
                <w:b w:val="1"/>
                <w:bCs w:val="1"/>
                <w:color w:val="auto"/>
              </w:rPr>
              <w:t>Fair</w:t>
            </w:r>
          </w:p>
        </w:tc>
        <w:tc>
          <w:tcPr>
            <w:tcW w:w="500" w:type="dxa"/>
            <w:vAlign w:val="bottom"/>
            <w:gridSpan w:val="2"/>
          </w:tcPr>
          <w:p>
            <w:pPr>
              <w:jc w:val="right"/>
              <w:ind w:right="100"/>
              <w:spacing w:after="0" w:line="93" w:lineRule="exact"/>
              <w:rPr>
                <w:sz w:val="20"/>
                <w:szCs w:val="20"/>
                <w:color w:val="auto"/>
              </w:rPr>
            </w:pPr>
            <w:r>
              <w:rPr>
                <w:rFonts w:ascii="Times New Roman" w:cs="Times New Roman" w:eastAsia="Times New Roman" w:hAnsi="Times New Roman"/>
                <w:sz w:val="9"/>
                <w:szCs w:val="9"/>
                <w:b w:val="1"/>
                <w:bCs w:val="1"/>
                <w:color w:val="auto"/>
                <w:w w:val="96"/>
              </w:rPr>
              <w:t>Percent of</w:t>
            </w:r>
          </w:p>
        </w:tc>
        <w:tc>
          <w:tcPr>
            <w:tcW w:w="0" w:type="dxa"/>
            <w:vAlign w:val="bottom"/>
          </w:tcPr>
          <w:p>
            <w:pPr>
              <w:spacing w:after="0"/>
              <w:rPr>
                <w:sz w:val="1"/>
                <w:szCs w:val="1"/>
                <w:color w:val="auto"/>
              </w:rPr>
            </w:pPr>
          </w:p>
        </w:tc>
      </w:tr>
      <w:tr>
        <w:trPr>
          <w:trHeight w:val="130"/>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w w:val="97"/>
              </w:rPr>
              <w:t>Address of Portfolio Company</w:t>
            </w:r>
          </w:p>
        </w:tc>
        <w:tc>
          <w:tcPr>
            <w:tcW w:w="20" w:type="dxa"/>
            <w:vAlign w:val="bottom"/>
          </w:tcPr>
          <w:p>
            <w:pPr>
              <w:spacing w:after="0"/>
              <w:rPr>
                <w:sz w:val="11"/>
                <w:szCs w:val="11"/>
                <w:color w:val="auto"/>
              </w:rPr>
            </w:pPr>
          </w:p>
        </w:tc>
        <w:tc>
          <w:tcPr>
            <w:tcW w:w="1400" w:type="dxa"/>
            <w:vAlign w:val="bottom"/>
          </w:tcPr>
          <w:p>
            <w:pPr>
              <w:ind w:left="320"/>
              <w:spacing w:after="0"/>
              <w:rPr>
                <w:sz w:val="20"/>
                <w:szCs w:val="20"/>
                <w:color w:val="auto"/>
              </w:rPr>
            </w:pPr>
            <w:r>
              <w:rPr>
                <w:rFonts w:ascii="Times New Roman" w:cs="Times New Roman" w:eastAsia="Times New Roman" w:hAnsi="Times New Roman"/>
                <w:sz w:val="9"/>
                <w:szCs w:val="9"/>
                <w:b w:val="1"/>
                <w:bCs w:val="1"/>
                <w:color w:val="auto"/>
              </w:rPr>
              <w:t>Investment Type (c)</w:t>
            </w:r>
          </w:p>
        </w:tc>
        <w:tc>
          <w:tcPr>
            <w:tcW w:w="20" w:type="dxa"/>
            <w:vAlign w:val="bottom"/>
          </w:tcPr>
          <w:p>
            <w:pPr>
              <w:spacing w:after="0"/>
              <w:rPr>
                <w:sz w:val="11"/>
                <w:szCs w:val="11"/>
                <w:color w:val="auto"/>
              </w:rPr>
            </w:pPr>
          </w:p>
        </w:tc>
        <w:tc>
          <w:tcPr>
            <w:tcW w:w="1320" w:type="dxa"/>
            <w:vAlign w:val="bottom"/>
            <w:gridSpan w:val="2"/>
          </w:tcPr>
          <w:p>
            <w:pPr>
              <w:ind w:left="48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520" w:type="dxa"/>
            <w:vAlign w:val="bottom"/>
            <w:gridSpan w:val="2"/>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w w:val="99"/>
              </w:rPr>
              <w:t>Held (bo)</w:t>
            </w:r>
          </w:p>
        </w:tc>
        <w:tc>
          <w:tcPr>
            <w:tcW w:w="40" w:type="dxa"/>
            <w:vAlign w:val="bottom"/>
          </w:tcPr>
          <w:p>
            <w:pPr>
              <w:spacing w:after="0"/>
              <w:rPr>
                <w:sz w:val="11"/>
                <w:szCs w:val="11"/>
                <w:color w:val="auto"/>
              </w:rPr>
            </w:pP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9"/>
                <w:szCs w:val="9"/>
                <w:b w:val="1"/>
                <w:bCs w:val="1"/>
                <w:color w:val="auto"/>
                <w:w w:val="99"/>
              </w:rPr>
              <w:t>Floor (d)</w:t>
            </w: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9"/>
                <w:szCs w:val="9"/>
                <w:b w:val="1"/>
                <w:bCs w:val="1"/>
                <w:color w:val="auto"/>
                <w:w w:val="99"/>
              </w:rPr>
              <w:t>Cash/PIK</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Date (f)</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Maturity</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Amount</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Cost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b w:val="1"/>
                <w:bCs w:val="1"/>
                <w:color w:val="auto"/>
                <w:w w:val="90"/>
              </w:rPr>
              <w:t>Value (g)</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b w:val="1"/>
                <w:bCs w:val="1"/>
                <w:color w:val="auto"/>
                <w:w w:val="95"/>
              </w:rPr>
              <w:t>Net Assets</w:t>
            </w:r>
          </w:p>
        </w:tc>
        <w:tc>
          <w:tcPr>
            <w:tcW w:w="0" w:type="dxa"/>
            <w:vAlign w:val="bottom"/>
          </w:tcPr>
          <w:p>
            <w:pPr>
              <w:spacing w:after="0"/>
              <w:rPr>
                <w:sz w:val="1"/>
                <w:szCs w:val="1"/>
                <w:color w:val="auto"/>
              </w:rPr>
            </w:pPr>
          </w:p>
        </w:tc>
      </w:tr>
      <w:tr>
        <w:trPr>
          <w:trHeight w:val="83"/>
        </w:trPr>
        <w:tc>
          <w:tcPr>
            <w:tcW w:w="1160" w:type="dxa"/>
            <w:vAlign w:val="bottom"/>
            <w:tcBorders>
              <w:top w:val="single" w:sz="8" w:color="CCEEFF"/>
            </w:tcBorders>
            <w:shd w:val="clear" w:color="auto" w:fill="CCEEFF"/>
          </w:tcPr>
          <w:p>
            <w:pPr>
              <w:spacing w:after="0" w:line="83" w:lineRule="exact"/>
              <w:rPr>
                <w:sz w:val="20"/>
                <w:szCs w:val="20"/>
                <w:color w:val="auto"/>
              </w:rPr>
            </w:pPr>
            <w:r>
              <w:rPr>
                <w:rFonts w:ascii="Times New Roman" w:cs="Times New Roman" w:eastAsia="Times New Roman" w:hAnsi="Times New Roman"/>
                <w:sz w:val="8"/>
                <w:szCs w:val="8"/>
                <w:i w:val="1"/>
                <w:iCs w:val="1"/>
                <w:color w:val="auto"/>
              </w:rPr>
              <w:t>MDME Holding Corp.</w:t>
            </w:r>
          </w:p>
        </w:tc>
        <w:tc>
          <w:tcPr>
            <w:tcW w:w="20" w:type="dxa"/>
            <w:vAlign w:val="bottom"/>
            <w:tcBorders>
              <w:top w:val="single" w:sz="8" w:color="CCEEFF"/>
            </w:tcBorders>
            <w:shd w:val="clear" w:color="auto" w:fill="CCEEFF"/>
          </w:tcPr>
          <w:p>
            <w:pPr>
              <w:spacing w:after="0"/>
              <w:rPr>
                <w:sz w:val="7"/>
                <w:szCs w:val="7"/>
                <w:color w:val="auto"/>
              </w:rPr>
            </w:pPr>
          </w:p>
        </w:tc>
        <w:tc>
          <w:tcPr>
            <w:tcW w:w="140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280" w:type="dxa"/>
            <w:vAlign w:val="bottom"/>
            <w:tcBorders>
              <w:top w:val="single" w:sz="8" w:color="auto"/>
            </w:tcBorders>
            <w:shd w:val="clear" w:color="auto" w:fill="CCEEFF"/>
          </w:tcPr>
          <w:p>
            <w:pPr>
              <w:spacing w:after="0" w:line="83" w:lineRule="exact"/>
              <w:rPr>
                <w:sz w:val="20"/>
                <w:szCs w:val="20"/>
                <w:color w:val="auto"/>
              </w:rPr>
            </w:pPr>
            <w:r>
              <w:rPr>
                <w:rFonts w:ascii="Times New Roman" w:cs="Times New Roman" w:eastAsia="Times New Roman" w:hAnsi="Times New Roman"/>
                <w:sz w:val="8"/>
                <w:szCs w:val="8"/>
                <w:color w:val="auto"/>
              </w:rPr>
              <w:t>Healthcare Products</w:t>
            </w:r>
          </w:p>
        </w:tc>
        <w:tc>
          <w:tcPr>
            <w:tcW w:w="4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14109 Pontlavoy Ave.</w:t>
            </w:r>
          </w:p>
        </w:tc>
        <w:tc>
          <w:tcPr>
            <w:tcW w:w="1420" w:type="dxa"/>
            <w:vAlign w:val="bottom"/>
            <w:gridSpan w:val="2"/>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w:t>
            </w: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3"/>
          </w:tcPr>
          <w:p>
            <w:pPr>
              <w:ind w:left="40"/>
              <w:spacing w:after="0" w:line="90" w:lineRule="exact"/>
              <w:rPr>
                <w:sz w:val="20"/>
                <w:szCs w:val="20"/>
                <w:color w:val="auto"/>
              </w:rPr>
            </w:pPr>
            <w:r>
              <w:rPr>
                <w:rFonts w:ascii="Times New Roman" w:cs="Times New Roman" w:eastAsia="Times New Roman" w:hAnsi="Times New Roman"/>
                <w:sz w:val="10"/>
                <w:szCs w:val="10"/>
                <w:color w:val="auto"/>
              </w:rPr>
              <w:t>(S + 6.25%)</w:t>
            </w: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(1.00%)</w:t>
            </w:r>
          </w:p>
        </w:tc>
        <w:tc>
          <w:tcPr>
            <w:tcW w:w="20" w:type="dxa"/>
            <w:vAlign w:val="bottom"/>
          </w:tcPr>
          <w:p>
            <w:pPr>
              <w:spacing w:after="0"/>
              <w:rPr>
                <w:sz w:val="10"/>
                <w:szCs w:val="1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w w:val="94"/>
              </w:rPr>
              <w:t>10.07%/0.00%</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8/31/2023</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8/3/2027</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12,233</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12,191</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11,677</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rPr>
              <w:t>Santa Fe Springs, CA</w:t>
            </w:r>
          </w:p>
        </w:tc>
        <w:tc>
          <w:tcPr>
            <w:tcW w:w="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90670</w:t>
            </w: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Common Equity (5,149 units)</w:t>
            </w:r>
          </w:p>
        </w:tc>
        <w:tc>
          <w:tcPr>
            <w:tcW w:w="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2.3%</w:t>
            </w: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9/18/2023</w:t>
            </w: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— </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— </w:t>
            </w: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142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Preferred Equity (12,500 units)</w:t>
            </w: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0.0%</w:t>
            </w: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9/18/2023</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1,250</w:t>
            </w:r>
          </w:p>
        </w:tc>
        <w:tc>
          <w:tcPr>
            <w:tcW w:w="34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73</w:t>
            </w: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1420" w:type="dxa"/>
            <w:vAlign w:val="bottom"/>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Preferred Equity (713 units)</w:t>
            </w: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0.0%</w:t>
            </w: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7/1/2025</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jc w:val="right"/>
              <w:spacing w:after="0" w:line="103" w:lineRule="exact"/>
              <w:rPr>
                <w:sz w:val="20"/>
                <w:szCs w:val="20"/>
                <w:color w:val="auto"/>
              </w:rPr>
            </w:pPr>
            <w:r>
              <w:rPr>
                <w:rFonts w:ascii="Times New Roman" w:cs="Times New Roman" w:eastAsia="Times New Roman" w:hAnsi="Times New Roman"/>
                <w:sz w:val="10"/>
                <w:szCs w:val="10"/>
                <w:color w:val="auto"/>
              </w:rPr>
              <w:t>71</w:t>
            </w:r>
          </w:p>
        </w:tc>
        <w:tc>
          <w:tcPr>
            <w:tcW w:w="60" w:type="dxa"/>
            <w:vAlign w:val="bottom"/>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line="103" w:lineRule="exact"/>
              <w:rPr>
                <w:sz w:val="20"/>
                <w:szCs w:val="20"/>
                <w:color w:val="auto"/>
              </w:rPr>
            </w:pPr>
            <w:r>
              <w:rPr>
                <w:rFonts w:ascii="Times New Roman" w:cs="Times New Roman" w:eastAsia="Times New Roman" w:hAnsi="Times New Roman"/>
                <w:sz w:val="10"/>
                <w:szCs w:val="10"/>
                <w:color w:val="auto"/>
              </w:rPr>
              <w:t>75</w:t>
            </w: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13,512</w:t>
            </w:r>
          </w:p>
        </w:tc>
        <w:tc>
          <w:tcPr>
            <w:tcW w:w="60" w:type="dxa"/>
            <w:vAlign w:val="bottom"/>
          </w:tcPr>
          <w:p>
            <w:pPr>
              <w:spacing w:after="0"/>
              <w:rPr>
                <w:sz w:val="9"/>
                <w:szCs w:val="9"/>
                <w:color w:val="auto"/>
              </w:rPr>
            </w:pPr>
          </w:p>
        </w:tc>
        <w:tc>
          <w:tcPr>
            <w:tcW w:w="34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11,825</w:t>
            </w:r>
          </w:p>
        </w:tc>
        <w:tc>
          <w:tcPr>
            <w:tcW w:w="60" w:type="dxa"/>
            <w:vAlign w:val="bottom"/>
          </w:tcPr>
          <w:p>
            <w:pPr>
              <w:spacing w:after="0"/>
              <w:rPr>
                <w:sz w:val="9"/>
                <w:szCs w:val="9"/>
                <w:color w:val="auto"/>
              </w:rPr>
            </w:pPr>
          </w:p>
        </w:tc>
        <w:tc>
          <w:tcPr>
            <w:tcW w:w="500" w:type="dxa"/>
            <w:vAlign w:val="bottom"/>
            <w:gridSpan w:val="2"/>
          </w:tcPr>
          <w:p>
            <w:pPr>
              <w:jc w:val="right"/>
              <w:ind w:right="20"/>
              <w:spacing w:after="0" w:line="111" w:lineRule="exact"/>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41"/>
        </w:trPr>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11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i w:val="1"/>
                <w:iCs w:val="1"/>
                <w:color w:val="auto"/>
              </w:rPr>
              <w:t>Netbase Solutions, Inc. (dba</w:t>
            </w:r>
          </w:p>
        </w:tc>
        <w:tc>
          <w:tcPr>
            <w:tcW w:w="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i w:val="1"/>
                <w:iCs w:val="1"/>
                <w:color w:val="auto"/>
              </w:rPr>
              <w:t>Netbase Quid)</w:t>
            </w:r>
          </w:p>
        </w:tc>
        <w:tc>
          <w:tcPr>
            <w:tcW w:w="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96"/>
              </w:rPr>
              <w:t>Information Technology Services</w:t>
            </w: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3945 Freedom Circle,</w:t>
            </w:r>
          </w:p>
        </w:tc>
        <w:tc>
          <w:tcPr>
            <w:tcW w:w="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3"/>
          </w:tcPr>
          <w:p>
            <w:pPr>
              <w:ind w:left="40"/>
              <w:spacing w:after="0" w:line="90" w:lineRule="exact"/>
              <w:rPr>
                <w:sz w:val="20"/>
                <w:szCs w:val="20"/>
                <w:color w:val="auto"/>
              </w:rPr>
            </w:pPr>
            <w:r>
              <w:rPr>
                <w:rFonts w:ascii="Times New Roman" w:cs="Times New Roman" w:eastAsia="Times New Roman" w:hAnsi="Times New Roman"/>
                <w:sz w:val="10"/>
                <w:szCs w:val="10"/>
                <w:color w:val="auto"/>
              </w:rPr>
              <w:t>(P + 2.00%)</w:t>
            </w: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Suite 730</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First Lien Debt (ap)</w:t>
            </w: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(3.25%)</w:t>
            </w:r>
          </w:p>
        </w:tc>
        <w:tc>
          <w:tcPr>
            <w:tcW w:w="20" w:type="dxa"/>
            <w:vAlign w:val="bottom"/>
          </w:tcPr>
          <w:p>
            <w:pPr>
              <w:spacing w:after="0"/>
              <w:rPr>
                <w:sz w:val="10"/>
                <w:szCs w:val="1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8.75%/2.00%</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w w:val="96"/>
              </w:rPr>
              <w:t>11/18/2021</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11/18/2026</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16,575</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16,564</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16,575</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Santa Clara, CA 95054</w:t>
            </w:r>
          </w:p>
        </w:tc>
        <w:tc>
          <w:tcPr>
            <w:tcW w:w="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NWS Technologies, LLC</w:t>
            </w: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Utilities: Services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rPr>
              <w:t>131 Venture Boulevard</w:t>
            </w:r>
          </w:p>
        </w:tc>
        <w:tc>
          <w:tcPr>
            <w:tcW w:w="1420" w:type="dxa"/>
            <w:vAlign w:val="bottom"/>
            <w:gridSpan w:val="2"/>
            <w:shd w:val="clear" w:color="auto" w:fill="CCEEFF"/>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 ($1,140</w:t>
            </w:r>
          </w:p>
        </w:tc>
        <w:tc>
          <w:tcPr>
            <w:tcW w:w="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gridSpan w:val="3"/>
            <w:shd w:val="clear" w:color="auto" w:fill="CCEEFF"/>
          </w:tcPr>
          <w:p>
            <w:pPr>
              <w:ind w:left="40"/>
              <w:spacing w:after="0" w:line="90" w:lineRule="exact"/>
              <w:rPr>
                <w:sz w:val="20"/>
                <w:szCs w:val="20"/>
                <w:color w:val="auto"/>
              </w:rPr>
            </w:pPr>
            <w:r>
              <w:rPr>
                <w:rFonts w:ascii="Times New Roman" w:cs="Times New Roman" w:eastAsia="Times New Roman" w:hAnsi="Times New Roman"/>
                <w:sz w:val="10"/>
                <w:szCs w:val="10"/>
                <w:color w:val="auto"/>
              </w:rPr>
              <w:t>(S + 7.50%)</w:t>
            </w:r>
          </w:p>
        </w:tc>
        <w:tc>
          <w:tcPr>
            <w:tcW w:w="5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unfunded commitment) (u)</w:t>
            </w:r>
          </w:p>
        </w:tc>
        <w:tc>
          <w:tcPr>
            <w:tcW w:w="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 (2.50%)</w:t>
            </w: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4"/>
              </w:rPr>
              <w:t>11.49%/0.00%</w:t>
            </w:r>
          </w:p>
        </w:tc>
        <w:tc>
          <w:tcPr>
            <w:tcW w:w="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6/20/2023</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6/16/2028</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17,760</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17,627</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17,760</w:t>
            </w: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tcPr>
          <w:p>
            <w:pPr>
              <w:ind w:left="200"/>
              <w:spacing w:after="0" w:line="103" w:lineRule="exact"/>
              <w:rPr>
                <w:sz w:val="20"/>
                <w:szCs w:val="20"/>
                <w:color w:val="auto"/>
              </w:rPr>
            </w:pPr>
            <w:r>
              <w:rPr>
                <w:rFonts w:ascii="Times New Roman" w:cs="Times New Roman" w:eastAsia="Times New Roman" w:hAnsi="Times New Roman"/>
                <w:sz w:val="10"/>
                <w:szCs w:val="10"/>
                <w:color w:val="auto"/>
              </w:rPr>
              <w:t>Spartanburg, SC 29306</w:t>
            </w:r>
          </w:p>
        </w:tc>
        <w:tc>
          <w:tcPr>
            <w:tcW w:w="142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(1 unit) (h)</w:t>
            </w: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1.3%</w:t>
            </w: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6/20/2023</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1,125</w:t>
            </w:r>
          </w:p>
        </w:tc>
        <w:tc>
          <w:tcPr>
            <w:tcW w:w="34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1,760</w:t>
            </w: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1420" w:type="dxa"/>
            <w:vAlign w:val="bottom"/>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Preferred Equity (0.375 units) (h)</w:t>
            </w: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0.0%</w:t>
            </w: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6/20/2023</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375</w:t>
            </w:r>
          </w:p>
        </w:tc>
        <w:tc>
          <w:tcPr>
            <w:tcW w:w="40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440</w:t>
            </w: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19,127</w:t>
            </w:r>
          </w:p>
        </w:tc>
        <w:tc>
          <w:tcPr>
            <w:tcW w:w="60" w:type="dxa"/>
            <w:vAlign w:val="bottom"/>
          </w:tcPr>
          <w:p>
            <w:pPr>
              <w:spacing w:after="0"/>
              <w:rPr>
                <w:sz w:val="9"/>
                <w:szCs w:val="9"/>
                <w:color w:val="auto"/>
              </w:rPr>
            </w:pPr>
          </w:p>
        </w:tc>
        <w:tc>
          <w:tcPr>
            <w:tcW w:w="3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19,960</w:t>
            </w:r>
          </w:p>
        </w:tc>
        <w:tc>
          <w:tcPr>
            <w:tcW w:w="60" w:type="dxa"/>
            <w:vAlign w:val="bottom"/>
          </w:tcPr>
          <w:p>
            <w:pPr>
              <w:spacing w:after="0"/>
              <w:rPr>
                <w:sz w:val="9"/>
                <w:szCs w:val="9"/>
                <w:color w:val="auto"/>
              </w:rPr>
            </w:pPr>
          </w:p>
        </w:tc>
        <w:tc>
          <w:tcPr>
            <w:tcW w:w="500" w:type="dxa"/>
            <w:vAlign w:val="bottom"/>
            <w:gridSpan w:val="2"/>
          </w:tcPr>
          <w:p>
            <w:pPr>
              <w:jc w:val="right"/>
              <w:ind w:right="20"/>
              <w:spacing w:after="0" w:line="111" w:lineRule="exact"/>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41"/>
        </w:trPr>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0"/>
                <w:szCs w:val="10"/>
                <w:i w:val="1"/>
                <w:iCs w:val="1"/>
                <w:color w:val="auto"/>
              </w:rPr>
              <w:t>OnePath Systems, LLC (n)</w:t>
            </w:r>
          </w:p>
        </w:tc>
        <w:tc>
          <w:tcPr>
            <w:tcW w:w="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340" w:type="dxa"/>
            <w:vAlign w:val="bottom"/>
            <w:gridSpan w:val="3"/>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w w:val="96"/>
              </w:rPr>
              <w:t>Information Technology Services</w:t>
            </w: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170 Chastain Meadows</w:t>
            </w:r>
          </w:p>
        </w:tc>
        <w:tc>
          <w:tcPr>
            <w:tcW w:w="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Ct</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Common Equity (732,542 shares)</w:t>
            </w: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2.2%</w:t>
            </w: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9/30/2022</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— </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— </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0%</w:t>
            </w: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Kennesaw, GA 30144</w:t>
            </w:r>
          </w:p>
        </w:tc>
        <w:tc>
          <w:tcPr>
            <w:tcW w:w="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Onsight Industries, LLC</w:t>
            </w: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Component Manufacturing</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rPr>
              <w:t>900 Central Park Dr.</w:t>
            </w:r>
          </w:p>
        </w:tc>
        <w:tc>
          <w:tcPr>
            <w:tcW w:w="1420" w:type="dxa"/>
            <w:vAlign w:val="bottom"/>
            <w:gridSpan w:val="2"/>
            <w:shd w:val="clear" w:color="auto" w:fill="CCEEFF"/>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 (j)(bf)</w:t>
            </w:r>
          </w:p>
        </w:tc>
        <w:tc>
          <w:tcPr>
            <w:tcW w:w="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gridSpan w:val="3"/>
            <w:shd w:val="clear" w:color="auto" w:fill="CCEEFF"/>
          </w:tcPr>
          <w:p>
            <w:pPr>
              <w:ind w:left="40"/>
              <w:spacing w:after="0" w:line="90" w:lineRule="exact"/>
              <w:rPr>
                <w:sz w:val="20"/>
                <w:szCs w:val="20"/>
                <w:color w:val="auto"/>
              </w:rPr>
            </w:pPr>
            <w:r>
              <w:rPr>
                <w:rFonts w:ascii="Times New Roman" w:cs="Times New Roman" w:eastAsia="Times New Roman" w:hAnsi="Times New Roman"/>
                <w:sz w:val="10"/>
                <w:szCs w:val="10"/>
                <w:color w:val="auto"/>
              </w:rPr>
              <w:t>(S + 5.50%)</w:t>
            </w:r>
          </w:p>
        </w:tc>
        <w:tc>
          <w:tcPr>
            <w:tcW w:w="5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 (1.50%)</w:t>
            </w:r>
          </w:p>
        </w:tc>
        <w:tc>
          <w:tcPr>
            <w:tcW w:w="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9.49%/0.00%</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3/27/2025</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1/7/2030</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9,120</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9,094</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9,120</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tcPr>
          <w:p>
            <w:pPr>
              <w:ind w:left="200"/>
              <w:spacing w:after="0" w:line="103" w:lineRule="exact"/>
              <w:rPr>
                <w:sz w:val="20"/>
                <w:szCs w:val="20"/>
                <w:color w:val="auto"/>
              </w:rPr>
            </w:pPr>
            <w:r>
              <w:rPr>
                <w:rFonts w:ascii="Times New Roman" w:cs="Times New Roman" w:eastAsia="Times New Roman" w:hAnsi="Times New Roman"/>
                <w:sz w:val="10"/>
                <w:szCs w:val="10"/>
                <w:color w:val="auto"/>
              </w:rPr>
              <w:t>Sanford, FL 32771</w:t>
            </w:r>
          </w:p>
        </w:tc>
        <w:tc>
          <w:tcPr>
            <w:tcW w:w="142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w w:val="95"/>
              </w:rPr>
              <w:t>Common Equity (380,000 units) (h)</w:t>
            </w: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0.5%</w:t>
            </w: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1/7/2025</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380</w:t>
            </w:r>
          </w:p>
        </w:tc>
        <w:tc>
          <w:tcPr>
            <w:tcW w:w="60" w:type="dxa"/>
            <w:vAlign w:val="bottom"/>
          </w:tcPr>
          <w:p>
            <w:pPr>
              <w:spacing w:after="0"/>
              <w:rPr>
                <w:sz w:val="8"/>
                <w:szCs w:val="8"/>
                <w:color w:val="auto"/>
              </w:rPr>
            </w:pPr>
          </w:p>
        </w:tc>
        <w:tc>
          <w:tcPr>
            <w:tcW w:w="40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351</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jc w:val="right"/>
              <w:spacing w:after="0" w:line="103" w:lineRule="exact"/>
              <w:rPr>
                <w:sz w:val="20"/>
                <w:szCs w:val="20"/>
                <w:color w:val="auto"/>
              </w:rPr>
            </w:pPr>
            <w:r>
              <w:rPr>
                <w:rFonts w:ascii="Times New Roman" w:cs="Times New Roman" w:eastAsia="Times New Roman" w:hAnsi="Times New Roman"/>
                <w:sz w:val="10"/>
                <w:szCs w:val="10"/>
                <w:color w:val="auto"/>
              </w:rPr>
              <w:t>9,474</w:t>
            </w:r>
          </w:p>
        </w:tc>
        <w:tc>
          <w:tcPr>
            <w:tcW w:w="60" w:type="dxa"/>
            <w:vAlign w:val="bottom"/>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jc w:val="right"/>
              <w:spacing w:after="0" w:line="103" w:lineRule="exact"/>
              <w:rPr>
                <w:sz w:val="20"/>
                <w:szCs w:val="20"/>
                <w:color w:val="auto"/>
              </w:rPr>
            </w:pPr>
            <w:r>
              <w:rPr>
                <w:rFonts w:ascii="Times New Roman" w:cs="Times New Roman" w:eastAsia="Times New Roman" w:hAnsi="Times New Roman"/>
                <w:sz w:val="10"/>
                <w:szCs w:val="10"/>
                <w:color w:val="auto"/>
              </w:rPr>
              <w:t>9,471</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54"/>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Palmetto Moon, LLC</w:t>
            </w: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Retail</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1950 Hanahan Road</w:t>
            </w:r>
          </w:p>
        </w:tc>
        <w:tc>
          <w:tcPr>
            <w:tcW w:w="1420" w:type="dxa"/>
            <w:vAlign w:val="bottom"/>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(499 units)</w:t>
            </w: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1.8%</w:t>
            </w: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103" w:lineRule="exact"/>
              <w:rPr>
                <w:sz w:val="20"/>
                <w:szCs w:val="20"/>
                <w:color w:val="auto"/>
              </w:rPr>
            </w:pPr>
            <w:r>
              <w:rPr>
                <w:rFonts w:ascii="Times New Roman" w:cs="Times New Roman" w:eastAsia="Times New Roman" w:hAnsi="Times New Roman"/>
                <w:sz w:val="10"/>
                <w:szCs w:val="10"/>
                <w:color w:val="auto"/>
              </w:rPr>
              <w:t>11/3/2016</w:t>
            </w: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ind w:left="16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340" w:type="dxa"/>
            <w:vAlign w:val="bottom"/>
            <w:shd w:val="clear" w:color="auto" w:fill="CCEEFF"/>
          </w:tcPr>
          <w:p>
            <w:pPr>
              <w:jc w:val="right"/>
              <w:spacing w:after="0" w:line="103" w:lineRule="exact"/>
              <w:rPr>
                <w:sz w:val="20"/>
                <w:szCs w:val="20"/>
                <w:color w:val="auto"/>
              </w:rPr>
            </w:pPr>
            <w:r>
              <w:rPr>
                <w:rFonts w:ascii="Times New Roman" w:cs="Times New Roman" w:eastAsia="Times New Roman" w:hAnsi="Times New Roman"/>
                <w:sz w:val="10"/>
                <w:szCs w:val="10"/>
                <w:color w:val="auto"/>
              </w:rPr>
              <w:t>1,169</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0%</w:t>
            </w: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North Charleston, SC</w:t>
            </w:r>
          </w:p>
        </w:tc>
        <w:tc>
          <w:tcPr>
            <w:tcW w:w="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1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29406</w:t>
            </w: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11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i w:val="1"/>
                <w:iCs w:val="1"/>
                <w:color w:val="auto"/>
                <w:w w:val="96"/>
              </w:rPr>
              <w:t>PayEntry Financial Services,</w:t>
            </w:r>
          </w:p>
        </w:tc>
        <w:tc>
          <w:tcPr>
            <w:tcW w:w="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i w:val="1"/>
                <w:iCs w:val="1"/>
                <w:color w:val="auto"/>
              </w:rPr>
              <w:t>Inc. (dba Payentry)</w:t>
            </w:r>
          </w:p>
        </w:tc>
        <w:tc>
          <w:tcPr>
            <w:tcW w:w="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Business Services</w:t>
            </w: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230 Scientific Drive</w:t>
            </w:r>
          </w:p>
        </w:tc>
        <w:tc>
          <w:tcPr>
            <w:tcW w:w="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NW, Suite 100</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Second Lien Debt (bg)</w:t>
            </w: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w w:val="94"/>
              </w:rPr>
              <w:t>10.50%/1.75%</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3/28/2025</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9/28/2031</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5,626</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5,576</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5,626</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rPr>
              <w:t>Peachtree Corners,</w:t>
            </w:r>
          </w:p>
        </w:tc>
        <w:tc>
          <w:tcPr>
            <w:tcW w:w="2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Georgia 30092</w:t>
            </w: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Second Lien Debt</w:t>
            </w:r>
          </w:p>
        </w:tc>
        <w:tc>
          <w:tcPr>
            <w:tcW w:w="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w w:val="94"/>
              </w:rPr>
              <w:t>10.50%/1.75%</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3/28/2025</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9/28/2031</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2,880</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2,868</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2,880</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tcPr>
          <w:p>
            <w:pPr>
              <w:spacing w:after="0"/>
              <w:rPr>
                <w:sz w:val="7"/>
                <w:szCs w:val="7"/>
                <w:color w:val="auto"/>
              </w:rPr>
            </w:pPr>
          </w:p>
        </w:tc>
        <w:tc>
          <w:tcPr>
            <w:tcW w:w="1420" w:type="dxa"/>
            <w:vAlign w:val="bottom"/>
            <w:gridSpan w:val="2"/>
          </w:tcPr>
          <w:p>
            <w:pPr>
              <w:ind w:left="20"/>
              <w:spacing w:after="0" w:line="90" w:lineRule="exact"/>
              <w:rPr>
                <w:sz w:val="20"/>
                <w:szCs w:val="20"/>
                <w:color w:val="auto"/>
              </w:rPr>
            </w:pPr>
            <w:r>
              <w:rPr>
                <w:rFonts w:ascii="Times New Roman" w:cs="Times New Roman" w:eastAsia="Times New Roman" w:hAnsi="Times New Roman"/>
                <w:sz w:val="10"/>
                <w:szCs w:val="10"/>
                <w:color w:val="auto"/>
              </w:rPr>
              <w:t>Second Lien Debt ($3,125</w:t>
            </w: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unfunded commitment)</w:t>
            </w: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w w:val="94"/>
              </w:rPr>
              <w:t>10.50%/1.75%</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3/28/2025</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9/28/2031</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— </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— </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1420" w:type="dxa"/>
            <w:vAlign w:val="bottom"/>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Preferred Equity (10,000 units)</w:t>
            </w: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0.9%</w:t>
            </w: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3/28/2025</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1,000</w:t>
            </w:r>
          </w:p>
        </w:tc>
        <w:tc>
          <w:tcPr>
            <w:tcW w:w="340" w:type="dxa"/>
            <w:vAlign w:val="bottom"/>
            <w:shd w:val="clear" w:color="auto" w:fill="CCEEFF"/>
          </w:tcPr>
          <w:p>
            <w:pPr>
              <w:jc w:val="right"/>
              <w:spacing w:after="0" w:line="103" w:lineRule="exact"/>
              <w:rPr>
                <w:sz w:val="20"/>
                <w:szCs w:val="20"/>
                <w:color w:val="auto"/>
              </w:rPr>
            </w:pPr>
            <w:r>
              <w:rPr>
                <w:rFonts w:ascii="Times New Roman" w:cs="Times New Roman" w:eastAsia="Times New Roman" w:hAnsi="Times New Roman"/>
                <w:sz w:val="10"/>
                <w:szCs w:val="10"/>
                <w:color w:val="auto"/>
              </w:rPr>
              <w:t>1,104</w:t>
            </w: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9,444</w:t>
            </w:r>
          </w:p>
        </w:tc>
        <w:tc>
          <w:tcPr>
            <w:tcW w:w="60" w:type="dxa"/>
            <w:vAlign w:val="bottom"/>
          </w:tcPr>
          <w:p>
            <w:pPr>
              <w:spacing w:after="0"/>
              <w:rPr>
                <w:sz w:val="9"/>
                <w:szCs w:val="9"/>
                <w:color w:val="auto"/>
              </w:rPr>
            </w:pPr>
          </w:p>
        </w:tc>
        <w:tc>
          <w:tcPr>
            <w:tcW w:w="3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9,610</w:t>
            </w:r>
          </w:p>
        </w:tc>
        <w:tc>
          <w:tcPr>
            <w:tcW w:w="60" w:type="dxa"/>
            <w:vAlign w:val="bottom"/>
          </w:tcPr>
          <w:p>
            <w:pPr>
              <w:spacing w:after="0"/>
              <w:rPr>
                <w:sz w:val="9"/>
                <w:szCs w:val="9"/>
                <w:color w:val="auto"/>
              </w:rPr>
            </w:pPr>
          </w:p>
        </w:tc>
        <w:tc>
          <w:tcPr>
            <w:tcW w:w="500" w:type="dxa"/>
            <w:vAlign w:val="bottom"/>
            <w:gridSpan w:val="2"/>
          </w:tcPr>
          <w:p>
            <w:pPr>
              <w:jc w:val="right"/>
              <w:ind w:right="20"/>
              <w:spacing w:after="0" w:line="111" w:lineRule="exact"/>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41"/>
        </w:trPr>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0"/>
                <w:szCs w:val="10"/>
                <w:i w:val="1"/>
                <w:iCs w:val="1"/>
                <w:color w:val="auto"/>
              </w:rPr>
              <w:t>Pinnergy, Ltd.</w:t>
            </w:r>
          </w:p>
        </w:tc>
        <w:tc>
          <w:tcPr>
            <w:tcW w:w="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340" w:type="dxa"/>
            <w:vAlign w:val="bottom"/>
            <w:gridSpan w:val="3"/>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Oil &amp; Gas Services</w:t>
            </w: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w w:val="97"/>
              </w:rPr>
              <w:t>2801 Via Fortuna, Suite</w:t>
            </w:r>
          </w:p>
        </w:tc>
        <w:tc>
          <w:tcPr>
            <w:tcW w:w="1420" w:type="dxa"/>
            <w:vAlign w:val="bottom"/>
            <w:gridSpan w:val="2"/>
          </w:tcPr>
          <w:p>
            <w:pPr>
              <w:ind w:left="20"/>
              <w:spacing w:after="0" w:line="90" w:lineRule="exact"/>
              <w:rPr>
                <w:sz w:val="20"/>
                <w:szCs w:val="20"/>
                <w:color w:val="auto"/>
              </w:rPr>
            </w:pPr>
            <w:r>
              <w:rPr>
                <w:rFonts w:ascii="Times New Roman" w:cs="Times New Roman" w:eastAsia="Times New Roman" w:hAnsi="Times New Roman"/>
                <w:sz w:val="10"/>
                <w:szCs w:val="10"/>
                <w:color w:val="auto"/>
              </w:rPr>
              <w:t>Subordinated Debt</w:t>
            </w: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440</w:t>
            </w: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w w:val="94"/>
              </w:rPr>
              <w:t>10.00%/0.00%</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6/30/2022</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6/30/2027</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10,050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10,028</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9,929</w:t>
            </w:r>
          </w:p>
        </w:tc>
        <w:tc>
          <w:tcPr>
            <w:tcW w:w="60" w:type="dxa"/>
            <w:vAlign w:val="bottom"/>
          </w:tcPr>
          <w:p>
            <w:pPr>
              <w:spacing w:after="0"/>
              <w:rPr>
                <w:sz w:val="10"/>
                <w:szCs w:val="10"/>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Austin, TX 78746</w:t>
            </w:r>
          </w:p>
        </w:tc>
        <w:tc>
          <w:tcPr>
            <w:tcW w:w="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203440" cy="450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65" w:right="1440" w:bottom="1440" w:gutter="0" w:footer="0" w:header="0"/>
        </w:sectPr>
      </w:pPr>
    </w:p>
    <w:bookmarkStart w:id="31" w:name="page32"/>
    <w:bookmarkEnd w:id="31"/>
    <w:tbl>
      <w:tblPr>
        <w:tblLayout w:type="fixed"/>
        <w:tblInd w:w="320" w:type="dxa"/>
        <w:tblCellMar>
          <w:top w:w="0" w:type="dxa"/>
          <w:left w:w="0" w:type="dxa"/>
          <w:bottom w:w="0" w:type="dxa"/>
          <w:right w:w="0" w:type="dxa"/>
        </w:tblCellMar>
      </w:tblPr>
      <w:tr>
        <w:trPr>
          <w:trHeight w:val="103"/>
        </w:trPr>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gridSpan w:val="2"/>
          </w:tcPr>
          <w:p>
            <w:pPr>
              <w:jc w:val="center"/>
              <w:ind w:right="20"/>
              <w:spacing w:after="0"/>
              <w:rPr>
                <w:sz w:val="20"/>
                <w:szCs w:val="20"/>
                <w:color w:val="auto"/>
              </w:rPr>
            </w:pPr>
            <w:r>
              <w:rPr>
                <w:rFonts w:ascii="Times New Roman" w:cs="Times New Roman" w:eastAsia="Times New Roman" w:hAnsi="Times New Roman"/>
                <w:sz w:val="9"/>
                <w:szCs w:val="9"/>
                <w:b w:val="1"/>
                <w:bCs w:val="1"/>
                <w:color w:val="auto"/>
                <w:w w:val="95"/>
              </w:rPr>
              <w:t>Variable</w:t>
            </w: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Portfolio Company (a)(b)</w:t>
            </w:r>
          </w:p>
        </w:tc>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w w:val="98"/>
              </w:rPr>
              <w:t>Percentage</w:t>
            </w:r>
          </w:p>
        </w:tc>
        <w:tc>
          <w:tcPr>
            <w:tcW w:w="40" w:type="dxa"/>
            <w:vAlign w:val="bottom"/>
          </w:tcPr>
          <w:p>
            <w:pPr>
              <w:spacing w:after="0"/>
              <w:rPr>
                <w:sz w:val="8"/>
                <w:szCs w:val="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Index Spread</w:t>
            </w:r>
          </w:p>
        </w:tc>
        <w:tc>
          <w:tcPr>
            <w:tcW w:w="6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9"/>
                <w:szCs w:val="9"/>
                <w:b w:val="1"/>
                <w:bCs w:val="1"/>
                <w:color w:val="auto"/>
                <w:w w:val="99"/>
              </w:rPr>
              <w:t>Rate (e)</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center"/>
              <w:ind w:right="100"/>
              <w:spacing w:after="0" w:line="93" w:lineRule="exact"/>
              <w:rPr>
                <w:sz w:val="20"/>
                <w:szCs w:val="20"/>
                <w:color w:val="auto"/>
              </w:rPr>
            </w:pPr>
            <w:r>
              <w:rPr>
                <w:rFonts w:ascii="Times New Roman" w:cs="Times New Roman" w:eastAsia="Times New Roman" w:hAnsi="Times New Roman"/>
                <w:sz w:val="9"/>
                <w:szCs w:val="9"/>
                <w:b w:val="1"/>
                <w:bCs w:val="1"/>
                <w:color w:val="auto"/>
                <w:w w:val="99"/>
              </w:rPr>
              <w:t>of Class</w:t>
            </w:r>
          </w:p>
        </w:tc>
        <w:tc>
          <w:tcPr>
            <w:tcW w:w="560" w:type="dxa"/>
            <w:vAlign w:val="bottom"/>
            <w:gridSpan w:val="2"/>
          </w:tcPr>
          <w:p>
            <w:pPr>
              <w:jc w:val="center"/>
              <w:spacing w:after="0" w:line="93" w:lineRule="exact"/>
              <w:rPr>
                <w:sz w:val="20"/>
                <w:szCs w:val="20"/>
                <w:color w:val="auto"/>
              </w:rPr>
            </w:pPr>
            <w:r>
              <w:rPr>
                <w:rFonts w:ascii="Times New Roman" w:cs="Times New Roman" w:eastAsia="Times New Roman" w:hAnsi="Times New Roman"/>
                <w:sz w:val="9"/>
                <w:szCs w:val="9"/>
                <w:b w:val="1"/>
                <w:bCs w:val="1"/>
                <w:color w:val="auto"/>
                <w:w w:val="77"/>
              </w:rPr>
              <w:t>/</w:t>
            </w:r>
          </w:p>
        </w:tc>
        <w:tc>
          <w:tcPr>
            <w:tcW w:w="2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540" w:type="dxa"/>
            <w:vAlign w:val="bottom"/>
            <w:gridSpan w:val="2"/>
          </w:tcPr>
          <w:p>
            <w:pPr>
              <w:jc w:val="right"/>
              <w:ind w:right="80"/>
              <w:spacing w:after="0" w:line="93" w:lineRule="exact"/>
              <w:rPr>
                <w:sz w:val="20"/>
                <w:szCs w:val="20"/>
                <w:color w:val="auto"/>
              </w:rPr>
            </w:pPr>
            <w:r>
              <w:rPr>
                <w:rFonts w:ascii="Times New Roman" w:cs="Times New Roman" w:eastAsia="Times New Roman" w:hAnsi="Times New Roman"/>
                <w:sz w:val="9"/>
                <w:szCs w:val="9"/>
                <w:b w:val="1"/>
                <w:bCs w:val="1"/>
                <w:color w:val="auto"/>
              </w:rPr>
              <w:t>Investment</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spacing w:after="0" w:line="93" w:lineRule="exact"/>
              <w:rPr>
                <w:sz w:val="20"/>
                <w:szCs w:val="20"/>
                <w:color w:val="auto"/>
              </w:rPr>
            </w:pPr>
            <w:r>
              <w:rPr>
                <w:rFonts w:ascii="Times New Roman" w:cs="Times New Roman" w:eastAsia="Times New Roman" w:hAnsi="Times New Roman"/>
                <w:sz w:val="9"/>
                <w:szCs w:val="9"/>
                <w:b w:val="1"/>
                <w:bCs w:val="1"/>
                <w:color w:val="auto"/>
              </w:rPr>
              <w:t>Principal</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gridSpan w:val="2"/>
          </w:tcPr>
          <w:p>
            <w:pPr>
              <w:jc w:val="center"/>
              <w:ind w:right="60"/>
              <w:spacing w:after="0" w:line="93" w:lineRule="exact"/>
              <w:rPr>
                <w:sz w:val="20"/>
                <w:szCs w:val="20"/>
                <w:color w:val="auto"/>
              </w:rPr>
            </w:pPr>
            <w:r>
              <w:rPr>
                <w:rFonts w:ascii="Times New Roman" w:cs="Times New Roman" w:eastAsia="Times New Roman" w:hAnsi="Times New Roman"/>
                <w:sz w:val="9"/>
                <w:szCs w:val="9"/>
                <w:b w:val="1"/>
                <w:bCs w:val="1"/>
                <w:color w:val="auto"/>
                <w:w w:val="96"/>
              </w:rPr>
              <w:t>Fair</w:t>
            </w:r>
          </w:p>
        </w:tc>
        <w:tc>
          <w:tcPr>
            <w:tcW w:w="500" w:type="dxa"/>
            <w:vAlign w:val="bottom"/>
            <w:gridSpan w:val="2"/>
          </w:tcPr>
          <w:p>
            <w:pPr>
              <w:jc w:val="right"/>
              <w:ind w:right="100"/>
              <w:spacing w:after="0" w:line="93" w:lineRule="exact"/>
              <w:rPr>
                <w:sz w:val="20"/>
                <w:szCs w:val="20"/>
                <w:color w:val="auto"/>
              </w:rPr>
            </w:pPr>
            <w:r>
              <w:rPr>
                <w:rFonts w:ascii="Times New Roman" w:cs="Times New Roman" w:eastAsia="Times New Roman" w:hAnsi="Times New Roman"/>
                <w:sz w:val="9"/>
                <w:szCs w:val="9"/>
                <w:b w:val="1"/>
                <w:bCs w:val="1"/>
                <w:color w:val="auto"/>
                <w:w w:val="96"/>
              </w:rPr>
              <w:t>Percent of</w:t>
            </w:r>
          </w:p>
        </w:tc>
        <w:tc>
          <w:tcPr>
            <w:tcW w:w="0" w:type="dxa"/>
            <w:vAlign w:val="bottom"/>
          </w:tcPr>
          <w:p>
            <w:pPr>
              <w:spacing w:after="0"/>
              <w:rPr>
                <w:sz w:val="1"/>
                <w:szCs w:val="1"/>
                <w:color w:val="auto"/>
              </w:rPr>
            </w:pPr>
          </w:p>
        </w:tc>
      </w:tr>
      <w:tr>
        <w:trPr>
          <w:trHeight w:val="130"/>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w w:val="97"/>
              </w:rPr>
              <w:t>Address of Portfolio Company</w:t>
            </w:r>
          </w:p>
        </w:tc>
        <w:tc>
          <w:tcPr>
            <w:tcW w:w="20" w:type="dxa"/>
            <w:vAlign w:val="bottom"/>
          </w:tcPr>
          <w:p>
            <w:pPr>
              <w:spacing w:after="0"/>
              <w:rPr>
                <w:sz w:val="11"/>
                <w:szCs w:val="11"/>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9"/>
                <w:szCs w:val="9"/>
                <w:b w:val="1"/>
                <w:bCs w:val="1"/>
                <w:color w:val="auto"/>
              </w:rPr>
              <w:t>Investment Type (c)</w:t>
            </w:r>
          </w:p>
        </w:tc>
        <w:tc>
          <w:tcPr>
            <w:tcW w:w="1320" w:type="dxa"/>
            <w:vAlign w:val="bottom"/>
            <w:gridSpan w:val="2"/>
          </w:tcPr>
          <w:p>
            <w:pPr>
              <w:ind w:left="48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520" w:type="dxa"/>
            <w:vAlign w:val="bottom"/>
            <w:gridSpan w:val="2"/>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w w:val="99"/>
              </w:rPr>
              <w:t>Held (bo)</w:t>
            </w:r>
          </w:p>
        </w:tc>
        <w:tc>
          <w:tcPr>
            <w:tcW w:w="40" w:type="dxa"/>
            <w:vAlign w:val="bottom"/>
          </w:tcPr>
          <w:p>
            <w:pPr>
              <w:spacing w:after="0"/>
              <w:rPr>
                <w:sz w:val="11"/>
                <w:szCs w:val="11"/>
                <w:color w:val="auto"/>
              </w:rPr>
            </w:pP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9"/>
                <w:szCs w:val="9"/>
                <w:b w:val="1"/>
                <w:bCs w:val="1"/>
                <w:color w:val="auto"/>
                <w:w w:val="99"/>
              </w:rPr>
              <w:t>Floor (d)</w:t>
            </w: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9"/>
                <w:szCs w:val="9"/>
                <w:b w:val="1"/>
                <w:bCs w:val="1"/>
                <w:color w:val="auto"/>
                <w:w w:val="99"/>
              </w:rPr>
              <w:t>Cash/PIK</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b w:val="1"/>
                <w:bCs w:val="1"/>
                <w:color w:val="auto"/>
              </w:rPr>
              <w:t>Date (f)</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Maturity</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Amount</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b w:val="1"/>
                <w:bCs w:val="1"/>
                <w:color w:val="auto"/>
              </w:rPr>
              <w:t>Cost</w:t>
            </w: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9"/>
                <w:szCs w:val="9"/>
                <w:b w:val="1"/>
                <w:bCs w:val="1"/>
                <w:color w:val="auto"/>
                <w:w w:val="96"/>
              </w:rPr>
              <w:t>Value (g)</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b w:val="1"/>
                <w:bCs w:val="1"/>
                <w:color w:val="auto"/>
                <w:w w:val="95"/>
              </w:rPr>
              <w:t>Net Assets</w:t>
            </w:r>
          </w:p>
        </w:tc>
        <w:tc>
          <w:tcPr>
            <w:tcW w:w="0" w:type="dxa"/>
            <w:vAlign w:val="bottom"/>
          </w:tcPr>
          <w:p>
            <w:pPr>
              <w:spacing w:after="0"/>
              <w:rPr>
                <w:sz w:val="1"/>
                <w:szCs w:val="1"/>
                <w:color w:val="auto"/>
              </w:rPr>
            </w:pPr>
          </w:p>
        </w:tc>
      </w:tr>
      <w:tr>
        <w:trPr>
          <w:trHeight w:val="58"/>
        </w:trPr>
        <w:tc>
          <w:tcPr>
            <w:tcW w:w="1160" w:type="dxa"/>
            <w:vAlign w:val="bottom"/>
            <w:tcBorders>
              <w:top w:val="single" w:sz="8" w:color="CCEEFF"/>
            </w:tcBorders>
            <w:shd w:val="clear" w:color="auto" w:fill="CCEEFF"/>
          </w:tcPr>
          <w:p>
            <w:pPr>
              <w:spacing w:after="0" w:line="58" w:lineRule="exact"/>
              <w:rPr>
                <w:sz w:val="20"/>
                <w:szCs w:val="20"/>
                <w:color w:val="auto"/>
              </w:rPr>
            </w:pPr>
            <w:r>
              <w:rPr>
                <w:rFonts w:ascii="Times New Roman" w:cs="Times New Roman" w:eastAsia="Times New Roman" w:hAnsi="Times New Roman"/>
                <w:sz w:val="6"/>
                <w:szCs w:val="6"/>
                <w:i w:val="1"/>
                <w:iCs w:val="1"/>
                <w:color w:val="auto"/>
              </w:rPr>
              <w:t>PowerGrid Services</w:t>
            </w:r>
          </w:p>
        </w:tc>
        <w:tc>
          <w:tcPr>
            <w:tcW w:w="2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1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i w:val="1"/>
                <w:iCs w:val="1"/>
                <w:color w:val="auto"/>
              </w:rPr>
              <w:t>Acquisition, LLC</w:t>
            </w:r>
          </w:p>
        </w:tc>
        <w:tc>
          <w:tcPr>
            <w:tcW w:w="2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Utilities: Services</w:t>
            </w: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2350 US Highway 31</w:t>
            </w:r>
          </w:p>
        </w:tc>
        <w:tc>
          <w:tcPr>
            <w:tcW w:w="1360" w:type="dxa"/>
            <w:vAlign w:val="bottom"/>
            <w:gridSpan w:val="3"/>
          </w:tcPr>
          <w:p>
            <w:pPr>
              <w:ind w:left="20"/>
              <w:spacing w:after="0" w:line="90" w:lineRule="exact"/>
              <w:rPr>
                <w:sz w:val="20"/>
                <w:szCs w:val="20"/>
                <w:color w:val="auto"/>
              </w:rPr>
            </w:pPr>
            <w:r>
              <w:rPr>
                <w:rFonts w:ascii="Times New Roman" w:cs="Times New Roman" w:eastAsia="Times New Roman" w:hAnsi="Times New Roman"/>
                <w:sz w:val="10"/>
                <w:szCs w:val="10"/>
                <w:color w:val="auto"/>
                <w:w w:val="98"/>
              </w:rPr>
              <w:t>Common Equity (4,490 units) (h)</w:t>
            </w: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NW</w:t>
            </w:r>
          </w:p>
        </w:tc>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0.1%</w:t>
            </w: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9/21/2021</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w:t>
            </w:r>
          </w:p>
        </w:tc>
        <w:tc>
          <w:tcPr>
            <w:tcW w:w="100" w:type="dxa"/>
            <w:vAlign w:val="bottom"/>
          </w:tcPr>
          <w:p>
            <w:pPr>
              <w:spacing w:after="0"/>
              <w:rPr>
                <w:sz w:val="10"/>
                <w:szCs w:val="1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9</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Hartselle, AL 35640</w:t>
            </w:r>
          </w:p>
        </w:tc>
        <w:tc>
          <w:tcPr>
            <w:tcW w:w="1360" w:type="dxa"/>
            <w:vAlign w:val="bottom"/>
            <w:gridSpan w:val="3"/>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(118 units) (h)</w:t>
            </w: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0.0%</w:t>
            </w: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7/2/2025</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00"/>
              <w:spacing w:after="0" w:line="103" w:lineRule="exact"/>
              <w:rPr>
                <w:sz w:val="20"/>
                <w:szCs w:val="20"/>
                <w:color w:val="auto"/>
              </w:rPr>
            </w:pPr>
            <w:r>
              <w:rPr>
                <w:rFonts w:ascii="Times New Roman" w:cs="Times New Roman" w:eastAsia="Times New Roman" w:hAnsi="Times New Roman"/>
                <w:sz w:val="10"/>
                <w:szCs w:val="10"/>
                <w:color w:val="auto"/>
              </w:rPr>
              <w:t>118</w:t>
            </w:r>
          </w:p>
        </w:tc>
        <w:tc>
          <w:tcPr>
            <w:tcW w:w="360" w:type="dxa"/>
            <w:vAlign w:val="bottom"/>
            <w:shd w:val="clear" w:color="auto" w:fill="CCEEFF"/>
          </w:tcPr>
          <w:p>
            <w:pPr>
              <w:jc w:val="right"/>
              <w:spacing w:after="0" w:line="103" w:lineRule="exact"/>
              <w:rPr>
                <w:sz w:val="20"/>
                <w:szCs w:val="20"/>
                <w:color w:val="auto"/>
              </w:rPr>
            </w:pPr>
            <w:r>
              <w:rPr>
                <w:rFonts w:ascii="Times New Roman" w:cs="Times New Roman" w:eastAsia="Times New Roman" w:hAnsi="Times New Roman"/>
                <w:sz w:val="10"/>
                <w:szCs w:val="10"/>
                <w:color w:val="auto"/>
              </w:rPr>
              <w:t>43</w:t>
            </w: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1360" w:type="dxa"/>
            <w:vAlign w:val="bottom"/>
            <w:gridSpan w:val="3"/>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(133 units) (h)</w:t>
            </w: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0.0%</w:t>
            </w: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7/2/2025</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gridSpan w:val="2"/>
          </w:tcPr>
          <w:p>
            <w:pPr>
              <w:jc w:val="right"/>
              <w:ind w:right="100"/>
              <w:spacing w:after="0" w:line="103" w:lineRule="exact"/>
              <w:rPr>
                <w:sz w:val="20"/>
                <w:szCs w:val="20"/>
                <w:color w:val="auto"/>
              </w:rPr>
            </w:pPr>
            <w:r>
              <w:rPr>
                <w:rFonts w:ascii="Times New Roman" w:cs="Times New Roman" w:eastAsia="Times New Roman" w:hAnsi="Times New Roman"/>
                <w:sz w:val="10"/>
                <w:szCs w:val="10"/>
                <w:color w:val="auto"/>
              </w:rPr>
              <w:t>133</w:t>
            </w:r>
          </w:p>
        </w:tc>
        <w:tc>
          <w:tcPr>
            <w:tcW w:w="36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48</w:t>
            </w: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00"/>
              <w:spacing w:after="0" w:line="103" w:lineRule="exact"/>
              <w:rPr>
                <w:sz w:val="20"/>
                <w:szCs w:val="20"/>
                <w:color w:val="auto"/>
              </w:rPr>
            </w:pPr>
            <w:r>
              <w:rPr>
                <w:rFonts w:ascii="Times New Roman" w:cs="Times New Roman" w:eastAsia="Times New Roman" w:hAnsi="Times New Roman"/>
                <w:sz w:val="10"/>
                <w:szCs w:val="10"/>
                <w:color w:val="auto"/>
              </w:rPr>
              <w:t>304</w:t>
            </w:r>
          </w:p>
        </w:tc>
        <w:tc>
          <w:tcPr>
            <w:tcW w:w="4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100</w:t>
            </w:r>
          </w:p>
        </w:tc>
        <w:tc>
          <w:tcPr>
            <w:tcW w:w="500" w:type="dxa"/>
            <w:vAlign w:val="bottom"/>
            <w:gridSpan w:val="2"/>
            <w:shd w:val="clear" w:color="auto" w:fill="CCEEFF"/>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0%</w:t>
            </w:r>
          </w:p>
        </w:tc>
        <w:tc>
          <w:tcPr>
            <w:tcW w:w="0" w:type="dxa"/>
            <w:vAlign w:val="bottom"/>
          </w:tcPr>
          <w:p>
            <w:pPr>
              <w:spacing w:after="0"/>
              <w:rPr>
                <w:sz w:val="1"/>
                <w:szCs w:val="1"/>
                <w:color w:val="auto"/>
              </w:rPr>
            </w:pPr>
          </w:p>
        </w:tc>
      </w:tr>
      <w:tr>
        <w:trPr>
          <w:trHeight w:val="154"/>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Prime AE Group, Inc.</w:t>
            </w: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Business Services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rPr>
              <w:t>5521 Research Park</w:t>
            </w:r>
          </w:p>
        </w:tc>
        <w:tc>
          <w:tcPr>
            <w:tcW w:w="2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Drive, Suite 300</w:t>
            </w:r>
          </w:p>
        </w:tc>
        <w:tc>
          <w:tcPr>
            <w:tcW w:w="1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97"/>
              </w:rPr>
              <w:t>Preferred Equity (900,000 shares)</w:t>
            </w:r>
          </w:p>
        </w:tc>
        <w:tc>
          <w:tcPr>
            <w:tcW w:w="1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1.0%</w:t>
            </w: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11/25/2019</w:t>
            </w: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900</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349</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0%</w:t>
            </w:r>
          </w:p>
        </w:tc>
        <w:tc>
          <w:tcPr>
            <w:tcW w:w="0" w:type="dxa"/>
            <w:vAlign w:val="bottom"/>
          </w:tcPr>
          <w:p>
            <w:pPr>
              <w:spacing w:after="0"/>
              <w:rPr>
                <w:sz w:val="1"/>
                <w:szCs w:val="1"/>
                <w:color w:val="auto"/>
              </w:rPr>
            </w:pPr>
          </w:p>
        </w:tc>
      </w:tr>
      <w:tr>
        <w:trPr>
          <w:trHeight w:val="123"/>
        </w:trPr>
        <w:tc>
          <w:tcPr>
            <w:tcW w:w="116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Baltimore, MD 21228</w:t>
            </w:r>
          </w:p>
        </w:tc>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7"/>
        </w:trPr>
        <w:tc>
          <w:tcPr>
            <w:tcW w:w="11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i w:val="1"/>
                <w:iCs w:val="1"/>
                <w:color w:val="auto"/>
              </w:rPr>
              <w:t>Pronto Plumbing &amp; Drain,</w:t>
            </w:r>
          </w:p>
        </w:tc>
        <w:tc>
          <w:tcPr>
            <w:tcW w:w="2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i w:val="1"/>
                <w:iCs w:val="1"/>
                <w:color w:val="auto"/>
              </w:rPr>
              <w:t>Inc.</w:t>
            </w:r>
          </w:p>
        </w:tc>
        <w:tc>
          <w:tcPr>
            <w:tcW w:w="2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Utilities: Services</w:t>
            </w: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1111 Primrose Ave</w:t>
            </w:r>
          </w:p>
        </w:tc>
        <w:tc>
          <w:tcPr>
            <w:tcW w:w="1360" w:type="dxa"/>
            <w:vAlign w:val="bottom"/>
            <w:gridSpan w:val="3"/>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 (i)</w:t>
            </w: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3"/>
          </w:tcPr>
          <w:p>
            <w:pPr>
              <w:ind w:left="40"/>
              <w:spacing w:after="0" w:line="90" w:lineRule="exact"/>
              <w:rPr>
                <w:sz w:val="20"/>
                <w:szCs w:val="20"/>
                <w:color w:val="auto"/>
              </w:rPr>
            </w:pPr>
            <w:r>
              <w:rPr>
                <w:rFonts w:ascii="Times New Roman" w:cs="Times New Roman" w:eastAsia="Times New Roman" w:hAnsi="Times New Roman"/>
                <w:sz w:val="10"/>
                <w:szCs w:val="10"/>
                <w:color w:val="auto"/>
              </w:rPr>
              <w:t>(S + 7.00%)</w:t>
            </w: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(2.00%)</w:t>
            </w:r>
          </w:p>
        </w:tc>
        <w:tc>
          <w:tcPr>
            <w:tcW w:w="20" w:type="dxa"/>
            <w:vAlign w:val="bottom"/>
          </w:tcPr>
          <w:p>
            <w:pPr>
              <w:spacing w:after="0"/>
              <w:rPr>
                <w:sz w:val="10"/>
                <w:szCs w:val="1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w w:val="94"/>
              </w:rPr>
              <w:t>10.99%/0.00%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5/22/2025</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5/22/2030</w:t>
            </w:r>
          </w:p>
        </w:tc>
        <w:tc>
          <w:tcPr>
            <w:tcW w:w="60" w:type="dxa"/>
            <w:vAlign w:val="bottom"/>
          </w:tcPr>
          <w:p>
            <w:pPr>
              <w:spacing w:after="0"/>
              <w:rPr>
                <w:sz w:val="10"/>
                <w:szCs w:val="1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8,683</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8,598</w:t>
            </w: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8,683</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rPr>
              <w:t>Camp Hill, PA 17011</w:t>
            </w:r>
          </w:p>
        </w:tc>
        <w:tc>
          <w:tcPr>
            <w:tcW w:w="1360" w:type="dxa"/>
            <w:vAlign w:val="bottom"/>
            <w:gridSpan w:val="3"/>
            <w:shd w:val="clear" w:color="auto" w:fill="CCEEFF"/>
          </w:tcPr>
          <w:p>
            <w:pPr>
              <w:ind w:left="20"/>
              <w:spacing w:after="0" w:line="90" w:lineRule="exact"/>
              <w:rPr>
                <w:sz w:val="20"/>
                <w:szCs w:val="20"/>
                <w:color w:val="auto"/>
              </w:rPr>
            </w:pPr>
            <w:r>
              <w:rPr>
                <w:rFonts w:ascii="Times New Roman" w:cs="Times New Roman" w:eastAsia="Times New Roman" w:hAnsi="Times New Roman"/>
                <w:sz w:val="10"/>
                <w:szCs w:val="10"/>
                <w:color w:val="auto"/>
              </w:rPr>
              <w:t>Revolving Loan ($500</w:t>
            </w: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gridSpan w:val="3"/>
            <w:shd w:val="clear" w:color="auto" w:fill="CCEEFF"/>
          </w:tcPr>
          <w:p>
            <w:pPr>
              <w:ind w:left="40"/>
              <w:spacing w:after="0" w:line="90" w:lineRule="exact"/>
              <w:rPr>
                <w:sz w:val="20"/>
                <w:szCs w:val="20"/>
                <w:color w:val="auto"/>
              </w:rPr>
            </w:pPr>
            <w:r>
              <w:rPr>
                <w:rFonts w:ascii="Times New Roman" w:cs="Times New Roman" w:eastAsia="Times New Roman" w:hAnsi="Times New Roman"/>
                <w:sz w:val="10"/>
                <w:szCs w:val="10"/>
                <w:color w:val="auto"/>
              </w:rPr>
              <w:t>(S + 7.00%)</w:t>
            </w: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spacing w:after="0"/>
              <w:rPr>
                <w:sz w:val="10"/>
                <w:szCs w:val="10"/>
                <w:color w:val="auto"/>
              </w:rPr>
            </w:pPr>
          </w:p>
        </w:tc>
        <w:tc>
          <w:tcPr>
            <w:tcW w:w="1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unfunded commitment) (h)</w:t>
            </w:r>
          </w:p>
        </w:tc>
        <w:tc>
          <w:tcPr>
            <w:tcW w:w="1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 (2.00%)</w:t>
            </w:r>
          </w:p>
        </w:tc>
        <w:tc>
          <w:tcPr>
            <w:tcW w:w="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w w:val="94"/>
              </w:rPr>
              <w:t>10.99%/0.00%</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5/22/2025</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5/22/2030</w:t>
            </w: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— </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(4)</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— </w:t>
            </w: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1360" w:type="dxa"/>
            <w:vAlign w:val="bottom"/>
            <w:gridSpan w:val="3"/>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(Units N/A)</w:t>
            </w: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1.7%</w:t>
            </w: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5/22/2025</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gridSpan w:val="2"/>
          </w:tcPr>
          <w:p>
            <w:pPr>
              <w:jc w:val="right"/>
              <w:ind w:right="100"/>
              <w:spacing w:after="0" w:line="103" w:lineRule="exact"/>
              <w:rPr>
                <w:sz w:val="20"/>
                <w:szCs w:val="20"/>
                <w:color w:val="auto"/>
              </w:rPr>
            </w:pPr>
            <w:r>
              <w:rPr>
                <w:rFonts w:ascii="Times New Roman" w:cs="Times New Roman" w:eastAsia="Times New Roman" w:hAnsi="Times New Roman"/>
                <w:sz w:val="10"/>
                <w:szCs w:val="10"/>
                <w:color w:val="auto"/>
              </w:rPr>
              <w:t>563</w:t>
            </w:r>
          </w:p>
        </w:tc>
        <w:tc>
          <w:tcPr>
            <w:tcW w:w="4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604</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00"/>
              <w:spacing w:after="0" w:line="103" w:lineRule="exact"/>
              <w:rPr>
                <w:sz w:val="20"/>
                <w:szCs w:val="20"/>
                <w:color w:val="auto"/>
              </w:rPr>
            </w:pPr>
            <w:r>
              <w:rPr>
                <w:rFonts w:ascii="Times New Roman" w:cs="Times New Roman" w:eastAsia="Times New Roman" w:hAnsi="Times New Roman"/>
                <w:sz w:val="10"/>
                <w:szCs w:val="10"/>
                <w:color w:val="auto"/>
              </w:rPr>
              <w:t>9,157</w:t>
            </w:r>
          </w:p>
        </w:tc>
        <w:tc>
          <w:tcPr>
            <w:tcW w:w="360" w:type="dxa"/>
            <w:vAlign w:val="bottom"/>
            <w:shd w:val="clear" w:color="auto" w:fill="CCEEFF"/>
          </w:tcPr>
          <w:p>
            <w:pPr>
              <w:jc w:val="right"/>
              <w:spacing w:after="0" w:line="103" w:lineRule="exact"/>
              <w:rPr>
                <w:sz w:val="20"/>
                <w:szCs w:val="20"/>
                <w:color w:val="auto"/>
              </w:rPr>
            </w:pPr>
            <w:r>
              <w:rPr>
                <w:rFonts w:ascii="Times New Roman" w:cs="Times New Roman" w:eastAsia="Times New Roman" w:hAnsi="Times New Roman"/>
                <w:sz w:val="10"/>
                <w:szCs w:val="10"/>
                <w:color w:val="auto"/>
              </w:rPr>
              <w:t>9,287</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54"/>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Puget Collision, LLC</w:t>
            </w: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Retail</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w w:val="96"/>
              </w:rPr>
              <w:t>6811 South 204th Street</w:t>
            </w:r>
          </w:p>
        </w:tc>
        <w:tc>
          <w:tcPr>
            <w:tcW w:w="2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gridSpan w:val="3"/>
            <w:shd w:val="clear" w:color="auto" w:fill="CCEEFF"/>
          </w:tcPr>
          <w:p>
            <w:pPr>
              <w:ind w:left="40"/>
              <w:spacing w:after="0" w:line="90" w:lineRule="exact"/>
              <w:rPr>
                <w:sz w:val="20"/>
                <w:szCs w:val="20"/>
                <w:color w:val="auto"/>
              </w:rPr>
            </w:pPr>
            <w:r>
              <w:rPr>
                <w:rFonts w:ascii="Times New Roman" w:cs="Times New Roman" w:eastAsia="Times New Roman" w:hAnsi="Times New Roman"/>
                <w:sz w:val="10"/>
                <w:szCs w:val="10"/>
                <w:color w:val="auto"/>
              </w:rPr>
              <w:t>(S + 4.75%)</w:t>
            </w: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Suite 290</w:t>
            </w:r>
          </w:p>
        </w:tc>
        <w:tc>
          <w:tcPr>
            <w:tcW w:w="1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First Lien Debt</w:t>
            </w:r>
          </w:p>
        </w:tc>
        <w:tc>
          <w:tcPr>
            <w:tcW w:w="1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 (0.75%)</w:t>
            </w:r>
          </w:p>
        </w:tc>
        <w:tc>
          <w:tcPr>
            <w:tcW w:w="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8.42%/0.00%</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10/3/2025</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10/3/2030</w:t>
            </w: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12,500</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12,426</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12,426</w:t>
            </w: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tcPr>
          <w:p>
            <w:pPr>
              <w:ind w:left="200"/>
              <w:spacing w:after="0" w:line="103" w:lineRule="exact"/>
              <w:rPr>
                <w:sz w:val="20"/>
                <w:szCs w:val="20"/>
                <w:color w:val="auto"/>
              </w:rPr>
            </w:pPr>
            <w:r>
              <w:rPr>
                <w:rFonts w:ascii="Times New Roman" w:cs="Times New Roman" w:eastAsia="Times New Roman" w:hAnsi="Times New Roman"/>
                <w:sz w:val="10"/>
                <w:szCs w:val="10"/>
                <w:color w:val="auto"/>
              </w:rPr>
              <w:t>Kent, WA 98032</w:t>
            </w:r>
          </w:p>
        </w:tc>
        <w:tc>
          <w:tcPr>
            <w:tcW w:w="1360" w:type="dxa"/>
            <w:vAlign w:val="bottom"/>
            <w:gridSpan w:val="3"/>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(310 units) (h)</w:t>
            </w: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2"/>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0.9%</w:t>
            </w: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1/4/2024</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gridSpan w:val="2"/>
          </w:tcPr>
          <w:p>
            <w:pPr>
              <w:jc w:val="right"/>
              <w:ind w:right="100"/>
              <w:spacing w:after="0" w:line="103" w:lineRule="exact"/>
              <w:rPr>
                <w:sz w:val="20"/>
                <w:szCs w:val="20"/>
                <w:color w:val="auto"/>
              </w:rPr>
            </w:pPr>
            <w:r>
              <w:rPr>
                <w:rFonts w:ascii="Times New Roman" w:cs="Times New Roman" w:eastAsia="Times New Roman" w:hAnsi="Times New Roman"/>
                <w:sz w:val="10"/>
                <w:szCs w:val="10"/>
                <w:color w:val="auto"/>
              </w:rPr>
              <w:t>810</w:t>
            </w:r>
          </w:p>
        </w:tc>
        <w:tc>
          <w:tcPr>
            <w:tcW w:w="36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1,058</w:t>
            </w: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00"/>
              <w:spacing w:after="0" w:line="103" w:lineRule="exact"/>
              <w:rPr>
                <w:sz w:val="20"/>
                <w:szCs w:val="20"/>
                <w:color w:val="auto"/>
              </w:rPr>
            </w:pPr>
            <w:r>
              <w:rPr>
                <w:rFonts w:ascii="Times New Roman" w:cs="Times New Roman" w:eastAsia="Times New Roman" w:hAnsi="Times New Roman"/>
                <w:sz w:val="10"/>
                <w:szCs w:val="10"/>
                <w:color w:val="auto"/>
              </w:rPr>
              <w:t>13,236</w:t>
            </w:r>
          </w:p>
        </w:tc>
        <w:tc>
          <w:tcPr>
            <w:tcW w:w="4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13,484</w:t>
            </w:r>
          </w:p>
        </w:tc>
        <w:tc>
          <w:tcPr>
            <w:tcW w:w="500" w:type="dxa"/>
            <w:vAlign w:val="bottom"/>
            <w:gridSpan w:val="2"/>
            <w:shd w:val="clear" w:color="auto" w:fill="CCEEFF"/>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139"/>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QED Technologies</w:t>
            </w:r>
          </w:p>
        </w:tc>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160" w:type="dxa"/>
            <w:vAlign w:val="bottom"/>
          </w:tcPr>
          <w:p>
            <w:pPr>
              <w:ind w:left="100"/>
              <w:spacing w:after="0"/>
              <w:rPr>
                <w:sz w:val="20"/>
                <w:szCs w:val="20"/>
                <w:color w:val="auto"/>
              </w:rPr>
            </w:pPr>
            <w:r>
              <w:rPr>
                <w:rFonts w:ascii="Times New Roman" w:cs="Times New Roman" w:eastAsia="Times New Roman" w:hAnsi="Times New Roman"/>
                <w:sz w:val="10"/>
                <w:szCs w:val="10"/>
                <w:i w:val="1"/>
                <w:iCs w:val="1"/>
                <w:color w:val="auto"/>
              </w:rPr>
              <w:t>International, Inc.</w:t>
            </w:r>
          </w:p>
        </w:tc>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Component Manufacturing</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rPr>
              <w:t>1040 University Ave.</w:t>
            </w:r>
          </w:p>
        </w:tc>
        <w:tc>
          <w:tcPr>
            <w:tcW w:w="1360" w:type="dxa"/>
            <w:vAlign w:val="bottom"/>
            <w:gridSpan w:val="3"/>
            <w:shd w:val="clear" w:color="auto" w:fill="CCEEFF"/>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 (q)</w:t>
            </w: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gridSpan w:val="3"/>
            <w:shd w:val="clear" w:color="auto" w:fill="CCEEFF"/>
          </w:tcPr>
          <w:p>
            <w:pPr>
              <w:ind w:left="40"/>
              <w:spacing w:after="0" w:line="90" w:lineRule="exact"/>
              <w:rPr>
                <w:sz w:val="20"/>
                <w:szCs w:val="20"/>
                <w:color w:val="auto"/>
              </w:rPr>
            </w:pPr>
            <w:r>
              <w:rPr>
                <w:rFonts w:ascii="Times New Roman" w:cs="Times New Roman" w:eastAsia="Times New Roman" w:hAnsi="Times New Roman"/>
                <w:sz w:val="10"/>
                <w:szCs w:val="10"/>
                <w:color w:val="auto"/>
              </w:rPr>
              <w:t>(S + 4.75%)</w:t>
            </w: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 (1.50%)</w:t>
            </w:r>
          </w:p>
        </w:tc>
        <w:tc>
          <w:tcPr>
            <w:tcW w:w="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9.24%0.00%</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3/1/2023</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3/1/2028</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15,551</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15,494</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15,551</w:t>
            </w: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Rochester, NY 14607</w:t>
            </w:r>
          </w:p>
        </w:tc>
        <w:tc>
          <w:tcPr>
            <w:tcW w:w="1360" w:type="dxa"/>
            <w:vAlign w:val="bottom"/>
            <w:gridSpan w:val="3"/>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 (j)(q)</w:t>
            </w: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3"/>
          </w:tcPr>
          <w:p>
            <w:pPr>
              <w:ind w:left="40"/>
              <w:spacing w:after="0" w:line="90" w:lineRule="exact"/>
              <w:rPr>
                <w:sz w:val="20"/>
                <w:szCs w:val="20"/>
                <w:color w:val="auto"/>
              </w:rPr>
            </w:pPr>
            <w:r>
              <w:rPr>
                <w:rFonts w:ascii="Times New Roman" w:cs="Times New Roman" w:eastAsia="Times New Roman" w:hAnsi="Times New Roman"/>
                <w:sz w:val="10"/>
                <w:szCs w:val="10"/>
                <w:color w:val="auto"/>
              </w:rPr>
              <w:t>(S + 4.75%)</w:t>
            </w: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(1.50%)</w:t>
            </w:r>
          </w:p>
        </w:tc>
        <w:tc>
          <w:tcPr>
            <w:tcW w:w="20" w:type="dxa"/>
            <w:vAlign w:val="bottom"/>
          </w:tcPr>
          <w:p>
            <w:pPr>
              <w:spacing w:after="0"/>
              <w:rPr>
                <w:sz w:val="10"/>
                <w:szCs w:val="1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9.24%0.00%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5/30/2025</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3/1/2028</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2,103</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2,052</w:t>
            </w: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2,103</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1360" w:type="dxa"/>
            <w:vAlign w:val="bottom"/>
            <w:gridSpan w:val="3"/>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(140 shares)</w:t>
            </w: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1.3%</w:t>
            </w: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2/28/2023</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00"/>
              <w:spacing w:after="0" w:line="103" w:lineRule="exact"/>
              <w:rPr>
                <w:sz w:val="20"/>
                <w:szCs w:val="20"/>
                <w:color w:val="auto"/>
              </w:rPr>
            </w:pPr>
            <w:r>
              <w:rPr>
                <w:rFonts w:ascii="Times New Roman" w:cs="Times New Roman" w:eastAsia="Times New Roman" w:hAnsi="Times New Roman"/>
                <w:sz w:val="10"/>
                <w:szCs w:val="10"/>
                <w:color w:val="auto"/>
              </w:rPr>
              <w:t>1,402</w:t>
            </w:r>
          </w:p>
        </w:tc>
        <w:tc>
          <w:tcPr>
            <w:tcW w:w="360" w:type="dxa"/>
            <w:vAlign w:val="bottom"/>
            <w:shd w:val="clear" w:color="auto" w:fill="CCEEFF"/>
          </w:tcPr>
          <w:p>
            <w:pPr>
              <w:jc w:val="right"/>
              <w:spacing w:after="0" w:line="103" w:lineRule="exact"/>
              <w:rPr>
                <w:sz w:val="20"/>
                <w:szCs w:val="20"/>
                <w:color w:val="auto"/>
              </w:rPr>
            </w:pPr>
            <w:r>
              <w:rPr>
                <w:rFonts w:ascii="Times New Roman" w:cs="Times New Roman" w:eastAsia="Times New Roman" w:hAnsi="Times New Roman"/>
                <w:sz w:val="10"/>
                <w:szCs w:val="10"/>
                <w:color w:val="auto"/>
              </w:rPr>
              <w:t>4,018</w:t>
            </w: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18,948</w:t>
            </w:r>
          </w:p>
        </w:tc>
        <w:tc>
          <w:tcPr>
            <w:tcW w:w="100" w:type="dxa"/>
            <w:vAlign w:val="bottom"/>
          </w:tcPr>
          <w:p>
            <w:pPr>
              <w:spacing w:after="0"/>
              <w:rPr>
                <w:sz w:val="9"/>
                <w:szCs w:val="9"/>
                <w:color w:val="auto"/>
              </w:rPr>
            </w:pPr>
          </w:p>
        </w:tc>
        <w:tc>
          <w:tcPr>
            <w:tcW w:w="3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21,672</w:t>
            </w:r>
          </w:p>
        </w:tc>
        <w:tc>
          <w:tcPr>
            <w:tcW w:w="60" w:type="dxa"/>
            <w:vAlign w:val="bottom"/>
          </w:tcPr>
          <w:p>
            <w:pPr>
              <w:spacing w:after="0"/>
              <w:rPr>
                <w:sz w:val="9"/>
                <w:szCs w:val="9"/>
                <w:color w:val="auto"/>
              </w:rPr>
            </w:pPr>
          </w:p>
        </w:tc>
        <w:tc>
          <w:tcPr>
            <w:tcW w:w="500" w:type="dxa"/>
            <w:vAlign w:val="bottom"/>
            <w:gridSpan w:val="2"/>
          </w:tcPr>
          <w:p>
            <w:pPr>
              <w:jc w:val="right"/>
              <w:ind w:right="20"/>
              <w:spacing w:after="0" w:line="111" w:lineRule="exact"/>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41"/>
        </w:trPr>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11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i w:val="1"/>
                <w:iCs w:val="1"/>
                <w:color w:val="auto"/>
                <w:w w:val="98"/>
              </w:rPr>
              <w:t>Quest Software US Holdings</w:t>
            </w:r>
          </w:p>
        </w:tc>
        <w:tc>
          <w:tcPr>
            <w:tcW w:w="2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i w:val="1"/>
                <w:iCs w:val="1"/>
                <w:color w:val="auto"/>
              </w:rPr>
              <w:t>Inc.</w:t>
            </w:r>
          </w:p>
        </w:tc>
        <w:tc>
          <w:tcPr>
            <w:tcW w:w="2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w w:val="96"/>
              </w:rPr>
              <w:t>Information Technology Services</w:t>
            </w: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4 Polaris Way</w:t>
            </w:r>
          </w:p>
        </w:tc>
        <w:tc>
          <w:tcPr>
            <w:tcW w:w="1360" w:type="dxa"/>
            <w:vAlign w:val="bottom"/>
            <w:gridSpan w:val="3"/>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w:t>
            </w: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3"/>
          </w:tcPr>
          <w:p>
            <w:pPr>
              <w:ind w:left="40"/>
              <w:spacing w:after="0" w:line="90" w:lineRule="exact"/>
              <w:rPr>
                <w:sz w:val="20"/>
                <w:szCs w:val="20"/>
                <w:color w:val="auto"/>
              </w:rPr>
            </w:pPr>
            <w:r>
              <w:rPr>
                <w:rFonts w:ascii="Times New Roman" w:cs="Times New Roman" w:eastAsia="Times New Roman" w:hAnsi="Times New Roman"/>
                <w:sz w:val="10"/>
                <w:szCs w:val="10"/>
                <w:color w:val="auto"/>
              </w:rPr>
              <w:t>(S + 1.00%)</w:t>
            </w: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(0.50%)</w:t>
            </w:r>
          </w:p>
        </w:tc>
        <w:tc>
          <w:tcPr>
            <w:tcW w:w="20" w:type="dxa"/>
            <w:vAlign w:val="bottom"/>
          </w:tcPr>
          <w:p>
            <w:pPr>
              <w:spacing w:after="0"/>
              <w:rPr>
                <w:sz w:val="10"/>
                <w:szCs w:val="1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4.84%/6.75%</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8/11/2025</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2/1/2030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17,698</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17,698</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16,582</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Aliso Viejo, CA 92656</w:t>
            </w:r>
          </w:p>
        </w:tc>
        <w:tc>
          <w:tcPr>
            <w:tcW w:w="2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R1 Holdings, LLC (dba</w:t>
            </w:r>
          </w:p>
        </w:tc>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1160" w:type="dxa"/>
            <w:vAlign w:val="bottom"/>
          </w:tcPr>
          <w:p>
            <w:pPr>
              <w:ind w:left="100"/>
              <w:spacing w:after="0" w:line="103" w:lineRule="exact"/>
              <w:rPr>
                <w:sz w:val="20"/>
                <w:szCs w:val="20"/>
                <w:color w:val="auto"/>
              </w:rPr>
            </w:pPr>
            <w:r>
              <w:rPr>
                <w:rFonts w:ascii="Times New Roman" w:cs="Times New Roman" w:eastAsia="Times New Roman" w:hAnsi="Times New Roman"/>
                <w:sz w:val="10"/>
                <w:szCs w:val="10"/>
                <w:i w:val="1"/>
                <w:iCs w:val="1"/>
                <w:color w:val="auto"/>
              </w:rPr>
              <w:t>RoadOne</w:t>
            </w:r>
          </w:p>
        </w:tc>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160" w:type="dxa"/>
            <w:vAlign w:val="bottom"/>
          </w:tcPr>
          <w:p>
            <w:pPr>
              <w:ind w:left="100"/>
              <w:spacing w:after="0"/>
              <w:rPr>
                <w:sz w:val="20"/>
                <w:szCs w:val="20"/>
                <w:color w:val="auto"/>
              </w:rPr>
            </w:pPr>
            <w:r>
              <w:rPr>
                <w:rFonts w:ascii="Times New Roman" w:cs="Times New Roman" w:eastAsia="Times New Roman" w:hAnsi="Times New Roman"/>
                <w:sz w:val="10"/>
                <w:szCs w:val="10"/>
                <w:i w:val="1"/>
                <w:iCs w:val="1"/>
                <w:color w:val="auto"/>
              </w:rPr>
              <w:t>IntermodaLogistics)</w:t>
            </w:r>
          </w:p>
        </w:tc>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Transportation services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rPr>
              <w:t>1 Kellaway Drive</w:t>
            </w:r>
          </w:p>
        </w:tc>
        <w:tc>
          <w:tcPr>
            <w:tcW w:w="1360" w:type="dxa"/>
            <w:vAlign w:val="bottom"/>
            <w:gridSpan w:val="3"/>
            <w:shd w:val="clear" w:color="auto" w:fill="CCEEFF"/>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 (j)</w:t>
            </w: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gridSpan w:val="3"/>
            <w:shd w:val="clear" w:color="auto" w:fill="CCEEFF"/>
          </w:tcPr>
          <w:p>
            <w:pPr>
              <w:ind w:left="40"/>
              <w:spacing w:after="0" w:line="90" w:lineRule="exact"/>
              <w:rPr>
                <w:sz w:val="20"/>
                <w:szCs w:val="20"/>
                <w:color w:val="auto"/>
              </w:rPr>
            </w:pPr>
            <w:r>
              <w:rPr>
                <w:rFonts w:ascii="Times New Roman" w:cs="Times New Roman" w:eastAsia="Times New Roman" w:hAnsi="Times New Roman"/>
                <w:sz w:val="10"/>
                <w:szCs w:val="10"/>
                <w:color w:val="auto"/>
              </w:rPr>
              <w:t>(S + 6.25%)</w:t>
            </w: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 (1.00%)</w:t>
            </w:r>
          </w:p>
        </w:tc>
        <w:tc>
          <w:tcPr>
            <w:tcW w:w="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9.95%/0.00%</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12/30/2022</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12/30/2028</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6,231</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6,104</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6,231</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tcPr>
          <w:p>
            <w:pPr>
              <w:ind w:left="200"/>
              <w:spacing w:after="0" w:line="103" w:lineRule="exact"/>
              <w:rPr>
                <w:sz w:val="20"/>
                <w:szCs w:val="20"/>
                <w:color w:val="auto"/>
              </w:rPr>
            </w:pPr>
            <w:r>
              <w:rPr>
                <w:rFonts w:ascii="Times New Roman" w:cs="Times New Roman" w:eastAsia="Times New Roman" w:hAnsi="Times New Roman"/>
                <w:sz w:val="10"/>
                <w:szCs w:val="10"/>
                <w:color w:val="auto"/>
              </w:rPr>
              <w:t>Randolph, MA 02368</w:t>
            </w:r>
          </w:p>
        </w:tc>
        <w:tc>
          <w:tcPr>
            <w:tcW w:w="1360" w:type="dxa"/>
            <w:vAlign w:val="bottom"/>
            <w:gridSpan w:val="3"/>
          </w:tcPr>
          <w:p>
            <w:pPr>
              <w:ind w:left="20"/>
              <w:spacing w:after="0" w:line="103" w:lineRule="exact"/>
              <w:rPr>
                <w:sz w:val="20"/>
                <w:szCs w:val="20"/>
                <w:color w:val="auto"/>
              </w:rPr>
            </w:pPr>
            <w:r>
              <w:rPr>
                <w:rFonts w:ascii="Times New Roman" w:cs="Times New Roman" w:eastAsia="Times New Roman" w:hAnsi="Times New Roman"/>
                <w:sz w:val="10"/>
                <w:szCs w:val="10"/>
                <w:color w:val="auto"/>
              </w:rPr>
              <w:t>Subordinated Debt</w:t>
            </w: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gridSpan w:val="2"/>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8.75%/5.00%</w:t>
            </w: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12/30/2022</w:t>
            </w: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6/30/2029</w:t>
            </w:r>
          </w:p>
        </w:tc>
        <w:tc>
          <w:tcPr>
            <w:tcW w:w="60" w:type="dxa"/>
            <w:vAlign w:val="bottom"/>
          </w:tcPr>
          <w:p>
            <w:pPr>
              <w:spacing w:after="0"/>
              <w:rPr>
                <w:sz w:val="8"/>
                <w:szCs w:val="8"/>
                <w:color w:val="auto"/>
              </w:rPr>
            </w:pPr>
          </w:p>
        </w:tc>
        <w:tc>
          <w:tcPr>
            <w:tcW w:w="4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1,552</w:t>
            </w:r>
          </w:p>
        </w:tc>
        <w:tc>
          <w:tcPr>
            <w:tcW w:w="400" w:type="dxa"/>
            <w:vAlign w:val="bottom"/>
            <w:gridSpan w:val="2"/>
          </w:tcPr>
          <w:p>
            <w:pPr>
              <w:jc w:val="right"/>
              <w:ind w:right="100"/>
              <w:spacing w:after="0" w:line="103" w:lineRule="exact"/>
              <w:rPr>
                <w:sz w:val="20"/>
                <w:szCs w:val="20"/>
                <w:color w:val="auto"/>
              </w:rPr>
            </w:pPr>
            <w:r>
              <w:rPr>
                <w:rFonts w:ascii="Times New Roman" w:cs="Times New Roman" w:eastAsia="Times New Roman" w:hAnsi="Times New Roman"/>
                <w:sz w:val="10"/>
                <w:szCs w:val="10"/>
                <w:color w:val="auto"/>
              </w:rPr>
              <w:t>1,526</w:t>
            </w:r>
          </w:p>
        </w:tc>
        <w:tc>
          <w:tcPr>
            <w:tcW w:w="36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1,459</w:t>
            </w: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1360" w:type="dxa"/>
            <w:vAlign w:val="bottom"/>
            <w:gridSpan w:val="3"/>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(280,000 units)</w:t>
            </w: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0.1%</w:t>
            </w: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12/30/2022</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00"/>
              <w:spacing w:after="0" w:line="103" w:lineRule="exact"/>
              <w:rPr>
                <w:sz w:val="20"/>
                <w:szCs w:val="20"/>
                <w:color w:val="auto"/>
              </w:rPr>
            </w:pPr>
            <w:r>
              <w:rPr>
                <w:rFonts w:ascii="Times New Roman" w:cs="Times New Roman" w:eastAsia="Times New Roman" w:hAnsi="Times New Roman"/>
                <w:sz w:val="10"/>
                <w:szCs w:val="10"/>
                <w:color w:val="auto"/>
              </w:rPr>
              <w:t>280</w:t>
            </w:r>
          </w:p>
        </w:tc>
        <w:tc>
          <w:tcPr>
            <w:tcW w:w="4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127</w:t>
            </w: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7,910</w:t>
            </w:r>
          </w:p>
        </w:tc>
        <w:tc>
          <w:tcPr>
            <w:tcW w:w="100" w:type="dxa"/>
            <w:vAlign w:val="bottom"/>
          </w:tcPr>
          <w:p>
            <w:pPr>
              <w:spacing w:after="0"/>
              <w:rPr>
                <w:sz w:val="9"/>
                <w:szCs w:val="9"/>
                <w:color w:val="auto"/>
              </w:rPr>
            </w:pPr>
          </w:p>
        </w:tc>
        <w:tc>
          <w:tcPr>
            <w:tcW w:w="3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7,817</w:t>
            </w:r>
          </w:p>
        </w:tc>
        <w:tc>
          <w:tcPr>
            <w:tcW w:w="60" w:type="dxa"/>
            <w:vAlign w:val="bottom"/>
          </w:tcPr>
          <w:p>
            <w:pPr>
              <w:spacing w:after="0"/>
              <w:rPr>
                <w:sz w:val="9"/>
                <w:szCs w:val="9"/>
                <w:color w:val="auto"/>
              </w:rPr>
            </w:pPr>
          </w:p>
        </w:tc>
        <w:tc>
          <w:tcPr>
            <w:tcW w:w="500" w:type="dxa"/>
            <w:vAlign w:val="bottom"/>
            <w:gridSpan w:val="2"/>
          </w:tcPr>
          <w:p>
            <w:pPr>
              <w:jc w:val="right"/>
              <w:ind w:right="20"/>
              <w:spacing w:after="0" w:line="111" w:lineRule="exact"/>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203440" cy="450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65" w:right="1440" w:bottom="1440" w:gutter="0" w:footer="0" w:header="0"/>
        </w:sectPr>
      </w:pPr>
    </w:p>
    <w:bookmarkStart w:id="32" w:name="page33"/>
    <w:bookmarkEnd w:id="32"/>
    <w:tbl>
      <w:tblPr>
        <w:tblLayout w:type="fixed"/>
        <w:tblInd w:w="320" w:type="dxa"/>
        <w:tblCellMar>
          <w:top w:w="0" w:type="dxa"/>
          <w:left w:w="0" w:type="dxa"/>
          <w:bottom w:w="0" w:type="dxa"/>
          <w:right w:w="0" w:type="dxa"/>
        </w:tblCellMar>
      </w:tblPr>
      <w:tr>
        <w:trPr>
          <w:trHeight w:val="103"/>
        </w:trPr>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gridSpan w:val="2"/>
          </w:tcPr>
          <w:p>
            <w:pPr>
              <w:jc w:val="center"/>
              <w:ind w:right="20"/>
              <w:spacing w:after="0"/>
              <w:rPr>
                <w:sz w:val="20"/>
                <w:szCs w:val="20"/>
                <w:color w:val="auto"/>
              </w:rPr>
            </w:pPr>
            <w:r>
              <w:rPr>
                <w:rFonts w:ascii="Times New Roman" w:cs="Times New Roman" w:eastAsia="Times New Roman" w:hAnsi="Times New Roman"/>
                <w:sz w:val="9"/>
                <w:szCs w:val="9"/>
                <w:b w:val="1"/>
                <w:bCs w:val="1"/>
                <w:color w:val="auto"/>
                <w:w w:val="95"/>
              </w:rPr>
              <w:t>Variable</w:t>
            </w: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Portfolio Company (a)(b)</w:t>
            </w:r>
          </w:p>
        </w:tc>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w w:val="98"/>
              </w:rPr>
              <w:t>Percentage</w:t>
            </w:r>
          </w:p>
        </w:tc>
        <w:tc>
          <w:tcPr>
            <w:tcW w:w="54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Index Spread</w:t>
            </w: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9"/>
                <w:szCs w:val="9"/>
                <w:b w:val="1"/>
                <w:bCs w:val="1"/>
                <w:color w:val="auto"/>
              </w:rPr>
              <w:t>Rate (e)</w:t>
            </w: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2"/>
          </w:tcPr>
          <w:p>
            <w:pPr>
              <w:jc w:val="center"/>
              <w:ind w:right="140"/>
              <w:spacing w:after="0" w:line="93" w:lineRule="exact"/>
              <w:rPr>
                <w:sz w:val="20"/>
                <w:szCs w:val="20"/>
                <w:color w:val="auto"/>
              </w:rPr>
            </w:pPr>
            <w:r>
              <w:rPr>
                <w:rFonts w:ascii="Times New Roman" w:cs="Times New Roman" w:eastAsia="Times New Roman" w:hAnsi="Times New Roman"/>
                <w:sz w:val="9"/>
                <w:szCs w:val="9"/>
                <w:b w:val="1"/>
                <w:bCs w:val="1"/>
                <w:color w:val="auto"/>
                <w:w w:val="99"/>
              </w:rPr>
              <w:t>of Class</w:t>
            </w:r>
          </w:p>
        </w:tc>
        <w:tc>
          <w:tcPr>
            <w:tcW w:w="520" w:type="dxa"/>
            <w:vAlign w:val="bottom"/>
          </w:tcPr>
          <w:p>
            <w:pPr>
              <w:jc w:val="center"/>
              <w:spacing w:after="0" w:line="93" w:lineRule="exact"/>
              <w:rPr>
                <w:sz w:val="20"/>
                <w:szCs w:val="20"/>
                <w:color w:val="auto"/>
              </w:rPr>
            </w:pPr>
            <w:r>
              <w:rPr>
                <w:rFonts w:ascii="Times New Roman" w:cs="Times New Roman" w:eastAsia="Times New Roman" w:hAnsi="Times New Roman"/>
                <w:sz w:val="9"/>
                <w:szCs w:val="9"/>
                <w:b w:val="1"/>
                <w:bCs w:val="1"/>
                <w:color w:val="auto"/>
              </w:rPr>
              <w:t>/</w:t>
            </w:r>
          </w:p>
        </w:tc>
        <w:tc>
          <w:tcPr>
            <w:tcW w:w="2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520" w:type="dxa"/>
            <w:vAlign w:val="bottom"/>
            <w:gridSpan w:val="2"/>
          </w:tcPr>
          <w:p>
            <w:pPr>
              <w:jc w:val="right"/>
              <w:ind w:right="80"/>
              <w:spacing w:after="0" w:line="93" w:lineRule="exact"/>
              <w:rPr>
                <w:sz w:val="20"/>
                <w:szCs w:val="20"/>
                <w:color w:val="auto"/>
              </w:rPr>
            </w:pPr>
            <w:r>
              <w:rPr>
                <w:rFonts w:ascii="Times New Roman" w:cs="Times New Roman" w:eastAsia="Times New Roman" w:hAnsi="Times New Roman"/>
                <w:sz w:val="9"/>
                <w:szCs w:val="9"/>
                <w:b w:val="1"/>
                <w:bCs w:val="1"/>
                <w:color w:val="auto"/>
                <w:w w:val="97"/>
              </w:rPr>
              <w:t>Investment</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spacing w:after="0" w:line="93" w:lineRule="exact"/>
              <w:rPr>
                <w:sz w:val="20"/>
                <w:szCs w:val="20"/>
                <w:color w:val="auto"/>
              </w:rPr>
            </w:pPr>
            <w:r>
              <w:rPr>
                <w:rFonts w:ascii="Times New Roman" w:cs="Times New Roman" w:eastAsia="Times New Roman" w:hAnsi="Times New Roman"/>
                <w:sz w:val="9"/>
                <w:szCs w:val="9"/>
                <w:b w:val="1"/>
                <w:bCs w:val="1"/>
                <w:color w:val="auto"/>
              </w:rPr>
              <w:t>Principal</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gridSpan w:val="2"/>
          </w:tcPr>
          <w:p>
            <w:pPr>
              <w:jc w:val="right"/>
              <w:ind w:right="140"/>
              <w:spacing w:after="0" w:line="93" w:lineRule="exact"/>
              <w:rPr>
                <w:sz w:val="20"/>
                <w:szCs w:val="20"/>
                <w:color w:val="auto"/>
              </w:rPr>
            </w:pPr>
            <w:r>
              <w:rPr>
                <w:rFonts w:ascii="Times New Roman" w:cs="Times New Roman" w:eastAsia="Times New Roman" w:hAnsi="Times New Roman"/>
                <w:sz w:val="9"/>
                <w:szCs w:val="9"/>
                <w:b w:val="1"/>
                <w:bCs w:val="1"/>
                <w:color w:val="auto"/>
              </w:rPr>
              <w:t>Fair</w:t>
            </w:r>
          </w:p>
        </w:tc>
        <w:tc>
          <w:tcPr>
            <w:tcW w:w="520" w:type="dxa"/>
            <w:vAlign w:val="bottom"/>
            <w:gridSpan w:val="2"/>
          </w:tcPr>
          <w:p>
            <w:pPr>
              <w:jc w:val="right"/>
              <w:ind w:right="120"/>
              <w:spacing w:after="0" w:line="93" w:lineRule="exact"/>
              <w:rPr>
                <w:sz w:val="20"/>
                <w:szCs w:val="20"/>
                <w:color w:val="auto"/>
              </w:rPr>
            </w:pPr>
            <w:r>
              <w:rPr>
                <w:rFonts w:ascii="Times New Roman" w:cs="Times New Roman" w:eastAsia="Times New Roman" w:hAnsi="Times New Roman"/>
                <w:sz w:val="9"/>
                <w:szCs w:val="9"/>
                <w:b w:val="1"/>
                <w:bCs w:val="1"/>
                <w:color w:val="auto"/>
                <w:w w:val="96"/>
              </w:rPr>
              <w:t>Percent of</w:t>
            </w:r>
          </w:p>
        </w:tc>
        <w:tc>
          <w:tcPr>
            <w:tcW w:w="0" w:type="dxa"/>
            <w:vAlign w:val="bottom"/>
          </w:tcPr>
          <w:p>
            <w:pPr>
              <w:spacing w:after="0"/>
              <w:rPr>
                <w:sz w:val="1"/>
                <w:szCs w:val="1"/>
                <w:color w:val="auto"/>
              </w:rPr>
            </w:pPr>
          </w:p>
        </w:tc>
      </w:tr>
      <w:tr>
        <w:trPr>
          <w:trHeight w:val="130"/>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w w:val="97"/>
              </w:rPr>
              <w:t>Address of Portfolio Company</w:t>
            </w:r>
          </w:p>
        </w:tc>
        <w:tc>
          <w:tcPr>
            <w:tcW w:w="20" w:type="dxa"/>
            <w:vAlign w:val="bottom"/>
          </w:tcPr>
          <w:p>
            <w:pPr>
              <w:spacing w:after="0"/>
              <w:rPr>
                <w:sz w:val="11"/>
                <w:szCs w:val="11"/>
                <w:color w:val="auto"/>
              </w:rPr>
            </w:pPr>
          </w:p>
        </w:tc>
        <w:tc>
          <w:tcPr>
            <w:tcW w:w="1460" w:type="dxa"/>
            <w:vAlign w:val="bottom"/>
          </w:tcPr>
          <w:p>
            <w:pPr>
              <w:ind w:left="360"/>
              <w:spacing w:after="0"/>
              <w:rPr>
                <w:sz w:val="20"/>
                <w:szCs w:val="20"/>
                <w:color w:val="auto"/>
              </w:rPr>
            </w:pPr>
            <w:r>
              <w:rPr>
                <w:rFonts w:ascii="Times New Roman" w:cs="Times New Roman" w:eastAsia="Times New Roman" w:hAnsi="Times New Roman"/>
                <w:sz w:val="9"/>
                <w:szCs w:val="9"/>
                <w:b w:val="1"/>
                <w:bCs w:val="1"/>
                <w:color w:val="auto"/>
              </w:rPr>
              <w:t>Investment Type (c)</w:t>
            </w:r>
          </w:p>
        </w:tc>
        <w:tc>
          <w:tcPr>
            <w:tcW w:w="40" w:type="dxa"/>
            <w:vAlign w:val="bottom"/>
          </w:tcPr>
          <w:p>
            <w:pPr>
              <w:spacing w:after="0"/>
              <w:rPr>
                <w:sz w:val="11"/>
                <w:szCs w:val="11"/>
                <w:color w:val="auto"/>
              </w:rPr>
            </w:pPr>
          </w:p>
        </w:tc>
        <w:tc>
          <w:tcPr>
            <w:tcW w:w="1320" w:type="dxa"/>
            <w:vAlign w:val="bottom"/>
            <w:gridSpan w:val="2"/>
          </w:tcPr>
          <w:p>
            <w:pPr>
              <w:ind w:left="48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56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w w:val="93"/>
              </w:rPr>
              <w:t>Held (bo)</w:t>
            </w:r>
          </w:p>
        </w:tc>
        <w:tc>
          <w:tcPr>
            <w:tcW w:w="540" w:type="dxa"/>
            <w:vAlign w:val="bottom"/>
            <w:gridSpan w:val="2"/>
          </w:tcPr>
          <w:p>
            <w:pPr>
              <w:jc w:val="center"/>
              <w:ind w:right="20"/>
              <w:spacing w:after="0"/>
              <w:rPr>
                <w:sz w:val="20"/>
                <w:szCs w:val="20"/>
                <w:color w:val="auto"/>
              </w:rPr>
            </w:pPr>
            <w:r>
              <w:rPr>
                <w:rFonts w:ascii="Times New Roman" w:cs="Times New Roman" w:eastAsia="Times New Roman" w:hAnsi="Times New Roman"/>
                <w:sz w:val="9"/>
                <w:szCs w:val="9"/>
                <w:b w:val="1"/>
                <w:bCs w:val="1"/>
                <w:color w:val="auto"/>
                <w:w w:val="93"/>
              </w:rPr>
              <w:t>Floor (d)</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Cash/PIK</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Date (f)</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Maturity</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b w:val="1"/>
                <w:bCs w:val="1"/>
                <w:color w:val="auto"/>
              </w:rPr>
              <w:t>Amount</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Cost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b w:val="1"/>
                <w:bCs w:val="1"/>
                <w:color w:val="auto"/>
                <w:w w:val="90"/>
              </w:rPr>
              <w:t>Value (g)</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b w:val="1"/>
                <w:bCs w:val="1"/>
                <w:color w:val="auto"/>
                <w:w w:val="95"/>
              </w:rPr>
              <w:t>Net Assets</w:t>
            </w:r>
          </w:p>
        </w:tc>
        <w:tc>
          <w:tcPr>
            <w:tcW w:w="0" w:type="dxa"/>
            <w:vAlign w:val="bottom"/>
          </w:tcPr>
          <w:p>
            <w:pPr>
              <w:spacing w:after="0"/>
              <w:rPr>
                <w:sz w:val="1"/>
                <w:szCs w:val="1"/>
                <w:color w:val="auto"/>
              </w:rPr>
            </w:pPr>
          </w:p>
        </w:tc>
      </w:tr>
      <w:tr>
        <w:trPr>
          <w:trHeight w:val="83"/>
        </w:trPr>
        <w:tc>
          <w:tcPr>
            <w:tcW w:w="1160" w:type="dxa"/>
            <w:vAlign w:val="bottom"/>
            <w:tcBorders>
              <w:top w:val="single" w:sz="8" w:color="CCEEFF"/>
            </w:tcBorders>
            <w:shd w:val="clear" w:color="auto" w:fill="CCEEFF"/>
          </w:tcPr>
          <w:p>
            <w:pPr>
              <w:spacing w:after="0" w:line="83" w:lineRule="exact"/>
              <w:rPr>
                <w:sz w:val="20"/>
                <w:szCs w:val="20"/>
                <w:color w:val="auto"/>
              </w:rPr>
            </w:pPr>
            <w:r>
              <w:rPr>
                <w:rFonts w:ascii="Times New Roman" w:cs="Times New Roman" w:eastAsia="Times New Roman" w:hAnsi="Times New Roman"/>
                <w:sz w:val="8"/>
                <w:szCs w:val="8"/>
                <w:i w:val="1"/>
                <w:iCs w:val="1"/>
                <w:color w:val="auto"/>
              </w:rPr>
              <w:t>R.F. Fager Company LLC</w:t>
            </w:r>
          </w:p>
        </w:tc>
        <w:tc>
          <w:tcPr>
            <w:tcW w:w="20" w:type="dxa"/>
            <w:vAlign w:val="bottom"/>
            <w:tcBorders>
              <w:top w:val="single" w:sz="8" w:color="CCEEFF"/>
            </w:tcBorders>
            <w:shd w:val="clear" w:color="auto" w:fill="CCEEFF"/>
          </w:tcPr>
          <w:p>
            <w:pPr>
              <w:spacing w:after="0"/>
              <w:rPr>
                <w:sz w:val="7"/>
                <w:szCs w:val="7"/>
                <w:color w:val="auto"/>
              </w:rPr>
            </w:pPr>
          </w:p>
        </w:tc>
        <w:tc>
          <w:tcPr>
            <w:tcW w:w="146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280" w:type="dxa"/>
            <w:vAlign w:val="bottom"/>
            <w:tcBorders>
              <w:top w:val="single" w:sz="8" w:color="auto"/>
            </w:tcBorders>
            <w:shd w:val="clear" w:color="auto" w:fill="CCEEFF"/>
          </w:tcPr>
          <w:p>
            <w:pPr>
              <w:spacing w:after="0" w:line="83" w:lineRule="exact"/>
              <w:rPr>
                <w:sz w:val="20"/>
                <w:szCs w:val="20"/>
                <w:color w:val="auto"/>
              </w:rPr>
            </w:pPr>
            <w:r>
              <w:rPr>
                <w:rFonts w:ascii="Times New Roman" w:cs="Times New Roman" w:eastAsia="Times New Roman" w:hAnsi="Times New Roman"/>
                <w:sz w:val="8"/>
                <w:szCs w:val="8"/>
                <w:color w:val="auto"/>
              </w:rPr>
              <w:t>Specialty Distribution</w:t>
            </w:r>
          </w:p>
        </w:tc>
        <w:tc>
          <w:tcPr>
            <w:tcW w:w="4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160" w:type="dxa"/>
            <w:vAlign w:val="bottom"/>
          </w:tcPr>
          <w:p>
            <w:pPr>
              <w:ind w:left="200"/>
              <w:spacing w:after="0" w:line="103" w:lineRule="exact"/>
              <w:rPr>
                <w:sz w:val="20"/>
                <w:szCs w:val="20"/>
                <w:color w:val="auto"/>
              </w:rPr>
            </w:pPr>
            <w:r>
              <w:rPr>
                <w:rFonts w:ascii="Times New Roman" w:cs="Times New Roman" w:eastAsia="Times New Roman" w:hAnsi="Times New Roman"/>
                <w:sz w:val="10"/>
                <w:szCs w:val="10"/>
                <w:color w:val="auto"/>
              </w:rPr>
              <w:t>2058 State Road</w:t>
            </w:r>
          </w:p>
        </w:tc>
        <w:tc>
          <w:tcPr>
            <w:tcW w:w="148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Second Lien Debt</w:t>
            </w:r>
          </w:p>
        </w:tc>
        <w:tc>
          <w:tcPr>
            <w:tcW w:w="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gridSpan w:val="2"/>
          </w:tcPr>
          <w:p>
            <w:pPr>
              <w:jc w:val="right"/>
              <w:ind w:right="40"/>
              <w:spacing w:after="0" w:line="103" w:lineRule="exact"/>
              <w:rPr>
                <w:sz w:val="20"/>
                <w:szCs w:val="20"/>
                <w:color w:val="auto"/>
              </w:rPr>
            </w:pPr>
            <w:r>
              <w:rPr>
                <w:rFonts w:ascii="Times New Roman" w:cs="Times New Roman" w:eastAsia="Times New Roman" w:hAnsi="Times New Roman"/>
                <w:sz w:val="10"/>
                <w:szCs w:val="10"/>
                <w:color w:val="auto"/>
                <w:w w:val="94"/>
              </w:rPr>
              <w:t>12.75%/0.00%</w:t>
            </w:r>
          </w:p>
        </w:tc>
        <w:tc>
          <w:tcPr>
            <w:tcW w:w="5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3/4/2024</w:t>
            </w: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8/4/2030</w:t>
            </w:r>
          </w:p>
        </w:tc>
        <w:tc>
          <w:tcPr>
            <w:tcW w:w="4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18,000</w:t>
            </w:r>
          </w:p>
        </w:tc>
        <w:tc>
          <w:tcPr>
            <w:tcW w:w="36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17,926</w:t>
            </w:r>
          </w:p>
        </w:tc>
        <w:tc>
          <w:tcPr>
            <w:tcW w:w="40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18,000</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Camp Hill, PA 17011</w:t>
            </w:r>
          </w:p>
        </w:tc>
        <w:tc>
          <w:tcPr>
            <w:tcW w:w="1480" w:type="dxa"/>
            <w:vAlign w:val="bottom"/>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(12,500 units) (h)</w:t>
            </w:r>
          </w:p>
        </w:tc>
        <w:tc>
          <w:tcPr>
            <w:tcW w:w="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1.5%</w:t>
            </w: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3/4/2024</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1,250</w:t>
            </w:r>
          </w:p>
        </w:tc>
        <w:tc>
          <w:tcPr>
            <w:tcW w:w="40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1,450</w:t>
            </w: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19,176</w:t>
            </w:r>
          </w:p>
        </w:tc>
        <w:tc>
          <w:tcPr>
            <w:tcW w:w="60" w:type="dxa"/>
            <w:vAlign w:val="bottom"/>
          </w:tcPr>
          <w:p>
            <w:pPr>
              <w:spacing w:after="0"/>
              <w:rPr>
                <w:sz w:val="9"/>
                <w:szCs w:val="9"/>
                <w:color w:val="auto"/>
              </w:rPr>
            </w:pPr>
          </w:p>
        </w:tc>
        <w:tc>
          <w:tcPr>
            <w:tcW w:w="3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19,450</w:t>
            </w:r>
          </w:p>
        </w:tc>
        <w:tc>
          <w:tcPr>
            <w:tcW w:w="60" w:type="dxa"/>
            <w:vAlign w:val="bottom"/>
          </w:tcPr>
          <w:p>
            <w:pPr>
              <w:spacing w:after="0"/>
              <w:rPr>
                <w:sz w:val="9"/>
                <w:szCs w:val="9"/>
                <w:color w:val="auto"/>
              </w:rPr>
            </w:pPr>
          </w:p>
        </w:tc>
        <w:tc>
          <w:tcPr>
            <w:tcW w:w="520" w:type="dxa"/>
            <w:vAlign w:val="bottom"/>
            <w:gridSpan w:val="2"/>
          </w:tcPr>
          <w:p>
            <w:pPr>
              <w:jc w:val="right"/>
              <w:ind w:right="40"/>
              <w:spacing w:after="0" w:line="111" w:lineRule="exact"/>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41"/>
        </w:trPr>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0"/>
                <w:szCs w:val="10"/>
                <w:i w:val="1"/>
                <w:iCs w:val="1"/>
                <w:color w:val="auto"/>
              </w:rPr>
              <w:t>Sales Rabbit, Inc.</w:t>
            </w:r>
          </w:p>
        </w:tc>
        <w:tc>
          <w:tcPr>
            <w:tcW w:w="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1360" w:type="dxa"/>
            <w:vAlign w:val="bottom"/>
            <w:gridSpan w:val="3"/>
            <w:shd w:val="clear" w:color="auto" w:fill="CCEEFF"/>
          </w:tcPr>
          <w:p>
            <w:pPr>
              <w:ind w:left="40"/>
              <w:spacing w:after="0" w:line="103" w:lineRule="exact"/>
              <w:rPr>
                <w:sz w:val="20"/>
                <w:szCs w:val="20"/>
                <w:color w:val="auto"/>
              </w:rPr>
            </w:pPr>
            <w:r>
              <w:rPr>
                <w:rFonts w:ascii="Times New Roman" w:cs="Times New Roman" w:eastAsia="Times New Roman" w:hAnsi="Times New Roman"/>
                <w:sz w:val="10"/>
                <w:szCs w:val="10"/>
                <w:color w:val="auto"/>
                <w:w w:val="96"/>
              </w:rPr>
              <w:t>Information Technology Services</w:t>
            </w: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w w:val="94"/>
              </w:rPr>
              <w:t>2000 Ashton Blvd, Suite</w:t>
            </w:r>
          </w:p>
        </w:tc>
        <w:tc>
          <w:tcPr>
            <w:tcW w:w="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450</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First Lien Debt</w:t>
            </w:r>
          </w:p>
        </w:tc>
        <w:tc>
          <w:tcPr>
            <w:tcW w:w="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w w:val="94"/>
              </w:rPr>
              <w:t>11.00%/2.00%</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w w:val="96"/>
              </w:rPr>
              <w:t>12/23/2025</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12/23/2030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22,762</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22,515</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22,515</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Lehi, UT 84043</w:t>
            </w:r>
          </w:p>
        </w:tc>
        <w:tc>
          <w:tcPr>
            <w:tcW w:w="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ServicePower, Inc.</w:t>
            </w:r>
          </w:p>
        </w:tc>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w w:val="96"/>
              </w:rPr>
              <w:t>Information Technology Services</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w w:val="96"/>
              </w:rPr>
              <w:t>8180 Greensboro Drive,</w:t>
            </w:r>
          </w:p>
        </w:tc>
        <w:tc>
          <w:tcPr>
            <w:tcW w:w="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Suite 600</w:t>
            </w:r>
          </w:p>
        </w:tc>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First Lien Debt (k)(as)</w:t>
            </w:r>
          </w:p>
        </w:tc>
        <w:tc>
          <w:tcPr>
            <w:tcW w:w="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w w:val="94"/>
              </w:rPr>
              <w:t>10.50%/5.50%</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3/15/2024</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3/15/2028</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30,033</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29,826</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30,033</w:t>
            </w: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tcPr>
          <w:p>
            <w:pPr>
              <w:ind w:left="200"/>
              <w:spacing w:after="0" w:line="103" w:lineRule="exact"/>
              <w:rPr>
                <w:sz w:val="20"/>
                <w:szCs w:val="20"/>
                <w:color w:val="auto"/>
              </w:rPr>
            </w:pPr>
            <w:r>
              <w:rPr>
                <w:rFonts w:ascii="Times New Roman" w:cs="Times New Roman" w:eastAsia="Times New Roman" w:hAnsi="Times New Roman"/>
                <w:sz w:val="10"/>
                <w:szCs w:val="10"/>
                <w:color w:val="auto"/>
              </w:rPr>
              <w:t>McLean, VA 22102</w:t>
            </w:r>
          </w:p>
        </w:tc>
        <w:tc>
          <w:tcPr>
            <w:tcW w:w="148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First Lien Debt (ba)</w:t>
            </w:r>
          </w:p>
        </w:tc>
        <w:tc>
          <w:tcPr>
            <w:tcW w:w="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gridSpan w:val="2"/>
          </w:tcPr>
          <w:p>
            <w:pPr>
              <w:jc w:val="right"/>
              <w:ind w:right="40"/>
              <w:spacing w:after="0" w:line="103" w:lineRule="exact"/>
              <w:rPr>
                <w:sz w:val="20"/>
                <w:szCs w:val="20"/>
                <w:color w:val="auto"/>
              </w:rPr>
            </w:pPr>
            <w:r>
              <w:rPr>
                <w:rFonts w:ascii="Times New Roman" w:cs="Times New Roman" w:eastAsia="Times New Roman" w:hAnsi="Times New Roman"/>
                <w:sz w:val="10"/>
                <w:szCs w:val="10"/>
                <w:color w:val="auto"/>
              </w:rPr>
              <w:t>8.25%/0.00%</w:t>
            </w:r>
          </w:p>
        </w:tc>
        <w:tc>
          <w:tcPr>
            <w:tcW w:w="5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6/6/2025</w:t>
            </w: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3/15/2028</w:t>
            </w:r>
          </w:p>
        </w:tc>
        <w:tc>
          <w:tcPr>
            <w:tcW w:w="4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5</w:t>
            </w:r>
          </w:p>
        </w:tc>
        <w:tc>
          <w:tcPr>
            <w:tcW w:w="30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5</w:t>
            </w:r>
          </w:p>
        </w:tc>
        <w:tc>
          <w:tcPr>
            <w:tcW w:w="60" w:type="dxa"/>
            <w:vAlign w:val="bottom"/>
          </w:tcPr>
          <w:p>
            <w:pPr>
              <w:spacing w:after="0"/>
              <w:rPr>
                <w:sz w:val="8"/>
                <w:szCs w:val="8"/>
                <w:color w:val="auto"/>
              </w:rPr>
            </w:pPr>
          </w:p>
        </w:tc>
        <w:tc>
          <w:tcPr>
            <w:tcW w:w="40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5</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103" w:lineRule="exact"/>
              <w:rPr>
                <w:sz w:val="20"/>
                <w:szCs w:val="20"/>
                <w:color w:val="auto"/>
              </w:rPr>
            </w:pPr>
            <w:r>
              <w:rPr>
                <w:rFonts w:ascii="Times New Roman" w:cs="Times New Roman" w:eastAsia="Times New Roman" w:hAnsi="Times New Roman"/>
                <w:sz w:val="10"/>
                <w:szCs w:val="10"/>
                <w:color w:val="auto"/>
              </w:rPr>
              <w:t>29,831</w:t>
            </w:r>
          </w:p>
        </w:tc>
        <w:tc>
          <w:tcPr>
            <w:tcW w:w="6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30,038</w:t>
            </w:r>
          </w:p>
        </w:tc>
        <w:tc>
          <w:tcPr>
            <w:tcW w:w="520" w:type="dxa"/>
            <w:vAlign w:val="bottom"/>
            <w:gridSpan w:val="2"/>
            <w:shd w:val="clear" w:color="auto" w:fill="CCEEFF"/>
          </w:tcPr>
          <w:p>
            <w:pPr>
              <w:jc w:val="right"/>
              <w:ind w:right="40"/>
              <w:spacing w:after="0" w:line="103" w:lineRule="exact"/>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39"/>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w w:val="96"/>
              </w:rPr>
              <w:t>SES Investors, LLC (dba SES</w:t>
            </w:r>
          </w:p>
        </w:tc>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160" w:type="dxa"/>
            <w:vAlign w:val="bottom"/>
          </w:tcPr>
          <w:p>
            <w:pPr>
              <w:ind w:left="100"/>
              <w:spacing w:after="0"/>
              <w:rPr>
                <w:sz w:val="20"/>
                <w:szCs w:val="20"/>
                <w:color w:val="auto"/>
              </w:rPr>
            </w:pPr>
            <w:r>
              <w:rPr>
                <w:rFonts w:ascii="Times New Roman" w:cs="Times New Roman" w:eastAsia="Times New Roman" w:hAnsi="Times New Roman"/>
                <w:sz w:val="10"/>
                <w:szCs w:val="10"/>
                <w:i w:val="1"/>
                <w:iCs w:val="1"/>
                <w:color w:val="auto"/>
              </w:rPr>
              <w:t>Foam) (n)</w:t>
            </w:r>
          </w:p>
        </w:tc>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w w:val="96"/>
              </w:rPr>
              <w:t>Building Products Manufacturing</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rPr>
              <w:t>2400 Spring Stuebner</w:t>
            </w:r>
          </w:p>
        </w:tc>
        <w:tc>
          <w:tcPr>
            <w:tcW w:w="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Rd.</w:t>
            </w:r>
          </w:p>
        </w:tc>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Common Equity (6,000 units) (h)</w:t>
            </w:r>
          </w:p>
        </w:tc>
        <w:tc>
          <w:tcPr>
            <w:tcW w:w="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4.3%</w:t>
            </w: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9/8/2016</w:t>
            </w: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— </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0%</w:t>
            </w:r>
          </w:p>
        </w:tc>
        <w:tc>
          <w:tcPr>
            <w:tcW w:w="0" w:type="dxa"/>
            <w:vAlign w:val="bottom"/>
          </w:tcPr>
          <w:p>
            <w:pPr>
              <w:spacing w:after="0"/>
              <w:rPr>
                <w:sz w:val="1"/>
                <w:szCs w:val="1"/>
                <w:color w:val="auto"/>
              </w:rPr>
            </w:pPr>
          </w:p>
        </w:tc>
      </w:tr>
      <w:tr>
        <w:trPr>
          <w:trHeight w:val="123"/>
        </w:trPr>
        <w:tc>
          <w:tcPr>
            <w:tcW w:w="116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Spring, TX 77389</w:t>
            </w:r>
          </w:p>
        </w:tc>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0"/>
                <w:szCs w:val="10"/>
                <w:i w:val="1"/>
                <w:iCs w:val="1"/>
                <w:color w:val="auto"/>
              </w:rPr>
              <w:t>Sogno Toscano LLC</w:t>
            </w:r>
          </w:p>
        </w:tc>
        <w:tc>
          <w:tcPr>
            <w:tcW w:w="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1360" w:type="dxa"/>
            <w:vAlign w:val="bottom"/>
            <w:gridSpan w:val="3"/>
            <w:shd w:val="clear" w:color="auto" w:fill="CCEEFF"/>
          </w:tcPr>
          <w:p>
            <w:pPr>
              <w:ind w:left="40"/>
              <w:spacing w:after="0" w:line="103" w:lineRule="exact"/>
              <w:rPr>
                <w:sz w:val="20"/>
                <w:szCs w:val="20"/>
                <w:color w:val="auto"/>
              </w:rPr>
            </w:pPr>
            <w:r>
              <w:rPr>
                <w:rFonts w:ascii="Times New Roman" w:cs="Times New Roman" w:eastAsia="Times New Roman" w:hAnsi="Times New Roman"/>
                <w:sz w:val="10"/>
                <w:szCs w:val="10"/>
                <w:color w:val="auto"/>
              </w:rPr>
              <w:t>Specialty Distribution</w:t>
            </w: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1445 W 12th Place,</w:t>
            </w:r>
          </w:p>
        </w:tc>
        <w:tc>
          <w:tcPr>
            <w:tcW w:w="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(S + 5.00%)</w:t>
            </w: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Suite 101</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First Lien Debt (bi)</w:t>
            </w:r>
          </w:p>
        </w:tc>
        <w:tc>
          <w:tcPr>
            <w:tcW w:w="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0"/>
                <w:szCs w:val="10"/>
                <w:color w:val="auto"/>
              </w:rPr>
              <w:t>/ (2.00%)</w:t>
            </w:r>
          </w:p>
        </w:tc>
        <w:tc>
          <w:tcPr>
            <w:tcW w:w="20" w:type="dxa"/>
            <w:vAlign w:val="bottom"/>
          </w:tcPr>
          <w:p>
            <w:pPr>
              <w:spacing w:after="0"/>
              <w:rPr>
                <w:sz w:val="10"/>
                <w:szCs w:val="1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9.00%/0.00%</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7/2/2025</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1/2/2029</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8,500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8,445</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8,445</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Tempe, AZ 85281</w:t>
            </w:r>
          </w:p>
        </w:tc>
        <w:tc>
          <w:tcPr>
            <w:tcW w:w="1480" w:type="dxa"/>
            <w:vAlign w:val="bottom"/>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Preferred Equity (6 units)</w:t>
            </w:r>
          </w:p>
        </w:tc>
        <w:tc>
          <w:tcPr>
            <w:tcW w:w="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4.9%</w:t>
            </w: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7/2/2025</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4,250</w:t>
            </w:r>
          </w:p>
        </w:tc>
        <w:tc>
          <w:tcPr>
            <w:tcW w:w="40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4,250</w:t>
            </w: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12,695</w:t>
            </w:r>
          </w:p>
        </w:tc>
        <w:tc>
          <w:tcPr>
            <w:tcW w:w="60" w:type="dxa"/>
            <w:vAlign w:val="bottom"/>
          </w:tcPr>
          <w:p>
            <w:pPr>
              <w:spacing w:after="0"/>
              <w:rPr>
                <w:sz w:val="9"/>
                <w:szCs w:val="9"/>
                <w:color w:val="auto"/>
              </w:rPr>
            </w:pPr>
          </w:p>
        </w:tc>
        <w:tc>
          <w:tcPr>
            <w:tcW w:w="3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12,695</w:t>
            </w:r>
          </w:p>
        </w:tc>
        <w:tc>
          <w:tcPr>
            <w:tcW w:w="60" w:type="dxa"/>
            <w:vAlign w:val="bottom"/>
          </w:tcPr>
          <w:p>
            <w:pPr>
              <w:spacing w:after="0"/>
              <w:rPr>
                <w:sz w:val="9"/>
                <w:szCs w:val="9"/>
                <w:color w:val="auto"/>
              </w:rPr>
            </w:pPr>
          </w:p>
        </w:tc>
        <w:tc>
          <w:tcPr>
            <w:tcW w:w="520" w:type="dxa"/>
            <w:vAlign w:val="bottom"/>
            <w:gridSpan w:val="2"/>
          </w:tcPr>
          <w:p>
            <w:pPr>
              <w:jc w:val="right"/>
              <w:ind w:right="40"/>
              <w:spacing w:after="0" w:line="111" w:lineRule="exact"/>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41"/>
        </w:trPr>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0"/>
                <w:szCs w:val="10"/>
                <w:i w:val="1"/>
                <w:iCs w:val="1"/>
                <w:color w:val="auto"/>
              </w:rPr>
              <w:t>Suited Connector LLC</w:t>
            </w:r>
          </w:p>
        </w:tc>
        <w:tc>
          <w:tcPr>
            <w:tcW w:w="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1360" w:type="dxa"/>
            <w:vAlign w:val="bottom"/>
            <w:gridSpan w:val="3"/>
            <w:shd w:val="clear" w:color="auto" w:fill="CCEEFF"/>
          </w:tcPr>
          <w:p>
            <w:pPr>
              <w:ind w:left="40"/>
              <w:spacing w:after="0" w:line="103" w:lineRule="exact"/>
              <w:rPr>
                <w:sz w:val="20"/>
                <w:szCs w:val="20"/>
                <w:color w:val="auto"/>
              </w:rPr>
            </w:pPr>
            <w:r>
              <w:rPr>
                <w:rFonts w:ascii="Times New Roman" w:cs="Times New Roman" w:eastAsia="Times New Roman" w:hAnsi="Times New Roman"/>
                <w:sz w:val="10"/>
                <w:szCs w:val="10"/>
                <w:color w:val="auto"/>
                <w:w w:val="96"/>
              </w:rPr>
              <w:t>Information Technology Services</w:t>
            </w: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tcPr>
          <w:p>
            <w:pPr>
              <w:ind w:left="200"/>
              <w:spacing w:after="0" w:line="103" w:lineRule="exact"/>
              <w:rPr>
                <w:sz w:val="20"/>
                <w:szCs w:val="20"/>
                <w:color w:val="auto"/>
              </w:rPr>
            </w:pPr>
            <w:r>
              <w:rPr>
                <w:rFonts w:ascii="Times New Roman" w:cs="Times New Roman" w:eastAsia="Times New Roman" w:hAnsi="Times New Roman"/>
                <w:sz w:val="10"/>
                <w:szCs w:val="10"/>
                <w:color w:val="auto"/>
              </w:rPr>
              <w:t>8123 Interport Blvd.</w:t>
            </w:r>
          </w:p>
        </w:tc>
        <w:tc>
          <w:tcPr>
            <w:tcW w:w="148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Second Lien Debt (y)</w:t>
            </w:r>
          </w:p>
        </w:tc>
        <w:tc>
          <w:tcPr>
            <w:tcW w:w="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gridSpan w:val="2"/>
          </w:tcPr>
          <w:p>
            <w:pPr>
              <w:jc w:val="right"/>
              <w:ind w:right="40"/>
              <w:spacing w:after="0" w:line="103" w:lineRule="exact"/>
              <w:rPr>
                <w:sz w:val="20"/>
                <w:szCs w:val="20"/>
                <w:color w:val="auto"/>
              </w:rPr>
            </w:pPr>
            <w:r>
              <w:rPr>
                <w:rFonts w:ascii="Times New Roman" w:cs="Times New Roman" w:eastAsia="Times New Roman" w:hAnsi="Times New Roman"/>
                <w:sz w:val="10"/>
                <w:szCs w:val="10"/>
                <w:color w:val="auto"/>
                <w:w w:val="94"/>
              </w:rPr>
              <w:t>0.00%/13.00%</w:t>
            </w:r>
          </w:p>
        </w:tc>
        <w:tc>
          <w:tcPr>
            <w:tcW w:w="5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w w:val="96"/>
              </w:rPr>
              <w:t>10/29/2021</w:t>
            </w: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6/1/2028</w:t>
            </w:r>
          </w:p>
        </w:tc>
        <w:tc>
          <w:tcPr>
            <w:tcW w:w="4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23,590</w:t>
            </w:r>
          </w:p>
        </w:tc>
        <w:tc>
          <w:tcPr>
            <w:tcW w:w="36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15,934</w:t>
            </w:r>
          </w:p>
        </w:tc>
        <w:tc>
          <w:tcPr>
            <w:tcW w:w="40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1,476</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Englewood, CO 80112</w:t>
            </w:r>
          </w:p>
        </w:tc>
        <w:tc>
          <w:tcPr>
            <w:tcW w:w="1480" w:type="dxa"/>
            <w:vAlign w:val="bottom"/>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(97,808 units) (h)</w:t>
            </w:r>
          </w:p>
        </w:tc>
        <w:tc>
          <w:tcPr>
            <w:tcW w:w="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0.8%</w:t>
            </w: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12/1/2021</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857</w:t>
            </w:r>
          </w:p>
        </w:tc>
        <w:tc>
          <w:tcPr>
            <w:tcW w:w="400" w:type="dxa"/>
            <w:vAlign w:val="bottom"/>
            <w:gridSpan w:val="2"/>
            <w:shd w:val="clear" w:color="auto" w:fill="CCEEFF"/>
          </w:tcPr>
          <w:p>
            <w:pPr>
              <w:jc w:val="right"/>
              <w:ind w:right="8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16,791</w:t>
            </w:r>
          </w:p>
        </w:tc>
        <w:tc>
          <w:tcPr>
            <w:tcW w:w="60" w:type="dxa"/>
            <w:vAlign w:val="bottom"/>
          </w:tcPr>
          <w:p>
            <w:pPr>
              <w:spacing w:after="0"/>
              <w:rPr>
                <w:sz w:val="9"/>
                <w:szCs w:val="9"/>
                <w:color w:val="auto"/>
              </w:rPr>
            </w:pPr>
          </w:p>
        </w:tc>
        <w:tc>
          <w:tcPr>
            <w:tcW w:w="3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1,476</w:t>
            </w:r>
          </w:p>
        </w:tc>
        <w:tc>
          <w:tcPr>
            <w:tcW w:w="60" w:type="dxa"/>
            <w:vAlign w:val="bottom"/>
          </w:tcPr>
          <w:p>
            <w:pPr>
              <w:spacing w:after="0"/>
              <w:rPr>
                <w:sz w:val="9"/>
                <w:szCs w:val="9"/>
                <w:color w:val="auto"/>
              </w:rPr>
            </w:pPr>
          </w:p>
        </w:tc>
        <w:tc>
          <w:tcPr>
            <w:tcW w:w="520" w:type="dxa"/>
            <w:vAlign w:val="bottom"/>
            <w:gridSpan w:val="2"/>
          </w:tcPr>
          <w:p>
            <w:pPr>
              <w:jc w:val="right"/>
              <w:ind w:right="40"/>
              <w:spacing w:after="0" w:line="111" w:lineRule="exact"/>
              <w:rPr>
                <w:sz w:val="20"/>
                <w:szCs w:val="20"/>
                <w:color w:val="auto"/>
              </w:rPr>
            </w:pPr>
            <w:r>
              <w:rPr>
                <w:rFonts w:ascii="Times New Roman" w:cs="Times New Roman" w:eastAsia="Times New Roman" w:hAnsi="Times New Roman"/>
                <w:sz w:val="10"/>
                <w:szCs w:val="10"/>
                <w:color w:val="auto"/>
              </w:rPr>
              <w:t>0%</w:t>
            </w:r>
          </w:p>
        </w:tc>
        <w:tc>
          <w:tcPr>
            <w:tcW w:w="0" w:type="dxa"/>
            <w:vAlign w:val="bottom"/>
          </w:tcPr>
          <w:p>
            <w:pPr>
              <w:spacing w:after="0"/>
              <w:rPr>
                <w:sz w:val="1"/>
                <w:szCs w:val="1"/>
                <w:color w:val="auto"/>
              </w:rPr>
            </w:pPr>
          </w:p>
        </w:tc>
      </w:tr>
      <w:tr>
        <w:trPr>
          <w:trHeight w:val="41"/>
        </w:trPr>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0"/>
                <w:szCs w:val="10"/>
                <w:i w:val="1"/>
                <w:iCs w:val="1"/>
                <w:color w:val="auto"/>
              </w:rPr>
              <w:t>Tedia Company, LLC</w:t>
            </w:r>
          </w:p>
        </w:tc>
        <w:tc>
          <w:tcPr>
            <w:tcW w:w="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1360" w:type="dxa"/>
            <w:vAlign w:val="bottom"/>
            <w:gridSpan w:val="3"/>
            <w:shd w:val="clear" w:color="auto" w:fill="CCEEFF"/>
          </w:tcPr>
          <w:p>
            <w:pPr>
              <w:ind w:left="40"/>
              <w:spacing w:after="0" w:line="103" w:lineRule="exact"/>
              <w:rPr>
                <w:sz w:val="20"/>
                <w:szCs w:val="20"/>
                <w:color w:val="auto"/>
              </w:rPr>
            </w:pPr>
            <w:r>
              <w:rPr>
                <w:rFonts w:ascii="Times New Roman" w:cs="Times New Roman" w:eastAsia="Times New Roman" w:hAnsi="Times New Roman"/>
                <w:sz w:val="10"/>
                <w:szCs w:val="10"/>
                <w:color w:val="auto"/>
              </w:rPr>
              <w:t>Healthcare Products</w:t>
            </w: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1000 Tedia Way</w:t>
            </w:r>
          </w:p>
        </w:tc>
        <w:tc>
          <w:tcPr>
            <w:tcW w:w="1480" w:type="dxa"/>
            <w:vAlign w:val="bottom"/>
            <w:gridSpan w:val="2"/>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 (j)</w:t>
            </w:r>
          </w:p>
        </w:tc>
        <w:tc>
          <w:tcPr>
            <w:tcW w:w="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(S + 7.75%)</w:t>
            </w: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0"/>
                <w:szCs w:val="10"/>
                <w:color w:val="auto"/>
              </w:rPr>
              <w:t>/ (1.00%)</w:t>
            </w:r>
          </w:p>
        </w:tc>
        <w:tc>
          <w:tcPr>
            <w:tcW w:w="20" w:type="dxa"/>
            <w:vAlign w:val="bottom"/>
          </w:tcPr>
          <w:p>
            <w:pPr>
              <w:spacing w:after="0"/>
              <w:rPr>
                <w:sz w:val="10"/>
                <w:szCs w:val="1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w w:val="94"/>
              </w:rPr>
              <w:t>12.00%/0.00%</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3/4/2022</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3/4/2027</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14,100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14,080</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14,100</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rPr>
              <w:t>Fairfield, OH 45014</w:t>
            </w:r>
          </w:p>
        </w:tc>
        <w:tc>
          <w:tcPr>
            <w:tcW w:w="1480" w:type="dxa"/>
            <w:vAlign w:val="bottom"/>
            <w:gridSpan w:val="2"/>
            <w:shd w:val="clear" w:color="auto" w:fill="CCEEFF"/>
          </w:tcPr>
          <w:p>
            <w:pPr>
              <w:ind w:left="20"/>
              <w:spacing w:after="0" w:line="90" w:lineRule="exact"/>
              <w:rPr>
                <w:sz w:val="20"/>
                <w:szCs w:val="20"/>
                <w:color w:val="auto"/>
              </w:rPr>
            </w:pPr>
            <w:r>
              <w:rPr>
                <w:rFonts w:ascii="Times New Roman" w:cs="Times New Roman" w:eastAsia="Times New Roman" w:hAnsi="Times New Roman"/>
                <w:sz w:val="10"/>
                <w:szCs w:val="10"/>
                <w:color w:val="auto"/>
              </w:rPr>
              <w:t>Revolving Loan ($1,750 unfunded</w:t>
            </w:r>
          </w:p>
        </w:tc>
        <w:tc>
          <w:tcPr>
            <w:tcW w:w="4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gridSpan w:val="2"/>
            <w:shd w:val="clear" w:color="auto" w:fill="CCEEFF"/>
          </w:tcPr>
          <w:p>
            <w:pPr>
              <w:spacing w:after="0" w:line="90" w:lineRule="exact"/>
              <w:rPr>
                <w:sz w:val="20"/>
                <w:szCs w:val="20"/>
                <w:color w:val="auto"/>
              </w:rPr>
            </w:pPr>
            <w:r>
              <w:rPr>
                <w:rFonts w:ascii="Times New Roman" w:cs="Times New Roman" w:eastAsia="Times New Roman" w:hAnsi="Times New Roman"/>
                <w:sz w:val="10"/>
                <w:szCs w:val="10"/>
                <w:color w:val="auto"/>
              </w:rPr>
              <w:t>(S + 7.75%)</w:t>
            </w:r>
          </w:p>
        </w:tc>
        <w:tc>
          <w:tcPr>
            <w:tcW w:w="5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commitment) (i)</w:t>
            </w:r>
          </w:p>
        </w:tc>
        <w:tc>
          <w:tcPr>
            <w:tcW w:w="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 (1.00%)</w:t>
            </w:r>
          </w:p>
        </w:tc>
        <w:tc>
          <w:tcPr>
            <w:tcW w:w="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w w:val="94"/>
              </w:rPr>
              <w:t>12.00%/0.00%</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3/4/2022</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3/4/2027</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500</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495</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500</w:t>
            </w: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148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Subordinated Debt</w:t>
            </w:r>
          </w:p>
        </w:tc>
        <w:tc>
          <w:tcPr>
            <w:tcW w:w="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gridSpan w:val="2"/>
          </w:tcPr>
          <w:p>
            <w:pPr>
              <w:jc w:val="right"/>
              <w:ind w:right="40"/>
              <w:spacing w:after="0" w:line="103" w:lineRule="exact"/>
              <w:rPr>
                <w:sz w:val="20"/>
                <w:szCs w:val="20"/>
                <w:color w:val="auto"/>
              </w:rPr>
            </w:pPr>
            <w:r>
              <w:rPr>
                <w:rFonts w:ascii="Times New Roman" w:cs="Times New Roman" w:eastAsia="Times New Roman" w:hAnsi="Times New Roman"/>
                <w:sz w:val="10"/>
                <w:szCs w:val="10"/>
                <w:color w:val="auto"/>
              </w:rPr>
              <w:t>7.25%/7.25%</w:t>
            </w:r>
          </w:p>
        </w:tc>
        <w:tc>
          <w:tcPr>
            <w:tcW w:w="5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3/4/2022</w:t>
            </w: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9/4/2027</w:t>
            </w:r>
          </w:p>
        </w:tc>
        <w:tc>
          <w:tcPr>
            <w:tcW w:w="4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3,322</w:t>
            </w:r>
          </w:p>
        </w:tc>
        <w:tc>
          <w:tcPr>
            <w:tcW w:w="36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3,317</w:t>
            </w:r>
          </w:p>
        </w:tc>
        <w:tc>
          <w:tcPr>
            <w:tcW w:w="40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3,606</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1480" w:type="dxa"/>
            <w:vAlign w:val="bottom"/>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Preferred Equity (1,000 units) (h)</w:t>
            </w:r>
          </w:p>
        </w:tc>
        <w:tc>
          <w:tcPr>
            <w:tcW w:w="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4.4%</w:t>
            </w: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3/4/2022</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1,000</w:t>
            </w:r>
          </w:p>
        </w:tc>
        <w:tc>
          <w:tcPr>
            <w:tcW w:w="40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994</w:t>
            </w: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18,892</w:t>
            </w:r>
          </w:p>
        </w:tc>
        <w:tc>
          <w:tcPr>
            <w:tcW w:w="60" w:type="dxa"/>
            <w:vAlign w:val="bottom"/>
          </w:tcPr>
          <w:p>
            <w:pPr>
              <w:spacing w:after="0"/>
              <w:rPr>
                <w:sz w:val="9"/>
                <w:szCs w:val="9"/>
                <w:color w:val="auto"/>
              </w:rPr>
            </w:pPr>
          </w:p>
        </w:tc>
        <w:tc>
          <w:tcPr>
            <w:tcW w:w="3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19,200</w:t>
            </w:r>
          </w:p>
        </w:tc>
        <w:tc>
          <w:tcPr>
            <w:tcW w:w="60" w:type="dxa"/>
            <w:vAlign w:val="bottom"/>
          </w:tcPr>
          <w:p>
            <w:pPr>
              <w:spacing w:after="0"/>
              <w:rPr>
                <w:sz w:val="9"/>
                <w:szCs w:val="9"/>
                <w:color w:val="auto"/>
              </w:rPr>
            </w:pPr>
          </w:p>
        </w:tc>
        <w:tc>
          <w:tcPr>
            <w:tcW w:w="520" w:type="dxa"/>
            <w:vAlign w:val="bottom"/>
            <w:gridSpan w:val="2"/>
          </w:tcPr>
          <w:p>
            <w:pPr>
              <w:jc w:val="right"/>
              <w:ind w:right="40"/>
              <w:spacing w:after="0" w:line="111" w:lineRule="exact"/>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41"/>
        </w:trPr>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0"/>
                <w:szCs w:val="10"/>
                <w:i w:val="1"/>
                <w:iCs w:val="1"/>
                <w:color w:val="auto"/>
              </w:rPr>
              <w:t>Thrust Flight LLC</w:t>
            </w:r>
          </w:p>
        </w:tc>
        <w:tc>
          <w:tcPr>
            <w:tcW w:w="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1360" w:type="dxa"/>
            <w:vAlign w:val="bottom"/>
            <w:gridSpan w:val="3"/>
            <w:shd w:val="clear" w:color="auto" w:fill="CCEEFF"/>
          </w:tcPr>
          <w:p>
            <w:pPr>
              <w:ind w:left="40"/>
              <w:spacing w:after="0" w:line="103" w:lineRule="exact"/>
              <w:rPr>
                <w:sz w:val="20"/>
                <w:szCs w:val="20"/>
                <w:color w:val="auto"/>
              </w:rPr>
            </w:pPr>
            <w:r>
              <w:rPr>
                <w:rFonts w:ascii="Times New Roman" w:cs="Times New Roman" w:eastAsia="Times New Roman" w:hAnsi="Times New Roman"/>
                <w:sz w:val="10"/>
                <w:szCs w:val="10"/>
                <w:color w:val="auto"/>
              </w:rPr>
              <w:t>Business Services</w:t>
            </w:r>
          </w:p>
        </w:tc>
        <w:tc>
          <w:tcPr>
            <w:tcW w:w="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4700 Airport Pkwy</w:t>
            </w:r>
          </w:p>
        </w:tc>
        <w:tc>
          <w:tcPr>
            <w:tcW w:w="1480" w:type="dxa"/>
            <w:vAlign w:val="bottom"/>
            <w:gridSpan w:val="2"/>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 (j)(au)</w:t>
            </w:r>
          </w:p>
        </w:tc>
        <w:tc>
          <w:tcPr>
            <w:tcW w:w="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(S + 5.75%)</w:t>
            </w: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0"/>
                <w:szCs w:val="10"/>
                <w:color w:val="auto"/>
              </w:rPr>
              <w:t>/ (2.00%)</w:t>
            </w:r>
          </w:p>
        </w:tc>
        <w:tc>
          <w:tcPr>
            <w:tcW w:w="20" w:type="dxa"/>
            <w:vAlign w:val="bottom"/>
          </w:tcPr>
          <w:p>
            <w:pPr>
              <w:spacing w:after="0"/>
              <w:rPr>
                <w:sz w:val="10"/>
                <w:szCs w:val="1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9.71%/0.00%</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9/9/2024</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9/9/2029</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12,586</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12,503</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12,586</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rPr>
              <w:t>Addison, TX 75001</w:t>
            </w:r>
          </w:p>
        </w:tc>
        <w:tc>
          <w:tcPr>
            <w:tcW w:w="1480" w:type="dxa"/>
            <w:vAlign w:val="bottom"/>
            <w:gridSpan w:val="2"/>
            <w:shd w:val="clear" w:color="auto" w:fill="CCEEFF"/>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 ($1,818 unfunded</w:t>
            </w:r>
          </w:p>
        </w:tc>
        <w:tc>
          <w:tcPr>
            <w:tcW w:w="4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gridSpan w:val="2"/>
            <w:shd w:val="clear" w:color="auto" w:fill="CCEEFF"/>
          </w:tcPr>
          <w:p>
            <w:pPr>
              <w:spacing w:after="0" w:line="90" w:lineRule="exact"/>
              <w:rPr>
                <w:sz w:val="20"/>
                <w:szCs w:val="20"/>
                <w:color w:val="auto"/>
              </w:rPr>
            </w:pPr>
            <w:r>
              <w:rPr>
                <w:rFonts w:ascii="Times New Roman" w:cs="Times New Roman" w:eastAsia="Times New Roman" w:hAnsi="Times New Roman"/>
                <w:sz w:val="10"/>
                <w:szCs w:val="10"/>
                <w:color w:val="auto"/>
              </w:rPr>
              <w:t>(S + 5.75%)</w:t>
            </w:r>
          </w:p>
        </w:tc>
        <w:tc>
          <w:tcPr>
            <w:tcW w:w="5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commitment) (i)(au)</w:t>
            </w:r>
          </w:p>
        </w:tc>
        <w:tc>
          <w:tcPr>
            <w:tcW w:w="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 (2.00%)</w:t>
            </w:r>
          </w:p>
        </w:tc>
        <w:tc>
          <w:tcPr>
            <w:tcW w:w="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9.71%/0.00%</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9/9/2024</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9/9/2029</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— </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— </w:t>
            </w: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148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Subordinated Debt (j)</w:t>
            </w:r>
          </w:p>
        </w:tc>
        <w:tc>
          <w:tcPr>
            <w:tcW w:w="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gridSpan w:val="2"/>
          </w:tcPr>
          <w:p>
            <w:pPr>
              <w:jc w:val="right"/>
              <w:ind w:right="40"/>
              <w:spacing w:after="0" w:line="103" w:lineRule="exact"/>
              <w:rPr>
                <w:sz w:val="20"/>
                <w:szCs w:val="20"/>
                <w:color w:val="auto"/>
              </w:rPr>
            </w:pPr>
            <w:r>
              <w:rPr>
                <w:rFonts w:ascii="Times New Roman" w:cs="Times New Roman" w:eastAsia="Times New Roman" w:hAnsi="Times New Roman"/>
                <w:sz w:val="10"/>
                <w:szCs w:val="10"/>
                <w:color w:val="auto"/>
                <w:w w:val="94"/>
              </w:rPr>
              <w:t>10.00%/5.00%</w:t>
            </w:r>
          </w:p>
        </w:tc>
        <w:tc>
          <w:tcPr>
            <w:tcW w:w="5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w w:val="96"/>
              </w:rPr>
              <w:t>12/11/2025</w:t>
            </w: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3/9/2030</w:t>
            </w:r>
          </w:p>
        </w:tc>
        <w:tc>
          <w:tcPr>
            <w:tcW w:w="4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1,526</w:t>
            </w:r>
          </w:p>
        </w:tc>
        <w:tc>
          <w:tcPr>
            <w:tcW w:w="36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1,496</w:t>
            </w:r>
          </w:p>
        </w:tc>
        <w:tc>
          <w:tcPr>
            <w:tcW w:w="40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1,496</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1480" w:type="dxa"/>
            <w:vAlign w:val="bottom"/>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w w:val="94"/>
              </w:rPr>
              <w:t>Common Equity (1,050,000 units) (h)</w:t>
            </w:r>
          </w:p>
        </w:tc>
        <w:tc>
          <w:tcPr>
            <w:tcW w:w="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2.5%</w:t>
            </w: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9/9/2024</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1,050</w:t>
            </w:r>
          </w:p>
        </w:tc>
        <w:tc>
          <w:tcPr>
            <w:tcW w:w="40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681</w:t>
            </w: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15,049</w:t>
            </w:r>
          </w:p>
        </w:tc>
        <w:tc>
          <w:tcPr>
            <w:tcW w:w="60" w:type="dxa"/>
            <w:vAlign w:val="bottom"/>
          </w:tcPr>
          <w:p>
            <w:pPr>
              <w:spacing w:after="0"/>
              <w:rPr>
                <w:sz w:val="9"/>
                <w:szCs w:val="9"/>
                <w:color w:val="auto"/>
              </w:rPr>
            </w:pPr>
          </w:p>
        </w:tc>
        <w:tc>
          <w:tcPr>
            <w:tcW w:w="34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14,763</w:t>
            </w:r>
          </w:p>
        </w:tc>
        <w:tc>
          <w:tcPr>
            <w:tcW w:w="60" w:type="dxa"/>
            <w:vAlign w:val="bottom"/>
          </w:tcPr>
          <w:p>
            <w:pPr>
              <w:spacing w:after="0"/>
              <w:rPr>
                <w:sz w:val="9"/>
                <w:szCs w:val="9"/>
                <w:color w:val="auto"/>
              </w:rPr>
            </w:pPr>
          </w:p>
        </w:tc>
        <w:tc>
          <w:tcPr>
            <w:tcW w:w="520" w:type="dxa"/>
            <w:vAlign w:val="bottom"/>
            <w:gridSpan w:val="2"/>
          </w:tcPr>
          <w:p>
            <w:pPr>
              <w:jc w:val="right"/>
              <w:ind w:right="40"/>
              <w:spacing w:after="0" w:line="111" w:lineRule="exact"/>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203440" cy="450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65" w:right="1440" w:bottom="1440" w:gutter="0" w:footer="0" w:header="0"/>
        </w:sectPr>
      </w:pPr>
    </w:p>
    <w:bookmarkStart w:id="33" w:name="page34"/>
    <w:bookmarkEnd w:id="33"/>
    <w:p>
      <w:pPr>
        <w:spacing w:after="0" w:line="103" w:lineRule="exact"/>
        <w:rPr>
          <w:sz w:val="20"/>
          <w:szCs w:val="20"/>
          <w:color w:val="auto"/>
        </w:rPr>
      </w:pPr>
    </w:p>
    <w:tbl>
      <w:tblPr>
        <w:tblLayout w:type="fixed"/>
        <w:tblInd w:w="320" w:type="dxa"/>
        <w:tblCellMar>
          <w:top w:w="0" w:type="dxa"/>
          <w:left w:w="0" w:type="dxa"/>
          <w:bottom w:w="0" w:type="dxa"/>
          <w:right w:w="0" w:type="dxa"/>
        </w:tblCellMar>
      </w:tblPr>
      <w:tr>
        <w:trPr>
          <w:trHeight w:val="115"/>
        </w:trPr>
        <w:tc>
          <w:tcPr>
            <w:tcW w:w="116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Portfolio Company (a)(b)</w:t>
            </w:r>
          </w:p>
        </w:tc>
        <w:tc>
          <w:tcPr>
            <w:tcW w:w="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209"/>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w w:val="97"/>
              </w:rPr>
              <w:t>Address of Portfolio Company</w:t>
            </w:r>
          </w:p>
        </w:tc>
        <w:tc>
          <w:tcPr>
            <w:tcW w:w="40" w:type="dxa"/>
            <w:vAlign w:val="bottom"/>
          </w:tcPr>
          <w:p>
            <w:pPr>
              <w:spacing w:after="0"/>
              <w:rPr>
                <w:sz w:val="18"/>
                <w:szCs w:val="18"/>
                <w:color w:val="auto"/>
              </w:rPr>
            </w:pPr>
          </w:p>
        </w:tc>
        <w:tc>
          <w:tcPr>
            <w:tcW w:w="14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9"/>
                <w:szCs w:val="9"/>
                <w:b w:val="1"/>
                <w:bCs w:val="1"/>
                <w:color w:val="auto"/>
              </w:rPr>
              <w:t>Investment Type (c)</w:t>
            </w:r>
          </w:p>
        </w:tc>
        <w:tc>
          <w:tcPr>
            <w:tcW w:w="40" w:type="dxa"/>
            <w:vAlign w:val="bottom"/>
          </w:tcPr>
          <w:p>
            <w:pPr>
              <w:spacing w:after="0"/>
              <w:rPr>
                <w:sz w:val="18"/>
                <w:szCs w:val="18"/>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9"/>
                <w:szCs w:val="9"/>
                <w:b w:val="1"/>
                <w:bCs w:val="1"/>
                <w:color w:val="auto"/>
              </w:rPr>
              <w:t>Industry</w:t>
            </w:r>
          </w:p>
        </w:tc>
      </w:tr>
      <w:tr>
        <w:trPr>
          <w:trHeight w:val="70"/>
        </w:trPr>
        <w:tc>
          <w:tcPr>
            <w:tcW w:w="1160" w:type="dxa"/>
            <w:vAlign w:val="bottom"/>
          </w:tcPr>
          <w:p>
            <w:pPr>
              <w:spacing w:after="0" w:line="70" w:lineRule="exact"/>
              <w:rPr>
                <w:sz w:val="20"/>
                <w:szCs w:val="20"/>
                <w:color w:val="auto"/>
              </w:rPr>
            </w:pPr>
            <w:r>
              <w:rPr>
                <w:rFonts w:ascii="Times New Roman" w:cs="Times New Roman" w:eastAsia="Times New Roman" w:hAnsi="Times New Roman"/>
                <w:sz w:val="8"/>
                <w:szCs w:val="8"/>
                <w:i w:val="1"/>
                <w:iCs w:val="1"/>
                <w:color w:val="auto"/>
              </w:rPr>
              <w:t>True Environmental Inc.</w:t>
            </w:r>
          </w:p>
        </w:tc>
        <w:tc>
          <w:tcPr>
            <w:tcW w:w="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line="70" w:lineRule="exact"/>
              <w:rPr>
                <w:sz w:val="20"/>
                <w:szCs w:val="20"/>
                <w:color w:val="auto"/>
              </w:rPr>
            </w:pPr>
            <w:r>
              <w:rPr>
                <w:rFonts w:ascii="Times New Roman" w:cs="Times New Roman" w:eastAsia="Times New Roman" w:hAnsi="Times New Roman"/>
                <w:sz w:val="8"/>
                <w:szCs w:val="8"/>
                <w:color w:val="auto"/>
              </w:rPr>
              <w:t>Business Services</w:t>
            </w:r>
          </w:p>
        </w:tc>
      </w:tr>
      <w:tr>
        <w:trPr>
          <w:trHeight w:val="123"/>
        </w:trPr>
        <w:tc>
          <w:tcPr>
            <w:tcW w:w="116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767 5th Ave, FL 44</w:t>
            </w:r>
          </w:p>
        </w:tc>
        <w:tc>
          <w:tcPr>
            <w:tcW w:w="4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0"/>
                <w:szCs w:val="10"/>
                <w:color w:val="auto"/>
              </w:rPr>
              <w:t>First Lien Debt (j)(bj)</w:t>
            </w: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84"/>
        </w:trPr>
        <w:tc>
          <w:tcPr>
            <w:tcW w:w="116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New York, NY 10153</w:t>
            </w:r>
          </w:p>
        </w:tc>
        <w:tc>
          <w:tcPr>
            <w:tcW w:w="40" w:type="dxa"/>
            <w:vAlign w:val="bottom"/>
          </w:tcPr>
          <w:p>
            <w:pPr>
              <w:spacing w:after="0"/>
              <w:rPr>
                <w:sz w:val="16"/>
                <w:szCs w:val="16"/>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0"/>
                <w:szCs w:val="10"/>
                <w:color w:val="auto"/>
              </w:rPr>
              <w:t>First Lien Debt ($1,125</w:t>
            </w: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03"/>
        </w:trPr>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0" w:type="dxa"/>
            <w:vAlign w:val="bottom"/>
          </w:tcPr>
          <w:p>
            <w:pPr>
              <w:spacing w:after="0" w:line="103" w:lineRule="exact"/>
              <w:rPr>
                <w:sz w:val="20"/>
                <w:szCs w:val="20"/>
                <w:color w:val="auto"/>
              </w:rPr>
            </w:pPr>
            <w:r>
              <w:rPr>
                <w:rFonts w:ascii="Times New Roman" w:cs="Times New Roman" w:eastAsia="Times New Roman" w:hAnsi="Times New Roman"/>
                <w:sz w:val="10"/>
                <w:szCs w:val="10"/>
                <w:color w:val="auto"/>
              </w:rPr>
              <w:t>unfunded commitment) (bj)</w:t>
            </w: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03"/>
        </w:trPr>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0" w:type="dxa"/>
            <w:vAlign w:val="bottom"/>
          </w:tcPr>
          <w:p>
            <w:pPr>
              <w:spacing w:after="0" w:line="103" w:lineRule="exact"/>
              <w:rPr>
                <w:sz w:val="20"/>
                <w:szCs w:val="20"/>
                <w:color w:val="auto"/>
              </w:rPr>
            </w:pPr>
            <w:r>
              <w:rPr>
                <w:rFonts w:ascii="Times New Roman" w:cs="Times New Roman" w:eastAsia="Times New Roman" w:hAnsi="Times New Roman"/>
                <w:sz w:val="10"/>
                <w:szCs w:val="10"/>
                <w:color w:val="auto"/>
              </w:rPr>
              <w:t>First Lien Debt ($2,250</w:t>
            </w: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03"/>
        </w:trPr>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0" w:type="dxa"/>
            <w:vAlign w:val="bottom"/>
          </w:tcPr>
          <w:p>
            <w:pPr>
              <w:spacing w:after="0" w:line="103" w:lineRule="exact"/>
              <w:rPr>
                <w:sz w:val="20"/>
                <w:szCs w:val="20"/>
                <w:color w:val="auto"/>
              </w:rPr>
            </w:pPr>
            <w:r>
              <w:rPr>
                <w:rFonts w:ascii="Times New Roman" w:cs="Times New Roman" w:eastAsia="Times New Roman" w:hAnsi="Times New Roman"/>
                <w:sz w:val="10"/>
                <w:szCs w:val="10"/>
                <w:color w:val="auto"/>
              </w:rPr>
              <w:t>unfunded commitment) (bj)</w:t>
            </w: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23"/>
        </w:trPr>
        <w:tc>
          <w:tcPr>
            <w:tcW w:w="1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0"/>
                <w:szCs w:val="10"/>
                <w:color w:val="auto"/>
                <w:w w:val="95"/>
              </w:rPr>
              <w:t>Common Equity (312,500 units) (h)</w:t>
            </w: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256"/>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UBEO, LLC</w:t>
            </w:r>
          </w:p>
        </w:tc>
        <w:tc>
          <w:tcPr>
            <w:tcW w:w="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Business Services</w:t>
            </w:r>
          </w:p>
        </w:tc>
      </w:tr>
      <w:tr>
        <w:trPr>
          <w:trHeight w:val="103"/>
        </w:trPr>
        <w:tc>
          <w:tcPr>
            <w:tcW w:w="1160" w:type="dxa"/>
            <w:vAlign w:val="bottom"/>
          </w:tcPr>
          <w:p>
            <w:pPr>
              <w:ind w:left="200"/>
              <w:spacing w:after="0" w:line="103" w:lineRule="exact"/>
              <w:rPr>
                <w:sz w:val="20"/>
                <w:szCs w:val="20"/>
                <w:color w:val="auto"/>
              </w:rPr>
            </w:pPr>
            <w:r>
              <w:rPr>
                <w:rFonts w:ascii="Times New Roman" w:cs="Times New Roman" w:eastAsia="Times New Roman" w:hAnsi="Times New Roman"/>
                <w:sz w:val="10"/>
                <w:szCs w:val="10"/>
                <w:color w:val="auto"/>
                <w:w w:val="98"/>
              </w:rPr>
              <w:t>401 East Sonterra Blvd,</w:t>
            </w:r>
          </w:p>
        </w:tc>
        <w:tc>
          <w:tcPr>
            <w:tcW w:w="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03"/>
        </w:trPr>
        <w:tc>
          <w:tcPr>
            <w:tcW w:w="1160" w:type="dxa"/>
            <w:vAlign w:val="bottom"/>
          </w:tcPr>
          <w:p>
            <w:pPr>
              <w:ind w:left="280"/>
              <w:spacing w:after="0" w:line="103" w:lineRule="exact"/>
              <w:rPr>
                <w:sz w:val="20"/>
                <w:szCs w:val="20"/>
                <w:color w:val="auto"/>
              </w:rPr>
            </w:pPr>
            <w:r>
              <w:rPr>
                <w:rFonts w:ascii="Times New Roman" w:cs="Times New Roman" w:eastAsia="Times New Roman" w:hAnsi="Times New Roman"/>
                <w:sz w:val="10"/>
                <w:szCs w:val="10"/>
                <w:color w:val="auto"/>
              </w:rPr>
              <w:t>Suite 350</w:t>
            </w:r>
          </w:p>
        </w:tc>
        <w:tc>
          <w:tcPr>
            <w:tcW w:w="40" w:type="dxa"/>
            <w:vAlign w:val="bottom"/>
          </w:tcPr>
          <w:p>
            <w:pPr>
              <w:spacing w:after="0"/>
              <w:rPr>
                <w:sz w:val="8"/>
                <w:szCs w:val="8"/>
                <w:color w:val="auto"/>
              </w:rPr>
            </w:pPr>
          </w:p>
        </w:tc>
        <w:tc>
          <w:tcPr>
            <w:tcW w:w="1400" w:type="dxa"/>
            <w:vAlign w:val="bottom"/>
          </w:tcPr>
          <w:p>
            <w:pPr>
              <w:spacing w:after="0" w:line="103" w:lineRule="exact"/>
              <w:rPr>
                <w:sz w:val="20"/>
                <w:szCs w:val="20"/>
                <w:color w:val="auto"/>
              </w:rPr>
            </w:pPr>
            <w:r>
              <w:rPr>
                <w:rFonts w:ascii="Times New Roman" w:cs="Times New Roman" w:eastAsia="Times New Roman" w:hAnsi="Times New Roman"/>
                <w:sz w:val="10"/>
                <w:szCs w:val="10"/>
                <w:color w:val="auto"/>
                <w:w w:val="95"/>
              </w:rPr>
              <w:t>Common Equity (705,000 units) (h)</w:t>
            </w: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23"/>
        </w:trPr>
        <w:tc>
          <w:tcPr>
            <w:tcW w:w="1160" w:type="dxa"/>
            <w:vAlign w:val="bottom"/>
          </w:tcPr>
          <w:p>
            <w:pPr>
              <w:ind w:left="200"/>
              <w:spacing w:after="0"/>
              <w:rPr>
                <w:sz w:val="20"/>
                <w:szCs w:val="20"/>
                <w:color w:val="auto"/>
              </w:rPr>
            </w:pPr>
            <w:r>
              <w:rPr>
                <w:rFonts w:ascii="Times New Roman" w:cs="Times New Roman" w:eastAsia="Times New Roman" w:hAnsi="Times New Roman"/>
                <w:sz w:val="10"/>
                <w:szCs w:val="10"/>
                <w:color w:val="auto"/>
                <w:w w:val="97"/>
              </w:rPr>
              <w:t>San Antonio, TX 78258</w:t>
            </w:r>
          </w:p>
        </w:tc>
        <w:tc>
          <w:tcPr>
            <w:tcW w:w="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33"/>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United Biologics, LLC</w:t>
            </w:r>
          </w:p>
        </w:tc>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Healthcare Services</w:t>
            </w:r>
          </w:p>
        </w:tc>
      </w:tr>
      <w:tr>
        <w:trPr>
          <w:trHeight w:val="103"/>
        </w:trPr>
        <w:tc>
          <w:tcPr>
            <w:tcW w:w="1160" w:type="dxa"/>
            <w:vAlign w:val="bottom"/>
          </w:tcPr>
          <w:p>
            <w:pPr>
              <w:ind w:left="200"/>
              <w:spacing w:after="0" w:line="103" w:lineRule="exact"/>
              <w:rPr>
                <w:sz w:val="20"/>
                <w:szCs w:val="20"/>
                <w:color w:val="auto"/>
              </w:rPr>
            </w:pPr>
            <w:r>
              <w:rPr>
                <w:rFonts w:ascii="Times New Roman" w:cs="Times New Roman" w:eastAsia="Times New Roman" w:hAnsi="Times New Roman"/>
                <w:sz w:val="10"/>
                <w:szCs w:val="10"/>
                <w:color w:val="auto"/>
              </w:rPr>
              <w:t>70 NE Loop 410, Suite</w:t>
            </w:r>
          </w:p>
        </w:tc>
        <w:tc>
          <w:tcPr>
            <w:tcW w:w="40" w:type="dxa"/>
            <w:vAlign w:val="bottom"/>
          </w:tcPr>
          <w:p>
            <w:pPr>
              <w:spacing w:after="0"/>
              <w:rPr>
                <w:sz w:val="8"/>
                <w:szCs w:val="8"/>
                <w:color w:val="auto"/>
              </w:rPr>
            </w:pPr>
          </w:p>
        </w:tc>
        <w:tc>
          <w:tcPr>
            <w:tcW w:w="1400" w:type="dxa"/>
            <w:vAlign w:val="bottom"/>
          </w:tcPr>
          <w:p>
            <w:pPr>
              <w:spacing w:after="0" w:line="103" w:lineRule="exact"/>
              <w:rPr>
                <w:sz w:val="20"/>
                <w:szCs w:val="20"/>
                <w:color w:val="auto"/>
              </w:rPr>
            </w:pPr>
            <w:r>
              <w:rPr>
                <w:rFonts w:ascii="Times New Roman" w:cs="Times New Roman" w:eastAsia="Times New Roman" w:hAnsi="Times New Roman"/>
                <w:sz w:val="10"/>
                <w:szCs w:val="10"/>
                <w:color w:val="auto"/>
                <w:w w:val="99"/>
              </w:rPr>
              <w:t>Preferred Equity (98,377 units) (h)</w:t>
            </w: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03"/>
        </w:trPr>
        <w:tc>
          <w:tcPr>
            <w:tcW w:w="1160" w:type="dxa"/>
            <w:vAlign w:val="bottom"/>
          </w:tcPr>
          <w:p>
            <w:pPr>
              <w:ind w:left="280"/>
              <w:spacing w:after="0" w:line="103" w:lineRule="exact"/>
              <w:rPr>
                <w:sz w:val="20"/>
                <w:szCs w:val="20"/>
                <w:color w:val="auto"/>
              </w:rPr>
            </w:pPr>
            <w:r>
              <w:rPr>
                <w:rFonts w:ascii="Times New Roman" w:cs="Times New Roman" w:eastAsia="Times New Roman" w:hAnsi="Times New Roman"/>
                <w:sz w:val="10"/>
                <w:szCs w:val="10"/>
                <w:color w:val="auto"/>
              </w:rPr>
              <w:t>600</w:t>
            </w:r>
          </w:p>
        </w:tc>
        <w:tc>
          <w:tcPr>
            <w:tcW w:w="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23"/>
        </w:trPr>
        <w:tc>
          <w:tcPr>
            <w:tcW w:w="1160" w:type="dxa"/>
            <w:vAlign w:val="bottom"/>
          </w:tcPr>
          <w:p>
            <w:pPr>
              <w:ind w:left="200"/>
              <w:spacing w:after="0"/>
              <w:rPr>
                <w:sz w:val="20"/>
                <w:szCs w:val="20"/>
                <w:color w:val="auto"/>
              </w:rPr>
            </w:pPr>
            <w:r>
              <w:rPr>
                <w:rFonts w:ascii="Times New Roman" w:cs="Times New Roman" w:eastAsia="Times New Roman" w:hAnsi="Times New Roman"/>
                <w:sz w:val="10"/>
                <w:szCs w:val="10"/>
                <w:color w:val="auto"/>
                <w:w w:val="97"/>
              </w:rPr>
              <w:t>San Antonio, TX 78216</w:t>
            </w:r>
          </w:p>
        </w:tc>
        <w:tc>
          <w:tcPr>
            <w:tcW w:w="4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0"/>
                <w:szCs w:val="10"/>
                <w:color w:val="auto"/>
              </w:rPr>
              <w:t>Warrant (57,469 units) (m)</w:t>
            </w: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256"/>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USG AS Holdings, LLC</w:t>
            </w:r>
          </w:p>
        </w:tc>
        <w:tc>
          <w:tcPr>
            <w:tcW w:w="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Utilities: Services</w:t>
            </w:r>
          </w:p>
        </w:tc>
      </w:tr>
      <w:tr>
        <w:trPr>
          <w:trHeight w:val="103"/>
        </w:trPr>
        <w:tc>
          <w:tcPr>
            <w:tcW w:w="1160" w:type="dxa"/>
            <w:vAlign w:val="bottom"/>
          </w:tcPr>
          <w:p>
            <w:pPr>
              <w:ind w:left="200"/>
              <w:spacing w:after="0" w:line="103" w:lineRule="exact"/>
              <w:rPr>
                <w:sz w:val="20"/>
                <w:szCs w:val="20"/>
                <w:color w:val="auto"/>
              </w:rPr>
            </w:pPr>
            <w:r>
              <w:rPr>
                <w:rFonts w:ascii="Times New Roman" w:cs="Times New Roman" w:eastAsia="Times New Roman" w:hAnsi="Times New Roman"/>
                <w:sz w:val="10"/>
                <w:szCs w:val="10"/>
                <w:color w:val="auto"/>
              </w:rPr>
              <w:t>535 Courtney Hodges</w:t>
            </w:r>
          </w:p>
        </w:tc>
        <w:tc>
          <w:tcPr>
            <w:tcW w:w="40" w:type="dxa"/>
            <w:vAlign w:val="bottom"/>
          </w:tcPr>
          <w:p>
            <w:pPr>
              <w:spacing w:after="0"/>
              <w:rPr>
                <w:sz w:val="8"/>
                <w:szCs w:val="8"/>
                <w:color w:val="auto"/>
              </w:rPr>
            </w:pPr>
          </w:p>
        </w:tc>
        <w:tc>
          <w:tcPr>
            <w:tcW w:w="1400" w:type="dxa"/>
            <w:vAlign w:val="bottom"/>
          </w:tcPr>
          <w:p>
            <w:pPr>
              <w:spacing w:after="0" w:line="103" w:lineRule="exact"/>
              <w:rPr>
                <w:sz w:val="20"/>
                <w:szCs w:val="20"/>
                <w:color w:val="auto"/>
              </w:rPr>
            </w:pPr>
            <w:r>
              <w:rPr>
                <w:rFonts w:ascii="Times New Roman" w:cs="Times New Roman" w:eastAsia="Times New Roman" w:hAnsi="Times New Roman"/>
                <w:sz w:val="10"/>
                <w:szCs w:val="10"/>
                <w:color w:val="auto"/>
              </w:rPr>
              <w:t>Common Equity (Units N/A)</w:t>
            </w: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03"/>
        </w:trPr>
        <w:tc>
          <w:tcPr>
            <w:tcW w:w="1160" w:type="dxa"/>
            <w:vAlign w:val="bottom"/>
          </w:tcPr>
          <w:p>
            <w:pPr>
              <w:ind w:left="280"/>
              <w:spacing w:after="0" w:line="103" w:lineRule="exact"/>
              <w:rPr>
                <w:sz w:val="20"/>
                <w:szCs w:val="20"/>
                <w:color w:val="auto"/>
              </w:rPr>
            </w:pPr>
            <w:r>
              <w:rPr>
                <w:rFonts w:ascii="Times New Roman" w:cs="Times New Roman" w:eastAsia="Times New Roman" w:hAnsi="Times New Roman"/>
                <w:sz w:val="10"/>
                <w:szCs w:val="10"/>
                <w:color w:val="auto"/>
              </w:rPr>
              <w:t>Blvd</w:t>
            </w:r>
          </w:p>
        </w:tc>
        <w:tc>
          <w:tcPr>
            <w:tcW w:w="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23"/>
        </w:trPr>
        <w:tc>
          <w:tcPr>
            <w:tcW w:w="116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Perry, GA 31069</w:t>
            </w:r>
          </w:p>
        </w:tc>
        <w:tc>
          <w:tcPr>
            <w:tcW w:w="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31"/>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w w:val="99"/>
              </w:rPr>
              <w:t>Virginia Tile Company, LLC</w:t>
            </w:r>
          </w:p>
        </w:tc>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Specialty Distribution</w:t>
            </w:r>
          </w:p>
        </w:tc>
      </w:tr>
      <w:tr>
        <w:trPr>
          <w:trHeight w:val="105"/>
        </w:trPr>
        <w:tc>
          <w:tcPr>
            <w:tcW w:w="1160" w:type="dxa"/>
            <w:vAlign w:val="bottom"/>
          </w:tcPr>
          <w:p>
            <w:pPr>
              <w:ind w:left="100"/>
              <w:spacing w:after="0" w:line="105" w:lineRule="exact"/>
              <w:rPr>
                <w:sz w:val="20"/>
                <w:szCs w:val="20"/>
                <w:color w:val="auto"/>
              </w:rPr>
            </w:pPr>
            <w:r>
              <w:rPr>
                <w:rFonts w:ascii="Times New Roman" w:cs="Times New Roman" w:eastAsia="Times New Roman" w:hAnsi="Times New Roman"/>
                <w:sz w:val="10"/>
                <w:szCs w:val="10"/>
                <w:i w:val="1"/>
                <w:iCs w:val="1"/>
                <w:color w:val="auto"/>
              </w:rPr>
              <w:t>(n)</w:t>
            </w:r>
          </w:p>
        </w:tc>
        <w:tc>
          <w:tcPr>
            <w:tcW w:w="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103"/>
        </w:trPr>
        <w:tc>
          <w:tcPr>
            <w:tcW w:w="1160" w:type="dxa"/>
            <w:vAlign w:val="bottom"/>
          </w:tcPr>
          <w:p>
            <w:pPr>
              <w:ind w:left="200"/>
              <w:spacing w:after="0" w:line="103" w:lineRule="exact"/>
              <w:rPr>
                <w:sz w:val="20"/>
                <w:szCs w:val="20"/>
                <w:color w:val="auto"/>
              </w:rPr>
            </w:pPr>
            <w:r>
              <w:rPr>
                <w:rFonts w:ascii="Times New Roman" w:cs="Times New Roman" w:eastAsia="Times New Roman" w:hAnsi="Times New Roman"/>
                <w:sz w:val="10"/>
                <w:szCs w:val="10"/>
                <w:color w:val="auto"/>
              </w:rPr>
              <w:t>28320 Plymouth Road</w:t>
            </w:r>
          </w:p>
        </w:tc>
        <w:tc>
          <w:tcPr>
            <w:tcW w:w="40" w:type="dxa"/>
            <w:vAlign w:val="bottom"/>
          </w:tcPr>
          <w:p>
            <w:pPr>
              <w:spacing w:after="0"/>
              <w:rPr>
                <w:sz w:val="8"/>
                <w:szCs w:val="8"/>
                <w:color w:val="auto"/>
              </w:rPr>
            </w:pPr>
          </w:p>
        </w:tc>
        <w:tc>
          <w:tcPr>
            <w:tcW w:w="1400" w:type="dxa"/>
            <w:vAlign w:val="bottom"/>
          </w:tcPr>
          <w:p>
            <w:pPr>
              <w:spacing w:after="0" w:line="103" w:lineRule="exact"/>
              <w:rPr>
                <w:sz w:val="20"/>
                <w:szCs w:val="20"/>
                <w:color w:val="auto"/>
              </w:rPr>
            </w:pPr>
            <w:r>
              <w:rPr>
                <w:rFonts w:ascii="Times New Roman" w:cs="Times New Roman" w:eastAsia="Times New Roman" w:hAnsi="Times New Roman"/>
                <w:sz w:val="10"/>
                <w:szCs w:val="10"/>
                <w:color w:val="auto"/>
              </w:rPr>
              <w:t>Common Equity (Units N/A)</w:t>
            </w: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23"/>
        </w:trPr>
        <w:tc>
          <w:tcPr>
            <w:tcW w:w="116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Livonia, MI 48150</w:t>
            </w:r>
          </w:p>
        </w:tc>
        <w:tc>
          <w:tcPr>
            <w:tcW w:w="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33"/>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Virtex Enterprises, LP</w:t>
            </w:r>
          </w:p>
        </w:tc>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w w:val="99"/>
              </w:rPr>
              <w:t>Component Manufacturing</w:t>
            </w:r>
          </w:p>
        </w:tc>
      </w:tr>
      <w:tr>
        <w:trPr>
          <w:trHeight w:val="123"/>
        </w:trPr>
        <w:tc>
          <w:tcPr>
            <w:tcW w:w="116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2801 E Plano Pkwy</w:t>
            </w:r>
          </w:p>
        </w:tc>
        <w:tc>
          <w:tcPr>
            <w:tcW w:w="4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0"/>
                <w:szCs w:val="10"/>
                <w:color w:val="auto"/>
              </w:rPr>
              <w:t>Second Lien Debt (y)</w:t>
            </w: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205"/>
        </w:trPr>
        <w:tc>
          <w:tcPr>
            <w:tcW w:w="116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Plano, Texas 75074</w:t>
            </w:r>
          </w:p>
        </w:tc>
        <w:tc>
          <w:tcPr>
            <w:tcW w:w="4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0"/>
                <w:szCs w:val="10"/>
                <w:color w:val="auto"/>
              </w:rPr>
              <w:t>Subordinated Debt (y)</w:t>
            </w: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357"/>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VMS MSO, LLC (dba Vytal</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Healthcare Services</w:t>
            </w:r>
          </w:p>
        </w:tc>
      </w:tr>
      <w:tr>
        <w:trPr>
          <w:trHeight w:val="105"/>
        </w:trPr>
        <w:tc>
          <w:tcPr>
            <w:tcW w:w="1160" w:type="dxa"/>
            <w:vAlign w:val="bottom"/>
          </w:tcPr>
          <w:p>
            <w:pPr>
              <w:ind w:left="100"/>
              <w:spacing w:after="0" w:line="105" w:lineRule="exact"/>
              <w:rPr>
                <w:sz w:val="20"/>
                <w:szCs w:val="20"/>
                <w:color w:val="auto"/>
              </w:rPr>
            </w:pPr>
            <w:r>
              <w:rPr>
                <w:rFonts w:ascii="Times New Roman" w:cs="Times New Roman" w:eastAsia="Times New Roman" w:hAnsi="Times New Roman"/>
                <w:sz w:val="10"/>
                <w:szCs w:val="10"/>
                <w:i w:val="1"/>
                <w:iCs w:val="1"/>
                <w:color w:val="auto"/>
              </w:rPr>
              <w:t>Health Partners)</w:t>
            </w:r>
          </w:p>
        </w:tc>
        <w:tc>
          <w:tcPr>
            <w:tcW w:w="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103"/>
        </w:trPr>
        <w:tc>
          <w:tcPr>
            <w:tcW w:w="1160" w:type="dxa"/>
            <w:vAlign w:val="bottom"/>
          </w:tcPr>
          <w:p>
            <w:pPr>
              <w:ind w:left="200"/>
              <w:spacing w:after="0" w:line="103" w:lineRule="exact"/>
              <w:rPr>
                <w:sz w:val="20"/>
                <w:szCs w:val="20"/>
                <w:color w:val="auto"/>
              </w:rPr>
            </w:pPr>
            <w:r>
              <w:rPr>
                <w:rFonts w:ascii="Times New Roman" w:cs="Times New Roman" w:eastAsia="Times New Roman" w:hAnsi="Times New Roman"/>
                <w:sz w:val="10"/>
                <w:szCs w:val="10"/>
                <w:color w:val="auto"/>
              </w:rPr>
              <w:t>1230 Park Avenue</w:t>
            </w:r>
          </w:p>
        </w:tc>
        <w:tc>
          <w:tcPr>
            <w:tcW w:w="40" w:type="dxa"/>
            <w:vAlign w:val="bottom"/>
          </w:tcPr>
          <w:p>
            <w:pPr>
              <w:spacing w:after="0"/>
              <w:rPr>
                <w:sz w:val="8"/>
                <w:szCs w:val="8"/>
                <w:color w:val="auto"/>
              </w:rPr>
            </w:pPr>
          </w:p>
        </w:tc>
        <w:tc>
          <w:tcPr>
            <w:tcW w:w="1400" w:type="dxa"/>
            <w:vAlign w:val="bottom"/>
          </w:tcPr>
          <w:p>
            <w:pPr>
              <w:spacing w:after="0" w:line="103" w:lineRule="exact"/>
              <w:rPr>
                <w:sz w:val="20"/>
                <w:szCs w:val="20"/>
                <w:color w:val="auto"/>
              </w:rPr>
            </w:pPr>
            <w:r>
              <w:rPr>
                <w:rFonts w:ascii="Times New Roman" w:cs="Times New Roman" w:eastAsia="Times New Roman" w:hAnsi="Times New Roman"/>
                <w:sz w:val="10"/>
                <w:szCs w:val="10"/>
                <w:color w:val="auto"/>
              </w:rPr>
              <w:t>First Lien Debt</w:t>
            </w: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03"/>
        </w:trPr>
        <w:tc>
          <w:tcPr>
            <w:tcW w:w="1160" w:type="dxa"/>
            <w:vAlign w:val="bottom"/>
          </w:tcPr>
          <w:p>
            <w:pPr>
              <w:ind w:left="200"/>
              <w:spacing w:after="0" w:line="103" w:lineRule="exact"/>
              <w:rPr>
                <w:sz w:val="20"/>
                <w:szCs w:val="20"/>
                <w:color w:val="auto"/>
              </w:rPr>
            </w:pPr>
            <w:r>
              <w:rPr>
                <w:rFonts w:ascii="Times New Roman" w:cs="Times New Roman" w:eastAsia="Times New Roman" w:hAnsi="Times New Roman"/>
                <w:sz w:val="10"/>
                <w:szCs w:val="10"/>
                <w:color w:val="auto"/>
              </w:rPr>
              <w:t>Amherst, OH 44001</w:t>
            </w:r>
          </w:p>
        </w:tc>
        <w:tc>
          <w:tcPr>
            <w:tcW w:w="40" w:type="dxa"/>
            <w:vAlign w:val="bottom"/>
          </w:tcPr>
          <w:p>
            <w:pPr>
              <w:spacing w:after="0"/>
              <w:rPr>
                <w:sz w:val="8"/>
                <w:szCs w:val="8"/>
                <w:color w:val="auto"/>
              </w:rPr>
            </w:pPr>
          </w:p>
        </w:tc>
        <w:tc>
          <w:tcPr>
            <w:tcW w:w="1400" w:type="dxa"/>
            <w:vAlign w:val="bottom"/>
          </w:tcPr>
          <w:p>
            <w:pPr>
              <w:spacing w:after="0" w:line="103" w:lineRule="exact"/>
              <w:rPr>
                <w:sz w:val="20"/>
                <w:szCs w:val="20"/>
                <w:color w:val="auto"/>
              </w:rPr>
            </w:pPr>
            <w:r>
              <w:rPr>
                <w:rFonts w:ascii="Times New Roman" w:cs="Times New Roman" w:eastAsia="Times New Roman" w:hAnsi="Times New Roman"/>
                <w:sz w:val="10"/>
                <w:szCs w:val="10"/>
                <w:color w:val="auto"/>
              </w:rPr>
              <w:t>Revolving Loan ($1,500</w:t>
            </w: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23"/>
        </w:trPr>
        <w:tc>
          <w:tcPr>
            <w:tcW w:w="1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0"/>
                <w:szCs w:val="10"/>
                <w:color w:val="auto"/>
              </w:rPr>
              <w:t>unfunded commitment) (i)</w:t>
            </w: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256"/>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W50 Holdings, LLC</w:t>
            </w:r>
          </w:p>
        </w:tc>
        <w:tc>
          <w:tcPr>
            <w:tcW w:w="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Business Services</w:t>
            </w:r>
          </w:p>
        </w:tc>
      </w:tr>
      <w:tr>
        <w:trPr>
          <w:trHeight w:val="103"/>
        </w:trPr>
        <w:tc>
          <w:tcPr>
            <w:tcW w:w="1160" w:type="dxa"/>
            <w:vAlign w:val="bottom"/>
          </w:tcPr>
          <w:p>
            <w:pPr>
              <w:ind w:left="200"/>
              <w:spacing w:after="0" w:line="103" w:lineRule="exact"/>
              <w:rPr>
                <w:sz w:val="20"/>
                <w:szCs w:val="20"/>
                <w:color w:val="auto"/>
              </w:rPr>
            </w:pPr>
            <w:r>
              <w:rPr>
                <w:rFonts w:ascii="Times New Roman" w:cs="Times New Roman" w:eastAsia="Times New Roman" w:hAnsi="Times New Roman"/>
                <w:sz w:val="10"/>
                <w:szCs w:val="10"/>
                <w:color w:val="auto"/>
              </w:rPr>
              <w:t>3525 Piedmont Rd. NE</w:t>
            </w:r>
          </w:p>
        </w:tc>
        <w:tc>
          <w:tcPr>
            <w:tcW w:w="40" w:type="dxa"/>
            <w:vAlign w:val="bottom"/>
          </w:tcPr>
          <w:p>
            <w:pPr>
              <w:spacing w:after="0"/>
              <w:rPr>
                <w:sz w:val="8"/>
                <w:szCs w:val="8"/>
                <w:color w:val="auto"/>
              </w:rPr>
            </w:pPr>
          </w:p>
        </w:tc>
        <w:tc>
          <w:tcPr>
            <w:tcW w:w="1400" w:type="dxa"/>
            <w:vAlign w:val="bottom"/>
          </w:tcPr>
          <w:p>
            <w:pPr>
              <w:spacing w:after="0" w:line="103" w:lineRule="exact"/>
              <w:rPr>
                <w:sz w:val="20"/>
                <w:szCs w:val="20"/>
                <w:color w:val="auto"/>
              </w:rPr>
            </w:pPr>
            <w:r>
              <w:rPr>
                <w:rFonts w:ascii="Times New Roman" w:cs="Times New Roman" w:eastAsia="Times New Roman" w:hAnsi="Times New Roman"/>
                <w:sz w:val="10"/>
                <w:szCs w:val="10"/>
                <w:color w:val="auto"/>
              </w:rPr>
              <w:t>Subordinated Debt</w:t>
            </w: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03"/>
        </w:trPr>
        <w:tc>
          <w:tcPr>
            <w:tcW w:w="1160" w:type="dxa"/>
            <w:vAlign w:val="bottom"/>
          </w:tcPr>
          <w:p>
            <w:pPr>
              <w:ind w:left="200"/>
              <w:spacing w:after="0" w:line="103" w:lineRule="exact"/>
              <w:rPr>
                <w:sz w:val="20"/>
                <w:szCs w:val="20"/>
                <w:color w:val="auto"/>
              </w:rPr>
            </w:pPr>
            <w:r>
              <w:rPr>
                <w:rFonts w:ascii="Times New Roman" w:cs="Times New Roman" w:eastAsia="Times New Roman" w:hAnsi="Times New Roman"/>
                <w:sz w:val="10"/>
                <w:szCs w:val="10"/>
                <w:color w:val="auto"/>
              </w:rPr>
              <w:t>Atlanta, GA 30305</w:t>
            </w:r>
          </w:p>
        </w:tc>
        <w:tc>
          <w:tcPr>
            <w:tcW w:w="40" w:type="dxa"/>
            <w:vAlign w:val="bottom"/>
          </w:tcPr>
          <w:p>
            <w:pPr>
              <w:spacing w:after="0"/>
              <w:rPr>
                <w:sz w:val="8"/>
                <w:szCs w:val="8"/>
                <w:color w:val="auto"/>
              </w:rPr>
            </w:pPr>
          </w:p>
        </w:tc>
        <w:tc>
          <w:tcPr>
            <w:tcW w:w="1400" w:type="dxa"/>
            <w:vAlign w:val="bottom"/>
          </w:tcPr>
          <w:p>
            <w:pPr>
              <w:spacing w:after="0" w:line="103" w:lineRule="exact"/>
              <w:rPr>
                <w:sz w:val="20"/>
                <w:szCs w:val="20"/>
                <w:color w:val="auto"/>
              </w:rPr>
            </w:pPr>
            <w:r>
              <w:rPr>
                <w:rFonts w:ascii="Times New Roman" w:cs="Times New Roman" w:eastAsia="Times New Roman" w:hAnsi="Times New Roman"/>
                <w:sz w:val="10"/>
                <w:szCs w:val="10"/>
                <w:color w:val="auto"/>
                <w:w w:val="96"/>
              </w:rPr>
              <w:t>Common Equity (Units N/A) ($100</w:t>
            </w: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23"/>
        </w:trPr>
        <w:tc>
          <w:tcPr>
            <w:tcW w:w="1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0"/>
                <w:szCs w:val="10"/>
                <w:color w:val="auto"/>
              </w:rPr>
              <w:t>unfunded commitment)</w:t>
            </w: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3"/>
        </w:trPr>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gridSpan w:val="2"/>
          </w:tcPr>
          <w:p>
            <w:pPr>
              <w:jc w:val="center"/>
              <w:ind w:right="40"/>
              <w:spacing w:after="0"/>
              <w:rPr>
                <w:sz w:val="20"/>
                <w:szCs w:val="20"/>
                <w:color w:val="auto"/>
              </w:rPr>
            </w:pPr>
            <w:r>
              <w:rPr>
                <w:rFonts w:ascii="Times New Roman" w:cs="Times New Roman" w:eastAsia="Times New Roman" w:hAnsi="Times New Roman"/>
                <w:sz w:val="9"/>
                <w:szCs w:val="9"/>
                <w:b w:val="1"/>
                <w:bCs w:val="1"/>
                <w:color w:val="auto"/>
                <w:w w:val="95"/>
              </w:rPr>
              <w:t>Variable</w:t>
            </w: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56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w w:val="98"/>
              </w:rPr>
              <w:t>Percentage</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Index Spread</w:t>
            </w:r>
          </w:p>
        </w:tc>
        <w:tc>
          <w:tcPr>
            <w:tcW w:w="6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9"/>
                <w:szCs w:val="9"/>
                <w:b w:val="1"/>
                <w:bCs w:val="1"/>
                <w:color w:val="auto"/>
                <w:w w:val="99"/>
              </w:rPr>
              <w:t>Rate (e)</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560" w:type="dxa"/>
            <w:vAlign w:val="bottom"/>
            <w:gridSpan w:val="2"/>
          </w:tcPr>
          <w:p>
            <w:pPr>
              <w:jc w:val="center"/>
              <w:ind w:right="140"/>
              <w:spacing w:after="0" w:line="93" w:lineRule="exact"/>
              <w:rPr>
                <w:sz w:val="20"/>
                <w:szCs w:val="20"/>
                <w:color w:val="auto"/>
              </w:rPr>
            </w:pPr>
            <w:r>
              <w:rPr>
                <w:rFonts w:ascii="Times New Roman" w:cs="Times New Roman" w:eastAsia="Times New Roman" w:hAnsi="Times New Roman"/>
                <w:sz w:val="9"/>
                <w:szCs w:val="9"/>
                <w:b w:val="1"/>
                <w:bCs w:val="1"/>
                <w:color w:val="auto"/>
                <w:w w:val="99"/>
              </w:rPr>
              <w:t>of Class</w:t>
            </w:r>
          </w:p>
        </w:tc>
        <w:tc>
          <w:tcPr>
            <w:tcW w:w="520" w:type="dxa"/>
            <w:vAlign w:val="bottom"/>
          </w:tcPr>
          <w:p>
            <w:pPr>
              <w:jc w:val="center"/>
              <w:spacing w:after="0" w:line="93" w:lineRule="exact"/>
              <w:rPr>
                <w:sz w:val="20"/>
                <w:szCs w:val="20"/>
                <w:color w:val="auto"/>
              </w:rPr>
            </w:pPr>
            <w:r>
              <w:rPr>
                <w:rFonts w:ascii="Times New Roman" w:cs="Times New Roman" w:eastAsia="Times New Roman" w:hAnsi="Times New Roman"/>
                <w:sz w:val="9"/>
                <w:szCs w:val="9"/>
                <w:b w:val="1"/>
                <w:bCs w:val="1"/>
                <w:color w:val="auto"/>
                <w:w w:val="77"/>
              </w:rPr>
              <w:t>/</w:t>
            </w:r>
          </w:p>
        </w:tc>
        <w:tc>
          <w:tcPr>
            <w:tcW w:w="4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560" w:type="dxa"/>
            <w:vAlign w:val="bottom"/>
            <w:gridSpan w:val="2"/>
          </w:tcPr>
          <w:p>
            <w:pPr>
              <w:ind w:left="40"/>
              <w:spacing w:after="0" w:line="93" w:lineRule="exact"/>
              <w:rPr>
                <w:sz w:val="20"/>
                <w:szCs w:val="20"/>
                <w:color w:val="auto"/>
              </w:rPr>
            </w:pPr>
            <w:r>
              <w:rPr>
                <w:rFonts w:ascii="Times New Roman" w:cs="Times New Roman" w:eastAsia="Times New Roman" w:hAnsi="Times New Roman"/>
                <w:sz w:val="9"/>
                <w:szCs w:val="9"/>
                <w:b w:val="1"/>
                <w:bCs w:val="1"/>
                <w:color w:val="auto"/>
              </w:rPr>
              <w:t>Investment</w:t>
            </w: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tcPr>
          <w:p>
            <w:pPr>
              <w:spacing w:after="0" w:line="93" w:lineRule="exact"/>
              <w:rPr>
                <w:sz w:val="20"/>
                <w:szCs w:val="20"/>
                <w:color w:val="auto"/>
              </w:rPr>
            </w:pPr>
            <w:r>
              <w:rPr>
                <w:rFonts w:ascii="Times New Roman" w:cs="Times New Roman" w:eastAsia="Times New Roman" w:hAnsi="Times New Roman"/>
                <w:sz w:val="9"/>
                <w:szCs w:val="9"/>
                <w:b w:val="1"/>
                <w:bCs w:val="1"/>
                <w:color w:val="auto"/>
              </w:rPr>
              <w:t>Principal</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gridSpan w:val="2"/>
          </w:tcPr>
          <w:p>
            <w:pPr>
              <w:ind w:left="100"/>
              <w:spacing w:after="0" w:line="93" w:lineRule="exact"/>
              <w:rPr>
                <w:sz w:val="20"/>
                <w:szCs w:val="20"/>
                <w:color w:val="auto"/>
              </w:rPr>
            </w:pPr>
            <w:r>
              <w:rPr>
                <w:rFonts w:ascii="Times New Roman" w:cs="Times New Roman" w:eastAsia="Times New Roman" w:hAnsi="Times New Roman"/>
                <w:sz w:val="9"/>
                <w:szCs w:val="9"/>
                <w:b w:val="1"/>
                <w:bCs w:val="1"/>
                <w:color w:val="auto"/>
              </w:rPr>
              <w:t>Fair</w:t>
            </w:r>
          </w:p>
        </w:tc>
        <w:tc>
          <w:tcPr>
            <w:tcW w:w="480" w:type="dxa"/>
            <w:vAlign w:val="bottom"/>
            <w:gridSpan w:val="2"/>
          </w:tcPr>
          <w:p>
            <w:pPr>
              <w:jc w:val="right"/>
              <w:ind w:right="80"/>
              <w:spacing w:after="0" w:line="93" w:lineRule="exact"/>
              <w:rPr>
                <w:sz w:val="20"/>
                <w:szCs w:val="20"/>
                <w:color w:val="auto"/>
              </w:rPr>
            </w:pPr>
            <w:r>
              <w:rPr>
                <w:rFonts w:ascii="Times New Roman" w:cs="Times New Roman" w:eastAsia="Times New Roman" w:hAnsi="Times New Roman"/>
                <w:sz w:val="9"/>
                <w:szCs w:val="9"/>
                <w:b w:val="1"/>
                <w:bCs w:val="1"/>
                <w:color w:val="auto"/>
                <w:w w:val="96"/>
              </w:rPr>
              <w:t>Percent of</w:t>
            </w:r>
          </w:p>
        </w:tc>
        <w:tc>
          <w:tcPr>
            <w:tcW w:w="0" w:type="dxa"/>
            <w:vAlign w:val="bottom"/>
          </w:tcPr>
          <w:p>
            <w:pPr>
              <w:spacing w:after="0"/>
              <w:rPr>
                <w:sz w:val="1"/>
                <w:szCs w:val="1"/>
                <w:color w:val="auto"/>
              </w:rPr>
            </w:pPr>
          </w:p>
        </w:tc>
      </w:tr>
      <w:tr>
        <w:trPr>
          <w:trHeight w:val="120"/>
        </w:trPr>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Held (bo)</w:t>
            </w:r>
          </w:p>
        </w:tc>
        <w:tc>
          <w:tcPr>
            <w:tcW w:w="140" w:type="dxa"/>
            <w:vAlign w:val="bottom"/>
          </w:tcPr>
          <w:p>
            <w:pPr>
              <w:spacing w:after="0"/>
              <w:rPr>
                <w:sz w:val="10"/>
                <w:szCs w:val="10"/>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Floor (d)</w:t>
            </w:r>
          </w:p>
        </w:tc>
        <w:tc>
          <w:tcPr>
            <w:tcW w:w="40" w:type="dxa"/>
            <w:vAlign w:val="bottom"/>
          </w:tcPr>
          <w:p>
            <w:pPr>
              <w:spacing w:after="0"/>
              <w:rPr>
                <w:sz w:val="10"/>
                <w:szCs w:val="10"/>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Cash/PIK</w:t>
            </w:r>
          </w:p>
        </w:tc>
        <w:tc>
          <w:tcPr>
            <w:tcW w:w="40" w:type="dxa"/>
            <w:vAlign w:val="bottom"/>
          </w:tcPr>
          <w:p>
            <w:pPr>
              <w:spacing w:after="0"/>
              <w:rPr>
                <w:sz w:val="10"/>
                <w:szCs w:val="10"/>
                <w:color w:val="auto"/>
              </w:rPr>
            </w:pPr>
          </w:p>
        </w:tc>
        <w:tc>
          <w:tcPr>
            <w:tcW w:w="4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b w:val="1"/>
                <w:bCs w:val="1"/>
                <w:color w:val="auto"/>
              </w:rPr>
              <w:t>Date (f)</w:t>
            </w:r>
          </w:p>
        </w:tc>
        <w:tc>
          <w:tcPr>
            <w:tcW w:w="80" w:type="dxa"/>
            <w:vAlign w:val="bottom"/>
          </w:tcPr>
          <w:p>
            <w:pPr>
              <w:spacing w:after="0"/>
              <w:rPr>
                <w:sz w:val="10"/>
                <w:szCs w:val="10"/>
                <w:color w:val="auto"/>
              </w:rPr>
            </w:pPr>
          </w:p>
        </w:tc>
        <w:tc>
          <w:tcPr>
            <w:tcW w:w="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9"/>
                <w:szCs w:val="9"/>
                <w:b w:val="1"/>
                <w:bCs w:val="1"/>
                <w:color w:val="auto"/>
              </w:rPr>
              <w:t>Maturity</w:t>
            </w:r>
          </w:p>
        </w:tc>
        <w:tc>
          <w:tcPr>
            <w:tcW w:w="80" w:type="dxa"/>
            <w:vAlign w:val="bottom"/>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b w:val="1"/>
                <w:bCs w:val="1"/>
                <w:color w:val="auto"/>
              </w:rPr>
              <w:t>Amount</w:t>
            </w:r>
          </w:p>
        </w:tc>
        <w:tc>
          <w:tcPr>
            <w:tcW w:w="60" w:type="dxa"/>
            <w:vAlign w:val="bottom"/>
          </w:tcPr>
          <w:p>
            <w:pPr>
              <w:spacing w:after="0"/>
              <w:rPr>
                <w:sz w:val="10"/>
                <w:szCs w:val="10"/>
                <w:color w:val="auto"/>
              </w:rPr>
            </w:pPr>
          </w:p>
        </w:tc>
        <w:tc>
          <w:tcPr>
            <w:tcW w:w="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9"/>
                <w:szCs w:val="9"/>
                <w:b w:val="1"/>
                <w:bCs w:val="1"/>
                <w:color w:val="auto"/>
              </w:rPr>
              <w:t>Cost</w:t>
            </w:r>
          </w:p>
        </w:tc>
        <w:tc>
          <w:tcPr>
            <w:tcW w:w="100" w:type="dxa"/>
            <w:vAlign w:val="bottom"/>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b w:val="1"/>
                <w:bCs w:val="1"/>
                <w:color w:val="auto"/>
                <w:w w:val="96"/>
              </w:rPr>
              <w:t>Value (g)</w:t>
            </w:r>
          </w:p>
        </w:tc>
        <w:tc>
          <w:tcPr>
            <w:tcW w:w="60" w:type="dxa"/>
            <w:vAlign w:val="bottom"/>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b w:val="1"/>
                <w:bCs w:val="1"/>
                <w:color w:val="auto"/>
                <w:w w:val="95"/>
              </w:rPr>
              <w:t>Net Assets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 + 5.50%)</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line="103" w:lineRule="exact"/>
              <w:rPr>
                <w:sz w:val="20"/>
                <w:szCs w:val="20"/>
                <w:color w:val="auto"/>
              </w:rPr>
            </w:pPr>
            <w:r>
              <w:rPr>
                <w:rFonts w:ascii="Times New Roman" w:cs="Times New Roman" w:eastAsia="Times New Roman" w:hAnsi="Times New Roman"/>
                <w:sz w:val="10"/>
                <w:szCs w:val="10"/>
                <w:color w:val="auto"/>
              </w:rPr>
              <w:t>/ (2.00%)</w:t>
            </w:r>
          </w:p>
        </w:tc>
        <w:tc>
          <w:tcPr>
            <w:tcW w:w="40" w:type="dxa"/>
            <w:vAlign w:val="bottom"/>
          </w:tcPr>
          <w:p>
            <w:pPr>
              <w:spacing w:after="0"/>
              <w:rPr>
                <w:sz w:val="8"/>
                <w:szCs w:val="8"/>
                <w:color w:val="auto"/>
              </w:rPr>
            </w:pPr>
          </w:p>
        </w:tc>
        <w:tc>
          <w:tcPr>
            <w:tcW w:w="620" w:type="dxa"/>
            <w:vAlign w:val="bottom"/>
            <w:gridSpan w:val="2"/>
          </w:tcPr>
          <w:p>
            <w:pPr>
              <w:jc w:val="right"/>
              <w:ind w:right="40"/>
              <w:spacing w:after="0" w:line="103" w:lineRule="exact"/>
              <w:rPr>
                <w:sz w:val="20"/>
                <w:szCs w:val="20"/>
                <w:color w:val="auto"/>
              </w:rPr>
            </w:pPr>
            <w:r>
              <w:rPr>
                <w:rFonts w:ascii="Times New Roman" w:cs="Times New Roman" w:eastAsia="Times New Roman" w:hAnsi="Times New Roman"/>
                <w:sz w:val="10"/>
                <w:szCs w:val="10"/>
                <w:color w:val="auto"/>
              </w:rPr>
              <w:t>9.46%/0.00%</w:t>
            </w:r>
          </w:p>
        </w:tc>
        <w:tc>
          <w:tcPr>
            <w:tcW w:w="560" w:type="dxa"/>
            <w:vAlign w:val="bottom"/>
            <w:gridSpan w:val="2"/>
          </w:tcPr>
          <w:p>
            <w:pPr>
              <w:jc w:val="right"/>
              <w:ind w:right="80"/>
              <w:spacing w:after="0" w:line="103" w:lineRule="exact"/>
              <w:rPr>
                <w:sz w:val="20"/>
                <w:szCs w:val="20"/>
                <w:color w:val="auto"/>
              </w:rPr>
            </w:pPr>
            <w:r>
              <w:rPr>
                <w:rFonts w:ascii="Times New Roman" w:cs="Times New Roman" w:eastAsia="Times New Roman" w:hAnsi="Times New Roman"/>
                <w:sz w:val="10"/>
                <w:szCs w:val="10"/>
                <w:color w:val="auto"/>
              </w:rPr>
              <w:t>5/12/2025</w:t>
            </w:r>
          </w:p>
        </w:tc>
        <w:tc>
          <w:tcPr>
            <w:tcW w:w="540" w:type="dxa"/>
            <w:vAlign w:val="bottom"/>
            <w:gridSpan w:val="2"/>
          </w:tcPr>
          <w:p>
            <w:pPr>
              <w:jc w:val="right"/>
              <w:ind w:right="80"/>
              <w:spacing w:after="0" w:line="103" w:lineRule="exact"/>
              <w:rPr>
                <w:sz w:val="20"/>
                <w:szCs w:val="20"/>
                <w:color w:val="auto"/>
              </w:rPr>
            </w:pPr>
            <w:r>
              <w:rPr>
                <w:rFonts w:ascii="Times New Roman" w:cs="Times New Roman" w:eastAsia="Times New Roman" w:hAnsi="Times New Roman"/>
                <w:sz w:val="10"/>
                <w:szCs w:val="10"/>
                <w:color w:val="auto"/>
              </w:rPr>
              <w:t>5/12/2030</w:t>
            </w:r>
          </w:p>
        </w:tc>
        <w:tc>
          <w:tcPr>
            <w:tcW w:w="4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6,650</w:t>
            </w:r>
          </w:p>
        </w:tc>
        <w:tc>
          <w:tcPr>
            <w:tcW w:w="30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6,610</w:t>
            </w:r>
          </w:p>
        </w:tc>
        <w:tc>
          <w:tcPr>
            <w:tcW w:w="100" w:type="dxa"/>
            <w:vAlign w:val="bottom"/>
          </w:tcPr>
          <w:p>
            <w:pPr>
              <w:spacing w:after="0"/>
              <w:rPr>
                <w:sz w:val="8"/>
                <w:szCs w:val="8"/>
                <w:color w:val="auto"/>
              </w:rPr>
            </w:pPr>
          </w:p>
        </w:tc>
        <w:tc>
          <w:tcPr>
            <w:tcW w:w="36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6,650</w:t>
            </w: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gridSpan w:val="2"/>
          </w:tcPr>
          <w:p>
            <w:pPr>
              <w:spacing w:after="0" w:line="103" w:lineRule="exact"/>
              <w:rPr>
                <w:sz w:val="20"/>
                <w:szCs w:val="20"/>
                <w:color w:val="auto"/>
              </w:rPr>
            </w:pPr>
            <w:r>
              <w:rPr>
                <w:rFonts w:ascii="Times New Roman" w:cs="Times New Roman" w:eastAsia="Times New Roman" w:hAnsi="Times New Roman"/>
                <w:sz w:val="10"/>
                <w:szCs w:val="10"/>
                <w:color w:val="auto"/>
              </w:rPr>
              <w:t>(S + 5.50%)</w:t>
            </w: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line="103" w:lineRule="exact"/>
              <w:rPr>
                <w:sz w:val="20"/>
                <w:szCs w:val="20"/>
                <w:color w:val="auto"/>
              </w:rPr>
            </w:pPr>
            <w:r>
              <w:rPr>
                <w:rFonts w:ascii="Times New Roman" w:cs="Times New Roman" w:eastAsia="Times New Roman" w:hAnsi="Times New Roman"/>
                <w:sz w:val="10"/>
                <w:szCs w:val="10"/>
                <w:color w:val="auto"/>
              </w:rPr>
              <w:t>/ (2.00%)</w:t>
            </w:r>
          </w:p>
        </w:tc>
        <w:tc>
          <w:tcPr>
            <w:tcW w:w="40" w:type="dxa"/>
            <w:vAlign w:val="bottom"/>
          </w:tcPr>
          <w:p>
            <w:pPr>
              <w:spacing w:after="0"/>
              <w:rPr>
                <w:sz w:val="8"/>
                <w:szCs w:val="8"/>
                <w:color w:val="auto"/>
              </w:rPr>
            </w:pPr>
          </w:p>
        </w:tc>
        <w:tc>
          <w:tcPr>
            <w:tcW w:w="620" w:type="dxa"/>
            <w:vAlign w:val="bottom"/>
            <w:gridSpan w:val="2"/>
          </w:tcPr>
          <w:p>
            <w:pPr>
              <w:jc w:val="right"/>
              <w:ind w:right="40"/>
              <w:spacing w:after="0" w:line="103" w:lineRule="exact"/>
              <w:rPr>
                <w:sz w:val="20"/>
                <w:szCs w:val="20"/>
                <w:color w:val="auto"/>
              </w:rPr>
            </w:pPr>
            <w:r>
              <w:rPr>
                <w:rFonts w:ascii="Times New Roman" w:cs="Times New Roman" w:eastAsia="Times New Roman" w:hAnsi="Times New Roman"/>
                <w:sz w:val="10"/>
                <w:szCs w:val="10"/>
                <w:color w:val="auto"/>
              </w:rPr>
              <w:t>9.46%/0.00%</w:t>
            </w:r>
          </w:p>
        </w:tc>
        <w:tc>
          <w:tcPr>
            <w:tcW w:w="560" w:type="dxa"/>
            <w:vAlign w:val="bottom"/>
            <w:gridSpan w:val="2"/>
          </w:tcPr>
          <w:p>
            <w:pPr>
              <w:jc w:val="right"/>
              <w:ind w:right="80"/>
              <w:spacing w:after="0" w:line="103" w:lineRule="exact"/>
              <w:rPr>
                <w:sz w:val="20"/>
                <w:szCs w:val="20"/>
                <w:color w:val="auto"/>
              </w:rPr>
            </w:pPr>
            <w:r>
              <w:rPr>
                <w:rFonts w:ascii="Times New Roman" w:cs="Times New Roman" w:eastAsia="Times New Roman" w:hAnsi="Times New Roman"/>
                <w:sz w:val="10"/>
                <w:szCs w:val="10"/>
                <w:color w:val="auto"/>
              </w:rPr>
              <w:t>5/12/2025</w:t>
            </w:r>
          </w:p>
        </w:tc>
        <w:tc>
          <w:tcPr>
            <w:tcW w:w="540" w:type="dxa"/>
            <w:vAlign w:val="bottom"/>
            <w:gridSpan w:val="2"/>
          </w:tcPr>
          <w:p>
            <w:pPr>
              <w:jc w:val="right"/>
              <w:ind w:right="80"/>
              <w:spacing w:after="0" w:line="103" w:lineRule="exact"/>
              <w:rPr>
                <w:sz w:val="20"/>
                <w:szCs w:val="20"/>
                <w:color w:val="auto"/>
              </w:rPr>
            </w:pPr>
            <w:r>
              <w:rPr>
                <w:rFonts w:ascii="Times New Roman" w:cs="Times New Roman" w:eastAsia="Times New Roman" w:hAnsi="Times New Roman"/>
                <w:sz w:val="10"/>
                <w:szCs w:val="10"/>
                <w:color w:val="auto"/>
              </w:rPr>
              <w:t>5/12/2030</w:t>
            </w:r>
          </w:p>
        </w:tc>
        <w:tc>
          <w:tcPr>
            <w:tcW w:w="420" w:type="dxa"/>
            <w:vAlign w:val="bottom"/>
            <w:gridSpan w:val="2"/>
          </w:tcPr>
          <w:p>
            <w:pPr>
              <w:jc w:val="right"/>
              <w:ind w:right="8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gridSpan w:val="2"/>
          </w:tcPr>
          <w:p>
            <w:pPr>
              <w:jc w:val="right"/>
              <w:ind w:right="12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420" w:type="dxa"/>
            <w:vAlign w:val="bottom"/>
            <w:gridSpan w:val="2"/>
          </w:tcPr>
          <w:p>
            <w:pPr>
              <w:ind w:left="22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gridSpan w:val="2"/>
          </w:tcPr>
          <w:p>
            <w:pPr>
              <w:spacing w:after="0" w:line="103" w:lineRule="exact"/>
              <w:rPr>
                <w:sz w:val="20"/>
                <w:szCs w:val="20"/>
                <w:color w:val="auto"/>
              </w:rPr>
            </w:pPr>
            <w:r>
              <w:rPr>
                <w:rFonts w:ascii="Times New Roman" w:cs="Times New Roman" w:eastAsia="Times New Roman" w:hAnsi="Times New Roman"/>
                <w:sz w:val="10"/>
                <w:szCs w:val="10"/>
                <w:color w:val="auto"/>
              </w:rPr>
              <w:t>(S + 5.50%)</w:t>
            </w: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line="103" w:lineRule="exact"/>
              <w:rPr>
                <w:sz w:val="20"/>
                <w:szCs w:val="20"/>
                <w:color w:val="auto"/>
              </w:rPr>
            </w:pPr>
            <w:r>
              <w:rPr>
                <w:rFonts w:ascii="Times New Roman" w:cs="Times New Roman" w:eastAsia="Times New Roman" w:hAnsi="Times New Roman"/>
                <w:sz w:val="10"/>
                <w:szCs w:val="10"/>
                <w:color w:val="auto"/>
              </w:rPr>
              <w:t>/ (2.00%)</w:t>
            </w:r>
          </w:p>
        </w:tc>
        <w:tc>
          <w:tcPr>
            <w:tcW w:w="40" w:type="dxa"/>
            <w:vAlign w:val="bottom"/>
          </w:tcPr>
          <w:p>
            <w:pPr>
              <w:spacing w:after="0"/>
              <w:rPr>
                <w:sz w:val="8"/>
                <w:szCs w:val="8"/>
                <w:color w:val="auto"/>
              </w:rPr>
            </w:pPr>
          </w:p>
        </w:tc>
        <w:tc>
          <w:tcPr>
            <w:tcW w:w="620" w:type="dxa"/>
            <w:vAlign w:val="bottom"/>
            <w:gridSpan w:val="2"/>
          </w:tcPr>
          <w:p>
            <w:pPr>
              <w:jc w:val="right"/>
              <w:ind w:right="40"/>
              <w:spacing w:after="0" w:line="103" w:lineRule="exact"/>
              <w:rPr>
                <w:sz w:val="20"/>
                <w:szCs w:val="20"/>
                <w:color w:val="auto"/>
              </w:rPr>
            </w:pPr>
            <w:r>
              <w:rPr>
                <w:rFonts w:ascii="Times New Roman" w:cs="Times New Roman" w:eastAsia="Times New Roman" w:hAnsi="Times New Roman"/>
                <w:sz w:val="10"/>
                <w:szCs w:val="10"/>
                <w:color w:val="auto"/>
              </w:rPr>
              <w:t>9.46%/0.00%</w:t>
            </w:r>
          </w:p>
        </w:tc>
        <w:tc>
          <w:tcPr>
            <w:tcW w:w="560" w:type="dxa"/>
            <w:vAlign w:val="bottom"/>
            <w:gridSpan w:val="2"/>
          </w:tcPr>
          <w:p>
            <w:pPr>
              <w:jc w:val="right"/>
              <w:ind w:right="80"/>
              <w:spacing w:after="0" w:line="103" w:lineRule="exact"/>
              <w:rPr>
                <w:sz w:val="20"/>
                <w:szCs w:val="20"/>
                <w:color w:val="auto"/>
              </w:rPr>
            </w:pPr>
            <w:r>
              <w:rPr>
                <w:rFonts w:ascii="Times New Roman" w:cs="Times New Roman" w:eastAsia="Times New Roman" w:hAnsi="Times New Roman"/>
                <w:sz w:val="10"/>
                <w:szCs w:val="10"/>
                <w:color w:val="auto"/>
              </w:rPr>
              <w:t>5/12/2025</w:t>
            </w:r>
          </w:p>
        </w:tc>
        <w:tc>
          <w:tcPr>
            <w:tcW w:w="540" w:type="dxa"/>
            <w:vAlign w:val="bottom"/>
            <w:gridSpan w:val="2"/>
          </w:tcPr>
          <w:p>
            <w:pPr>
              <w:jc w:val="right"/>
              <w:ind w:right="80"/>
              <w:spacing w:after="0" w:line="103" w:lineRule="exact"/>
              <w:rPr>
                <w:sz w:val="20"/>
                <w:szCs w:val="20"/>
                <w:color w:val="auto"/>
              </w:rPr>
            </w:pPr>
            <w:r>
              <w:rPr>
                <w:rFonts w:ascii="Times New Roman" w:cs="Times New Roman" w:eastAsia="Times New Roman" w:hAnsi="Times New Roman"/>
                <w:sz w:val="10"/>
                <w:szCs w:val="10"/>
                <w:color w:val="auto"/>
              </w:rPr>
              <w:t>5/12/2030</w:t>
            </w:r>
          </w:p>
        </w:tc>
        <w:tc>
          <w:tcPr>
            <w:tcW w:w="4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13,300</w:t>
            </w:r>
          </w:p>
        </w:tc>
        <w:tc>
          <w:tcPr>
            <w:tcW w:w="30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13,219</w:t>
            </w:r>
          </w:p>
        </w:tc>
        <w:tc>
          <w:tcPr>
            <w:tcW w:w="100" w:type="dxa"/>
            <w:vAlign w:val="bottom"/>
          </w:tcPr>
          <w:p>
            <w:pPr>
              <w:spacing w:after="0"/>
              <w:rPr>
                <w:sz w:val="8"/>
                <w:szCs w:val="8"/>
                <w:color w:val="auto"/>
              </w:rPr>
            </w:pPr>
          </w:p>
        </w:tc>
        <w:tc>
          <w:tcPr>
            <w:tcW w:w="4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13,300</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0.3%</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5/12/2025</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500</w:t>
            </w:r>
          </w:p>
        </w:tc>
        <w:tc>
          <w:tcPr>
            <w:tcW w:w="100" w:type="dxa"/>
            <w:vAlign w:val="bottom"/>
          </w:tcPr>
          <w:p>
            <w:pPr>
              <w:spacing w:after="0"/>
              <w:rPr>
                <w:sz w:val="10"/>
                <w:szCs w:val="1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246</w:t>
            </w: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14"/>
        </w:trPr>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20,329</w:t>
            </w:r>
          </w:p>
        </w:tc>
        <w:tc>
          <w:tcPr>
            <w:tcW w:w="100" w:type="dxa"/>
            <w:vAlign w:val="bottom"/>
          </w:tcPr>
          <w:p>
            <w:pPr>
              <w:spacing w:after="0"/>
              <w:rPr>
                <w:sz w:val="9"/>
                <w:szCs w:val="9"/>
                <w:color w:val="auto"/>
              </w:rPr>
            </w:pPr>
          </w:p>
        </w:tc>
        <w:tc>
          <w:tcPr>
            <w:tcW w:w="3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20,196</w:t>
            </w:r>
          </w:p>
        </w:tc>
        <w:tc>
          <w:tcPr>
            <w:tcW w:w="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56"/>
        </w:trPr>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0.9%</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4/3/2018</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655</w:t>
            </w: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1,967</w:t>
            </w:r>
          </w:p>
        </w:tc>
        <w:tc>
          <w:tcPr>
            <w:tcW w:w="6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w:t>
            </w:r>
          </w:p>
        </w:tc>
        <w:tc>
          <w:tcPr>
            <w:tcW w:w="0" w:type="dxa"/>
            <w:vAlign w:val="bottom"/>
          </w:tcPr>
          <w:p>
            <w:pPr>
              <w:spacing w:after="0"/>
              <w:rPr>
                <w:sz w:val="1"/>
                <w:szCs w:val="1"/>
                <w:color w:val="auto"/>
              </w:rPr>
            </w:pPr>
          </w:p>
        </w:tc>
      </w:tr>
      <w:tr>
        <w:trPr>
          <w:trHeight w:val="441"/>
        </w:trPr>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1.1%</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4/1/2012</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891</w:t>
            </w:r>
          </w:p>
        </w:tc>
        <w:tc>
          <w:tcPr>
            <w:tcW w:w="100" w:type="dxa"/>
            <w:vAlign w:val="bottom"/>
          </w:tcPr>
          <w:p>
            <w:pPr>
              <w:spacing w:after="0"/>
              <w:rPr>
                <w:sz w:val="24"/>
                <w:szCs w:val="24"/>
                <w:color w:val="auto"/>
              </w:rPr>
            </w:pP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— </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0.6%</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3/5/2012</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564</w:t>
            </w:r>
          </w:p>
        </w:tc>
        <w:tc>
          <w:tcPr>
            <w:tcW w:w="100" w:type="dxa"/>
            <w:vAlign w:val="bottom"/>
          </w:tcPr>
          <w:p>
            <w:pPr>
              <w:spacing w:after="0"/>
              <w:rPr>
                <w:sz w:val="10"/>
                <w:szCs w:val="10"/>
                <w:color w:val="auto"/>
              </w:rPr>
            </w:pP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— </w:t>
            </w: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0%</w:t>
            </w:r>
          </w:p>
        </w:tc>
        <w:tc>
          <w:tcPr>
            <w:tcW w:w="0" w:type="dxa"/>
            <w:vAlign w:val="bottom"/>
          </w:tcPr>
          <w:p>
            <w:pPr>
              <w:spacing w:after="0"/>
              <w:rPr>
                <w:sz w:val="1"/>
                <w:szCs w:val="1"/>
                <w:color w:val="auto"/>
              </w:rPr>
            </w:pPr>
          </w:p>
        </w:tc>
      </w:tr>
      <w:tr>
        <w:trPr>
          <w:trHeight w:val="114"/>
        </w:trPr>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1,455</w:t>
            </w:r>
          </w:p>
        </w:tc>
        <w:tc>
          <w:tcPr>
            <w:tcW w:w="100" w:type="dxa"/>
            <w:vAlign w:val="bottom"/>
          </w:tcPr>
          <w:p>
            <w:pPr>
              <w:spacing w:after="0"/>
              <w:rPr>
                <w:sz w:val="9"/>
                <w:szCs w:val="9"/>
                <w:color w:val="auto"/>
              </w:rPr>
            </w:pPr>
          </w:p>
        </w:tc>
        <w:tc>
          <w:tcPr>
            <w:tcW w:w="360" w:type="dxa"/>
            <w:vAlign w:val="bottom"/>
            <w:tcBorders>
              <w:top w:val="single" w:sz="8" w:color="auto"/>
            </w:tcBorders>
          </w:tcPr>
          <w:p>
            <w:pPr>
              <w:ind w:left="220"/>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56"/>
        </w:trPr>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1.7%</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2/21/2023</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2,802</w:t>
            </w:r>
          </w:p>
        </w:tc>
        <w:tc>
          <w:tcPr>
            <w:tcW w:w="6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462"/>
        </w:trPr>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2.0%</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12/19/2014</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— </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w:t>
            </w:r>
          </w:p>
        </w:tc>
        <w:tc>
          <w:tcPr>
            <w:tcW w:w="0" w:type="dxa"/>
            <w:vAlign w:val="bottom"/>
          </w:tcPr>
          <w:p>
            <w:pPr>
              <w:spacing w:after="0"/>
              <w:rPr>
                <w:sz w:val="1"/>
                <w:szCs w:val="1"/>
                <w:color w:val="auto"/>
              </w:rPr>
            </w:pPr>
          </w:p>
        </w:tc>
      </w:tr>
      <w:tr>
        <w:trPr>
          <w:trHeight w:val="338"/>
        </w:trPr>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 + 0.00%)</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line="103" w:lineRule="exact"/>
              <w:rPr>
                <w:sz w:val="20"/>
                <w:szCs w:val="20"/>
                <w:color w:val="auto"/>
              </w:rPr>
            </w:pPr>
            <w:r>
              <w:rPr>
                <w:rFonts w:ascii="Times New Roman" w:cs="Times New Roman" w:eastAsia="Times New Roman" w:hAnsi="Times New Roman"/>
                <w:sz w:val="10"/>
                <w:szCs w:val="10"/>
                <w:color w:val="auto"/>
              </w:rPr>
              <w:t>/ (2.50%)</w:t>
            </w:r>
          </w:p>
        </w:tc>
        <w:tc>
          <w:tcPr>
            <w:tcW w:w="40" w:type="dxa"/>
            <w:vAlign w:val="bottom"/>
          </w:tcPr>
          <w:p>
            <w:pPr>
              <w:spacing w:after="0"/>
              <w:rPr>
                <w:sz w:val="8"/>
                <w:szCs w:val="8"/>
                <w:color w:val="auto"/>
              </w:rPr>
            </w:pPr>
          </w:p>
        </w:tc>
        <w:tc>
          <w:tcPr>
            <w:tcW w:w="620" w:type="dxa"/>
            <w:vAlign w:val="bottom"/>
            <w:gridSpan w:val="2"/>
          </w:tcPr>
          <w:p>
            <w:pPr>
              <w:jc w:val="right"/>
              <w:ind w:right="40"/>
              <w:spacing w:after="0" w:line="103" w:lineRule="exact"/>
              <w:rPr>
                <w:sz w:val="20"/>
                <w:szCs w:val="20"/>
                <w:color w:val="auto"/>
              </w:rPr>
            </w:pPr>
            <w:r>
              <w:rPr>
                <w:rFonts w:ascii="Times New Roman" w:cs="Times New Roman" w:eastAsia="Times New Roman" w:hAnsi="Times New Roman"/>
                <w:sz w:val="10"/>
                <w:szCs w:val="10"/>
                <w:color w:val="auto"/>
              </w:rPr>
              <w:t>3.82%/9.75%</w:t>
            </w:r>
          </w:p>
        </w:tc>
        <w:tc>
          <w:tcPr>
            <w:tcW w:w="560" w:type="dxa"/>
            <w:vAlign w:val="bottom"/>
            <w:gridSpan w:val="2"/>
          </w:tcPr>
          <w:p>
            <w:pPr>
              <w:jc w:val="right"/>
              <w:ind w:right="80"/>
              <w:spacing w:after="0" w:line="103" w:lineRule="exact"/>
              <w:rPr>
                <w:sz w:val="20"/>
                <w:szCs w:val="20"/>
                <w:color w:val="auto"/>
              </w:rPr>
            </w:pPr>
            <w:r>
              <w:rPr>
                <w:rFonts w:ascii="Times New Roman" w:cs="Times New Roman" w:eastAsia="Times New Roman" w:hAnsi="Times New Roman"/>
                <w:sz w:val="10"/>
                <w:szCs w:val="10"/>
                <w:color w:val="auto"/>
              </w:rPr>
              <w:t>4/13/2022</w:t>
            </w:r>
          </w:p>
        </w:tc>
        <w:tc>
          <w:tcPr>
            <w:tcW w:w="540" w:type="dxa"/>
            <w:vAlign w:val="bottom"/>
            <w:gridSpan w:val="2"/>
          </w:tcPr>
          <w:p>
            <w:pPr>
              <w:jc w:val="right"/>
              <w:ind w:right="80"/>
              <w:spacing w:after="0" w:line="103" w:lineRule="exact"/>
              <w:rPr>
                <w:sz w:val="20"/>
                <w:szCs w:val="20"/>
                <w:color w:val="auto"/>
              </w:rPr>
            </w:pPr>
            <w:r>
              <w:rPr>
                <w:rFonts w:ascii="Times New Roman" w:cs="Times New Roman" w:eastAsia="Times New Roman" w:hAnsi="Times New Roman"/>
                <w:sz w:val="10"/>
                <w:szCs w:val="10"/>
                <w:color w:val="auto"/>
              </w:rPr>
              <w:t>9/30/2027</w:t>
            </w:r>
          </w:p>
        </w:tc>
        <w:tc>
          <w:tcPr>
            <w:tcW w:w="42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17,381</w:t>
            </w:r>
          </w:p>
        </w:tc>
        <w:tc>
          <w:tcPr>
            <w:tcW w:w="30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color w:val="auto"/>
              </w:rPr>
              <w:t>10,907</w:t>
            </w:r>
          </w:p>
        </w:tc>
        <w:tc>
          <w:tcPr>
            <w:tcW w:w="100" w:type="dxa"/>
            <w:vAlign w:val="bottom"/>
          </w:tcPr>
          <w:p>
            <w:pPr>
              <w:spacing w:after="0"/>
              <w:rPr>
                <w:sz w:val="8"/>
                <w:szCs w:val="8"/>
                <w:color w:val="auto"/>
              </w:rPr>
            </w:pPr>
          </w:p>
        </w:tc>
        <w:tc>
          <w:tcPr>
            <w:tcW w:w="420" w:type="dxa"/>
            <w:vAlign w:val="bottom"/>
            <w:gridSpan w:val="2"/>
          </w:tcPr>
          <w:p>
            <w:pPr>
              <w:ind w:left="22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gridSpan w:val="2"/>
          </w:tcPr>
          <w:p>
            <w:pPr>
              <w:spacing w:after="0" w:line="103" w:lineRule="exact"/>
              <w:rPr>
                <w:sz w:val="20"/>
                <w:szCs w:val="20"/>
                <w:color w:val="auto"/>
              </w:rPr>
            </w:pPr>
            <w:r>
              <w:rPr>
                <w:rFonts w:ascii="Times New Roman" w:cs="Times New Roman" w:eastAsia="Times New Roman" w:hAnsi="Times New Roman"/>
                <w:sz w:val="10"/>
                <w:szCs w:val="10"/>
                <w:color w:val="auto"/>
              </w:rPr>
              <w:t>(S + 4.00%)</w:t>
            </w: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0"/>
                <w:szCs w:val="10"/>
                <w:color w:val="auto"/>
              </w:rPr>
              <w:t>/ (2.50%)</w:t>
            </w:r>
          </w:p>
        </w:tc>
        <w:tc>
          <w:tcPr>
            <w:tcW w:w="40" w:type="dxa"/>
            <w:vAlign w:val="bottom"/>
          </w:tcPr>
          <w:p>
            <w:pPr>
              <w:spacing w:after="0"/>
              <w:rPr>
                <w:sz w:val="10"/>
                <w:szCs w:val="1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9.82%/0.00%</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9/20/2023</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3/31/2027</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356</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307</w:t>
            </w:r>
          </w:p>
        </w:tc>
        <w:tc>
          <w:tcPr>
            <w:tcW w:w="100" w:type="dxa"/>
            <w:vAlign w:val="bottom"/>
          </w:tcPr>
          <w:p>
            <w:pPr>
              <w:spacing w:after="0"/>
              <w:rPr>
                <w:sz w:val="10"/>
                <w:szCs w:val="1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208</w:t>
            </w: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0%</w:t>
            </w:r>
          </w:p>
        </w:tc>
        <w:tc>
          <w:tcPr>
            <w:tcW w:w="0" w:type="dxa"/>
            <w:vAlign w:val="bottom"/>
          </w:tcPr>
          <w:p>
            <w:pPr>
              <w:spacing w:after="0"/>
              <w:rPr>
                <w:sz w:val="1"/>
                <w:szCs w:val="1"/>
                <w:color w:val="auto"/>
              </w:rPr>
            </w:pPr>
          </w:p>
        </w:tc>
      </w:tr>
      <w:tr>
        <w:trPr>
          <w:trHeight w:val="114"/>
        </w:trPr>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11,214</w:t>
            </w:r>
          </w:p>
        </w:tc>
        <w:tc>
          <w:tcPr>
            <w:tcW w:w="100" w:type="dxa"/>
            <w:vAlign w:val="bottom"/>
          </w:tcPr>
          <w:p>
            <w:pPr>
              <w:spacing w:after="0"/>
              <w:rPr>
                <w:sz w:val="9"/>
                <w:szCs w:val="9"/>
                <w:color w:val="auto"/>
              </w:rPr>
            </w:pPr>
          </w:p>
        </w:tc>
        <w:tc>
          <w:tcPr>
            <w:tcW w:w="3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208</w:t>
            </w:r>
          </w:p>
        </w:tc>
        <w:tc>
          <w:tcPr>
            <w:tcW w:w="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56"/>
        </w:trPr>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w w:val="94"/>
              </w:rPr>
              <w:t>13.75%/0.00%</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12/18/2025</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w w:val="96"/>
              </w:rPr>
              <w:t>12/18/2030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15,000</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14,923</w:t>
            </w:r>
          </w:p>
        </w:tc>
        <w:tc>
          <w:tcPr>
            <w:tcW w:w="100" w:type="dxa"/>
            <w:vAlign w:val="bottom"/>
          </w:tcPr>
          <w:p>
            <w:pPr>
              <w:spacing w:after="0"/>
              <w:rPr>
                <w:sz w:val="24"/>
                <w:szCs w:val="24"/>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14,923</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w w:val="94"/>
              </w:rPr>
              <w:t>13.75%/0.00%</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12/18/2025</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w w:val="96"/>
              </w:rPr>
              <w:t>12/18/2030</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— </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(7)</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— </w:t>
            </w: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114"/>
        </w:trPr>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14,916</w:t>
            </w:r>
          </w:p>
        </w:tc>
        <w:tc>
          <w:tcPr>
            <w:tcW w:w="100" w:type="dxa"/>
            <w:vAlign w:val="bottom"/>
          </w:tcPr>
          <w:p>
            <w:pPr>
              <w:spacing w:after="0"/>
              <w:rPr>
                <w:sz w:val="9"/>
                <w:szCs w:val="9"/>
                <w:color w:val="auto"/>
              </w:rPr>
            </w:pPr>
          </w:p>
        </w:tc>
        <w:tc>
          <w:tcPr>
            <w:tcW w:w="3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14,923</w:t>
            </w:r>
          </w:p>
        </w:tc>
        <w:tc>
          <w:tcPr>
            <w:tcW w:w="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w w:val="94"/>
              </w:rPr>
              <w:t>11.50%/0.00%</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3/22/2024</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3/24/2031</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12,500</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12,383</w:t>
            </w:r>
          </w:p>
        </w:tc>
        <w:tc>
          <w:tcPr>
            <w:tcW w:w="100" w:type="dxa"/>
            <w:vAlign w:val="bottom"/>
          </w:tcPr>
          <w:p>
            <w:pPr>
              <w:spacing w:after="0"/>
              <w:rPr>
                <w:sz w:val="22"/>
                <w:szCs w:val="22"/>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12,500</w:t>
            </w: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0.0%</w:t>
            </w: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3/21/2024</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900</w:t>
            </w:r>
          </w:p>
        </w:tc>
        <w:tc>
          <w:tcPr>
            <w:tcW w:w="100" w:type="dxa"/>
            <w:vAlign w:val="bottom"/>
          </w:tcPr>
          <w:p>
            <w:pPr>
              <w:spacing w:after="0"/>
              <w:rPr>
                <w:sz w:val="17"/>
                <w:szCs w:val="17"/>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819</w:t>
            </w: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114"/>
        </w:trPr>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13,283</w:t>
            </w:r>
          </w:p>
        </w:tc>
        <w:tc>
          <w:tcPr>
            <w:tcW w:w="100" w:type="dxa"/>
            <w:vAlign w:val="bottom"/>
          </w:tcPr>
          <w:p>
            <w:pPr>
              <w:spacing w:after="0"/>
              <w:rPr>
                <w:sz w:val="9"/>
                <w:szCs w:val="9"/>
                <w:color w:val="auto"/>
              </w:rPr>
            </w:pPr>
          </w:p>
        </w:tc>
        <w:tc>
          <w:tcPr>
            <w:tcW w:w="36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13,319</w:t>
            </w:r>
          </w:p>
        </w:tc>
        <w:tc>
          <w:tcPr>
            <w:tcW w:w="6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-3338195</wp:posOffset>
            </wp:positionH>
            <wp:positionV relativeFrom="paragraph">
              <wp:posOffset>-3451860</wp:posOffset>
            </wp:positionV>
            <wp:extent cx="7203440" cy="450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203440" cy="45085"/>
                    </a:xfrm>
                    <a:prstGeom prst="rect">
                      <a:avLst/>
                    </a:prstGeom>
                    <a:noFill/>
                  </pic:spPr>
                </pic:pic>
              </a:graphicData>
            </a:graphic>
          </wp:anchor>
        </w:drawing>
        <w:drawing>
          <wp:anchor simplePos="0" relativeHeight="251657728" behindDoc="1" locked="0" layoutInCell="0" allowOverlap="1">
            <wp:simplePos x="0" y="0"/>
            <wp:positionH relativeFrom="column">
              <wp:posOffset>-2400300</wp:posOffset>
            </wp:positionH>
            <wp:positionV relativeFrom="paragraph">
              <wp:posOffset>-3106420</wp:posOffset>
            </wp:positionV>
            <wp:extent cx="5315585" cy="717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315585" cy="71755"/>
                    </a:xfrm>
                    <a:prstGeom prst="rect">
                      <a:avLst/>
                    </a:prstGeom>
                    <a:noFill/>
                  </pic:spPr>
                </pic:pic>
              </a:graphicData>
            </a:graphic>
          </wp:anchor>
        </w:drawing>
        <w:drawing>
          <wp:anchor simplePos="0" relativeHeight="251657728" behindDoc="1" locked="0" layoutInCell="0" allowOverlap="1">
            <wp:simplePos x="0" y="0"/>
            <wp:positionH relativeFrom="column">
              <wp:posOffset>-2400300</wp:posOffset>
            </wp:positionH>
            <wp:positionV relativeFrom="paragraph">
              <wp:posOffset>-2904490</wp:posOffset>
            </wp:positionV>
            <wp:extent cx="5315585" cy="1301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315585" cy="130175"/>
                    </a:xfrm>
                    <a:prstGeom prst="rect">
                      <a:avLst/>
                    </a:prstGeom>
                    <a:noFill/>
                  </pic:spPr>
                </pic:pic>
              </a:graphicData>
            </a:graphic>
          </wp:anchor>
        </w:drawing>
        <w:drawing>
          <wp:anchor simplePos="0" relativeHeight="251657728" behindDoc="1" locked="0" layoutInCell="0" allowOverlap="1">
            <wp:simplePos x="0" y="0"/>
            <wp:positionH relativeFrom="column">
              <wp:posOffset>-2400300</wp:posOffset>
            </wp:positionH>
            <wp:positionV relativeFrom="paragraph">
              <wp:posOffset>-2644140</wp:posOffset>
            </wp:positionV>
            <wp:extent cx="5315585" cy="654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315585" cy="65405"/>
                    </a:xfrm>
                    <a:prstGeom prst="rect">
                      <a:avLst/>
                    </a:prstGeom>
                    <a:noFill/>
                  </pic:spPr>
                </pic:pic>
              </a:graphicData>
            </a:graphic>
          </wp:anchor>
        </w:drawing>
        <w:drawing>
          <wp:anchor simplePos="0" relativeHeight="251657728" behindDoc="1" locked="0" layoutInCell="0" allowOverlap="1">
            <wp:simplePos x="0" y="0"/>
            <wp:positionH relativeFrom="column">
              <wp:posOffset>-2400300</wp:posOffset>
            </wp:positionH>
            <wp:positionV relativeFrom="paragraph">
              <wp:posOffset>-2468245</wp:posOffset>
            </wp:positionV>
            <wp:extent cx="5315585" cy="654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5315585" cy="65405"/>
                    </a:xfrm>
                    <a:prstGeom prst="rect">
                      <a:avLst/>
                    </a:prstGeom>
                    <a:noFill/>
                  </pic:spPr>
                </pic:pic>
              </a:graphicData>
            </a:graphic>
          </wp:anchor>
        </w:drawing>
        <w:drawing>
          <wp:anchor simplePos="0" relativeHeight="251657728" behindDoc="1" locked="0" layoutInCell="0" allowOverlap="1">
            <wp:simplePos x="0" y="0"/>
            <wp:positionH relativeFrom="column">
              <wp:posOffset>-2400300</wp:posOffset>
            </wp:positionH>
            <wp:positionV relativeFrom="paragraph">
              <wp:posOffset>-2272665</wp:posOffset>
            </wp:positionV>
            <wp:extent cx="5315585" cy="654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5315585" cy="65405"/>
                    </a:xfrm>
                    <a:prstGeom prst="rect">
                      <a:avLst/>
                    </a:prstGeom>
                    <a:noFill/>
                  </pic:spPr>
                </pic:pic>
              </a:graphicData>
            </a:graphic>
          </wp:anchor>
        </w:drawing>
        <w:drawing>
          <wp:anchor simplePos="0" relativeHeight="251657728" behindDoc="1" locked="0" layoutInCell="0" allowOverlap="1">
            <wp:simplePos x="0" y="0"/>
            <wp:positionH relativeFrom="column">
              <wp:posOffset>-2400300</wp:posOffset>
            </wp:positionH>
            <wp:positionV relativeFrom="paragraph">
              <wp:posOffset>-2110105</wp:posOffset>
            </wp:positionV>
            <wp:extent cx="5315585" cy="1301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5315585" cy="130175"/>
                    </a:xfrm>
                    <a:prstGeom prst="rect">
                      <a:avLst/>
                    </a:prstGeom>
                    <a:noFill/>
                  </pic:spPr>
                </pic:pic>
              </a:graphicData>
            </a:graphic>
          </wp:anchor>
        </w:drawing>
        <w:drawing>
          <wp:anchor simplePos="0" relativeHeight="251657728" behindDoc="1" locked="0" layoutInCell="0" allowOverlap="1">
            <wp:simplePos x="0" y="0"/>
            <wp:positionH relativeFrom="column">
              <wp:posOffset>-2400300</wp:posOffset>
            </wp:positionH>
            <wp:positionV relativeFrom="paragraph">
              <wp:posOffset>-1901825</wp:posOffset>
            </wp:positionV>
            <wp:extent cx="5315585" cy="654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5315585" cy="65405"/>
                    </a:xfrm>
                    <a:prstGeom prst="rect">
                      <a:avLst/>
                    </a:prstGeom>
                    <a:noFill/>
                  </pic:spPr>
                </pic:pic>
              </a:graphicData>
            </a:graphic>
          </wp:anchor>
        </w:drawing>
        <w:drawing>
          <wp:anchor simplePos="0" relativeHeight="251657728" behindDoc="1" locked="0" layoutInCell="0" allowOverlap="1">
            <wp:simplePos x="0" y="0"/>
            <wp:positionH relativeFrom="column">
              <wp:posOffset>-2400300</wp:posOffset>
            </wp:positionH>
            <wp:positionV relativeFrom="paragraph">
              <wp:posOffset>-1738630</wp:posOffset>
            </wp:positionV>
            <wp:extent cx="5315585" cy="1301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5315585" cy="130175"/>
                    </a:xfrm>
                    <a:prstGeom prst="rect">
                      <a:avLst/>
                    </a:prstGeom>
                    <a:noFill/>
                  </pic:spPr>
                </pic:pic>
              </a:graphicData>
            </a:graphic>
          </wp:anchor>
        </w:drawing>
        <w:drawing>
          <wp:anchor simplePos="0" relativeHeight="251657728" behindDoc="1" locked="0" layoutInCell="0" allowOverlap="1">
            <wp:simplePos x="0" y="0"/>
            <wp:positionH relativeFrom="column">
              <wp:posOffset>-2400300</wp:posOffset>
            </wp:positionH>
            <wp:positionV relativeFrom="paragraph">
              <wp:posOffset>-1510665</wp:posOffset>
            </wp:positionV>
            <wp:extent cx="5315585" cy="1301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5315585" cy="130175"/>
                    </a:xfrm>
                    <a:prstGeom prst="rect">
                      <a:avLst/>
                    </a:prstGeom>
                    <a:noFill/>
                  </pic:spPr>
                </pic:pic>
              </a:graphicData>
            </a:graphic>
          </wp:anchor>
        </w:drawing>
        <w:drawing>
          <wp:anchor simplePos="0" relativeHeight="251657728" behindDoc="1" locked="0" layoutInCell="0" allowOverlap="1">
            <wp:simplePos x="0" y="0"/>
            <wp:positionH relativeFrom="column">
              <wp:posOffset>-2400300</wp:posOffset>
            </wp:positionH>
            <wp:positionV relativeFrom="paragraph">
              <wp:posOffset>-1315085</wp:posOffset>
            </wp:positionV>
            <wp:extent cx="5315585" cy="654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5315585" cy="65405"/>
                    </a:xfrm>
                    <a:prstGeom prst="rect">
                      <a:avLst/>
                    </a:prstGeom>
                    <a:noFill/>
                  </pic:spPr>
                </pic:pic>
              </a:graphicData>
            </a:graphic>
          </wp:anchor>
        </w:drawing>
        <w:drawing>
          <wp:anchor simplePos="0" relativeHeight="251657728" behindDoc="1" locked="0" layoutInCell="0" allowOverlap="1">
            <wp:simplePos x="0" y="0"/>
            <wp:positionH relativeFrom="column">
              <wp:posOffset>-2400300</wp:posOffset>
            </wp:positionH>
            <wp:positionV relativeFrom="paragraph">
              <wp:posOffset>-1152525</wp:posOffset>
            </wp:positionV>
            <wp:extent cx="5315585" cy="1301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5315585" cy="130175"/>
                    </a:xfrm>
                    <a:prstGeom prst="rect">
                      <a:avLst/>
                    </a:prstGeom>
                    <a:noFill/>
                  </pic:spPr>
                </pic:pic>
              </a:graphicData>
            </a:graphic>
          </wp:anchor>
        </w:drawing>
        <w:drawing>
          <wp:anchor simplePos="0" relativeHeight="251657728" behindDoc="1" locked="0" layoutInCell="0" allowOverlap="1">
            <wp:simplePos x="0" y="0"/>
            <wp:positionH relativeFrom="column">
              <wp:posOffset>-2400300</wp:posOffset>
            </wp:positionH>
            <wp:positionV relativeFrom="paragraph">
              <wp:posOffset>-878840</wp:posOffset>
            </wp:positionV>
            <wp:extent cx="5315585" cy="654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5315585" cy="65405"/>
                    </a:xfrm>
                    <a:prstGeom prst="rect">
                      <a:avLst/>
                    </a:prstGeom>
                    <a:noFill/>
                  </pic:spPr>
                </pic:pic>
              </a:graphicData>
            </a:graphic>
          </wp:anchor>
        </w:drawing>
        <w:drawing>
          <wp:anchor simplePos="0" relativeHeight="251657728" behindDoc="1" locked="0" layoutInCell="0" allowOverlap="1">
            <wp:simplePos x="0" y="0"/>
            <wp:positionH relativeFrom="column">
              <wp:posOffset>-2400300</wp:posOffset>
            </wp:positionH>
            <wp:positionV relativeFrom="paragraph">
              <wp:posOffset>-650875</wp:posOffset>
            </wp:positionV>
            <wp:extent cx="5315585" cy="654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5315585" cy="65405"/>
                    </a:xfrm>
                    <a:prstGeom prst="rect">
                      <a:avLst/>
                    </a:prstGeom>
                    <a:noFill/>
                  </pic:spPr>
                </pic:pic>
              </a:graphicData>
            </a:graphic>
          </wp:anchor>
        </w:drawing>
        <w:drawing>
          <wp:anchor simplePos="0" relativeHeight="251657728" behindDoc="1" locked="0" layoutInCell="0" allowOverlap="1">
            <wp:simplePos x="0" y="0"/>
            <wp:positionH relativeFrom="column">
              <wp:posOffset>-2400300</wp:posOffset>
            </wp:positionH>
            <wp:positionV relativeFrom="paragraph">
              <wp:posOffset>-442595</wp:posOffset>
            </wp:positionV>
            <wp:extent cx="5315585" cy="654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5315585" cy="65405"/>
                    </a:xfrm>
                    <a:prstGeom prst="rect">
                      <a:avLst/>
                    </a:prstGeom>
                    <a:noFill/>
                  </pic:spPr>
                </pic:pic>
              </a:graphicData>
            </a:graphic>
          </wp:anchor>
        </w:drawing>
        <w:drawing>
          <wp:anchor simplePos="0" relativeHeight="251657728" behindDoc="1" locked="0" layoutInCell="0" allowOverlap="1">
            <wp:simplePos x="0" y="0"/>
            <wp:positionH relativeFrom="column">
              <wp:posOffset>-2400300</wp:posOffset>
            </wp:positionH>
            <wp:positionV relativeFrom="paragraph">
              <wp:posOffset>-279400</wp:posOffset>
            </wp:positionV>
            <wp:extent cx="5315585" cy="654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5315585" cy="65405"/>
                    </a:xfrm>
                    <a:prstGeom prst="rect">
                      <a:avLst/>
                    </a:prstGeom>
                    <a:noFill/>
                  </pic:spPr>
                </pic:pic>
              </a:graphicData>
            </a:graphic>
          </wp:anchor>
        </w:drawing>
        <w:drawing>
          <wp:anchor simplePos="0" relativeHeight="251657728" behindDoc="1" locked="0" layoutInCell="0" allowOverlap="1">
            <wp:simplePos x="0" y="0"/>
            <wp:positionH relativeFrom="column">
              <wp:posOffset>-2400300</wp:posOffset>
            </wp:positionH>
            <wp:positionV relativeFrom="paragraph">
              <wp:posOffset>-71120</wp:posOffset>
            </wp:positionV>
            <wp:extent cx="5315585" cy="654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5315585" cy="65405"/>
                    </a:xfrm>
                    <a:prstGeom prst="rect">
                      <a:avLst/>
                    </a:prstGeom>
                    <a:noFill/>
                  </pic:spPr>
                </pic:pic>
              </a:graphicData>
            </a:graphic>
          </wp:anchor>
        </w:drawing>
      </w:r>
    </w:p>
    <w:p>
      <w:pPr>
        <w:spacing w:after="0" w:line="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2">
            <w:col w:w="4060" w:space="40"/>
            <w:col w:w="4919"/>
          </w:cols>
          <w:pgMar w:left="1440" w:top="265" w:right="1440" w:bottom="1440" w:gutter="0" w:footer="0" w:header="0"/>
        </w:sectPr>
      </w:pPr>
    </w:p>
    <w:bookmarkStart w:id="34" w:name="page35"/>
    <w:bookmarkEnd w:id="34"/>
    <w:tbl>
      <w:tblPr>
        <w:tblLayout w:type="fixed"/>
        <w:tblInd w:w="320" w:type="dxa"/>
        <w:tblCellMar>
          <w:top w:w="0" w:type="dxa"/>
          <w:left w:w="0" w:type="dxa"/>
          <w:bottom w:w="0" w:type="dxa"/>
          <w:right w:w="0" w:type="dxa"/>
        </w:tblCellMar>
      </w:tblPr>
      <w:tr>
        <w:trPr>
          <w:trHeight w:val="103"/>
        </w:trPr>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9"/>
                <w:szCs w:val="9"/>
                <w:b w:val="1"/>
                <w:bCs w:val="1"/>
                <w:color w:val="auto"/>
              </w:rPr>
              <w:t>Variable</w:t>
            </w: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Portfolio Company (a)(b)</w:t>
            </w:r>
          </w:p>
        </w:tc>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w w:val="94"/>
              </w:rPr>
              <w:t>Percentage</w:t>
            </w:r>
          </w:p>
        </w:tc>
        <w:tc>
          <w:tcPr>
            <w:tcW w:w="40" w:type="dxa"/>
            <w:vAlign w:val="bottom"/>
          </w:tcPr>
          <w:p>
            <w:pPr>
              <w:spacing w:after="0"/>
              <w:rPr>
                <w:sz w:val="8"/>
                <w:szCs w:val="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Index Spread</w:t>
            </w:r>
          </w:p>
        </w:tc>
        <w:tc>
          <w:tcPr>
            <w:tcW w:w="6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9"/>
                <w:szCs w:val="9"/>
                <w:b w:val="1"/>
                <w:bCs w:val="1"/>
                <w:color w:val="auto"/>
                <w:w w:val="99"/>
              </w:rPr>
              <w:t>Rate (e)</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gridSpan w:val="2"/>
          </w:tcPr>
          <w:p>
            <w:pPr>
              <w:jc w:val="center"/>
              <w:ind w:right="100"/>
              <w:spacing w:after="0" w:line="93" w:lineRule="exact"/>
              <w:rPr>
                <w:sz w:val="20"/>
                <w:szCs w:val="20"/>
                <w:color w:val="auto"/>
              </w:rPr>
            </w:pPr>
            <w:r>
              <w:rPr>
                <w:rFonts w:ascii="Times New Roman" w:cs="Times New Roman" w:eastAsia="Times New Roman" w:hAnsi="Times New Roman"/>
                <w:sz w:val="9"/>
                <w:szCs w:val="9"/>
                <w:b w:val="1"/>
                <w:bCs w:val="1"/>
                <w:color w:val="auto"/>
                <w:w w:val="92"/>
              </w:rPr>
              <w:t>of Class</w:t>
            </w:r>
          </w:p>
        </w:tc>
        <w:tc>
          <w:tcPr>
            <w:tcW w:w="540" w:type="dxa"/>
            <w:vAlign w:val="bottom"/>
            <w:gridSpan w:val="2"/>
          </w:tcPr>
          <w:p>
            <w:pPr>
              <w:jc w:val="center"/>
              <w:spacing w:after="0" w:line="93" w:lineRule="exact"/>
              <w:rPr>
                <w:sz w:val="20"/>
                <w:szCs w:val="20"/>
                <w:color w:val="auto"/>
              </w:rPr>
            </w:pPr>
            <w:r>
              <w:rPr>
                <w:rFonts w:ascii="Times New Roman" w:cs="Times New Roman" w:eastAsia="Times New Roman" w:hAnsi="Times New Roman"/>
                <w:sz w:val="9"/>
                <w:szCs w:val="9"/>
                <w:b w:val="1"/>
                <w:bCs w:val="1"/>
                <w:color w:val="auto"/>
                <w:w w:val="77"/>
              </w:rPr>
              <w:t>/</w:t>
            </w:r>
          </w:p>
        </w:tc>
        <w:tc>
          <w:tcPr>
            <w:tcW w:w="4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540" w:type="dxa"/>
            <w:vAlign w:val="bottom"/>
            <w:gridSpan w:val="2"/>
          </w:tcPr>
          <w:p>
            <w:pPr>
              <w:jc w:val="center"/>
              <w:ind w:right="60"/>
              <w:spacing w:after="0" w:line="93" w:lineRule="exact"/>
              <w:rPr>
                <w:sz w:val="20"/>
                <w:szCs w:val="20"/>
                <w:color w:val="auto"/>
              </w:rPr>
            </w:pPr>
            <w:r>
              <w:rPr>
                <w:rFonts w:ascii="Times New Roman" w:cs="Times New Roman" w:eastAsia="Times New Roman" w:hAnsi="Times New Roman"/>
                <w:sz w:val="9"/>
                <w:szCs w:val="9"/>
                <w:b w:val="1"/>
                <w:bCs w:val="1"/>
                <w:color w:val="auto"/>
              </w:rPr>
              <w:t>Investment</w:t>
            </w: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4"/>
          </w:tcPr>
          <w:p>
            <w:pPr>
              <w:jc w:val="right"/>
              <w:ind w:right="96"/>
              <w:spacing w:after="0" w:line="93" w:lineRule="exact"/>
              <w:rPr>
                <w:sz w:val="20"/>
                <w:szCs w:val="20"/>
                <w:color w:val="auto"/>
              </w:rPr>
            </w:pPr>
            <w:r>
              <w:rPr>
                <w:rFonts w:ascii="Times New Roman" w:cs="Times New Roman" w:eastAsia="Times New Roman" w:hAnsi="Times New Roman"/>
                <w:sz w:val="9"/>
                <w:szCs w:val="9"/>
                <w:b w:val="1"/>
                <w:bCs w:val="1"/>
                <w:color w:val="auto"/>
                <w:w w:val="95"/>
              </w:rPr>
              <w:t>Principal</w:t>
            </w: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tcPr>
          <w:p>
            <w:pPr>
              <w:jc w:val="center"/>
              <w:ind w:right="100"/>
              <w:spacing w:after="0" w:line="93" w:lineRule="exact"/>
              <w:rPr>
                <w:sz w:val="20"/>
                <w:szCs w:val="20"/>
                <w:color w:val="auto"/>
              </w:rPr>
            </w:pPr>
            <w:r>
              <w:rPr>
                <w:rFonts w:ascii="Times New Roman" w:cs="Times New Roman" w:eastAsia="Times New Roman" w:hAnsi="Times New Roman"/>
                <w:sz w:val="9"/>
                <w:szCs w:val="9"/>
                <w:b w:val="1"/>
                <w:bCs w:val="1"/>
                <w:color w:val="auto"/>
                <w:w w:val="96"/>
              </w:rPr>
              <w:t>Fair</w:t>
            </w:r>
          </w:p>
        </w:tc>
        <w:tc>
          <w:tcPr>
            <w:tcW w:w="500" w:type="dxa"/>
            <w:vAlign w:val="bottom"/>
            <w:gridSpan w:val="2"/>
          </w:tcPr>
          <w:p>
            <w:pPr>
              <w:jc w:val="right"/>
              <w:ind w:right="120"/>
              <w:spacing w:after="0" w:line="93" w:lineRule="exact"/>
              <w:rPr>
                <w:sz w:val="20"/>
                <w:szCs w:val="20"/>
                <w:color w:val="auto"/>
              </w:rPr>
            </w:pPr>
            <w:r>
              <w:rPr>
                <w:rFonts w:ascii="Times New Roman" w:cs="Times New Roman" w:eastAsia="Times New Roman" w:hAnsi="Times New Roman"/>
                <w:sz w:val="9"/>
                <w:szCs w:val="9"/>
                <w:b w:val="1"/>
                <w:bCs w:val="1"/>
                <w:color w:val="auto"/>
                <w:w w:val="91"/>
              </w:rPr>
              <w:t>Percent of</w:t>
            </w:r>
          </w:p>
        </w:tc>
        <w:tc>
          <w:tcPr>
            <w:tcW w:w="0" w:type="dxa"/>
            <w:vAlign w:val="bottom"/>
          </w:tcPr>
          <w:p>
            <w:pPr>
              <w:spacing w:after="0"/>
              <w:rPr>
                <w:sz w:val="1"/>
                <w:szCs w:val="1"/>
                <w:color w:val="auto"/>
              </w:rPr>
            </w:pPr>
          </w:p>
        </w:tc>
      </w:tr>
      <w:tr>
        <w:trPr>
          <w:trHeight w:val="130"/>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w w:val="97"/>
              </w:rPr>
              <w:t>Address of Portfolio Company</w:t>
            </w:r>
          </w:p>
        </w:tc>
        <w:tc>
          <w:tcPr>
            <w:tcW w:w="20" w:type="dxa"/>
            <w:vAlign w:val="bottom"/>
          </w:tcPr>
          <w:p>
            <w:pPr>
              <w:spacing w:after="0"/>
              <w:rPr>
                <w:sz w:val="11"/>
                <w:szCs w:val="11"/>
                <w:color w:val="auto"/>
              </w:rPr>
            </w:pPr>
          </w:p>
        </w:tc>
        <w:tc>
          <w:tcPr>
            <w:tcW w:w="1460" w:type="dxa"/>
            <w:vAlign w:val="bottom"/>
          </w:tcPr>
          <w:p>
            <w:pPr>
              <w:ind w:left="360"/>
              <w:spacing w:after="0"/>
              <w:rPr>
                <w:sz w:val="20"/>
                <w:szCs w:val="20"/>
                <w:color w:val="auto"/>
              </w:rPr>
            </w:pPr>
            <w:r>
              <w:rPr>
                <w:rFonts w:ascii="Times New Roman" w:cs="Times New Roman" w:eastAsia="Times New Roman" w:hAnsi="Times New Roman"/>
                <w:sz w:val="9"/>
                <w:szCs w:val="9"/>
                <w:b w:val="1"/>
                <w:bCs w:val="1"/>
                <w:color w:val="auto"/>
              </w:rPr>
              <w:t>Investment Type (c)</w:t>
            </w:r>
          </w:p>
        </w:tc>
        <w:tc>
          <w:tcPr>
            <w:tcW w:w="40" w:type="dxa"/>
            <w:vAlign w:val="bottom"/>
          </w:tcPr>
          <w:p>
            <w:pPr>
              <w:spacing w:after="0"/>
              <w:rPr>
                <w:sz w:val="11"/>
                <w:szCs w:val="11"/>
                <w:color w:val="auto"/>
              </w:rPr>
            </w:pPr>
          </w:p>
        </w:tc>
        <w:tc>
          <w:tcPr>
            <w:tcW w:w="1300" w:type="dxa"/>
            <w:vAlign w:val="bottom"/>
            <w:gridSpan w:val="2"/>
          </w:tcPr>
          <w:p>
            <w:pPr>
              <w:ind w:left="48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w w:val="99"/>
              </w:rPr>
              <w:t>Held (bo)</w:t>
            </w:r>
          </w:p>
        </w:tc>
        <w:tc>
          <w:tcPr>
            <w:tcW w:w="40" w:type="dxa"/>
            <w:vAlign w:val="bottom"/>
          </w:tcPr>
          <w:p>
            <w:pPr>
              <w:spacing w:after="0"/>
              <w:rPr>
                <w:sz w:val="11"/>
                <w:szCs w:val="11"/>
                <w:color w:val="auto"/>
              </w:rPr>
            </w:pP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9"/>
                <w:szCs w:val="9"/>
                <w:b w:val="1"/>
                <w:bCs w:val="1"/>
                <w:color w:val="auto"/>
                <w:w w:val="99"/>
              </w:rPr>
              <w:t>Floor (d)</w:t>
            </w: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9"/>
                <w:szCs w:val="9"/>
                <w:b w:val="1"/>
                <w:bCs w:val="1"/>
                <w:color w:val="auto"/>
                <w:w w:val="99"/>
              </w:rPr>
              <w:t>Cash/PIK</w:t>
            </w:r>
          </w:p>
        </w:tc>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w w:val="95"/>
              </w:rPr>
              <w:t>Date (f)</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Maturity</w:t>
            </w:r>
          </w:p>
        </w:tc>
        <w:tc>
          <w:tcPr>
            <w:tcW w:w="480" w:type="dxa"/>
            <w:vAlign w:val="bottom"/>
            <w:gridSpan w:val="4"/>
          </w:tcPr>
          <w:p>
            <w:pPr>
              <w:jc w:val="right"/>
              <w:ind w:right="116"/>
              <w:spacing w:after="0"/>
              <w:rPr>
                <w:sz w:val="20"/>
                <w:szCs w:val="20"/>
                <w:color w:val="auto"/>
              </w:rPr>
            </w:pPr>
            <w:r>
              <w:rPr>
                <w:rFonts w:ascii="Times New Roman" w:cs="Times New Roman" w:eastAsia="Times New Roman" w:hAnsi="Times New Roman"/>
                <w:sz w:val="9"/>
                <w:szCs w:val="9"/>
                <w:b w:val="1"/>
                <w:bCs w:val="1"/>
                <w:color w:val="auto"/>
              </w:rPr>
              <w:t>Amount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9"/>
                <w:szCs w:val="9"/>
                <w:b w:val="1"/>
                <w:bCs w:val="1"/>
                <w:color w:val="auto"/>
              </w:rPr>
              <w:t>Cost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w w:val="96"/>
              </w:rPr>
              <w:t>Value (g)</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b w:val="1"/>
                <w:bCs w:val="1"/>
                <w:color w:val="auto"/>
                <w:w w:val="90"/>
              </w:rPr>
              <w:t>Net Assets</w:t>
            </w:r>
          </w:p>
        </w:tc>
        <w:tc>
          <w:tcPr>
            <w:tcW w:w="0" w:type="dxa"/>
            <w:vAlign w:val="bottom"/>
          </w:tcPr>
          <w:p>
            <w:pPr>
              <w:spacing w:after="0"/>
              <w:rPr>
                <w:sz w:val="1"/>
                <w:szCs w:val="1"/>
                <w:color w:val="auto"/>
              </w:rPr>
            </w:pPr>
          </w:p>
        </w:tc>
      </w:tr>
      <w:tr>
        <w:trPr>
          <w:trHeight w:val="63"/>
        </w:trPr>
        <w:tc>
          <w:tcPr>
            <w:tcW w:w="1160" w:type="dxa"/>
            <w:vAlign w:val="bottom"/>
            <w:tcBorders>
              <w:top w:val="single" w:sz="8" w:color="CCEEFF"/>
            </w:tcBorders>
            <w:shd w:val="clear" w:color="auto" w:fill="CCEEFF"/>
          </w:tcPr>
          <w:p>
            <w:pPr>
              <w:spacing w:after="0" w:line="63" w:lineRule="exact"/>
              <w:rPr>
                <w:sz w:val="20"/>
                <w:szCs w:val="20"/>
                <w:color w:val="auto"/>
              </w:rPr>
            </w:pPr>
            <w:r>
              <w:rPr>
                <w:rFonts w:ascii="Times New Roman" w:cs="Times New Roman" w:eastAsia="Times New Roman" w:hAnsi="Times New Roman"/>
                <w:sz w:val="7"/>
                <w:szCs w:val="7"/>
                <w:i w:val="1"/>
                <w:iCs w:val="1"/>
                <w:color w:val="auto"/>
              </w:rPr>
              <w:t>Waterworks Solutions</w:t>
            </w:r>
          </w:p>
        </w:tc>
        <w:tc>
          <w:tcPr>
            <w:tcW w:w="20" w:type="dxa"/>
            <w:vAlign w:val="bottom"/>
            <w:tcBorders>
              <w:top w:val="single" w:sz="8" w:color="CCEEFF"/>
            </w:tcBorders>
            <w:shd w:val="clear" w:color="auto" w:fill="CCEEFF"/>
          </w:tcPr>
          <w:p>
            <w:pPr>
              <w:spacing w:after="0"/>
              <w:rPr>
                <w:sz w:val="5"/>
                <w:szCs w:val="5"/>
                <w:color w:val="auto"/>
              </w:rPr>
            </w:pPr>
          </w:p>
        </w:tc>
        <w:tc>
          <w:tcPr>
            <w:tcW w:w="14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auto"/>
            </w:tcBorders>
            <w:shd w:val="clear" w:color="auto" w:fill="CCEEFF"/>
          </w:tcPr>
          <w:p>
            <w:pPr>
              <w:spacing w:after="0" w:line="63" w:lineRule="exact"/>
              <w:rPr>
                <w:sz w:val="20"/>
                <w:szCs w:val="20"/>
                <w:color w:val="auto"/>
              </w:rPr>
            </w:pPr>
            <w:r>
              <w:rPr>
                <w:rFonts w:ascii="Times New Roman" w:cs="Times New Roman" w:eastAsia="Times New Roman" w:hAnsi="Times New Roman"/>
                <w:sz w:val="7"/>
                <w:szCs w:val="7"/>
                <w:color w:val="auto"/>
              </w:rPr>
              <w:t>Specialty Distribution</w:t>
            </w: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160" w:type="dxa"/>
            <w:vAlign w:val="bottom"/>
            <w:shd w:val="clear" w:color="auto" w:fill="CCEEFF"/>
          </w:tcPr>
          <w:p>
            <w:pPr>
              <w:ind w:left="100"/>
              <w:spacing w:after="0" w:line="98" w:lineRule="exact"/>
              <w:rPr>
                <w:sz w:val="20"/>
                <w:szCs w:val="20"/>
                <w:color w:val="auto"/>
              </w:rPr>
            </w:pPr>
            <w:r>
              <w:rPr>
                <w:rFonts w:ascii="Times New Roman" w:cs="Times New Roman" w:eastAsia="Times New Roman" w:hAnsi="Times New Roman"/>
                <w:sz w:val="10"/>
                <w:szCs w:val="10"/>
                <w:i w:val="1"/>
                <w:iCs w:val="1"/>
                <w:color w:val="auto"/>
              </w:rPr>
              <w:t>Acquisition, Inc. (dba</w:t>
            </w:r>
          </w:p>
        </w:tc>
        <w:tc>
          <w:tcPr>
            <w:tcW w:w="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i w:val="1"/>
                <w:iCs w:val="1"/>
                <w:color w:val="auto"/>
              </w:rPr>
              <w:t>CITCO Water)</w:t>
            </w:r>
          </w:p>
        </w:tc>
        <w:tc>
          <w:tcPr>
            <w:tcW w:w="2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2811 Ponce De Leon</w:t>
            </w:r>
          </w:p>
        </w:tc>
        <w:tc>
          <w:tcPr>
            <w:tcW w:w="1480" w:type="dxa"/>
            <w:vAlign w:val="bottom"/>
            <w:gridSpan w:val="2"/>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 ($3,500</w:t>
            </w:r>
          </w:p>
        </w:tc>
        <w:tc>
          <w:tcPr>
            <w:tcW w:w="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gridSpan w:val="3"/>
          </w:tcPr>
          <w:p>
            <w:pPr>
              <w:ind w:left="40"/>
              <w:spacing w:after="0" w:line="90" w:lineRule="exact"/>
              <w:rPr>
                <w:sz w:val="20"/>
                <w:szCs w:val="20"/>
                <w:color w:val="auto"/>
              </w:rPr>
            </w:pPr>
            <w:r>
              <w:rPr>
                <w:rFonts w:ascii="Times New Roman" w:cs="Times New Roman" w:eastAsia="Times New Roman" w:hAnsi="Times New Roman"/>
                <w:sz w:val="10"/>
                <w:szCs w:val="10"/>
                <w:color w:val="auto"/>
              </w:rPr>
              <w:t>(S + 4.75%)</w:t>
            </w: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Blvd., Suite 400</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unfunded commitment) (z)(bm)</w:t>
            </w:r>
          </w:p>
        </w:tc>
        <w:tc>
          <w:tcPr>
            <w:tcW w:w="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(2.00%)</w:t>
            </w:r>
          </w:p>
        </w:tc>
        <w:tc>
          <w:tcPr>
            <w:tcW w:w="40" w:type="dxa"/>
            <w:vAlign w:val="bottom"/>
          </w:tcPr>
          <w:p>
            <w:pPr>
              <w:spacing w:after="0"/>
              <w:rPr>
                <w:sz w:val="10"/>
                <w:szCs w:val="1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8.44%/0.00%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12/26/2025</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w w:val="96"/>
              </w:rPr>
              <w:t>12/26/2030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15,995</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15,875</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15,875</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w w:val="97"/>
              </w:rPr>
              <w:t>Coral Gables, FL 33134</w:t>
            </w:r>
          </w:p>
        </w:tc>
        <w:tc>
          <w:tcPr>
            <w:tcW w:w="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w w:val="96"/>
              </w:rPr>
              <w:t>White Label Communication,</w:t>
            </w:r>
          </w:p>
        </w:tc>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w w:val="95"/>
              </w:rPr>
              <w:t>Information Technology Services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160" w:type="dxa"/>
            <w:vAlign w:val="bottom"/>
          </w:tcPr>
          <w:p>
            <w:pPr>
              <w:ind w:left="100"/>
              <w:spacing w:after="0"/>
              <w:rPr>
                <w:sz w:val="20"/>
                <w:szCs w:val="20"/>
                <w:color w:val="auto"/>
              </w:rPr>
            </w:pPr>
            <w:r>
              <w:rPr>
                <w:rFonts w:ascii="Times New Roman" w:cs="Times New Roman" w:eastAsia="Times New Roman" w:hAnsi="Times New Roman"/>
                <w:sz w:val="10"/>
                <w:szCs w:val="10"/>
                <w:i w:val="1"/>
                <w:iCs w:val="1"/>
                <w:color w:val="auto"/>
              </w:rPr>
              <w:t>LLC</w:t>
            </w:r>
          </w:p>
        </w:tc>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rPr>
              <w:t>710 Springdale Drive</w:t>
            </w:r>
          </w:p>
        </w:tc>
        <w:tc>
          <w:tcPr>
            <w:tcW w:w="1480" w:type="dxa"/>
            <w:vAlign w:val="bottom"/>
            <w:gridSpan w:val="2"/>
            <w:shd w:val="clear" w:color="auto" w:fill="CCEEFF"/>
          </w:tcPr>
          <w:p>
            <w:pPr>
              <w:ind w:left="20"/>
              <w:spacing w:after="0" w:line="90" w:lineRule="exact"/>
              <w:rPr>
                <w:sz w:val="20"/>
                <w:szCs w:val="20"/>
                <w:color w:val="auto"/>
              </w:rPr>
            </w:pPr>
            <w:r>
              <w:rPr>
                <w:rFonts w:ascii="Times New Roman" w:cs="Times New Roman" w:eastAsia="Times New Roman" w:hAnsi="Times New Roman"/>
                <w:sz w:val="10"/>
                <w:szCs w:val="10"/>
                <w:color w:val="auto"/>
              </w:rPr>
              <w:t>First Lien Debt (j)(ab)</w:t>
            </w:r>
          </w:p>
        </w:tc>
        <w:tc>
          <w:tcPr>
            <w:tcW w:w="4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gridSpan w:val="3"/>
            <w:shd w:val="clear" w:color="auto" w:fill="CCEEFF"/>
          </w:tcPr>
          <w:p>
            <w:pPr>
              <w:ind w:left="40"/>
              <w:spacing w:after="0" w:line="90" w:lineRule="exact"/>
              <w:rPr>
                <w:sz w:val="20"/>
                <w:szCs w:val="20"/>
                <w:color w:val="auto"/>
              </w:rPr>
            </w:pPr>
            <w:r>
              <w:rPr>
                <w:rFonts w:ascii="Times New Roman" w:cs="Times New Roman" w:eastAsia="Times New Roman" w:hAnsi="Times New Roman"/>
                <w:sz w:val="10"/>
                <w:szCs w:val="10"/>
                <w:color w:val="auto"/>
              </w:rPr>
              <w:t>(S + 5.25%)</w:t>
            </w: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 (1.00%)</w:t>
            </w:r>
          </w:p>
        </w:tc>
        <w:tc>
          <w:tcPr>
            <w:tcW w:w="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9.21%/0.00%</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6/30/2025</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6/30/2030</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24,400</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24,263</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24,400</w:t>
            </w: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tcPr>
          <w:p>
            <w:pPr>
              <w:ind w:left="200"/>
              <w:spacing w:after="0" w:line="103" w:lineRule="exact"/>
              <w:rPr>
                <w:sz w:val="20"/>
                <w:szCs w:val="20"/>
                <w:color w:val="auto"/>
              </w:rPr>
            </w:pPr>
            <w:r>
              <w:rPr>
                <w:rFonts w:ascii="Times New Roman" w:cs="Times New Roman" w:eastAsia="Times New Roman" w:hAnsi="Times New Roman"/>
                <w:sz w:val="10"/>
                <w:szCs w:val="10"/>
                <w:color w:val="auto"/>
              </w:rPr>
              <w:t>Exton, PA 19341</w:t>
            </w:r>
          </w:p>
        </w:tc>
        <w:tc>
          <w:tcPr>
            <w:tcW w:w="148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(536 units) (h)</w:t>
            </w:r>
          </w:p>
        </w:tc>
        <w:tc>
          <w:tcPr>
            <w:tcW w:w="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gridSpan w:val="2"/>
          </w:tcPr>
          <w:p>
            <w:pPr>
              <w:jc w:val="right"/>
              <w:ind w:right="40"/>
              <w:spacing w:after="0" w:line="103" w:lineRule="exact"/>
              <w:rPr>
                <w:sz w:val="20"/>
                <w:szCs w:val="20"/>
                <w:color w:val="auto"/>
              </w:rPr>
            </w:pPr>
            <w:r>
              <w:rPr>
                <w:rFonts w:ascii="Times New Roman" w:cs="Times New Roman" w:eastAsia="Times New Roman" w:hAnsi="Times New Roman"/>
                <w:sz w:val="10"/>
                <w:szCs w:val="10"/>
                <w:color w:val="auto"/>
              </w:rPr>
              <w:t>0.5%</w:t>
            </w: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10/11/2023</w:t>
            </w: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gridSpan w:val="2"/>
          </w:tcPr>
          <w:p>
            <w:pPr>
              <w:ind w:left="24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tcPr>
          <w:p>
            <w:pPr>
              <w:ind w:left="260"/>
              <w:spacing w:after="0" w:line="103" w:lineRule="exact"/>
              <w:rPr>
                <w:sz w:val="20"/>
                <w:szCs w:val="20"/>
                <w:color w:val="auto"/>
              </w:rPr>
            </w:pPr>
            <w:r>
              <w:rPr>
                <w:rFonts w:ascii="Times New Roman" w:cs="Times New Roman" w:eastAsia="Times New Roman" w:hAnsi="Times New Roman"/>
                <w:sz w:val="10"/>
                <w:szCs w:val="10"/>
                <w:color w:val="auto"/>
              </w:rPr>
              <w:t>— </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1480" w:type="dxa"/>
            <w:vAlign w:val="bottom"/>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Preferred Equity (5,000 units) (h)</w:t>
            </w:r>
          </w:p>
        </w:tc>
        <w:tc>
          <w:tcPr>
            <w:tcW w:w="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40"/>
              <w:spacing w:after="0" w:line="103" w:lineRule="exact"/>
              <w:rPr>
                <w:sz w:val="20"/>
                <w:szCs w:val="20"/>
                <w:color w:val="auto"/>
              </w:rPr>
            </w:pPr>
            <w:r>
              <w:rPr>
                <w:rFonts w:ascii="Times New Roman" w:cs="Times New Roman" w:eastAsia="Times New Roman" w:hAnsi="Times New Roman"/>
                <w:sz w:val="10"/>
                <w:szCs w:val="10"/>
                <w:color w:val="auto"/>
              </w:rPr>
              <w:t>0.0%</w:t>
            </w: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10/11/2023</w:t>
            </w: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500</w:t>
            </w: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500</w:t>
            </w: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24,763</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24,900</w:t>
            </w:r>
          </w:p>
        </w:tc>
        <w:tc>
          <w:tcPr>
            <w:tcW w:w="60" w:type="dxa"/>
            <w:vAlign w:val="bottom"/>
          </w:tcPr>
          <w:p>
            <w:pPr>
              <w:spacing w:after="0"/>
              <w:rPr>
                <w:sz w:val="9"/>
                <w:szCs w:val="9"/>
                <w:color w:val="auto"/>
              </w:rPr>
            </w:pPr>
          </w:p>
        </w:tc>
        <w:tc>
          <w:tcPr>
            <w:tcW w:w="500" w:type="dxa"/>
            <w:vAlign w:val="bottom"/>
            <w:gridSpan w:val="2"/>
          </w:tcPr>
          <w:p>
            <w:pPr>
              <w:jc w:val="right"/>
              <w:ind w:right="40"/>
              <w:spacing w:after="0" w:line="111" w:lineRule="exact"/>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41"/>
        </w:trPr>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11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i w:val="1"/>
                <w:iCs w:val="1"/>
                <w:color w:val="auto"/>
              </w:rPr>
              <w:t>Wonderware Holdings, LLC</w:t>
            </w:r>
          </w:p>
        </w:tc>
        <w:tc>
          <w:tcPr>
            <w:tcW w:w="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1340" w:type="dxa"/>
            <w:vAlign w:val="bottom"/>
            <w:gridSpan w:val="3"/>
            <w:shd w:val="clear" w:color="auto" w:fill="CCEEFF"/>
          </w:tcPr>
          <w:p>
            <w:pPr>
              <w:ind w:left="40"/>
              <w:spacing w:after="0" w:line="88" w:lineRule="exact"/>
              <w:rPr>
                <w:sz w:val="20"/>
                <w:szCs w:val="20"/>
                <w:color w:val="auto"/>
              </w:rPr>
            </w:pPr>
            <w:r>
              <w:rPr>
                <w:rFonts w:ascii="Times New Roman" w:cs="Times New Roman" w:eastAsia="Times New Roman" w:hAnsi="Times New Roman"/>
                <w:sz w:val="10"/>
                <w:szCs w:val="10"/>
                <w:color w:val="auto"/>
                <w:w w:val="95"/>
              </w:rPr>
              <w:t>Information Technology Services</w:t>
            </w:r>
          </w:p>
        </w:tc>
        <w:tc>
          <w:tcPr>
            <w:tcW w:w="4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100"/>
              <w:spacing w:after="0" w:line="103" w:lineRule="exact"/>
              <w:rPr>
                <w:sz w:val="20"/>
                <w:szCs w:val="20"/>
                <w:color w:val="auto"/>
              </w:rPr>
            </w:pPr>
            <w:r>
              <w:rPr>
                <w:rFonts w:ascii="Times New Roman" w:cs="Times New Roman" w:eastAsia="Times New Roman" w:hAnsi="Times New Roman"/>
                <w:sz w:val="10"/>
                <w:szCs w:val="10"/>
                <w:i w:val="1"/>
                <w:iCs w:val="1"/>
                <w:color w:val="auto"/>
              </w:rPr>
              <w:t>(dba CORE Business</w:t>
            </w:r>
          </w:p>
        </w:tc>
        <w:tc>
          <w:tcPr>
            <w:tcW w:w="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i w:val="1"/>
                <w:iCs w:val="1"/>
                <w:color w:val="auto"/>
              </w:rPr>
              <w:t>Technologies)</w:t>
            </w:r>
          </w:p>
        </w:tc>
        <w:tc>
          <w:tcPr>
            <w:tcW w:w="2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w w:val="95"/>
              </w:rPr>
              <w:t>950 Warren Avenue, 4th</w:t>
            </w:r>
          </w:p>
        </w:tc>
        <w:tc>
          <w:tcPr>
            <w:tcW w:w="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gridSpan w:val="3"/>
          </w:tcPr>
          <w:p>
            <w:pPr>
              <w:ind w:left="40"/>
              <w:spacing w:after="0" w:line="90" w:lineRule="exact"/>
              <w:rPr>
                <w:sz w:val="20"/>
                <w:szCs w:val="20"/>
                <w:color w:val="auto"/>
              </w:rPr>
            </w:pPr>
            <w:r>
              <w:rPr>
                <w:rFonts w:ascii="Times New Roman" w:cs="Times New Roman" w:eastAsia="Times New Roman" w:hAnsi="Times New Roman"/>
                <w:sz w:val="10"/>
                <w:szCs w:val="10"/>
                <w:color w:val="auto"/>
              </w:rPr>
              <w:t>(S + 5.00%)</w:t>
            </w: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Floor</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First Lien Debt (z)</w:t>
            </w:r>
          </w:p>
        </w:tc>
        <w:tc>
          <w:tcPr>
            <w:tcW w:w="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(2.00%)</w:t>
            </w:r>
          </w:p>
        </w:tc>
        <w:tc>
          <w:tcPr>
            <w:tcW w:w="40" w:type="dxa"/>
            <w:vAlign w:val="bottom"/>
          </w:tcPr>
          <w:p>
            <w:pPr>
              <w:spacing w:after="0"/>
              <w:rPr>
                <w:sz w:val="10"/>
                <w:szCs w:val="1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8.72%/0.00%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2/10/2021</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5/14/2028</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8,316</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8,316</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8,316</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rPr>
              <w:t>East Providence, RI</w:t>
            </w:r>
          </w:p>
        </w:tc>
        <w:tc>
          <w:tcPr>
            <w:tcW w:w="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02914</w:t>
            </w:r>
          </w:p>
        </w:tc>
        <w:tc>
          <w:tcPr>
            <w:tcW w:w="2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World Tours LLC</w:t>
            </w:r>
          </w:p>
        </w:tc>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Consumer Services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rPr>
              <w:t>1650 So Pacific Coast</w:t>
            </w:r>
          </w:p>
        </w:tc>
        <w:tc>
          <w:tcPr>
            <w:tcW w:w="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gridSpan w:val="3"/>
            <w:shd w:val="clear" w:color="auto" w:fill="CCEEFF"/>
          </w:tcPr>
          <w:p>
            <w:pPr>
              <w:ind w:left="40"/>
              <w:spacing w:after="0" w:line="90" w:lineRule="exact"/>
              <w:rPr>
                <w:sz w:val="20"/>
                <w:szCs w:val="20"/>
                <w:color w:val="auto"/>
              </w:rPr>
            </w:pPr>
            <w:r>
              <w:rPr>
                <w:rFonts w:ascii="Times New Roman" w:cs="Times New Roman" w:eastAsia="Times New Roman" w:hAnsi="Times New Roman"/>
                <w:sz w:val="10"/>
                <w:szCs w:val="10"/>
                <w:color w:val="auto"/>
              </w:rPr>
              <w:t>(S + 6.50%)</w:t>
            </w: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Hwy Suite 202</w:t>
            </w:r>
          </w:p>
        </w:tc>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First Lien Debt (ay)</w:t>
            </w:r>
          </w:p>
        </w:tc>
        <w:tc>
          <w:tcPr>
            <w:tcW w:w="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 (2.00%)</w:t>
            </w:r>
          </w:p>
        </w:tc>
        <w:tc>
          <w:tcPr>
            <w:tcW w:w="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w w:val="94"/>
              </w:rPr>
              <w:t>10.49%/0.00%</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11/13/2024</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w w:val="96"/>
              </w:rPr>
              <w:t>11/13/2029</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6,000</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5,965</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6,000</w:t>
            </w: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Redondo Beach, CA</w:t>
            </w:r>
          </w:p>
        </w:tc>
        <w:tc>
          <w:tcPr>
            <w:tcW w:w="1480" w:type="dxa"/>
            <w:vAlign w:val="bottom"/>
            <w:gridSpan w:val="2"/>
          </w:tcPr>
          <w:p>
            <w:pPr>
              <w:ind w:left="20"/>
              <w:spacing w:after="0" w:line="90" w:lineRule="exact"/>
              <w:rPr>
                <w:sz w:val="20"/>
                <w:szCs w:val="20"/>
                <w:color w:val="auto"/>
              </w:rPr>
            </w:pPr>
            <w:r>
              <w:rPr>
                <w:rFonts w:ascii="Times New Roman" w:cs="Times New Roman" w:eastAsia="Times New Roman" w:hAnsi="Times New Roman"/>
                <w:sz w:val="10"/>
                <w:szCs w:val="10"/>
                <w:color w:val="auto"/>
                <w:w w:val="94"/>
              </w:rPr>
              <w:t>Preferred Equity (1,000,000 units) (h)</w:t>
            </w:r>
          </w:p>
        </w:tc>
        <w:tc>
          <w:tcPr>
            <w:tcW w:w="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90277</w:t>
            </w:r>
          </w:p>
        </w:tc>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3.8%</w:t>
            </w: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11/13/2024</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1,517</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6,965</w:t>
            </w: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7,517</w:t>
            </w:r>
          </w:p>
        </w:tc>
        <w:tc>
          <w:tcPr>
            <w:tcW w:w="500" w:type="dxa"/>
            <w:vAlign w:val="bottom"/>
            <w:gridSpan w:val="2"/>
            <w:shd w:val="clear" w:color="auto" w:fill="CCEEFF"/>
          </w:tcPr>
          <w:p>
            <w:pPr>
              <w:jc w:val="right"/>
              <w:ind w:right="40"/>
              <w:spacing w:after="0" w:line="103" w:lineRule="exact"/>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39"/>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Worldwide Express</w:t>
            </w:r>
          </w:p>
        </w:tc>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Transportation services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160" w:type="dxa"/>
            <w:vAlign w:val="bottom"/>
          </w:tcPr>
          <w:p>
            <w:pPr>
              <w:ind w:left="100"/>
              <w:spacing w:after="0"/>
              <w:rPr>
                <w:sz w:val="20"/>
                <w:szCs w:val="20"/>
                <w:color w:val="auto"/>
              </w:rPr>
            </w:pPr>
            <w:r>
              <w:rPr>
                <w:rFonts w:ascii="Times New Roman" w:cs="Times New Roman" w:eastAsia="Times New Roman" w:hAnsi="Times New Roman"/>
                <w:sz w:val="10"/>
                <w:szCs w:val="10"/>
                <w:i w:val="1"/>
                <w:iCs w:val="1"/>
                <w:color w:val="auto"/>
              </w:rPr>
              <w:t>Operations, LLC</w:t>
            </w:r>
          </w:p>
        </w:tc>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rPr>
              <w:t>2700 Commerce Street</w:t>
            </w:r>
          </w:p>
        </w:tc>
        <w:tc>
          <w:tcPr>
            <w:tcW w:w="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Suite 1500</w:t>
            </w:r>
          </w:p>
        </w:tc>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Common Equity (795,000 units)</w:t>
            </w:r>
          </w:p>
        </w:tc>
        <w:tc>
          <w:tcPr>
            <w:tcW w:w="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0.0%</w:t>
            </w: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7/21/2021</w:t>
            </w: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795</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994</w:t>
            </w: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60" w:type="dxa"/>
            <w:vAlign w:val="bottom"/>
          </w:tcPr>
          <w:p>
            <w:pPr>
              <w:ind w:left="200"/>
              <w:spacing w:after="0" w:line="103" w:lineRule="exact"/>
              <w:rPr>
                <w:sz w:val="20"/>
                <w:szCs w:val="20"/>
                <w:color w:val="auto"/>
              </w:rPr>
            </w:pPr>
            <w:r>
              <w:rPr>
                <w:rFonts w:ascii="Times New Roman" w:cs="Times New Roman" w:eastAsia="Times New Roman" w:hAnsi="Times New Roman"/>
                <w:sz w:val="10"/>
                <w:szCs w:val="10"/>
                <w:color w:val="auto"/>
              </w:rPr>
              <w:t>Dallas, TX 75226</w:t>
            </w:r>
          </w:p>
        </w:tc>
        <w:tc>
          <w:tcPr>
            <w:tcW w:w="148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0"/>
                <w:szCs w:val="10"/>
                <w:color w:val="auto"/>
                <w:w w:val="99"/>
              </w:rPr>
              <w:t>Common Equity (752,380 units) (h)</w:t>
            </w:r>
          </w:p>
        </w:tc>
        <w:tc>
          <w:tcPr>
            <w:tcW w:w="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gridSpan w:val="2"/>
          </w:tcPr>
          <w:p>
            <w:pPr>
              <w:jc w:val="right"/>
              <w:ind w:right="40"/>
              <w:spacing w:after="0" w:line="103" w:lineRule="exact"/>
              <w:rPr>
                <w:sz w:val="20"/>
                <w:szCs w:val="20"/>
                <w:color w:val="auto"/>
              </w:rPr>
            </w:pPr>
            <w:r>
              <w:rPr>
                <w:rFonts w:ascii="Times New Roman" w:cs="Times New Roman" w:eastAsia="Times New Roman" w:hAnsi="Times New Roman"/>
                <w:sz w:val="10"/>
                <w:szCs w:val="10"/>
                <w:color w:val="auto"/>
              </w:rPr>
              <w:t>0.0%</w:t>
            </w: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gridSpan w:val="2"/>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7/26/2021</w:t>
            </w: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spacing w:after="0" w:line="103" w:lineRule="exact"/>
              <w:rPr>
                <w:sz w:val="20"/>
                <w:szCs w:val="20"/>
                <w:color w:val="auto"/>
              </w:rPr>
            </w:pPr>
            <w:r>
              <w:rPr>
                <w:rFonts w:ascii="Times New Roman" w:cs="Times New Roman" w:eastAsia="Times New Roman" w:hAnsi="Times New Roman"/>
                <w:sz w:val="10"/>
                <w:szCs w:val="10"/>
                <w:color w:val="auto"/>
              </w:rPr>
              <w:t>225</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spacing w:after="0" w:line="103" w:lineRule="exact"/>
              <w:rPr>
                <w:sz w:val="20"/>
                <w:szCs w:val="20"/>
                <w:color w:val="auto"/>
              </w:rPr>
            </w:pPr>
            <w:r>
              <w:rPr>
                <w:rFonts w:ascii="Times New Roman" w:cs="Times New Roman" w:eastAsia="Times New Roman" w:hAnsi="Times New Roman"/>
                <w:sz w:val="10"/>
                <w:szCs w:val="10"/>
                <w:color w:val="auto"/>
              </w:rPr>
              <w:t>762</w:t>
            </w: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1,020</w:t>
            </w: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1,756</w:t>
            </w:r>
          </w:p>
        </w:tc>
        <w:tc>
          <w:tcPr>
            <w:tcW w:w="500" w:type="dxa"/>
            <w:vAlign w:val="bottom"/>
            <w:gridSpan w:val="2"/>
            <w:shd w:val="clear" w:color="auto" w:fill="CCEEFF"/>
          </w:tcPr>
          <w:p>
            <w:pPr>
              <w:jc w:val="right"/>
              <w:ind w:right="40"/>
              <w:spacing w:after="0" w:line="103" w:lineRule="exact"/>
              <w:rPr>
                <w:sz w:val="20"/>
                <w:szCs w:val="20"/>
                <w:color w:val="auto"/>
              </w:rPr>
            </w:pPr>
            <w:r>
              <w:rPr>
                <w:rFonts w:ascii="Times New Roman" w:cs="Times New Roman" w:eastAsia="Times New Roman" w:hAnsi="Times New Roman"/>
                <w:sz w:val="10"/>
                <w:szCs w:val="10"/>
                <w:color w:val="auto"/>
              </w:rPr>
              <w:t>0%</w:t>
            </w:r>
          </w:p>
        </w:tc>
        <w:tc>
          <w:tcPr>
            <w:tcW w:w="0" w:type="dxa"/>
            <w:vAlign w:val="bottom"/>
          </w:tcPr>
          <w:p>
            <w:pPr>
              <w:spacing w:after="0"/>
              <w:rPr>
                <w:sz w:val="1"/>
                <w:szCs w:val="1"/>
                <w:color w:val="auto"/>
              </w:rPr>
            </w:pPr>
          </w:p>
        </w:tc>
      </w:tr>
      <w:tr>
        <w:trPr>
          <w:trHeight w:val="154"/>
        </w:trPr>
        <w:tc>
          <w:tcPr>
            <w:tcW w:w="11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Zonkd, LLC</w:t>
            </w:r>
          </w:p>
        </w:tc>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Component Manufacturing</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200"/>
              <w:spacing w:after="0" w:line="103" w:lineRule="exact"/>
              <w:rPr>
                <w:sz w:val="20"/>
                <w:szCs w:val="20"/>
                <w:color w:val="auto"/>
              </w:rPr>
            </w:pPr>
            <w:r>
              <w:rPr>
                <w:rFonts w:ascii="Times New Roman" w:cs="Times New Roman" w:eastAsia="Times New Roman" w:hAnsi="Times New Roman"/>
                <w:sz w:val="10"/>
                <w:szCs w:val="10"/>
                <w:color w:val="auto"/>
              </w:rPr>
              <w:t>1317 Transport Drive</w:t>
            </w:r>
          </w:p>
        </w:tc>
        <w:tc>
          <w:tcPr>
            <w:tcW w:w="1480" w:type="dxa"/>
            <w:vAlign w:val="bottom"/>
            <w:gridSpan w:val="2"/>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color w:val="auto"/>
              </w:rPr>
              <w:t>Common Equity (4,987 units) (h)</w:t>
            </w:r>
          </w:p>
        </w:tc>
        <w:tc>
          <w:tcPr>
            <w:tcW w:w="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40"/>
              <w:spacing w:after="0" w:line="103" w:lineRule="exact"/>
              <w:rPr>
                <w:sz w:val="20"/>
                <w:szCs w:val="20"/>
                <w:color w:val="auto"/>
              </w:rPr>
            </w:pPr>
            <w:r>
              <w:rPr>
                <w:rFonts w:ascii="Times New Roman" w:cs="Times New Roman" w:eastAsia="Times New Roman" w:hAnsi="Times New Roman"/>
                <w:sz w:val="10"/>
                <w:szCs w:val="10"/>
                <w:color w:val="auto"/>
              </w:rPr>
              <w:t>2.9%</w:t>
            </w: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3/18/2022</w:t>
            </w: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169</w:t>
            </w: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487</w:t>
            </w:r>
          </w:p>
        </w:tc>
        <w:tc>
          <w:tcPr>
            <w:tcW w:w="500" w:type="dxa"/>
            <w:vAlign w:val="bottom"/>
            <w:gridSpan w:val="2"/>
            <w:shd w:val="clear" w:color="auto" w:fill="CCEEFF"/>
          </w:tcPr>
          <w:p>
            <w:pPr>
              <w:jc w:val="right"/>
              <w:ind w:right="40"/>
              <w:spacing w:after="0" w:line="103" w:lineRule="exact"/>
              <w:rPr>
                <w:sz w:val="20"/>
                <w:szCs w:val="20"/>
                <w:color w:val="auto"/>
              </w:rPr>
            </w:pPr>
            <w:r>
              <w:rPr>
                <w:rFonts w:ascii="Times New Roman" w:cs="Times New Roman" w:eastAsia="Times New Roman" w:hAnsi="Times New Roman"/>
                <w:sz w:val="10"/>
                <w:szCs w:val="10"/>
                <w:color w:val="auto"/>
              </w:rPr>
              <w:t>0%</w:t>
            </w:r>
          </w:p>
        </w:tc>
        <w:tc>
          <w:tcPr>
            <w:tcW w:w="0" w:type="dxa"/>
            <w:vAlign w:val="bottom"/>
          </w:tcPr>
          <w:p>
            <w:pPr>
              <w:spacing w:after="0"/>
              <w:rPr>
                <w:sz w:val="1"/>
                <w:szCs w:val="1"/>
                <w:color w:val="auto"/>
              </w:rPr>
            </w:pPr>
          </w:p>
        </w:tc>
      </w:tr>
      <w:tr>
        <w:trPr>
          <w:trHeight w:val="103"/>
        </w:trPr>
        <w:tc>
          <w:tcPr>
            <w:tcW w:w="1160" w:type="dxa"/>
            <w:vAlign w:val="bottom"/>
          </w:tcPr>
          <w:p>
            <w:pPr>
              <w:ind w:left="200"/>
              <w:spacing w:after="0" w:line="103" w:lineRule="exact"/>
              <w:rPr>
                <w:sz w:val="20"/>
                <w:szCs w:val="20"/>
                <w:color w:val="auto"/>
              </w:rPr>
            </w:pPr>
            <w:r>
              <w:rPr>
                <w:rFonts w:ascii="Times New Roman" w:cs="Times New Roman" w:eastAsia="Times New Roman" w:hAnsi="Times New Roman"/>
                <w:sz w:val="10"/>
                <w:szCs w:val="10"/>
                <w:color w:val="auto"/>
              </w:rPr>
              <w:t>Raleigh, NC 27603</w:t>
            </w:r>
          </w:p>
        </w:tc>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1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Total</w:t>
            </w:r>
          </w:p>
        </w:tc>
        <w:tc>
          <w:tcPr>
            <w:tcW w:w="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100"/>
              <w:spacing w:after="0" w:line="103" w:lineRule="exact"/>
              <w:rPr>
                <w:sz w:val="20"/>
                <w:szCs w:val="20"/>
                <w:color w:val="auto"/>
              </w:rPr>
            </w:pPr>
            <w:r>
              <w:rPr>
                <w:rFonts w:ascii="Times New Roman" w:cs="Times New Roman" w:eastAsia="Times New Roman" w:hAnsi="Times New Roman"/>
                <w:sz w:val="10"/>
                <w:szCs w:val="10"/>
                <w:b w:val="1"/>
                <w:bCs w:val="1"/>
                <w:color w:val="auto"/>
                <w:w w:val="95"/>
              </w:rPr>
              <w:t>Non-control/Non-affiliate</w:t>
            </w:r>
          </w:p>
        </w:tc>
        <w:tc>
          <w:tcPr>
            <w:tcW w:w="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Investments</w:t>
            </w:r>
          </w:p>
        </w:tc>
        <w:tc>
          <w:tcPr>
            <w:tcW w:w="2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0"/>
                <w:szCs w:val="10"/>
                <w:u w:val="single" w:color="auto"/>
                <w:color w:val="auto"/>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w w:val="94"/>
              </w:rPr>
              <w:t>1,222,476</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w w:val="94"/>
              </w:rPr>
              <w:t>1,205,738</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163%</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Total Investments</w:t>
            </w: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179%</w:t>
            </w:r>
          </w:p>
        </w:tc>
        <w:tc>
          <w:tcPr>
            <w:tcW w:w="0" w:type="dxa"/>
            <w:vAlign w:val="bottom"/>
          </w:tcPr>
          <w:p>
            <w:pPr>
              <w:spacing w:after="0" w:line="20" w:lineRule="exact"/>
              <w:rPr>
                <w:sz w:val="1"/>
                <w:szCs w:val="1"/>
                <w:color w:val="auto"/>
              </w:rPr>
            </w:pPr>
          </w:p>
        </w:tc>
      </w:tr>
      <w:tr>
        <w:trPr>
          <w:trHeight w:val="84"/>
        </w:trPr>
        <w:tc>
          <w:tcPr>
            <w:tcW w:w="11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u w:val="single" w:color="auto"/>
                <w:color w:val="auto"/>
                <w:w w:val="78"/>
              </w:rPr>
              <w:t>$</w:t>
            </w:r>
          </w:p>
        </w:tc>
        <w:tc>
          <w:tcPr>
            <w:tcW w:w="400" w:type="dxa"/>
            <w:vAlign w:val="bottom"/>
            <w:tcBorders>
              <w:bottom w:val="single" w:sz="8" w:color="auto"/>
            </w:tcBorders>
          </w:tcPr>
          <w:p>
            <w:pPr>
              <w:jc w:val="right"/>
              <w:spacing w:after="0" w:line="84" w:lineRule="exact"/>
              <w:rPr>
                <w:sz w:val="20"/>
                <w:szCs w:val="20"/>
                <w:color w:val="auto"/>
              </w:rPr>
            </w:pPr>
            <w:r>
              <w:rPr>
                <w:rFonts w:ascii="Times New Roman" w:cs="Times New Roman" w:eastAsia="Times New Roman" w:hAnsi="Times New Roman"/>
                <w:sz w:val="8"/>
                <w:szCs w:val="8"/>
                <w:color w:val="auto"/>
              </w:rPr>
              <w:t>1,299,294</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u w:val="single" w:color="auto"/>
                <w:color w:val="auto"/>
                <w:w w:val="78"/>
              </w:rPr>
              <w:t>$</w:t>
            </w:r>
          </w:p>
        </w:tc>
        <w:tc>
          <w:tcPr>
            <w:tcW w:w="400" w:type="dxa"/>
            <w:vAlign w:val="bottom"/>
            <w:tcBorders>
              <w:bottom w:val="single" w:sz="8" w:color="auto"/>
            </w:tcBorders>
          </w:tcPr>
          <w:p>
            <w:pPr>
              <w:jc w:val="right"/>
              <w:spacing w:after="0" w:line="84" w:lineRule="exact"/>
              <w:rPr>
                <w:sz w:val="20"/>
                <w:szCs w:val="20"/>
                <w:color w:val="auto"/>
              </w:rPr>
            </w:pPr>
            <w:r>
              <w:rPr>
                <w:rFonts w:ascii="Times New Roman" w:cs="Times New Roman" w:eastAsia="Times New Roman" w:hAnsi="Times New Roman"/>
                <w:sz w:val="8"/>
                <w:szCs w:val="8"/>
                <w:color w:val="auto"/>
              </w:rPr>
              <w:t>1,324,753</w:t>
            </w:r>
          </w:p>
        </w:tc>
        <w:tc>
          <w:tcPr>
            <w:tcW w:w="60" w:type="dxa"/>
            <w:vAlign w:val="bottom"/>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160" w:type="dxa"/>
            <w:vAlign w:val="bottom"/>
            <w:shd w:val="clear" w:color="auto" w:fill="CCEEFF"/>
          </w:tcPr>
          <w:p>
            <w:pPr>
              <w:spacing w:after="0" w:line="69" w:lineRule="exact"/>
              <w:rPr>
                <w:sz w:val="20"/>
                <w:szCs w:val="20"/>
                <w:color w:val="auto"/>
              </w:rPr>
            </w:pPr>
            <w:r>
              <w:rPr>
                <w:rFonts w:ascii="Times New Roman" w:cs="Times New Roman" w:eastAsia="Times New Roman" w:hAnsi="Times New Roman"/>
                <w:sz w:val="7"/>
                <w:szCs w:val="7"/>
                <w:b w:val="1"/>
                <w:bCs w:val="1"/>
                <w:color w:val="auto"/>
              </w:rPr>
              <w:t>Money market funds</w:t>
            </w:r>
          </w:p>
        </w:tc>
        <w:tc>
          <w:tcPr>
            <w:tcW w:w="2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100"/>
              <w:spacing w:after="0" w:line="103" w:lineRule="exact"/>
              <w:rPr>
                <w:sz w:val="20"/>
                <w:szCs w:val="20"/>
                <w:color w:val="auto"/>
              </w:rPr>
            </w:pPr>
            <w:r>
              <w:rPr>
                <w:rFonts w:ascii="Times New Roman" w:cs="Times New Roman" w:eastAsia="Times New Roman" w:hAnsi="Times New Roman"/>
                <w:sz w:val="10"/>
                <w:szCs w:val="10"/>
                <w:b w:val="1"/>
                <w:bCs w:val="1"/>
                <w:color w:val="auto"/>
              </w:rPr>
              <w:t>(included in cash and</w:t>
            </w:r>
          </w:p>
        </w:tc>
        <w:tc>
          <w:tcPr>
            <w:tcW w:w="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cash equivalents)</w:t>
            </w:r>
          </w:p>
        </w:tc>
        <w:tc>
          <w:tcPr>
            <w:tcW w:w="2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16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Goldman Sachs</w:t>
            </w:r>
          </w:p>
        </w:tc>
        <w:tc>
          <w:tcPr>
            <w:tcW w:w="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160" w:type="dxa"/>
            <w:vAlign w:val="bottom"/>
          </w:tcPr>
          <w:p>
            <w:pPr>
              <w:ind w:left="280"/>
              <w:spacing w:after="0" w:line="103" w:lineRule="exact"/>
              <w:rPr>
                <w:sz w:val="20"/>
                <w:szCs w:val="20"/>
                <w:color w:val="auto"/>
              </w:rPr>
            </w:pPr>
            <w:r>
              <w:rPr>
                <w:rFonts w:ascii="Times New Roman" w:cs="Times New Roman" w:eastAsia="Times New Roman" w:hAnsi="Times New Roman"/>
                <w:sz w:val="10"/>
                <w:szCs w:val="10"/>
                <w:color w:val="auto"/>
              </w:rPr>
              <w:t>Financial Square</w:t>
            </w:r>
          </w:p>
        </w:tc>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tcPr>
          <w:p>
            <w:pPr>
              <w:ind w:left="280"/>
              <w:spacing w:after="0" w:line="103" w:lineRule="exact"/>
              <w:rPr>
                <w:sz w:val="20"/>
                <w:szCs w:val="20"/>
                <w:color w:val="auto"/>
              </w:rPr>
            </w:pPr>
            <w:r>
              <w:rPr>
                <w:rFonts w:ascii="Times New Roman" w:cs="Times New Roman" w:eastAsia="Times New Roman" w:hAnsi="Times New Roman"/>
                <w:sz w:val="10"/>
                <w:szCs w:val="10"/>
                <w:color w:val="auto"/>
              </w:rPr>
              <w:t>Treasury Obligation</w:t>
            </w:r>
          </w:p>
        </w:tc>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160" w:type="dxa"/>
            <w:vAlign w:val="bottom"/>
          </w:tcPr>
          <w:p>
            <w:pPr>
              <w:ind w:left="280"/>
              <w:spacing w:after="0" w:line="103" w:lineRule="exact"/>
              <w:rPr>
                <w:sz w:val="20"/>
                <w:szCs w:val="20"/>
                <w:color w:val="auto"/>
              </w:rPr>
            </w:pPr>
            <w:r>
              <w:rPr>
                <w:rFonts w:ascii="Times New Roman" w:cs="Times New Roman" w:eastAsia="Times New Roman" w:hAnsi="Times New Roman"/>
                <w:sz w:val="10"/>
                <w:szCs w:val="10"/>
                <w:color w:val="auto"/>
              </w:rPr>
              <w:t>Institution CUSIP</w:t>
            </w:r>
          </w:p>
        </w:tc>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1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(38141W323) (ad)</w:t>
            </w:r>
          </w:p>
        </w:tc>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68,974</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68,974</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9%</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0"/>
                <w:szCs w:val="10"/>
                <w:b w:val="1"/>
                <w:bCs w:val="1"/>
                <w:color w:val="auto"/>
              </w:rPr>
              <w:t>Total money market funds</w:t>
            </w:r>
          </w:p>
        </w:tc>
        <w:tc>
          <w:tcPr>
            <w:tcW w:w="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4"/>
            <w:shd w:val="clear" w:color="auto" w:fill="CCEEFF"/>
          </w:tcPr>
          <w:p>
            <w:pPr>
              <w:jc w:val="right"/>
              <w:spacing w:after="0" w:line="103"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shd w:val="clear" w:color="auto" w:fill="CCEEFF"/>
          </w:tcPr>
          <w:p>
            <w:pPr>
              <w:jc w:val="right"/>
              <w:ind w:right="20"/>
              <w:spacing w:after="0" w:line="103" w:lineRule="exact"/>
              <w:rPr>
                <w:sz w:val="20"/>
                <w:szCs w:val="20"/>
                <w:color w:val="auto"/>
              </w:rPr>
            </w:pPr>
            <w:r>
              <w:rPr>
                <w:rFonts w:ascii="Times New Roman" w:cs="Times New Roman" w:eastAsia="Times New Roman" w:hAnsi="Times New Roman"/>
                <w:sz w:val="10"/>
                <w:szCs w:val="10"/>
                <w:color w:val="auto"/>
              </w:rPr>
              <w:t>68,974</w:t>
            </w:r>
          </w:p>
        </w:tc>
        <w:tc>
          <w:tcPr>
            <w:tcW w:w="80" w:type="dxa"/>
            <w:vAlign w:val="bottom"/>
            <w:gridSpan w:val="2"/>
            <w:shd w:val="clear" w:color="auto" w:fill="CCEEFF"/>
          </w:tcPr>
          <w:p>
            <w:pPr>
              <w:jc w:val="right"/>
              <w:spacing w:after="0" w:line="103"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shd w:val="clear" w:color="auto" w:fill="CCEEFF"/>
          </w:tcPr>
          <w:p>
            <w:pPr>
              <w:jc w:val="right"/>
              <w:ind w:right="60"/>
              <w:spacing w:after="0" w:line="103" w:lineRule="exact"/>
              <w:rPr>
                <w:sz w:val="20"/>
                <w:szCs w:val="20"/>
                <w:color w:val="auto"/>
              </w:rPr>
            </w:pPr>
            <w:r>
              <w:rPr>
                <w:rFonts w:ascii="Times New Roman" w:cs="Times New Roman" w:eastAsia="Times New Roman" w:hAnsi="Times New Roman"/>
                <w:sz w:val="10"/>
                <w:szCs w:val="10"/>
                <w:color w:val="auto"/>
              </w:rPr>
              <w:t>68,974</w:t>
            </w:r>
          </w:p>
        </w:tc>
        <w:tc>
          <w:tcPr>
            <w:tcW w:w="500" w:type="dxa"/>
            <w:vAlign w:val="bottom"/>
            <w:gridSpan w:val="2"/>
            <w:shd w:val="clear" w:color="auto" w:fill="CCEEFF"/>
          </w:tcPr>
          <w:p>
            <w:pPr>
              <w:jc w:val="right"/>
              <w:ind w:right="40"/>
              <w:spacing w:after="0" w:line="103" w:lineRule="exact"/>
              <w:rPr>
                <w:sz w:val="20"/>
                <w:szCs w:val="20"/>
                <w:color w:val="auto"/>
              </w:rPr>
            </w:pPr>
            <w:r>
              <w:rPr>
                <w:rFonts w:ascii="Times New Roman" w:cs="Times New Roman" w:eastAsia="Times New Roman" w:hAnsi="Times New Roman"/>
                <w:sz w:val="10"/>
                <w:szCs w:val="10"/>
                <w:color w:val="auto"/>
              </w:rPr>
              <w:t>9%</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Total Investments and</w:t>
            </w: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1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116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Money Market Funds</w:t>
            </w:r>
          </w:p>
        </w:tc>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0"/>
                <w:szCs w:val="10"/>
                <w:u w:val="single" w:color="auto"/>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w w:val="94"/>
              </w:rPr>
              <w:t>1,368,268</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0"/>
                <w:szCs w:val="10"/>
                <w:u w:val="single" w:color="auto"/>
                <w:color w:val="auto"/>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w w:val="94"/>
              </w:rPr>
              <w:t>1,393,727</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188%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203440" cy="4508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20"/>
          </w:cols>
          <w:pgMar w:left="1440" w:top="265" w:right="1439" w:bottom="1440" w:gutter="0" w:footer="0" w:header="0"/>
        </w:sectPr>
      </w:pPr>
    </w:p>
    <w:bookmarkStart w:id="35" w:name="page36"/>
    <w:bookmarkEnd w:id="35"/>
    <w:p>
      <w:pPr>
        <w:ind w:left="720" w:hanging="401"/>
        <w:spacing w:after="0"/>
        <w:tabs>
          <w:tab w:leader="none" w:pos="72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203440" cy="45085"/>
                    </a:xfrm>
                    <a:prstGeom prst="rect">
                      <a:avLst/>
                    </a:prstGeom>
                    <a:noFill/>
                  </pic:spPr>
                </pic:pic>
              </a:graphicData>
            </a:graphic>
          </wp:anchor>
        </w:drawing>
        <w:t>See Note 3 to the consolidated financial statements included in our most recent Annual Report on Form 10-K for portfolio composition by geographic location.</w:t>
      </w:r>
    </w:p>
    <w:p>
      <w:pPr>
        <w:ind w:left="720" w:hanging="401"/>
        <w:spacing w:after="0" w:line="214" w:lineRule="auto"/>
        <w:tabs>
          <w:tab w:leader="none" w:pos="72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Equity ownership may be held in shares or units of companies related to the portfolio companies.</w:t>
      </w:r>
    </w:p>
    <w:p>
      <w:pPr>
        <w:ind w:left="720" w:hanging="401"/>
        <w:spacing w:after="0" w:line="214" w:lineRule="auto"/>
        <w:tabs>
          <w:tab w:leader="none" w:pos="72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All debt investments are income producing, unless otherwise indicated. Equity investments are non-income producing unless otherwise noted.</w:t>
      </w:r>
    </w:p>
    <w:p>
      <w:pPr>
        <w:ind w:left="720" w:right="479" w:hanging="401"/>
        <w:spacing w:after="0" w:line="214" w:lineRule="auto"/>
        <w:tabs>
          <w:tab w:leader="none" w:pos="72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Variable rate investments bear interest at a rate indexed to prime (P) or Secured Overnight Financing Rate (“SOFR”) (S), which are reset monthly, bimonthly, quarterly, or semi-annually. Certain variable rate investments also include a Prime or SOFR interest rate floor. For each investment, the Company has provided the spread over the reference rate and the Prime or SOFR floor, if any, as of December 31, 2025.</w:t>
      </w:r>
    </w:p>
    <w:p>
      <w:pPr>
        <w:ind w:left="720" w:right="379" w:hanging="401"/>
        <w:spacing w:after="0" w:line="214" w:lineRule="auto"/>
        <w:tabs>
          <w:tab w:leader="none" w:pos="72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Rate includes the cash interest or dividend rate and paid-in-kind interest or dividend rate, if any, as of December 31, 2025. Generally, payment-in-kind interest can be paid-in-kind or all in cash.</w:t>
      </w:r>
    </w:p>
    <w:p>
      <w:pPr>
        <w:ind w:left="720" w:hanging="401"/>
        <w:spacing w:after="0" w:line="214" w:lineRule="auto"/>
        <w:tabs>
          <w:tab w:leader="none" w:pos="72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Investment date represents the date of the initial investment in the security.</w:t>
      </w:r>
    </w:p>
    <w:p>
      <w:pPr>
        <w:ind w:left="720" w:right="519" w:hanging="401"/>
        <w:spacing w:after="0" w:line="214" w:lineRule="auto"/>
        <w:tabs>
          <w:tab w:leader="none" w:pos="72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ind w:left="720" w:hanging="401"/>
        <w:spacing w:after="0" w:line="214" w:lineRule="auto"/>
        <w:tabs>
          <w:tab w:leader="none" w:pos="72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Investment is held by a taxable subsidiary of the Company.</w:t>
      </w:r>
    </w:p>
    <w:p>
      <w:pPr>
        <w:ind w:left="720" w:right="579" w:hanging="401"/>
        <w:spacing w:after="0" w:line="214" w:lineRule="auto"/>
        <w:tabs>
          <w:tab w:leader="none" w:pos="72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disclosed commitment represents the unfunded amount as of December 31, 2025. The Company is earning 0.50% interest on the unfunded balance of the commitment. The interest rate disclosed represents the rate which will be earned if the commitment is funded.</w:t>
      </w:r>
    </w:p>
    <w:p>
      <w:pPr>
        <w:ind w:left="720" w:right="719" w:hanging="401"/>
        <w:spacing w:after="0" w:line="235" w:lineRule="auto"/>
        <w:tabs>
          <w:tab w:leader="none" w:pos="720" w:val="left"/>
        </w:tabs>
        <w:numPr>
          <w:ilvl w:val="0"/>
          <w:numId w:val="1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investments of FIC Funding, LLC (the “SPV”) are pledged as collateral to the SPV’s financing credit facility (the “SPV Credit Facility”) and, as a result, are not directly available to the creditors of the Company to satisfy any obligations of the Company other than the Company’s obligations under the SPV Credit Facility (see Note 6 to the</w:t>
      </w:r>
    </w:p>
    <w:p>
      <w:pPr>
        <w:ind w:left="720"/>
        <w:spacing w:after="0" w:line="215" w:lineRule="auto"/>
        <w:rPr>
          <w:sz w:val="20"/>
          <w:szCs w:val="20"/>
          <w:color w:val="auto"/>
        </w:rPr>
      </w:pPr>
      <w:r>
        <w:rPr>
          <w:rFonts w:ascii="Times New Roman" w:cs="Times New Roman" w:eastAsia="Times New Roman" w:hAnsi="Times New Roman"/>
          <w:sz w:val="11"/>
          <w:szCs w:val="11"/>
          <w:color w:val="auto"/>
        </w:rPr>
        <w:t>consolidated financial statements).</w:t>
      </w:r>
    </w:p>
    <w:p>
      <w:pPr>
        <w:ind w:left="720" w:hanging="401"/>
        <w:spacing w:after="0" w:line="235" w:lineRule="auto"/>
        <w:tabs>
          <w:tab w:leader="none" w:pos="720" w:val="left"/>
        </w:tabs>
        <w:numPr>
          <w:ilvl w:val="0"/>
          <w:numId w:val="1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addition to the interest earned based on the stated interest rate of this security, the Company is entitled to receive an additional interest amount of 1.56% on its “last out” tranche of</w:t>
      </w:r>
    </w:p>
    <w:p>
      <w:pPr>
        <w:ind w:left="720" w:right="499"/>
        <w:spacing w:after="0" w:line="214" w:lineRule="auto"/>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720" w:right="539" w:hanging="401"/>
        <w:spacing w:after="0" w:line="214" w:lineRule="auto"/>
        <w:tabs>
          <w:tab w:leader="none" w:pos="72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ind w:left="720" w:right="359" w:hanging="401"/>
        <w:spacing w:after="0" w:line="214" w:lineRule="auto"/>
        <w:tabs>
          <w:tab w:leader="none" w:pos="72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ind w:left="720" w:hanging="401"/>
        <w:spacing w:after="0" w:line="214" w:lineRule="auto"/>
        <w:tabs>
          <w:tab w:leader="none" w:pos="72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Investment in portfolio company that has sold its operations and is in the process of winding down.</w:t>
      </w:r>
    </w:p>
    <w:p>
      <w:pPr>
        <w:ind w:left="720" w:right="339" w:hanging="401"/>
        <w:spacing w:after="0" w:line="214" w:lineRule="auto"/>
        <w:tabs>
          <w:tab w:leader="none" w:pos="72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sold a participating interest of approximately $0.3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ind w:left="720" w:right="359" w:hanging="401"/>
        <w:spacing w:after="0" w:line="214" w:lineRule="auto"/>
        <w:tabs>
          <w:tab w:leader="none" w:pos="72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1.72%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720" w:right="359" w:hanging="401"/>
        <w:spacing w:after="0" w:line="214" w:lineRule="auto"/>
        <w:tabs>
          <w:tab w:leader="none" w:pos="72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2.94%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720" w:right="359" w:hanging="401"/>
        <w:spacing w:after="0" w:line="214" w:lineRule="auto"/>
        <w:tabs>
          <w:tab w:leader="none" w:pos="72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2.74%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720" w:right="359" w:hanging="401"/>
        <w:spacing w:after="0" w:line="214" w:lineRule="auto"/>
        <w:tabs>
          <w:tab w:leader="none" w:pos="72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1.56%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720" w:right="339" w:hanging="401"/>
        <w:spacing w:after="0" w:line="224" w:lineRule="auto"/>
        <w:tabs>
          <w:tab w:leader="none" w:pos="72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54" w:right="1440" w:bottom="1440" w:gutter="0" w:footer="0" w:header="0"/>
        </w:sectPr>
      </w:pPr>
    </w:p>
    <w:bookmarkStart w:id="36" w:name="page37"/>
    <w:bookmarkEnd w:id="36"/>
    <w:p>
      <w:pPr>
        <w:ind w:left="720" w:right="359" w:hanging="401"/>
        <w:spacing w:after="0" w:line="221" w:lineRule="auto"/>
        <w:tabs>
          <w:tab w:leader="none" w:pos="72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203440" cy="45085"/>
                    </a:xfrm>
                    <a:prstGeom prst="rect">
                      <a:avLst/>
                    </a:prstGeom>
                    <a:noFill/>
                  </pic:spPr>
                </pic:pic>
              </a:graphicData>
            </a:graphic>
          </wp:anchor>
        </w:drawing>
        <w:t>In addition to the interest earned based on the stated interest rate of this security, the Company is entitled to receive an additional interest amount of 2.30%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Times New Roman" w:cs="Times New Roman" w:eastAsia="Times New Roman" w:hAnsi="Times New Roman"/>
          <w:sz w:val="11"/>
          <w:szCs w:val="11"/>
          <w:color w:val="auto"/>
        </w:rPr>
      </w:pPr>
    </w:p>
    <w:p>
      <w:pPr>
        <w:ind w:left="720" w:right="359" w:hanging="401"/>
        <w:spacing w:after="0" w:line="214" w:lineRule="auto"/>
        <w:tabs>
          <w:tab w:leader="none" w:pos="72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1.07%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720" w:right="579" w:hanging="401"/>
        <w:spacing w:after="0" w:line="214" w:lineRule="auto"/>
        <w:tabs>
          <w:tab w:leader="none" w:pos="72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disclosed commitment represents the unfunded amount as of December 31, 2025. The Company is earning 0.75% interest on the unfunded balance of the commitment. The interest rate disclosed represents the rate earned on the outstanding, funded balance of the commitment.</w:t>
      </w:r>
    </w:p>
    <w:p>
      <w:pPr>
        <w:ind w:left="720" w:right="579" w:hanging="401"/>
        <w:spacing w:after="0" w:line="214" w:lineRule="auto"/>
        <w:tabs>
          <w:tab w:leader="none" w:pos="72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disclosed commitment represents the unfunded amount as of December 31, 2025. The Company is earning 1.00% interest on the unfunded balance of the commitment. The interest rate disclosed represents the rate earned on the outstanding, funded balance of the commitment.</w:t>
      </w:r>
    </w:p>
    <w:p>
      <w:pPr>
        <w:ind w:left="720" w:hanging="401"/>
        <w:spacing w:after="0" w:line="214" w:lineRule="auto"/>
        <w:tabs>
          <w:tab w:leader="none" w:pos="72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Investment was on non-accrual status as of December 31, 2025.</w:t>
      </w:r>
    </w:p>
    <w:p>
      <w:pPr>
        <w:ind w:left="720" w:hanging="401"/>
        <w:spacing w:after="0" w:line="214" w:lineRule="auto"/>
        <w:tabs>
          <w:tab w:leader="none" w:pos="72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sold a participating interest of approximately $4.0 million in aggregate principal amount of the portfolio company’s first lien senior secured term loan. As the</w:t>
      </w:r>
    </w:p>
    <w:tbl>
      <w:tblPr>
        <w:tblLayout w:type="fixed"/>
        <w:tblInd w:w="320" w:type="dxa"/>
        <w:tblCellMar>
          <w:top w:w="0" w:type="dxa"/>
          <w:left w:w="0" w:type="dxa"/>
          <w:bottom w:w="0" w:type="dxa"/>
          <w:right w:w="0" w:type="dxa"/>
        </w:tblCellMar>
      </w:tblPr>
      <w:tr>
        <w:trPr>
          <w:trHeight w:val="101"/>
        </w:trPr>
        <w:tc>
          <w:tcPr>
            <w:tcW w:w="300" w:type="dxa"/>
            <w:vAlign w:val="bottom"/>
          </w:tcPr>
          <w:p>
            <w:pPr>
              <w:spacing w:after="0"/>
              <w:rPr>
                <w:sz w:val="8"/>
                <w:szCs w:val="8"/>
                <w:color w:val="auto"/>
              </w:rPr>
            </w:pPr>
          </w:p>
        </w:tc>
        <w:tc>
          <w:tcPr>
            <w:tcW w:w="8040" w:type="dxa"/>
            <w:vAlign w:val="bottom"/>
          </w:tcPr>
          <w:p>
            <w:pPr>
              <w:ind w:left="100"/>
              <w:spacing w:after="0" w:line="101" w:lineRule="exact"/>
              <w:rPr>
                <w:sz w:val="20"/>
                <w:szCs w:val="20"/>
                <w:color w:val="auto"/>
              </w:rPr>
            </w:pPr>
            <w:r>
              <w:rPr>
                <w:rFonts w:ascii="Times New Roman" w:cs="Times New Roman" w:eastAsia="Times New Roman" w:hAnsi="Times New Roman"/>
                <w:sz w:val="11"/>
                <w:szCs w:val="11"/>
                <w:color w:val="auto"/>
              </w:rPr>
              <w:t>transaction did not qualify as a “true sale” in accordance with GAAP, the Company recorded a corresponding secured borrowing in the Consolidated Statements of Assets and</w:t>
            </w:r>
          </w:p>
        </w:tc>
        <w:tc>
          <w:tcPr>
            <w:tcW w:w="0" w:type="dxa"/>
            <w:vAlign w:val="bottom"/>
          </w:tcPr>
          <w:p>
            <w:pPr>
              <w:spacing w:after="0"/>
              <w:rPr>
                <w:sz w:val="1"/>
                <w:szCs w:val="1"/>
                <w:color w:val="auto"/>
              </w:rPr>
            </w:pPr>
          </w:p>
        </w:tc>
      </w:tr>
      <w:tr>
        <w:trPr>
          <w:trHeight w:val="113"/>
        </w:trPr>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(ab)</w:t>
            </w: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Liabilities.</w:t>
            </w:r>
          </w:p>
        </w:tc>
        <w:tc>
          <w:tcPr>
            <w:tcW w:w="0" w:type="dxa"/>
            <w:vAlign w:val="bottom"/>
          </w:tcPr>
          <w:p>
            <w:pPr>
              <w:spacing w:after="0"/>
              <w:rPr>
                <w:sz w:val="1"/>
                <w:szCs w:val="1"/>
                <w:color w:val="auto"/>
              </w:rPr>
            </w:pPr>
          </w:p>
        </w:tc>
      </w:tr>
      <w:tr>
        <w:trPr>
          <w:trHeight w:val="113"/>
        </w:trPr>
        <w:tc>
          <w:tcPr>
            <w:tcW w:w="300" w:type="dxa"/>
            <w:vAlign w:val="bottom"/>
            <w:vMerge w:val="continue"/>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w w:val="99"/>
              </w:rPr>
              <w:t>In addition to the interest earned based on the stated interest rate of this security, the Company is entitled to receive an additional interest amount of 1.92% on its “last out” tranche of</w:t>
            </w:r>
          </w:p>
        </w:tc>
        <w:tc>
          <w:tcPr>
            <w:tcW w:w="0" w:type="dxa"/>
            <w:vAlign w:val="bottom"/>
          </w:tcPr>
          <w:p>
            <w:pPr>
              <w:spacing w:after="0"/>
              <w:rPr>
                <w:sz w:val="1"/>
                <w:szCs w:val="1"/>
                <w:color w:val="auto"/>
              </w:rPr>
            </w:pPr>
          </w:p>
        </w:tc>
      </w:tr>
      <w:tr>
        <w:trPr>
          <w:trHeight w:val="113"/>
        </w:trPr>
        <w:tc>
          <w:tcPr>
            <w:tcW w:w="300" w:type="dxa"/>
            <w:vAlign w:val="bottom"/>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13"/>
        </w:trPr>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(ac)</w:t>
            </w: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13"/>
        </w:trPr>
        <w:tc>
          <w:tcPr>
            <w:tcW w:w="300" w:type="dxa"/>
            <w:vAlign w:val="bottom"/>
            <w:vMerge w:val="continue"/>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cash interest amount of 2.86% and PIK interest</w:t>
            </w:r>
          </w:p>
        </w:tc>
        <w:tc>
          <w:tcPr>
            <w:tcW w:w="0" w:type="dxa"/>
            <w:vAlign w:val="bottom"/>
          </w:tcPr>
          <w:p>
            <w:pPr>
              <w:spacing w:after="0"/>
              <w:rPr>
                <w:sz w:val="1"/>
                <w:szCs w:val="1"/>
                <w:color w:val="auto"/>
              </w:rPr>
            </w:pPr>
          </w:p>
        </w:tc>
      </w:tr>
      <w:tr>
        <w:trPr>
          <w:trHeight w:val="113"/>
        </w:trPr>
        <w:tc>
          <w:tcPr>
            <w:tcW w:w="300" w:type="dxa"/>
            <w:vAlign w:val="bottom"/>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amount of 1.27% on its “last out” tranche of the portfolio company’s senior term debt, which was previously syndicated into “first out” and “last out” tranches, whereby the “first</w:t>
            </w:r>
          </w:p>
        </w:tc>
        <w:tc>
          <w:tcPr>
            <w:tcW w:w="0" w:type="dxa"/>
            <w:vAlign w:val="bottom"/>
          </w:tcPr>
          <w:p>
            <w:pPr>
              <w:spacing w:after="0"/>
              <w:rPr>
                <w:sz w:val="1"/>
                <w:szCs w:val="1"/>
                <w:color w:val="auto"/>
              </w:rPr>
            </w:pPr>
          </w:p>
        </w:tc>
      </w:tr>
      <w:tr>
        <w:trPr>
          <w:trHeight w:val="113"/>
        </w:trPr>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(ad)</w:t>
            </w: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out” tranche will have priority as to the “last out” tranche with respect to payments of principal, interest and any other amounts due thereunder.</w:t>
            </w:r>
          </w:p>
        </w:tc>
        <w:tc>
          <w:tcPr>
            <w:tcW w:w="0" w:type="dxa"/>
            <w:vAlign w:val="bottom"/>
          </w:tcPr>
          <w:p>
            <w:pPr>
              <w:spacing w:after="0"/>
              <w:rPr>
                <w:sz w:val="1"/>
                <w:szCs w:val="1"/>
                <w:color w:val="auto"/>
              </w:rPr>
            </w:pPr>
          </w:p>
        </w:tc>
      </w:tr>
      <w:tr>
        <w:trPr>
          <w:trHeight w:val="113"/>
        </w:trPr>
        <w:tc>
          <w:tcPr>
            <w:tcW w:w="300" w:type="dxa"/>
            <w:vAlign w:val="bottom"/>
            <w:vMerge w:val="continue"/>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This investment is classified as a Level 1 investment. For further detail on the fair value measurements, see Note 4 to the consolidated financial statements.</w:t>
            </w:r>
          </w:p>
        </w:tc>
        <w:tc>
          <w:tcPr>
            <w:tcW w:w="0" w:type="dxa"/>
            <w:vAlign w:val="bottom"/>
          </w:tcPr>
          <w:p>
            <w:pPr>
              <w:spacing w:after="0"/>
              <w:rPr>
                <w:sz w:val="1"/>
                <w:szCs w:val="1"/>
                <w:color w:val="auto"/>
              </w:rPr>
            </w:pPr>
          </w:p>
        </w:tc>
      </w:tr>
      <w:tr>
        <w:trPr>
          <w:trHeight w:val="113"/>
        </w:trPr>
        <w:tc>
          <w:tcPr>
            <w:tcW w:w="30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(ae)</w:t>
            </w: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w w:val="99"/>
              </w:rPr>
              <w:t>In addition to the interest earned based on the stated interest rate of this security, the Company is entitled to receive an additional interest amount of 2.21% on its “last out” tranche of</w:t>
            </w:r>
          </w:p>
        </w:tc>
        <w:tc>
          <w:tcPr>
            <w:tcW w:w="0" w:type="dxa"/>
            <w:vAlign w:val="bottom"/>
          </w:tcPr>
          <w:p>
            <w:pPr>
              <w:spacing w:after="0"/>
              <w:rPr>
                <w:sz w:val="1"/>
                <w:szCs w:val="1"/>
                <w:color w:val="auto"/>
              </w:rPr>
            </w:pPr>
          </w:p>
        </w:tc>
      </w:tr>
      <w:tr>
        <w:trPr>
          <w:trHeight w:val="113"/>
        </w:trPr>
        <w:tc>
          <w:tcPr>
            <w:tcW w:w="300" w:type="dxa"/>
            <w:vAlign w:val="bottom"/>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13"/>
        </w:trPr>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(af)</w:t>
            </w: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13"/>
        </w:trPr>
        <w:tc>
          <w:tcPr>
            <w:tcW w:w="300" w:type="dxa"/>
            <w:vAlign w:val="bottom"/>
            <w:vMerge w:val="continue"/>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w w:val="99"/>
              </w:rPr>
              <w:t>In addition to the interest earned based on the stated interest rate of this security, the Company is entitled to receive an additional interest amount of 3.28% on its “last out” tranche of</w:t>
            </w:r>
          </w:p>
        </w:tc>
        <w:tc>
          <w:tcPr>
            <w:tcW w:w="0" w:type="dxa"/>
            <w:vAlign w:val="bottom"/>
          </w:tcPr>
          <w:p>
            <w:pPr>
              <w:spacing w:after="0"/>
              <w:rPr>
                <w:sz w:val="1"/>
                <w:szCs w:val="1"/>
                <w:color w:val="auto"/>
              </w:rPr>
            </w:pPr>
          </w:p>
        </w:tc>
      </w:tr>
      <w:tr>
        <w:trPr>
          <w:trHeight w:val="113"/>
        </w:trPr>
        <w:tc>
          <w:tcPr>
            <w:tcW w:w="300" w:type="dxa"/>
            <w:vAlign w:val="bottom"/>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13"/>
        </w:trPr>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(ag)</w:t>
            </w: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13"/>
        </w:trPr>
        <w:tc>
          <w:tcPr>
            <w:tcW w:w="300" w:type="dxa"/>
            <w:vAlign w:val="bottom"/>
            <w:vMerge w:val="continue"/>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w w:val="99"/>
              </w:rPr>
              <w:t>In addition to the interest earned based on the stated interest rate of this security, the Company is entitled to receive an additional interest amount of 1.68% on its “last out” tranche of</w:t>
            </w:r>
          </w:p>
        </w:tc>
        <w:tc>
          <w:tcPr>
            <w:tcW w:w="0" w:type="dxa"/>
            <w:vAlign w:val="bottom"/>
          </w:tcPr>
          <w:p>
            <w:pPr>
              <w:spacing w:after="0"/>
              <w:rPr>
                <w:sz w:val="1"/>
                <w:szCs w:val="1"/>
                <w:color w:val="auto"/>
              </w:rPr>
            </w:pPr>
          </w:p>
        </w:tc>
      </w:tr>
      <w:tr>
        <w:trPr>
          <w:trHeight w:val="113"/>
        </w:trPr>
        <w:tc>
          <w:tcPr>
            <w:tcW w:w="300" w:type="dxa"/>
            <w:vAlign w:val="bottom"/>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13"/>
        </w:trPr>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(ah)</w:t>
            </w: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13"/>
        </w:trPr>
        <w:tc>
          <w:tcPr>
            <w:tcW w:w="300" w:type="dxa"/>
            <w:vAlign w:val="bottom"/>
            <w:vMerge w:val="continue"/>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w w:val="99"/>
              </w:rPr>
              <w:t>In addition to the interest earned based on the stated interest rate of this security, the Company is entitled to receive an additional interest amount of 3.75% on its “last out” tranche of</w:t>
            </w:r>
          </w:p>
        </w:tc>
        <w:tc>
          <w:tcPr>
            <w:tcW w:w="0" w:type="dxa"/>
            <w:vAlign w:val="bottom"/>
          </w:tcPr>
          <w:p>
            <w:pPr>
              <w:spacing w:after="0"/>
              <w:rPr>
                <w:sz w:val="1"/>
                <w:szCs w:val="1"/>
                <w:color w:val="auto"/>
              </w:rPr>
            </w:pPr>
          </w:p>
        </w:tc>
      </w:tr>
      <w:tr>
        <w:trPr>
          <w:trHeight w:val="113"/>
        </w:trPr>
        <w:tc>
          <w:tcPr>
            <w:tcW w:w="300" w:type="dxa"/>
            <w:vAlign w:val="bottom"/>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13"/>
        </w:trPr>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(ai)</w:t>
            </w: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13"/>
        </w:trPr>
        <w:tc>
          <w:tcPr>
            <w:tcW w:w="300" w:type="dxa"/>
            <w:vAlign w:val="bottom"/>
            <w:vMerge w:val="continue"/>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w w:val="99"/>
              </w:rPr>
              <w:t>In addition to the interest earned based on the stated interest rate of this security, the Company is entitled to receive an additional interest amount of 2.84% on its “last out” tranche of</w:t>
            </w:r>
          </w:p>
        </w:tc>
        <w:tc>
          <w:tcPr>
            <w:tcW w:w="0" w:type="dxa"/>
            <w:vAlign w:val="bottom"/>
          </w:tcPr>
          <w:p>
            <w:pPr>
              <w:spacing w:after="0"/>
              <w:rPr>
                <w:sz w:val="1"/>
                <w:szCs w:val="1"/>
                <w:color w:val="auto"/>
              </w:rPr>
            </w:pPr>
          </w:p>
        </w:tc>
      </w:tr>
      <w:tr>
        <w:trPr>
          <w:trHeight w:val="113"/>
        </w:trPr>
        <w:tc>
          <w:tcPr>
            <w:tcW w:w="300" w:type="dxa"/>
            <w:vAlign w:val="bottom"/>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13"/>
        </w:trPr>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(aj)</w:t>
            </w: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13"/>
        </w:trPr>
        <w:tc>
          <w:tcPr>
            <w:tcW w:w="300" w:type="dxa"/>
            <w:vAlign w:val="bottom"/>
            <w:vMerge w:val="continue"/>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w w:val="99"/>
              </w:rPr>
              <w:t>In addition to the interest earned based on the stated interest rate of this security, the Company is entitled to receive an additional interest amount of 4.83% on its “last out” tranche of</w:t>
            </w:r>
          </w:p>
        </w:tc>
        <w:tc>
          <w:tcPr>
            <w:tcW w:w="0" w:type="dxa"/>
            <w:vAlign w:val="bottom"/>
          </w:tcPr>
          <w:p>
            <w:pPr>
              <w:spacing w:after="0"/>
              <w:rPr>
                <w:sz w:val="1"/>
                <w:szCs w:val="1"/>
                <w:color w:val="auto"/>
              </w:rPr>
            </w:pPr>
          </w:p>
        </w:tc>
      </w:tr>
      <w:tr>
        <w:trPr>
          <w:trHeight w:val="113"/>
        </w:trPr>
        <w:tc>
          <w:tcPr>
            <w:tcW w:w="300" w:type="dxa"/>
            <w:vAlign w:val="bottom"/>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13"/>
        </w:trPr>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(ak)</w:t>
            </w: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13"/>
        </w:trPr>
        <w:tc>
          <w:tcPr>
            <w:tcW w:w="300" w:type="dxa"/>
            <w:vAlign w:val="bottom"/>
            <w:vMerge w:val="continue"/>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w w:val="99"/>
              </w:rPr>
              <w:t>In addition to the interest earned based on the stated interest rate of this security, the Company is entitled to receive an additional interest amount of 3.41% on its “last out” tranche of</w:t>
            </w:r>
          </w:p>
        </w:tc>
        <w:tc>
          <w:tcPr>
            <w:tcW w:w="0" w:type="dxa"/>
            <w:vAlign w:val="bottom"/>
          </w:tcPr>
          <w:p>
            <w:pPr>
              <w:spacing w:after="0"/>
              <w:rPr>
                <w:sz w:val="1"/>
                <w:szCs w:val="1"/>
                <w:color w:val="auto"/>
              </w:rPr>
            </w:pPr>
          </w:p>
        </w:tc>
      </w:tr>
      <w:tr>
        <w:trPr>
          <w:trHeight w:val="113"/>
        </w:trPr>
        <w:tc>
          <w:tcPr>
            <w:tcW w:w="300" w:type="dxa"/>
            <w:vAlign w:val="bottom"/>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13"/>
        </w:trPr>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(al)</w:t>
            </w: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13"/>
        </w:trPr>
        <w:tc>
          <w:tcPr>
            <w:tcW w:w="300" w:type="dxa"/>
            <w:vAlign w:val="bottom"/>
            <w:vMerge w:val="continue"/>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w w:val="99"/>
              </w:rPr>
              <w:t>In addition to the interest earned based on the stated interest rate of this security, the Company is entitled to receive an additional interest amount of 3.93% on its “last out” tranche of</w:t>
            </w:r>
          </w:p>
        </w:tc>
        <w:tc>
          <w:tcPr>
            <w:tcW w:w="0" w:type="dxa"/>
            <w:vAlign w:val="bottom"/>
          </w:tcPr>
          <w:p>
            <w:pPr>
              <w:spacing w:after="0"/>
              <w:rPr>
                <w:sz w:val="1"/>
                <w:szCs w:val="1"/>
                <w:color w:val="auto"/>
              </w:rPr>
            </w:pPr>
          </w:p>
        </w:tc>
      </w:tr>
      <w:tr>
        <w:trPr>
          <w:trHeight w:val="113"/>
        </w:trPr>
        <w:tc>
          <w:tcPr>
            <w:tcW w:w="300" w:type="dxa"/>
            <w:vAlign w:val="bottom"/>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41"/>
        </w:trPr>
        <w:tc>
          <w:tcPr>
            <w:tcW w:w="300" w:type="dxa"/>
            <w:vAlign w:val="bottom"/>
          </w:tcPr>
          <w:p>
            <w:pPr>
              <w:spacing w:after="0"/>
              <w:rPr>
                <w:sz w:val="12"/>
                <w:szCs w:val="12"/>
                <w:color w:val="auto"/>
              </w:rPr>
            </w:pPr>
          </w:p>
        </w:tc>
        <w:tc>
          <w:tcPr>
            <w:tcW w:w="80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264"/>
        </w:trPr>
        <w:tc>
          <w:tcPr>
            <w:tcW w:w="300" w:type="dxa"/>
            <w:vAlign w:val="bottom"/>
          </w:tcPr>
          <w:p>
            <w:pPr>
              <w:spacing w:after="0"/>
              <w:rPr>
                <w:sz w:val="22"/>
                <w:szCs w:val="22"/>
                <w:color w:val="auto"/>
              </w:rPr>
            </w:pPr>
          </w:p>
        </w:tc>
        <w:tc>
          <w:tcPr>
            <w:tcW w:w="8040" w:type="dxa"/>
            <w:vAlign w:val="bottom"/>
          </w:tcPr>
          <w:p>
            <w:pPr>
              <w:ind w:left="3780"/>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bl>
    <w:p>
      <w:pPr>
        <w:sectPr>
          <w:pgSz w:w="11900" w:h="16838" w:orient="portrait"/>
          <w:cols w:equalWidth="0" w:num="1">
            <w:col w:w="9019"/>
          </w:cols>
          <w:pgMar w:left="1440" w:top="256" w:right="1440" w:bottom="1440" w:gutter="0" w:footer="0" w:header="0"/>
        </w:sectPr>
      </w:pPr>
    </w:p>
    <w:bookmarkStart w:id="37" w:name="page38"/>
    <w:bookmarkEnd w:id="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203440" cy="45085"/>
                    </a:xfrm>
                    <a:prstGeom prst="rect">
                      <a:avLst/>
                    </a:prstGeom>
                    <a:noFill/>
                  </pic:spPr>
                </pic:pic>
              </a:graphicData>
            </a:graphic>
          </wp:anchor>
        </w:drawing>
      </w:r>
    </w:p>
    <w:tbl>
      <w:tblPr>
        <w:tblLayout w:type="fixed"/>
        <w:tblInd w:w="320" w:type="dxa"/>
        <w:tblCellMar>
          <w:top w:w="0" w:type="dxa"/>
          <w:left w:w="0" w:type="dxa"/>
          <w:bottom w:w="0" w:type="dxa"/>
          <w:right w:w="0" w:type="dxa"/>
        </w:tblCellMar>
      </w:tblPr>
      <w:tr>
        <w:trPr>
          <w:trHeight w:val="126"/>
        </w:trPr>
        <w:tc>
          <w:tcPr>
            <w:tcW w:w="300" w:type="dxa"/>
            <w:vAlign w:val="bottom"/>
          </w:tcPr>
          <w:p>
            <w:pPr>
              <w:spacing w:after="0"/>
              <w:rPr>
                <w:sz w:val="20"/>
                <w:szCs w:val="20"/>
                <w:color w:val="auto"/>
              </w:rPr>
            </w:pPr>
            <w:r>
              <w:rPr>
                <w:rFonts w:ascii="Times New Roman" w:cs="Times New Roman" w:eastAsia="Times New Roman" w:hAnsi="Times New Roman"/>
                <w:sz w:val="11"/>
                <w:szCs w:val="11"/>
                <w:color w:val="auto"/>
              </w:rPr>
              <w:t>(am)</w:t>
            </w:r>
          </w:p>
        </w:tc>
        <w:tc>
          <w:tcPr>
            <w:tcW w:w="804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9"/>
              </w:rPr>
              <w:t>In addition to the interest earned based on the stated interest rate of this security, the Company is entitled to receive an additional interest amount of 3.33% on its “last out” tranche of</w:t>
            </w:r>
          </w:p>
        </w:tc>
        <w:tc>
          <w:tcPr>
            <w:tcW w:w="0" w:type="dxa"/>
            <w:vAlign w:val="bottom"/>
          </w:tcPr>
          <w:p>
            <w:pPr>
              <w:spacing w:after="0"/>
              <w:rPr>
                <w:sz w:val="1"/>
                <w:szCs w:val="1"/>
                <w:color w:val="auto"/>
              </w:rPr>
            </w:pPr>
          </w:p>
        </w:tc>
      </w:tr>
      <w:tr>
        <w:trPr>
          <w:trHeight w:val="113"/>
        </w:trPr>
        <w:tc>
          <w:tcPr>
            <w:tcW w:w="300" w:type="dxa"/>
            <w:vAlign w:val="bottom"/>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13"/>
        </w:trPr>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(an)</w:t>
            </w: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13"/>
        </w:trPr>
        <w:tc>
          <w:tcPr>
            <w:tcW w:w="300" w:type="dxa"/>
            <w:vAlign w:val="bottom"/>
            <w:vMerge w:val="continue"/>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The Company sold a participating interest of approximately $13.5 million in aggregate principal amount of the portfolio company’s first lien senior secured term loan. As the</w:t>
            </w:r>
          </w:p>
        </w:tc>
        <w:tc>
          <w:tcPr>
            <w:tcW w:w="0" w:type="dxa"/>
            <w:vAlign w:val="bottom"/>
          </w:tcPr>
          <w:p>
            <w:pPr>
              <w:spacing w:after="0"/>
              <w:rPr>
                <w:sz w:val="1"/>
                <w:szCs w:val="1"/>
                <w:color w:val="auto"/>
              </w:rPr>
            </w:pPr>
          </w:p>
        </w:tc>
      </w:tr>
      <w:tr>
        <w:trPr>
          <w:trHeight w:val="113"/>
        </w:trPr>
        <w:tc>
          <w:tcPr>
            <w:tcW w:w="300" w:type="dxa"/>
            <w:vAlign w:val="bottom"/>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transaction did not qualify as a “true sale” in accordance with GAAP, the Company recorded a corresponding secured borrowing in the Consolidated Statements of Assets and</w:t>
            </w:r>
          </w:p>
        </w:tc>
        <w:tc>
          <w:tcPr>
            <w:tcW w:w="0" w:type="dxa"/>
            <w:vAlign w:val="bottom"/>
          </w:tcPr>
          <w:p>
            <w:pPr>
              <w:spacing w:after="0"/>
              <w:rPr>
                <w:sz w:val="1"/>
                <w:szCs w:val="1"/>
                <w:color w:val="auto"/>
              </w:rPr>
            </w:pPr>
          </w:p>
        </w:tc>
      </w:tr>
      <w:tr>
        <w:trPr>
          <w:trHeight w:val="113"/>
        </w:trPr>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(ao)</w:t>
            </w: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Liabilities.</w:t>
            </w:r>
          </w:p>
        </w:tc>
        <w:tc>
          <w:tcPr>
            <w:tcW w:w="0" w:type="dxa"/>
            <w:vAlign w:val="bottom"/>
          </w:tcPr>
          <w:p>
            <w:pPr>
              <w:spacing w:after="0"/>
              <w:rPr>
                <w:sz w:val="1"/>
                <w:szCs w:val="1"/>
                <w:color w:val="auto"/>
              </w:rPr>
            </w:pPr>
          </w:p>
        </w:tc>
      </w:tr>
      <w:tr>
        <w:trPr>
          <w:trHeight w:val="113"/>
        </w:trPr>
        <w:tc>
          <w:tcPr>
            <w:tcW w:w="300" w:type="dxa"/>
            <w:vAlign w:val="bottom"/>
            <w:vMerge w:val="continue"/>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The investment is treated as a non-qualifying asset under Section 55(a) of the Investment Company Act of 1940, as amended (the “1940 Act”). Under the 1940 Act, the Company</w:t>
            </w:r>
          </w:p>
        </w:tc>
        <w:tc>
          <w:tcPr>
            <w:tcW w:w="0" w:type="dxa"/>
            <w:vAlign w:val="bottom"/>
          </w:tcPr>
          <w:p>
            <w:pPr>
              <w:spacing w:after="0"/>
              <w:rPr>
                <w:sz w:val="1"/>
                <w:szCs w:val="1"/>
                <w:color w:val="auto"/>
              </w:rPr>
            </w:pPr>
          </w:p>
        </w:tc>
      </w:tr>
      <w:tr>
        <w:trPr>
          <w:trHeight w:val="113"/>
        </w:trPr>
        <w:tc>
          <w:tcPr>
            <w:tcW w:w="300" w:type="dxa"/>
            <w:vAlign w:val="bottom"/>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w w:val="99"/>
              </w:rPr>
              <w:t>can not acquire any non-qualifying asset unless, at the time the acquisition is made, qualifying assets represent at least 70% of the Company’s total assets. As of December 31, 2025,</w:t>
            </w:r>
          </w:p>
        </w:tc>
        <w:tc>
          <w:tcPr>
            <w:tcW w:w="0" w:type="dxa"/>
            <w:vAlign w:val="bottom"/>
          </w:tcPr>
          <w:p>
            <w:pPr>
              <w:spacing w:after="0"/>
              <w:rPr>
                <w:sz w:val="1"/>
                <w:szCs w:val="1"/>
                <w:color w:val="auto"/>
              </w:rPr>
            </w:pPr>
          </w:p>
        </w:tc>
      </w:tr>
      <w:tr>
        <w:trPr>
          <w:trHeight w:val="113"/>
        </w:trPr>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(ap)</w:t>
            </w: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total non-qualifying assets at fair value represented 1.12% of the Company’s total assets calculated in accordance with the 1940 Act.</w:t>
            </w:r>
          </w:p>
        </w:tc>
        <w:tc>
          <w:tcPr>
            <w:tcW w:w="0" w:type="dxa"/>
            <w:vAlign w:val="bottom"/>
          </w:tcPr>
          <w:p>
            <w:pPr>
              <w:spacing w:after="0"/>
              <w:rPr>
                <w:sz w:val="1"/>
                <w:szCs w:val="1"/>
                <w:color w:val="auto"/>
              </w:rPr>
            </w:pPr>
          </w:p>
        </w:tc>
      </w:tr>
      <w:tr>
        <w:trPr>
          <w:trHeight w:val="113"/>
        </w:trPr>
        <w:tc>
          <w:tcPr>
            <w:tcW w:w="300" w:type="dxa"/>
            <w:vAlign w:val="bottom"/>
            <w:vMerge w:val="continue"/>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cash interest amount of 0.46% and PIK interest</w:t>
            </w:r>
          </w:p>
        </w:tc>
        <w:tc>
          <w:tcPr>
            <w:tcW w:w="0" w:type="dxa"/>
            <w:vAlign w:val="bottom"/>
          </w:tcPr>
          <w:p>
            <w:pPr>
              <w:spacing w:after="0"/>
              <w:rPr>
                <w:sz w:val="1"/>
                <w:szCs w:val="1"/>
                <w:color w:val="auto"/>
              </w:rPr>
            </w:pPr>
          </w:p>
        </w:tc>
      </w:tr>
      <w:tr>
        <w:trPr>
          <w:trHeight w:val="113"/>
        </w:trPr>
        <w:tc>
          <w:tcPr>
            <w:tcW w:w="300" w:type="dxa"/>
            <w:vAlign w:val="bottom"/>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amount of 1.83% on its “last out” tranche of the portfolio company’s senior term debt, which was previously syndicated into “first out” and “last out” tranches, whereby the “first</w:t>
            </w:r>
          </w:p>
        </w:tc>
        <w:tc>
          <w:tcPr>
            <w:tcW w:w="0" w:type="dxa"/>
            <w:vAlign w:val="bottom"/>
          </w:tcPr>
          <w:p>
            <w:pPr>
              <w:spacing w:after="0"/>
              <w:rPr>
                <w:sz w:val="1"/>
                <w:szCs w:val="1"/>
                <w:color w:val="auto"/>
              </w:rPr>
            </w:pPr>
          </w:p>
        </w:tc>
      </w:tr>
      <w:tr>
        <w:trPr>
          <w:trHeight w:val="113"/>
        </w:trPr>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(aq)</w:t>
            </w: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out” tranche will have priority as to the “last out” tranche with respect to payments of principal, interest and any other amounts due thereunder.</w:t>
            </w:r>
          </w:p>
        </w:tc>
        <w:tc>
          <w:tcPr>
            <w:tcW w:w="0" w:type="dxa"/>
            <w:vAlign w:val="bottom"/>
          </w:tcPr>
          <w:p>
            <w:pPr>
              <w:spacing w:after="0"/>
              <w:rPr>
                <w:sz w:val="1"/>
                <w:szCs w:val="1"/>
                <w:color w:val="auto"/>
              </w:rPr>
            </w:pPr>
          </w:p>
        </w:tc>
      </w:tr>
      <w:tr>
        <w:trPr>
          <w:trHeight w:val="113"/>
        </w:trPr>
        <w:tc>
          <w:tcPr>
            <w:tcW w:w="300" w:type="dxa"/>
            <w:vAlign w:val="bottom"/>
            <w:vMerge w:val="continue"/>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The headquarters of this portfolio company is located in Canada.</w:t>
            </w:r>
          </w:p>
        </w:tc>
        <w:tc>
          <w:tcPr>
            <w:tcW w:w="0" w:type="dxa"/>
            <w:vAlign w:val="bottom"/>
          </w:tcPr>
          <w:p>
            <w:pPr>
              <w:spacing w:after="0"/>
              <w:rPr>
                <w:sz w:val="1"/>
                <w:szCs w:val="1"/>
                <w:color w:val="auto"/>
              </w:rPr>
            </w:pPr>
          </w:p>
        </w:tc>
      </w:tr>
      <w:tr>
        <w:trPr>
          <w:trHeight w:val="113"/>
        </w:trPr>
        <w:tc>
          <w:tcPr>
            <w:tcW w:w="30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(ar)</w:t>
            </w: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w w:val="99"/>
              </w:rPr>
              <w:t>In addition to the interest earned based on the stated interest rate of this security, the Company is entitled to receive an additional interest amount of 2.59% on its “last out” tranche of</w:t>
            </w:r>
          </w:p>
        </w:tc>
        <w:tc>
          <w:tcPr>
            <w:tcW w:w="0" w:type="dxa"/>
            <w:vAlign w:val="bottom"/>
          </w:tcPr>
          <w:p>
            <w:pPr>
              <w:spacing w:after="0"/>
              <w:rPr>
                <w:sz w:val="1"/>
                <w:szCs w:val="1"/>
                <w:color w:val="auto"/>
              </w:rPr>
            </w:pPr>
          </w:p>
        </w:tc>
      </w:tr>
      <w:tr>
        <w:trPr>
          <w:trHeight w:val="113"/>
        </w:trPr>
        <w:tc>
          <w:tcPr>
            <w:tcW w:w="300" w:type="dxa"/>
            <w:vAlign w:val="bottom"/>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13"/>
        </w:trPr>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(as)</w:t>
            </w: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13"/>
        </w:trPr>
        <w:tc>
          <w:tcPr>
            <w:tcW w:w="300" w:type="dxa"/>
            <w:vAlign w:val="bottom"/>
            <w:vMerge w:val="continue"/>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cash interest amount of 0.24% and PIK interest</w:t>
            </w:r>
          </w:p>
        </w:tc>
        <w:tc>
          <w:tcPr>
            <w:tcW w:w="0" w:type="dxa"/>
            <w:vAlign w:val="bottom"/>
          </w:tcPr>
          <w:p>
            <w:pPr>
              <w:spacing w:after="0"/>
              <w:rPr>
                <w:sz w:val="1"/>
                <w:szCs w:val="1"/>
                <w:color w:val="auto"/>
              </w:rPr>
            </w:pPr>
          </w:p>
        </w:tc>
      </w:tr>
      <w:tr>
        <w:trPr>
          <w:trHeight w:val="113"/>
        </w:trPr>
        <w:tc>
          <w:tcPr>
            <w:tcW w:w="300" w:type="dxa"/>
            <w:vAlign w:val="bottom"/>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amount of 0.59% on its “last out” tranche of the portfolio company’s senior term debt, which was previously syndicated into “first out” and “last out” tranches, whereby the “first</w:t>
            </w:r>
          </w:p>
        </w:tc>
        <w:tc>
          <w:tcPr>
            <w:tcW w:w="0" w:type="dxa"/>
            <w:vAlign w:val="bottom"/>
          </w:tcPr>
          <w:p>
            <w:pPr>
              <w:spacing w:after="0"/>
              <w:rPr>
                <w:sz w:val="1"/>
                <w:szCs w:val="1"/>
                <w:color w:val="auto"/>
              </w:rPr>
            </w:pPr>
          </w:p>
        </w:tc>
      </w:tr>
      <w:tr>
        <w:trPr>
          <w:trHeight w:val="113"/>
        </w:trPr>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(at)</w:t>
            </w: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out” tranche will have priority as to the “last out” tranche with respect to payments of principal, interest and any other amounts due thereunder.</w:t>
            </w:r>
          </w:p>
        </w:tc>
        <w:tc>
          <w:tcPr>
            <w:tcW w:w="0" w:type="dxa"/>
            <w:vAlign w:val="bottom"/>
          </w:tcPr>
          <w:p>
            <w:pPr>
              <w:spacing w:after="0"/>
              <w:rPr>
                <w:sz w:val="1"/>
                <w:szCs w:val="1"/>
                <w:color w:val="auto"/>
              </w:rPr>
            </w:pPr>
          </w:p>
        </w:tc>
      </w:tr>
      <w:tr>
        <w:trPr>
          <w:trHeight w:val="113"/>
        </w:trPr>
        <w:tc>
          <w:tcPr>
            <w:tcW w:w="300" w:type="dxa"/>
            <w:vAlign w:val="bottom"/>
            <w:vMerge w:val="continue"/>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w w:val="99"/>
              </w:rPr>
              <w:t>In addition to the interest earned based on the stated interest rate of this security, the Company is entitled to receive an additional interest amount of 2.36% on its “last out” tranche of</w:t>
            </w:r>
          </w:p>
        </w:tc>
        <w:tc>
          <w:tcPr>
            <w:tcW w:w="0" w:type="dxa"/>
            <w:vAlign w:val="bottom"/>
          </w:tcPr>
          <w:p>
            <w:pPr>
              <w:spacing w:after="0"/>
              <w:rPr>
                <w:sz w:val="1"/>
                <w:szCs w:val="1"/>
                <w:color w:val="auto"/>
              </w:rPr>
            </w:pPr>
          </w:p>
        </w:tc>
      </w:tr>
      <w:tr>
        <w:trPr>
          <w:trHeight w:val="113"/>
        </w:trPr>
        <w:tc>
          <w:tcPr>
            <w:tcW w:w="300" w:type="dxa"/>
            <w:vAlign w:val="bottom"/>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13"/>
        </w:trPr>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(au)</w:t>
            </w: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13"/>
        </w:trPr>
        <w:tc>
          <w:tcPr>
            <w:tcW w:w="300" w:type="dxa"/>
            <w:vAlign w:val="bottom"/>
            <w:vMerge w:val="continue"/>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w w:val="99"/>
              </w:rPr>
              <w:t>In addition to the interest earned based on the stated interest rate of this security, the Company is entitled to receive an additional interest amount of 2.18% on its “last out” tranche of</w:t>
            </w:r>
          </w:p>
        </w:tc>
        <w:tc>
          <w:tcPr>
            <w:tcW w:w="0" w:type="dxa"/>
            <w:vAlign w:val="bottom"/>
          </w:tcPr>
          <w:p>
            <w:pPr>
              <w:spacing w:after="0"/>
              <w:rPr>
                <w:sz w:val="1"/>
                <w:szCs w:val="1"/>
                <w:color w:val="auto"/>
              </w:rPr>
            </w:pPr>
          </w:p>
        </w:tc>
      </w:tr>
      <w:tr>
        <w:trPr>
          <w:trHeight w:val="113"/>
        </w:trPr>
        <w:tc>
          <w:tcPr>
            <w:tcW w:w="300" w:type="dxa"/>
            <w:vAlign w:val="bottom"/>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13"/>
        </w:trPr>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(av)</w:t>
            </w: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13"/>
        </w:trPr>
        <w:tc>
          <w:tcPr>
            <w:tcW w:w="300" w:type="dxa"/>
            <w:vAlign w:val="bottom"/>
            <w:vMerge w:val="continue"/>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w w:val="99"/>
              </w:rPr>
              <w:t>In addition to the interest earned based on the stated interest rate of this security, the Company is entitled to receive an additional interest amount of 2.67% on its “last out” tranche of</w:t>
            </w:r>
          </w:p>
        </w:tc>
        <w:tc>
          <w:tcPr>
            <w:tcW w:w="0" w:type="dxa"/>
            <w:vAlign w:val="bottom"/>
          </w:tcPr>
          <w:p>
            <w:pPr>
              <w:spacing w:after="0"/>
              <w:rPr>
                <w:sz w:val="1"/>
                <w:szCs w:val="1"/>
                <w:color w:val="auto"/>
              </w:rPr>
            </w:pPr>
          </w:p>
        </w:tc>
      </w:tr>
      <w:tr>
        <w:trPr>
          <w:trHeight w:val="113"/>
        </w:trPr>
        <w:tc>
          <w:tcPr>
            <w:tcW w:w="300" w:type="dxa"/>
            <w:vAlign w:val="bottom"/>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13"/>
        </w:trPr>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(aw)</w:t>
            </w: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13"/>
        </w:trPr>
        <w:tc>
          <w:tcPr>
            <w:tcW w:w="300" w:type="dxa"/>
            <w:vAlign w:val="bottom"/>
            <w:vMerge w:val="continue"/>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w w:val="99"/>
              </w:rPr>
              <w:t>In addition to the interest earned based on the stated interest rate of this security, the Company is entitled to receive an additional interest amount of 2.50% on its “last out” tranche of</w:t>
            </w:r>
          </w:p>
        </w:tc>
        <w:tc>
          <w:tcPr>
            <w:tcW w:w="0" w:type="dxa"/>
            <w:vAlign w:val="bottom"/>
          </w:tcPr>
          <w:p>
            <w:pPr>
              <w:spacing w:after="0"/>
              <w:rPr>
                <w:sz w:val="1"/>
                <w:szCs w:val="1"/>
                <w:color w:val="auto"/>
              </w:rPr>
            </w:pPr>
          </w:p>
        </w:tc>
      </w:tr>
      <w:tr>
        <w:trPr>
          <w:trHeight w:val="113"/>
        </w:trPr>
        <w:tc>
          <w:tcPr>
            <w:tcW w:w="300" w:type="dxa"/>
            <w:vAlign w:val="bottom"/>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13"/>
        </w:trPr>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(ax)</w:t>
            </w: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13"/>
        </w:trPr>
        <w:tc>
          <w:tcPr>
            <w:tcW w:w="300" w:type="dxa"/>
            <w:vAlign w:val="bottom"/>
            <w:vMerge w:val="continue"/>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w w:val="99"/>
              </w:rPr>
              <w:t>In addition to the interest earned based on the stated interest rate of this security, the Company is entitled to receive an additional interest amount of 1.02% on its “last out” tranche of</w:t>
            </w:r>
          </w:p>
        </w:tc>
        <w:tc>
          <w:tcPr>
            <w:tcW w:w="0" w:type="dxa"/>
            <w:vAlign w:val="bottom"/>
          </w:tcPr>
          <w:p>
            <w:pPr>
              <w:spacing w:after="0"/>
              <w:rPr>
                <w:sz w:val="1"/>
                <w:szCs w:val="1"/>
                <w:color w:val="auto"/>
              </w:rPr>
            </w:pPr>
          </w:p>
        </w:tc>
      </w:tr>
      <w:tr>
        <w:trPr>
          <w:trHeight w:val="113"/>
        </w:trPr>
        <w:tc>
          <w:tcPr>
            <w:tcW w:w="300" w:type="dxa"/>
            <w:vAlign w:val="bottom"/>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13"/>
        </w:trPr>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(ay)</w:t>
            </w: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13"/>
        </w:trPr>
        <w:tc>
          <w:tcPr>
            <w:tcW w:w="300" w:type="dxa"/>
            <w:vAlign w:val="bottom"/>
            <w:vMerge w:val="continue"/>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w w:val="99"/>
              </w:rPr>
              <w:t>In addition to the interest earned based on the stated interest rate of this security, the Company is entitled to receive an additional interest amount of 2.06% on its “last out” tranche of</w:t>
            </w:r>
          </w:p>
        </w:tc>
        <w:tc>
          <w:tcPr>
            <w:tcW w:w="0" w:type="dxa"/>
            <w:vAlign w:val="bottom"/>
          </w:tcPr>
          <w:p>
            <w:pPr>
              <w:spacing w:after="0"/>
              <w:rPr>
                <w:sz w:val="1"/>
                <w:szCs w:val="1"/>
                <w:color w:val="auto"/>
              </w:rPr>
            </w:pPr>
          </w:p>
        </w:tc>
      </w:tr>
      <w:tr>
        <w:trPr>
          <w:trHeight w:val="113"/>
        </w:trPr>
        <w:tc>
          <w:tcPr>
            <w:tcW w:w="300" w:type="dxa"/>
            <w:vAlign w:val="bottom"/>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13"/>
        </w:trPr>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(az)</w:t>
            </w: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13"/>
        </w:trPr>
        <w:tc>
          <w:tcPr>
            <w:tcW w:w="300" w:type="dxa"/>
            <w:vAlign w:val="bottom"/>
            <w:vMerge w:val="continue"/>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w w:val="99"/>
              </w:rPr>
              <w:t>In addition to the interest earned based on the stated interest rate of this security, the Company is entitled to receive an additional interest amount of 2.36% on its “last out” tranche of</w:t>
            </w:r>
          </w:p>
        </w:tc>
        <w:tc>
          <w:tcPr>
            <w:tcW w:w="0" w:type="dxa"/>
            <w:vAlign w:val="bottom"/>
          </w:tcPr>
          <w:p>
            <w:pPr>
              <w:spacing w:after="0"/>
              <w:rPr>
                <w:sz w:val="1"/>
                <w:szCs w:val="1"/>
                <w:color w:val="auto"/>
              </w:rPr>
            </w:pPr>
          </w:p>
        </w:tc>
      </w:tr>
      <w:tr>
        <w:trPr>
          <w:trHeight w:val="113"/>
        </w:trPr>
        <w:tc>
          <w:tcPr>
            <w:tcW w:w="300" w:type="dxa"/>
            <w:vAlign w:val="bottom"/>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13"/>
        </w:trPr>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(ba)</w:t>
            </w: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13"/>
        </w:trPr>
        <w:tc>
          <w:tcPr>
            <w:tcW w:w="300" w:type="dxa"/>
            <w:vAlign w:val="bottom"/>
            <w:vMerge w:val="continue"/>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The Company sold a participating interest of approximately $0.005 million in aggregate principal amount of the portfolio company’s first lien senior secured term loan. As the</w:t>
            </w:r>
          </w:p>
        </w:tc>
        <w:tc>
          <w:tcPr>
            <w:tcW w:w="0" w:type="dxa"/>
            <w:vAlign w:val="bottom"/>
          </w:tcPr>
          <w:p>
            <w:pPr>
              <w:spacing w:after="0"/>
              <w:rPr>
                <w:sz w:val="1"/>
                <w:szCs w:val="1"/>
                <w:color w:val="auto"/>
              </w:rPr>
            </w:pPr>
          </w:p>
        </w:tc>
      </w:tr>
      <w:tr>
        <w:trPr>
          <w:trHeight w:val="113"/>
        </w:trPr>
        <w:tc>
          <w:tcPr>
            <w:tcW w:w="300" w:type="dxa"/>
            <w:vAlign w:val="bottom"/>
          </w:tcPr>
          <w:p>
            <w:pPr>
              <w:spacing w:after="0"/>
              <w:rPr>
                <w:sz w:val="9"/>
                <w:szCs w:val="9"/>
                <w:color w:val="auto"/>
              </w:rPr>
            </w:pPr>
          </w:p>
        </w:tc>
        <w:tc>
          <w:tcPr>
            <w:tcW w:w="804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transaction did not qualify as a “true sale” in accordance with GAAP, the Company recorded a corresponding secured borrowing in the Consolidated Statements of Assets and</w:t>
            </w:r>
          </w:p>
        </w:tc>
        <w:tc>
          <w:tcPr>
            <w:tcW w:w="0" w:type="dxa"/>
            <w:vAlign w:val="bottom"/>
          </w:tcPr>
          <w:p>
            <w:pPr>
              <w:spacing w:after="0"/>
              <w:rPr>
                <w:sz w:val="1"/>
                <w:szCs w:val="1"/>
                <w:color w:val="auto"/>
              </w:rPr>
            </w:pPr>
          </w:p>
        </w:tc>
      </w:tr>
      <w:tr>
        <w:trPr>
          <w:trHeight w:val="125"/>
        </w:trPr>
        <w:tc>
          <w:tcPr>
            <w:tcW w:w="300" w:type="dxa"/>
            <w:vAlign w:val="bottom"/>
          </w:tcPr>
          <w:p>
            <w:pPr>
              <w:spacing w:after="0"/>
              <w:rPr>
                <w:sz w:val="10"/>
                <w:szCs w:val="10"/>
                <w:color w:val="auto"/>
              </w:rPr>
            </w:pPr>
          </w:p>
        </w:tc>
        <w:tc>
          <w:tcPr>
            <w:tcW w:w="8040" w:type="dxa"/>
            <w:vAlign w:val="bottom"/>
          </w:tcPr>
          <w:p>
            <w:pPr>
              <w:ind w:left="100"/>
              <w:spacing w:after="0" w:line="125" w:lineRule="exact"/>
              <w:rPr>
                <w:sz w:val="20"/>
                <w:szCs w:val="20"/>
                <w:color w:val="auto"/>
              </w:rPr>
            </w:pPr>
            <w:r>
              <w:rPr>
                <w:rFonts w:ascii="Times New Roman" w:cs="Times New Roman" w:eastAsia="Times New Roman" w:hAnsi="Times New Roman"/>
                <w:sz w:val="11"/>
                <w:szCs w:val="11"/>
                <w:color w:val="auto"/>
              </w:rPr>
              <w:t>Liabilities.</w:t>
            </w:r>
          </w:p>
        </w:tc>
        <w:tc>
          <w:tcPr>
            <w:tcW w:w="0" w:type="dxa"/>
            <w:vAlign w:val="bottom"/>
          </w:tcPr>
          <w:p>
            <w:pPr>
              <w:spacing w:after="0"/>
              <w:rPr>
                <w:sz w:val="1"/>
                <w:szCs w:val="1"/>
                <w:color w:val="auto"/>
              </w:rPr>
            </w:pPr>
          </w:p>
        </w:tc>
      </w:tr>
    </w:tbl>
    <w:p>
      <w:pPr>
        <w:ind w:left="720" w:right="359" w:hanging="401"/>
        <w:spacing w:after="0" w:line="224" w:lineRule="auto"/>
        <w:tabs>
          <w:tab w:leader="none" w:pos="72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interest amount of 2.71%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42" w:right="1440" w:bottom="1440" w:gutter="0" w:footer="0" w:header="0"/>
        </w:sectPr>
      </w:pPr>
    </w:p>
    <w:bookmarkStart w:id="38" w:name="page39"/>
    <w:bookmarkEnd w:id="38"/>
    <w:tbl>
      <w:tblPr>
        <w:tblLayout w:type="fixed"/>
        <w:tblInd w:w="320" w:type="dxa"/>
        <w:tblCellMar>
          <w:top w:w="0" w:type="dxa"/>
          <w:left w:w="0" w:type="dxa"/>
          <w:bottom w:w="0" w:type="dxa"/>
          <w:right w:w="0" w:type="dxa"/>
        </w:tblCellMar>
      </w:tblPr>
      <w:tr>
        <w:trPr>
          <w:trHeight w:val="126"/>
        </w:trPr>
        <w:tc>
          <w:tcPr>
            <w:tcW w:w="320" w:type="dxa"/>
            <w:vAlign w:val="bottom"/>
          </w:tcPr>
          <w:p>
            <w:pPr>
              <w:spacing w:after="0"/>
              <w:rPr>
                <w:sz w:val="20"/>
                <w:szCs w:val="20"/>
                <w:color w:val="auto"/>
              </w:rPr>
            </w:pPr>
            <w:r>
              <w:rPr>
                <w:rFonts w:ascii="Times New Roman" w:cs="Times New Roman" w:eastAsia="Times New Roman" w:hAnsi="Times New Roman"/>
                <w:sz w:val="11"/>
                <w:szCs w:val="11"/>
                <w:color w:val="auto"/>
              </w:rPr>
              <w:t>(bc)</w:t>
            </w:r>
          </w:p>
        </w:tc>
        <w:tc>
          <w:tcPr>
            <w:tcW w:w="8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In addition to the interest earned based on the stated interest rate of this security, the Company is entitled to receive an additional cash interest amount of 2.20% and PIK interest</w:t>
            </w:r>
          </w:p>
        </w:tc>
        <w:tc>
          <w:tcPr>
            <w:tcW w:w="0" w:type="dxa"/>
            <w:vAlign w:val="bottom"/>
          </w:tcPr>
          <w:p>
            <w:pPr>
              <w:spacing w:after="0"/>
              <w:rPr>
                <w:sz w:val="1"/>
                <w:szCs w:val="1"/>
                <w:color w:val="auto"/>
              </w:rPr>
            </w:pPr>
          </w:p>
        </w:tc>
      </w:tr>
      <w:tr>
        <w:trPr>
          <w:trHeight w:val="113"/>
        </w:trPr>
        <w:tc>
          <w:tcPr>
            <w:tcW w:w="320" w:type="dxa"/>
            <w:vAlign w:val="bottom"/>
          </w:tcPr>
          <w:p>
            <w:pPr>
              <w:spacing w:after="0"/>
              <w:rPr>
                <w:sz w:val="9"/>
                <w:szCs w:val="9"/>
                <w:color w:val="auto"/>
              </w:rPr>
            </w:pPr>
          </w:p>
        </w:tc>
        <w:tc>
          <w:tcPr>
            <w:tcW w:w="8020" w:type="dxa"/>
            <w:vAlign w:val="bottom"/>
          </w:tcPr>
          <w:p>
            <w:pPr>
              <w:ind w:left="80"/>
              <w:spacing w:after="0" w:line="113" w:lineRule="exact"/>
              <w:rPr>
                <w:sz w:val="20"/>
                <w:szCs w:val="20"/>
                <w:color w:val="auto"/>
              </w:rPr>
            </w:pPr>
            <w:r>
              <w:rPr>
                <w:rFonts w:ascii="Times New Roman" w:cs="Times New Roman" w:eastAsia="Times New Roman" w:hAnsi="Times New Roman"/>
                <w:sz w:val="11"/>
                <w:szCs w:val="11"/>
                <w:color w:val="auto"/>
              </w:rPr>
              <w:t>amount of 0.74% on its “last out” tranche of the portfolio company’s senior term debt, which was previously syndicated into “first out” and “last out” tranches, whereby the “first</w:t>
            </w:r>
          </w:p>
        </w:tc>
        <w:tc>
          <w:tcPr>
            <w:tcW w:w="0" w:type="dxa"/>
            <w:vAlign w:val="bottom"/>
          </w:tcPr>
          <w:p>
            <w:pPr>
              <w:spacing w:after="0"/>
              <w:rPr>
                <w:sz w:val="1"/>
                <w:szCs w:val="1"/>
                <w:color w:val="auto"/>
              </w:rPr>
            </w:pPr>
          </w:p>
        </w:tc>
      </w:tr>
      <w:tr>
        <w:trPr>
          <w:trHeight w:val="113"/>
        </w:trPr>
        <w:tc>
          <w:tcPr>
            <w:tcW w:w="3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(bd)</w:t>
            </w:r>
          </w:p>
        </w:tc>
        <w:tc>
          <w:tcPr>
            <w:tcW w:w="8020" w:type="dxa"/>
            <w:vAlign w:val="bottom"/>
          </w:tcPr>
          <w:p>
            <w:pPr>
              <w:ind w:left="80"/>
              <w:spacing w:after="0" w:line="113" w:lineRule="exact"/>
              <w:rPr>
                <w:sz w:val="20"/>
                <w:szCs w:val="20"/>
                <w:color w:val="auto"/>
              </w:rPr>
            </w:pPr>
            <w:r>
              <w:rPr>
                <w:rFonts w:ascii="Times New Roman" w:cs="Times New Roman" w:eastAsia="Times New Roman" w:hAnsi="Times New Roman"/>
                <w:sz w:val="11"/>
                <w:szCs w:val="11"/>
                <w:color w:val="auto"/>
              </w:rPr>
              <w:t>out” tranche will have priority as to the “last out” tranche with respect to payments of principal, interest and any other amounts due thereunder.</w:t>
            </w:r>
          </w:p>
        </w:tc>
        <w:tc>
          <w:tcPr>
            <w:tcW w:w="0" w:type="dxa"/>
            <w:vAlign w:val="bottom"/>
          </w:tcPr>
          <w:p>
            <w:pPr>
              <w:spacing w:after="0"/>
              <w:rPr>
                <w:sz w:val="1"/>
                <w:szCs w:val="1"/>
                <w:color w:val="auto"/>
              </w:rPr>
            </w:pPr>
          </w:p>
        </w:tc>
      </w:tr>
      <w:tr>
        <w:trPr>
          <w:trHeight w:val="113"/>
        </w:trPr>
        <w:tc>
          <w:tcPr>
            <w:tcW w:w="320" w:type="dxa"/>
            <w:vAlign w:val="bottom"/>
            <w:vMerge w:val="continue"/>
          </w:tcPr>
          <w:p>
            <w:pPr>
              <w:spacing w:after="0"/>
              <w:rPr>
                <w:sz w:val="9"/>
                <w:szCs w:val="9"/>
                <w:color w:val="auto"/>
              </w:rPr>
            </w:pPr>
          </w:p>
        </w:tc>
        <w:tc>
          <w:tcPr>
            <w:tcW w:w="8020" w:type="dxa"/>
            <w:vAlign w:val="bottom"/>
          </w:tcPr>
          <w:p>
            <w:pPr>
              <w:ind w:left="80"/>
              <w:spacing w:after="0" w:line="113" w:lineRule="exact"/>
              <w:rPr>
                <w:sz w:val="20"/>
                <w:szCs w:val="20"/>
                <w:color w:val="auto"/>
              </w:rPr>
            </w:pPr>
            <w:r>
              <w:rPr>
                <w:rFonts w:ascii="Times New Roman" w:cs="Times New Roman" w:eastAsia="Times New Roman" w:hAnsi="Times New Roman"/>
                <w:sz w:val="11"/>
                <w:szCs w:val="11"/>
                <w:color w:val="auto"/>
                <w:w w:val="99"/>
              </w:rPr>
              <w:t>In addition to the interest earned based on the stated interest rate of this security, the Company is entitled to receive an additional interest amount of 3.06% on its “last out” tranche of</w:t>
            </w:r>
          </w:p>
        </w:tc>
        <w:tc>
          <w:tcPr>
            <w:tcW w:w="0" w:type="dxa"/>
            <w:vAlign w:val="bottom"/>
          </w:tcPr>
          <w:p>
            <w:pPr>
              <w:spacing w:after="0"/>
              <w:rPr>
                <w:sz w:val="1"/>
                <w:szCs w:val="1"/>
                <w:color w:val="auto"/>
              </w:rPr>
            </w:pPr>
          </w:p>
        </w:tc>
      </w:tr>
      <w:tr>
        <w:trPr>
          <w:trHeight w:val="113"/>
        </w:trPr>
        <w:tc>
          <w:tcPr>
            <w:tcW w:w="320" w:type="dxa"/>
            <w:vAlign w:val="bottom"/>
          </w:tcPr>
          <w:p>
            <w:pPr>
              <w:spacing w:after="0"/>
              <w:rPr>
                <w:sz w:val="9"/>
                <w:szCs w:val="9"/>
                <w:color w:val="auto"/>
              </w:rPr>
            </w:pPr>
          </w:p>
        </w:tc>
        <w:tc>
          <w:tcPr>
            <w:tcW w:w="8020" w:type="dxa"/>
            <w:vAlign w:val="bottom"/>
          </w:tcPr>
          <w:p>
            <w:pPr>
              <w:ind w:left="80"/>
              <w:spacing w:after="0" w:line="113"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13"/>
        </w:trPr>
        <w:tc>
          <w:tcPr>
            <w:tcW w:w="3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(be)</w:t>
            </w:r>
          </w:p>
        </w:tc>
        <w:tc>
          <w:tcPr>
            <w:tcW w:w="8020" w:type="dxa"/>
            <w:vAlign w:val="bottom"/>
          </w:tcPr>
          <w:p>
            <w:pPr>
              <w:ind w:left="80"/>
              <w:spacing w:after="0" w:line="113" w:lineRule="exact"/>
              <w:rPr>
                <w:sz w:val="20"/>
                <w:szCs w:val="20"/>
                <w:color w:val="auto"/>
              </w:rPr>
            </w:pPr>
            <w:r>
              <w:rPr>
                <w:rFonts w:ascii="Times New Roman" w:cs="Times New Roman" w:eastAsia="Times New Roman" w:hAnsi="Times New Roman"/>
                <w:sz w:val="11"/>
                <w:szCs w:val="11"/>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13"/>
        </w:trPr>
        <w:tc>
          <w:tcPr>
            <w:tcW w:w="320" w:type="dxa"/>
            <w:vAlign w:val="bottom"/>
            <w:vMerge w:val="continue"/>
          </w:tcPr>
          <w:p>
            <w:pPr>
              <w:spacing w:after="0"/>
              <w:rPr>
                <w:sz w:val="9"/>
                <w:szCs w:val="9"/>
                <w:color w:val="auto"/>
              </w:rPr>
            </w:pPr>
          </w:p>
        </w:tc>
        <w:tc>
          <w:tcPr>
            <w:tcW w:w="8020" w:type="dxa"/>
            <w:vAlign w:val="bottom"/>
          </w:tcPr>
          <w:p>
            <w:pPr>
              <w:ind w:left="80"/>
              <w:spacing w:after="0" w:line="113" w:lineRule="exact"/>
              <w:rPr>
                <w:sz w:val="20"/>
                <w:szCs w:val="20"/>
                <w:color w:val="auto"/>
              </w:rPr>
            </w:pPr>
            <w:r>
              <w:rPr>
                <w:rFonts w:ascii="Times New Roman" w:cs="Times New Roman" w:eastAsia="Times New Roman" w:hAnsi="Times New Roman"/>
                <w:sz w:val="11"/>
                <w:szCs w:val="11"/>
                <w:color w:val="auto"/>
                <w:w w:val="99"/>
              </w:rPr>
              <w:t>In addition to the interest earned based on the stated interest rate of this security, the Company is entitled to receive an additional interest amount of 2.97% on its “last out” tranche of</w:t>
            </w:r>
          </w:p>
        </w:tc>
        <w:tc>
          <w:tcPr>
            <w:tcW w:w="0" w:type="dxa"/>
            <w:vAlign w:val="bottom"/>
          </w:tcPr>
          <w:p>
            <w:pPr>
              <w:spacing w:after="0"/>
              <w:rPr>
                <w:sz w:val="1"/>
                <w:szCs w:val="1"/>
                <w:color w:val="auto"/>
              </w:rPr>
            </w:pPr>
          </w:p>
        </w:tc>
      </w:tr>
      <w:tr>
        <w:trPr>
          <w:trHeight w:val="113"/>
        </w:trPr>
        <w:tc>
          <w:tcPr>
            <w:tcW w:w="320" w:type="dxa"/>
            <w:vAlign w:val="bottom"/>
          </w:tcPr>
          <w:p>
            <w:pPr>
              <w:spacing w:after="0"/>
              <w:rPr>
                <w:sz w:val="9"/>
                <w:szCs w:val="9"/>
                <w:color w:val="auto"/>
              </w:rPr>
            </w:pPr>
          </w:p>
        </w:tc>
        <w:tc>
          <w:tcPr>
            <w:tcW w:w="8020" w:type="dxa"/>
            <w:vAlign w:val="bottom"/>
          </w:tcPr>
          <w:p>
            <w:pPr>
              <w:ind w:left="80"/>
              <w:spacing w:after="0" w:line="113"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13"/>
        </w:trPr>
        <w:tc>
          <w:tcPr>
            <w:tcW w:w="3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(bf)</w:t>
            </w:r>
          </w:p>
        </w:tc>
        <w:tc>
          <w:tcPr>
            <w:tcW w:w="8020" w:type="dxa"/>
            <w:vAlign w:val="bottom"/>
          </w:tcPr>
          <w:p>
            <w:pPr>
              <w:ind w:left="80"/>
              <w:spacing w:after="0" w:line="113" w:lineRule="exact"/>
              <w:rPr>
                <w:sz w:val="20"/>
                <w:szCs w:val="20"/>
                <w:color w:val="auto"/>
              </w:rPr>
            </w:pPr>
            <w:r>
              <w:rPr>
                <w:rFonts w:ascii="Times New Roman" w:cs="Times New Roman" w:eastAsia="Times New Roman" w:hAnsi="Times New Roman"/>
                <w:sz w:val="11"/>
                <w:szCs w:val="11"/>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13"/>
        </w:trPr>
        <w:tc>
          <w:tcPr>
            <w:tcW w:w="320" w:type="dxa"/>
            <w:vAlign w:val="bottom"/>
            <w:vMerge w:val="continue"/>
          </w:tcPr>
          <w:p>
            <w:pPr>
              <w:spacing w:after="0"/>
              <w:rPr>
                <w:sz w:val="9"/>
                <w:szCs w:val="9"/>
                <w:color w:val="auto"/>
              </w:rPr>
            </w:pPr>
          </w:p>
        </w:tc>
        <w:tc>
          <w:tcPr>
            <w:tcW w:w="8020" w:type="dxa"/>
            <w:vAlign w:val="bottom"/>
          </w:tcPr>
          <w:p>
            <w:pPr>
              <w:ind w:left="80"/>
              <w:spacing w:after="0" w:line="113" w:lineRule="exact"/>
              <w:rPr>
                <w:sz w:val="20"/>
                <w:szCs w:val="20"/>
                <w:color w:val="auto"/>
              </w:rPr>
            </w:pPr>
            <w:r>
              <w:rPr>
                <w:rFonts w:ascii="Times New Roman" w:cs="Times New Roman" w:eastAsia="Times New Roman" w:hAnsi="Times New Roman"/>
                <w:sz w:val="11"/>
                <w:szCs w:val="11"/>
                <w:color w:val="auto"/>
                <w:w w:val="99"/>
              </w:rPr>
              <w:t>In addition to the interest earned based on the stated interest rate of this security, the Company is entitled to receive an additional interest amount of 2.40% on its “last out” tranche of</w:t>
            </w:r>
          </w:p>
        </w:tc>
        <w:tc>
          <w:tcPr>
            <w:tcW w:w="0" w:type="dxa"/>
            <w:vAlign w:val="bottom"/>
          </w:tcPr>
          <w:p>
            <w:pPr>
              <w:spacing w:after="0"/>
              <w:rPr>
                <w:sz w:val="1"/>
                <w:szCs w:val="1"/>
                <w:color w:val="auto"/>
              </w:rPr>
            </w:pPr>
          </w:p>
        </w:tc>
      </w:tr>
      <w:tr>
        <w:trPr>
          <w:trHeight w:val="113"/>
        </w:trPr>
        <w:tc>
          <w:tcPr>
            <w:tcW w:w="320" w:type="dxa"/>
            <w:vAlign w:val="bottom"/>
          </w:tcPr>
          <w:p>
            <w:pPr>
              <w:spacing w:after="0"/>
              <w:rPr>
                <w:sz w:val="9"/>
                <w:szCs w:val="9"/>
                <w:color w:val="auto"/>
              </w:rPr>
            </w:pPr>
          </w:p>
        </w:tc>
        <w:tc>
          <w:tcPr>
            <w:tcW w:w="8020" w:type="dxa"/>
            <w:vAlign w:val="bottom"/>
          </w:tcPr>
          <w:p>
            <w:pPr>
              <w:ind w:left="80"/>
              <w:spacing w:after="0" w:line="113"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13"/>
        </w:trPr>
        <w:tc>
          <w:tcPr>
            <w:tcW w:w="3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(bg)</w:t>
            </w:r>
          </w:p>
        </w:tc>
        <w:tc>
          <w:tcPr>
            <w:tcW w:w="8020" w:type="dxa"/>
            <w:vAlign w:val="bottom"/>
          </w:tcPr>
          <w:p>
            <w:pPr>
              <w:ind w:left="80"/>
              <w:spacing w:after="0" w:line="113" w:lineRule="exact"/>
              <w:rPr>
                <w:sz w:val="20"/>
                <w:szCs w:val="20"/>
                <w:color w:val="auto"/>
              </w:rPr>
            </w:pPr>
            <w:r>
              <w:rPr>
                <w:rFonts w:ascii="Times New Roman" w:cs="Times New Roman" w:eastAsia="Times New Roman" w:hAnsi="Times New Roman"/>
                <w:sz w:val="11"/>
                <w:szCs w:val="11"/>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13"/>
        </w:trPr>
        <w:tc>
          <w:tcPr>
            <w:tcW w:w="320" w:type="dxa"/>
            <w:vAlign w:val="bottom"/>
            <w:vMerge w:val="continue"/>
          </w:tcPr>
          <w:p>
            <w:pPr>
              <w:spacing w:after="0"/>
              <w:rPr>
                <w:sz w:val="9"/>
                <w:szCs w:val="9"/>
                <w:color w:val="auto"/>
              </w:rPr>
            </w:pPr>
          </w:p>
        </w:tc>
        <w:tc>
          <w:tcPr>
            <w:tcW w:w="8020" w:type="dxa"/>
            <w:vAlign w:val="bottom"/>
          </w:tcPr>
          <w:p>
            <w:pPr>
              <w:ind w:left="80"/>
              <w:spacing w:after="0" w:line="113" w:lineRule="exact"/>
              <w:rPr>
                <w:sz w:val="20"/>
                <w:szCs w:val="20"/>
                <w:color w:val="auto"/>
              </w:rPr>
            </w:pPr>
            <w:r>
              <w:rPr>
                <w:rFonts w:ascii="Times New Roman" w:cs="Times New Roman" w:eastAsia="Times New Roman" w:hAnsi="Times New Roman"/>
                <w:sz w:val="11"/>
                <w:szCs w:val="11"/>
                <w:color w:val="auto"/>
              </w:rPr>
              <w:t>As of December 31, 2025, the Company is earning an incremental 0.60% interest on the outstanding principal balance.</w:t>
            </w:r>
          </w:p>
        </w:tc>
        <w:tc>
          <w:tcPr>
            <w:tcW w:w="0" w:type="dxa"/>
            <w:vAlign w:val="bottom"/>
          </w:tcPr>
          <w:p>
            <w:pPr>
              <w:spacing w:after="0"/>
              <w:rPr>
                <w:sz w:val="1"/>
                <w:szCs w:val="1"/>
                <w:color w:val="auto"/>
              </w:rPr>
            </w:pPr>
          </w:p>
        </w:tc>
      </w:tr>
      <w:tr>
        <w:trPr>
          <w:trHeight w:val="113"/>
        </w:trPr>
        <w:tc>
          <w:tcPr>
            <w:tcW w:w="32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(bh)</w:t>
            </w:r>
          </w:p>
        </w:tc>
        <w:tc>
          <w:tcPr>
            <w:tcW w:w="8020" w:type="dxa"/>
            <w:vAlign w:val="bottom"/>
          </w:tcPr>
          <w:p>
            <w:pPr>
              <w:ind w:left="80"/>
              <w:spacing w:after="0" w:line="113" w:lineRule="exact"/>
              <w:rPr>
                <w:sz w:val="20"/>
                <w:szCs w:val="20"/>
                <w:color w:val="auto"/>
              </w:rPr>
            </w:pPr>
            <w:r>
              <w:rPr>
                <w:rFonts w:ascii="Times New Roman" w:cs="Times New Roman" w:eastAsia="Times New Roman" w:hAnsi="Times New Roman"/>
                <w:sz w:val="11"/>
                <w:szCs w:val="11"/>
                <w:color w:val="auto"/>
                <w:w w:val="99"/>
              </w:rPr>
              <w:t>The fair value for this investment includes a multiple of invested capital fee equal to (i) the principal amount repaid multiplied by a return percentage that is subject to change based</w:t>
            </w:r>
          </w:p>
        </w:tc>
        <w:tc>
          <w:tcPr>
            <w:tcW w:w="0" w:type="dxa"/>
            <w:vAlign w:val="bottom"/>
          </w:tcPr>
          <w:p>
            <w:pPr>
              <w:spacing w:after="0"/>
              <w:rPr>
                <w:sz w:val="1"/>
                <w:szCs w:val="1"/>
                <w:color w:val="auto"/>
              </w:rPr>
            </w:pPr>
          </w:p>
        </w:tc>
      </w:tr>
      <w:tr>
        <w:trPr>
          <w:trHeight w:val="113"/>
        </w:trPr>
        <w:tc>
          <w:tcPr>
            <w:tcW w:w="320" w:type="dxa"/>
            <w:vAlign w:val="bottom"/>
          </w:tcPr>
          <w:p>
            <w:pPr>
              <w:spacing w:after="0"/>
              <w:rPr>
                <w:sz w:val="9"/>
                <w:szCs w:val="9"/>
                <w:color w:val="auto"/>
              </w:rPr>
            </w:pPr>
          </w:p>
        </w:tc>
        <w:tc>
          <w:tcPr>
            <w:tcW w:w="8020" w:type="dxa"/>
            <w:vAlign w:val="bottom"/>
          </w:tcPr>
          <w:p>
            <w:pPr>
              <w:ind w:left="80"/>
              <w:spacing w:after="0" w:line="113" w:lineRule="exact"/>
              <w:rPr>
                <w:sz w:val="20"/>
                <w:szCs w:val="20"/>
                <w:color w:val="auto"/>
              </w:rPr>
            </w:pPr>
            <w:r>
              <w:rPr>
                <w:rFonts w:ascii="Times New Roman" w:cs="Times New Roman" w:eastAsia="Times New Roman" w:hAnsi="Times New Roman"/>
                <w:sz w:val="11"/>
                <w:szCs w:val="11"/>
                <w:color w:val="auto"/>
              </w:rPr>
              <w:t>upon the loan repayment date minus (ii) the sum of (a) the principal amount repaid plus (b) all interest paid in cash on such principal amount plus (c) the aggregate amount of fees</w:t>
            </w:r>
          </w:p>
        </w:tc>
        <w:tc>
          <w:tcPr>
            <w:tcW w:w="0" w:type="dxa"/>
            <w:vAlign w:val="bottom"/>
          </w:tcPr>
          <w:p>
            <w:pPr>
              <w:spacing w:after="0"/>
              <w:rPr>
                <w:sz w:val="1"/>
                <w:szCs w:val="1"/>
                <w:color w:val="auto"/>
              </w:rPr>
            </w:pPr>
          </w:p>
        </w:tc>
      </w:tr>
      <w:tr>
        <w:trPr>
          <w:trHeight w:val="113"/>
        </w:trPr>
        <w:tc>
          <w:tcPr>
            <w:tcW w:w="3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(bi)</w:t>
            </w:r>
          </w:p>
        </w:tc>
        <w:tc>
          <w:tcPr>
            <w:tcW w:w="8020" w:type="dxa"/>
            <w:vAlign w:val="bottom"/>
          </w:tcPr>
          <w:p>
            <w:pPr>
              <w:ind w:left="80"/>
              <w:spacing w:after="0" w:line="113" w:lineRule="exact"/>
              <w:rPr>
                <w:sz w:val="20"/>
                <w:szCs w:val="20"/>
                <w:color w:val="auto"/>
              </w:rPr>
            </w:pPr>
            <w:r>
              <w:rPr>
                <w:rFonts w:ascii="Times New Roman" w:cs="Times New Roman" w:eastAsia="Times New Roman" w:hAnsi="Times New Roman"/>
                <w:sz w:val="11"/>
                <w:szCs w:val="11"/>
                <w:color w:val="auto"/>
              </w:rPr>
              <w:t>paid in cash on or prior to the date of such repayment.</w:t>
            </w:r>
          </w:p>
        </w:tc>
        <w:tc>
          <w:tcPr>
            <w:tcW w:w="0" w:type="dxa"/>
            <w:vAlign w:val="bottom"/>
          </w:tcPr>
          <w:p>
            <w:pPr>
              <w:spacing w:after="0"/>
              <w:rPr>
                <w:sz w:val="1"/>
                <w:szCs w:val="1"/>
                <w:color w:val="auto"/>
              </w:rPr>
            </w:pPr>
          </w:p>
        </w:tc>
      </w:tr>
      <w:tr>
        <w:trPr>
          <w:trHeight w:val="113"/>
        </w:trPr>
        <w:tc>
          <w:tcPr>
            <w:tcW w:w="320" w:type="dxa"/>
            <w:vAlign w:val="bottom"/>
            <w:vMerge w:val="continue"/>
          </w:tcPr>
          <w:p>
            <w:pPr>
              <w:spacing w:after="0"/>
              <w:rPr>
                <w:sz w:val="9"/>
                <w:szCs w:val="9"/>
                <w:color w:val="auto"/>
              </w:rPr>
            </w:pPr>
          </w:p>
        </w:tc>
        <w:tc>
          <w:tcPr>
            <w:tcW w:w="8020" w:type="dxa"/>
            <w:vAlign w:val="bottom"/>
          </w:tcPr>
          <w:p>
            <w:pPr>
              <w:ind w:left="80"/>
              <w:spacing w:after="0" w:line="113" w:lineRule="exact"/>
              <w:rPr>
                <w:sz w:val="20"/>
                <w:szCs w:val="20"/>
                <w:color w:val="auto"/>
              </w:rPr>
            </w:pPr>
            <w:r>
              <w:rPr>
                <w:rFonts w:ascii="Times New Roman" w:cs="Times New Roman" w:eastAsia="Times New Roman" w:hAnsi="Times New Roman"/>
                <w:sz w:val="11"/>
                <w:szCs w:val="11"/>
                <w:color w:val="auto"/>
                <w:w w:val="99"/>
              </w:rPr>
              <w:t>In addition to the interest earned based on the stated interest rate of this security, the Company is entitled to receive an additional interest amount of 1.25% on its “last out” tranche of</w:t>
            </w:r>
          </w:p>
        </w:tc>
        <w:tc>
          <w:tcPr>
            <w:tcW w:w="0" w:type="dxa"/>
            <w:vAlign w:val="bottom"/>
          </w:tcPr>
          <w:p>
            <w:pPr>
              <w:spacing w:after="0"/>
              <w:rPr>
                <w:sz w:val="1"/>
                <w:szCs w:val="1"/>
                <w:color w:val="auto"/>
              </w:rPr>
            </w:pPr>
          </w:p>
        </w:tc>
      </w:tr>
      <w:tr>
        <w:trPr>
          <w:trHeight w:val="113"/>
        </w:trPr>
        <w:tc>
          <w:tcPr>
            <w:tcW w:w="320" w:type="dxa"/>
            <w:vAlign w:val="bottom"/>
          </w:tcPr>
          <w:p>
            <w:pPr>
              <w:spacing w:after="0"/>
              <w:rPr>
                <w:sz w:val="9"/>
                <w:szCs w:val="9"/>
                <w:color w:val="auto"/>
              </w:rPr>
            </w:pPr>
          </w:p>
        </w:tc>
        <w:tc>
          <w:tcPr>
            <w:tcW w:w="8020" w:type="dxa"/>
            <w:vAlign w:val="bottom"/>
          </w:tcPr>
          <w:p>
            <w:pPr>
              <w:ind w:left="80"/>
              <w:spacing w:after="0" w:line="113"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13"/>
        </w:trPr>
        <w:tc>
          <w:tcPr>
            <w:tcW w:w="3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(bj)</w:t>
            </w:r>
          </w:p>
        </w:tc>
        <w:tc>
          <w:tcPr>
            <w:tcW w:w="8020" w:type="dxa"/>
            <w:vAlign w:val="bottom"/>
          </w:tcPr>
          <w:p>
            <w:pPr>
              <w:ind w:left="80"/>
              <w:spacing w:after="0" w:line="113" w:lineRule="exact"/>
              <w:rPr>
                <w:sz w:val="20"/>
                <w:szCs w:val="20"/>
                <w:color w:val="auto"/>
              </w:rPr>
            </w:pPr>
            <w:r>
              <w:rPr>
                <w:rFonts w:ascii="Times New Roman" w:cs="Times New Roman" w:eastAsia="Times New Roman" w:hAnsi="Times New Roman"/>
                <w:sz w:val="11"/>
                <w:szCs w:val="11"/>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13"/>
        </w:trPr>
        <w:tc>
          <w:tcPr>
            <w:tcW w:w="320" w:type="dxa"/>
            <w:vAlign w:val="bottom"/>
            <w:vMerge w:val="continue"/>
          </w:tcPr>
          <w:p>
            <w:pPr>
              <w:spacing w:after="0"/>
              <w:rPr>
                <w:sz w:val="9"/>
                <w:szCs w:val="9"/>
                <w:color w:val="auto"/>
              </w:rPr>
            </w:pPr>
          </w:p>
        </w:tc>
        <w:tc>
          <w:tcPr>
            <w:tcW w:w="8020" w:type="dxa"/>
            <w:vAlign w:val="bottom"/>
          </w:tcPr>
          <w:p>
            <w:pPr>
              <w:ind w:left="80"/>
              <w:spacing w:after="0" w:line="113" w:lineRule="exact"/>
              <w:rPr>
                <w:sz w:val="20"/>
                <w:szCs w:val="20"/>
                <w:color w:val="auto"/>
              </w:rPr>
            </w:pPr>
            <w:r>
              <w:rPr>
                <w:rFonts w:ascii="Times New Roman" w:cs="Times New Roman" w:eastAsia="Times New Roman" w:hAnsi="Times New Roman"/>
                <w:sz w:val="11"/>
                <w:szCs w:val="11"/>
                <w:color w:val="auto"/>
                <w:w w:val="99"/>
              </w:rPr>
              <w:t>In addition to the interest earned based on the stated interest rate of this security, the Company is entitled to receive an additional interest amount of 3.20% on its “last out” tranche of</w:t>
            </w:r>
          </w:p>
        </w:tc>
        <w:tc>
          <w:tcPr>
            <w:tcW w:w="0" w:type="dxa"/>
            <w:vAlign w:val="bottom"/>
          </w:tcPr>
          <w:p>
            <w:pPr>
              <w:spacing w:after="0"/>
              <w:rPr>
                <w:sz w:val="1"/>
                <w:szCs w:val="1"/>
                <w:color w:val="auto"/>
              </w:rPr>
            </w:pPr>
          </w:p>
        </w:tc>
      </w:tr>
      <w:tr>
        <w:trPr>
          <w:trHeight w:val="113"/>
        </w:trPr>
        <w:tc>
          <w:tcPr>
            <w:tcW w:w="320" w:type="dxa"/>
            <w:vAlign w:val="bottom"/>
          </w:tcPr>
          <w:p>
            <w:pPr>
              <w:spacing w:after="0"/>
              <w:rPr>
                <w:sz w:val="9"/>
                <w:szCs w:val="9"/>
                <w:color w:val="auto"/>
              </w:rPr>
            </w:pPr>
          </w:p>
        </w:tc>
        <w:tc>
          <w:tcPr>
            <w:tcW w:w="8020" w:type="dxa"/>
            <w:vAlign w:val="bottom"/>
          </w:tcPr>
          <w:p>
            <w:pPr>
              <w:ind w:left="80"/>
              <w:spacing w:after="0" w:line="113"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13"/>
        </w:trPr>
        <w:tc>
          <w:tcPr>
            <w:tcW w:w="3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(bk)</w:t>
            </w:r>
          </w:p>
        </w:tc>
        <w:tc>
          <w:tcPr>
            <w:tcW w:w="8020" w:type="dxa"/>
            <w:vAlign w:val="bottom"/>
          </w:tcPr>
          <w:p>
            <w:pPr>
              <w:ind w:left="80"/>
              <w:spacing w:after="0" w:line="113" w:lineRule="exact"/>
              <w:rPr>
                <w:sz w:val="20"/>
                <w:szCs w:val="20"/>
                <w:color w:val="auto"/>
              </w:rPr>
            </w:pPr>
            <w:r>
              <w:rPr>
                <w:rFonts w:ascii="Times New Roman" w:cs="Times New Roman" w:eastAsia="Times New Roman" w:hAnsi="Times New Roman"/>
                <w:sz w:val="11"/>
                <w:szCs w:val="11"/>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13"/>
        </w:trPr>
        <w:tc>
          <w:tcPr>
            <w:tcW w:w="320" w:type="dxa"/>
            <w:vAlign w:val="bottom"/>
            <w:vMerge w:val="continue"/>
          </w:tcPr>
          <w:p>
            <w:pPr>
              <w:spacing w:after="0"/>
              <w:rPr>
                <w:sz w:val="9"/>
                <w:szCs w:val="9"/>
                <w:color w:val="auto"/>
              </w:rPr>
            </w:pPr>
          </w:p>
        </w:tc>
        <w:tc>
          <w:tcPr>
            <w:tcW w:w="8020" w:type="dxa"/>
            <w:vAlign w:val="bottom"/>
          </w:tcPr>
          <w:p>
            <w:pPr>
              <w:ind w:left="80"/>
              <w:spacing w:after="0" w:line="113" w:lineRule="exact"/>
              <w:rPr>
                <w:sz w:val="20"/>
                <w:szCs w:val="20"/>
                <w:color w:val="auto"/>
              </w:rPr>
            </w:pPr>
            <w:r>
              <w:rPr>
                <w:rFonts w:ascii="Times New Roman" w:cs="Times New Roman" w:eastAsia="Times New Roman" w:hAnsi="Times New Roman"/>
                <w:sz w:val="11"/>
                <w:szCs w:val="11"/>
                <w:color w:val="auto"/>
                <w:w w:val="99"/>
              </w:rPr>
              <w:t>In addition to the interest earned based on the stated interest rate of this security, the Company is entitled to receive an additional interest amount of 3.00% on its “last out” tranche of</w:t>
            </w:r>
          </w:p>
        </w:tc>
        <w:tc>
          <w:tcPr>
            <w:tcW w:w="0" w:type="dxa"/>
            <w:vAlign w:val="bottom"/>
          </w:tcPr>
          <w:p>
            <w:pPr>
              <w:spacing w:after="0"/>
              <w:rPr>
                <w:sz w:val="1"/>
                <w:szCs w:val="1"/>
                <w:color w:val="auto"/>
              </w:rPr>
            </w:pPr>
          </w:p>
        </w:tc>
      </w:tr>
      <w:tr>
        <w:trPr>
          <w:trHeight w:val="113"/>
        </w:trPr>
        <w:tc>
          <w:tcPr>
            <w:tcW w:w="320" w:type="dxa"/>
            <w:vAlign w:val="bottom"/>
          </w:tcPr>
          <w:p>
            <w:pPr>
              <w:spacing w:after="0"/>
              <w:rPr>
                <w:sz w:val="9"/>
                <w:szCs w:val="9"/>
                <w:color w:val="auto"/>
              </w:rPr>
            </w:pPr>
          </w:p>
        </w:tc>
        <w:tc>
          <w:tcPr>
            <w:tcW w:w="8020" w:type="dxa"/>
            <w:vAlign w:val="bottom"/>
          </w:tcPr>
          <w:p>
            <w:pPr>
              <w:ind w:left="80"/>
              <w:spacing w:after="0" w:line="113"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13"/>
        </w:trPr>
        <w:tc>
          <w:tcPr>
            <w:tcW w:w="3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(bl)</w:t>
            </w:r>
          </w:p>
        </w:tc>
        <w:tc>
          <w:tcPr>
            <w:tcW w:w="8020" w:type="dxa"/>
            <w:vAlign w:val="bottom"/>
          </w:tcPr>
          <w:p>
            <w:pPr>
              <w:ind w:left="80"/>
              <w:spacing w:after="0" w:line="113" w:lineRule="exact"/>
              <w:rPr>
                <w:sz w:val="20"/>
                <w:szCs w:val="20"/>
                <w:color w:val="auto"/>
              </w:rPr>
            </w:pPr>
            <w:r>
              <w:rPr>
                <w:rFonts w:ascii="Times New Roman" w:cs="Times New Roman" w:eastAsia="Times New Roman" w:hAnsi="Times New Roman"/>
                <w:sz w:val="11"/>
                <w:szCs w:val="11"/>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13"/>
        </w:trPr>
        <w:tc>
          <w:tcPr>
            <w:tcW w:w="320" w:type="dxa"/>
            <w:vAlign w:val="bottom"/>
            <w:vMerge w:val="continue"/>
          </w:tcPr>
          <w:p>
            <w:pPr>
              <w:spacing w:after="0"/>
              <w:rPr>
                <w:sz w:val="9"/>
                <w:szCs w:val="9"/>
                <w:color w:val="auto"/>
              </w:rPr>
            </w:pPr>
          </w:p>
        </w:tc>
        <w:tc>
          <w:tcPr>
            <w:tcW w:w="8020" w:type="dxa"/>
            <w:vAlign w:val="bottom"/>
          </w:tcPr>
          <w:p>
            <w:pPr>
              <w:ind w:left="80"/>
              <w:spacing w:after="0" w:line="113" w:lineRule="exact"/>
              <w:rPr>
                <w:sz w:val="20"/>
                <w:szCs w:val="20"/>
                <w:color w:val="auto"/>
              </w:rPr>
            </w:pPr>
            <w:r>
              <w:rPr>
                <w:rFonts w:ascii="Times New Roman" w:cs="Times New Roman" w:eastAsia="Times New Roman" w:hAnsi="Times New Roman"/>
                <w:sz w:val="11"/>
                <w:szCs w:val="11"/>
                <w:color w:val="auto"/>
                <w:w w:val="99"/>
              </w:rPr>
              <w:t>In addition to the interest earned based on the stated interest rate of this security, the Company is entitled to receive an additional interest amount of 3.10% on its “last out” tranche of</w:t>
            </w:r>
          </w:p>
        </w:tc>
        <w:tc>
          <w:tcPr>
            <w:tcW w:w="0" w:type="dxa"/>
            <w:vAlign w:val="bottom"/>
          </w:tcPr>
          <w:p>
            <w:pPr>
              <w:spacing w:after="0"/>
              <w:rPr>
                <w:sz w:val="1"/>
                <w:szCs w:val="1"/>
                <w:color w:val="auto"/>
              </w:rPr>
            </w:pPr>
          </w:p>
        </w:tc>
      </w:tr>
      <w:tr>
        <w:trPr>
          <w:trHeight w:val="113"/>
        </w:trPr>
        <w:tc>
          <w:tcPr>
            <w:tcW w:w="320" w:type="dxa"/>
            <w:vAlign w:val="bottom"/>
          </w:tcPr>
          <w:p>
            <w:pPr>
              <w:spacing w:after="0"/>
              <w:rPr>
                <w:sz w:val="9"/>
                <w:szCs w:val="9"/>
                <w:color w:val="auto"/>
              </w:rPr>
            </w:pPr>
          </w:p>
        </w:tc>
        <w:tc>
          <w:tcPr>
            <w:tcW w:w="8020" w:type="dxa"/>
            <w:vAlign w:val="bottom"/>
          </w:tcPr>
          <w:p>
            <w:pPr>
              <w:ind w:left="80"/>
              <w:spacing w:after="0" w:line="113"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13"/>
        </w:trPr>
        <w:tc>
          <w:tcPr>
            <w:tcW w:w="3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(bm)</w:t>
            </w:r>
          </w:p>
        </w:tc>
        <w:tc>
          <w:tcPr>
            <w:tcW w:w="8020" w:type="dxa"/>
            <w:vAlign w:val="bottom"/>
          </w:tcPr>
          <w:p>
            <w:pPr>
              <w:ind w:left="80"/>
              <w:spacing w:after="0" w:line="113" w:lineRule="exact"/>
              <w:rPr>
                <w:sz w:val="20"/>
                <w:szCs w:val="20"/>
                <w:color w:val="auto"/>
              </w:rPr>
            </w:pPr>
            <w:r>
              <w:rPr>
                <w:rFonts w:ascii="Times New Roman" w:cs="Times New Roman" w:eastAsia="Times New Roman" w:hAnsi="Times New Roman"/>
                <w:sz w:val="11"/>
                <w:szCs w:val="11"/>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13"/>
        </w:trPr>
        <w:tc>
          <w:tcPr>
            <w:tcW w:w="320" w:type="dxa"/>
            <w:vAlign w:val="bottom"/>
            <w:vMerge w:val="continue"/>
          </w:tcPr>
          <w:p>
            <w:pPr>
              <w:spacing w:after="0"/>
              <w:rPr>
                <w:sz w:val="9"/>
                <w:szCs w:val="9"/>
                <w:color w:val="auto"/>
              </w:rPr>
            </w:pPr>
          </w:p>
        </w:tc>
        <w:tc>
          <w:tcPr>
            <w:tcW w:w="8020" w:type="dxa"/>
            <w:vAlign w:val="bottom"/>
          </w:tcPr>
          <w:p>
            <w:pPr>
              <w:ind w:left="80"/>
              <w:spacing w:after="0" w:line="113" w:lineRule="exact"/>
              <w:rPr>
                <w:sz w:val="20"/>
                <w:szCs w:val="20"/>
                <w:color w:val="auto"/>
              </w:rPr>
            </w:pPr>
            <w:r>
              <w:rPr>
                <w:rFonts w:ascii="Times New Roman" w:cs="Times New Roman" w:eastAsia="Times New Roman" w:hAnsi="Times New Roman"/>
                <w:sz w:val="11"/>
                <w:szCs w:val="11"/>
                <w:color w:val="auto"/>
                <w:w w:val="99"/>
              </w:rPr>
              <w:t>In addition to the interest earned based on the stated interest rate of this security, the Company is entitled to receive an additional interest amount of 3.71% on its “last out” tranche of</w:t>
            </w:r>
          </w:p>
        </w:tc>
        <w:tc>
          <w:tcPr>
            <w:tcW w:w="0" w:type="dxa"/>
            <w:vAlign w:val="bottom"/>
          </w:tcPr>
          <w:p>
            <w:pPr>
              <w:spacing w:after="0"/>
              <w:rPr>
                <w:sz w:val="1"/>
                <w:szCs w:val="1"/>
                <w:color w:val="auto"/>
              </w:rPr>
            </w:pPr>
          </w:p>
        </w:tc>
      </w:tr>
      <w:tr>
        <w:trPr>
          <w:trHeight w:val="113"/>
        </w:trPr>
        <w:tc>
          <w:tcPr>
            <w:tcW w:w="320" w:type="dxa"/>
            <w:vAlign w:val="bottom"/>
          </w:tcPr>
          <w:p>
            <w:pPr>
              <w:spacing w:after="0"/>
              <w:rPr>
                <w:sz w:val="9"/>
                <w:szCs w:val="9"/>
                <w:color w:val="auto"/>
              </w:rPr>
            </w:pPr>
          </w:p>
        </w:tc>
        <w:tc>
          <w:tcPr>
            <w:tcW w:w="8020" w:type="dxa"/>
            <w:vAlign w:val="bottom"/>
          </w:tcPr>
          <w:p>
            <w:pPr>
              <w:ind w:left="80"/>
              <w:spacing w:after="0" w:line="113"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13"/>
        </w:trPr>
        <w:tc>
          <w:tcPr>
            <w:tcW w:w="3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(bn)</w:t>
            </w:r>
          </w:p>
        </w:tc>
        <w:tc>
          <w:tcPr>
            <w:tcW w:w="8020" w:type="dxa"/>
            <w:vAlign w:val="bottom"/>
          </w:tcPr>
          <w:p>
            <w:pPr>
              <w:ind w:left="80"/>
              <w:spacing w:after="0" w:line="113" w:lineRule="exact"/>
              <w:rPr>
                <w:sz w:val="20"/>
                <w:szCs w:val="20"/>
                <w:color w:val="auto"/>
              </w:rPr>
            </w:pPr>
            <w:r>
              <w:rPr>
                <w:rFonts w:ascii="Times New Roman" w:cs="Times New Roman" w:eastAsia="Times New Roman" w:hAnsi="Times New Roman"/>
                <w:sz w:val="11"/>
                <w:szCs w:val="11"/>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13"/>
        </w:trPr>
        <w:tc>
          <w:tcPr>
            <w:tcW w:w="320" w:type="dxa"/>
            <w:vAlign w:val="bottom"/>
            <w:vMerge w:val="continue"/>
          </w:tcPr>
          <w:p>
            <w:pPr>
              <w:spacing w:after="0"/>
              <w:rPr>
                <w:sz w:val="9"/>
                <w:szCs w:val="9"/>
                <w:color w:val="auto"/>
              </w:rPr>
            </w:pPr>
          </w:p>
        </w:tc>
        <w:tc>
          <w:tcPr>
            <w:tcW w:w="8020" w:type="dxa"/>
            <w:vAlign w:val="bottom"/>
          </w:tcPr>
          <w:p>
            <w:pPr>
              <w:ind w:left="80"/>
              <w:spacing w:after="0" w:line="113" w:lineRule="exact"/>
              <w:rPr>
                <w:sz w:val="20"/>
                <w:szCs w:val="20"/>
                <w:color w:val="auto"/>
              </w:rPr>
            </w:pPr>
            <w:r>
              <w:rPr>
                <w:rFonts w:ascii="Times New Roman" w:cs="Times New Roman" w:eastAsia="Times New Roman" w:hAnsi="Times New Roman"/>
                <w:sz w:val="11"/>
                <w:szCs w:val="11"/>
                <w:color w:val="auto"/>
                <w:w w:val="99"/>
              </w:rPr>
              <w:t>In addition to the interest earned based on the stated interest rate of this security, the Company is entitled to receive an additional interest amount of 2.34% on its “last out” tranche of</w:t>
            </w:r>
          </w:p>
        </w:tc>
        <w:tc>
          <w:tcPr>
            <w:tcW w:w="0" w:type="dxa"/>
            <w:vAlign w:val="bottom"/>
          </w:tcPr>
          <w:p>
            <w:pPr>
              <w:spacing w:after="0"/>
              <w:rPr>
                <w:sz w:val="1"/>
                <w:szCs w:val="1"/>
                <w:color w:val="auto"/>
              </w:rPr>
            </w:pPr>
          </w:p>
        </w:tc>
      </w:tr>
      <w:tr>
        <w:trPr>
          <w:trHeight w:val="113"/>
        </w:trPr>
        <w:tc>
          <w:tcPr>
            <w:tcW w:w="320" w:type="dxa"/>
            <w:vAlign w:val="bottom"/>
          </w:tcPr>
          <w:p>
            <w:pPr>
              <w:spacing w:after="0"/>
              <w:rPr>
                <w:sz w:val="9"/>
                <w:szCs w:val="9"/>
                <w:color w:val="auto"/>
              </w:rPr>
            </w:pPr>
          </w:p>
        </w:tc>
        <w:tc>
          <w:tcPr>
            <w:tcW w:w="8020" w:type="dxa"/>
            <w:vAlign w:val="bottom"/>
          </w:tcPr>
          <w:p>
            <w:pPr>
              <w:ind w:left="80"/>
              <w:spacing w:after="0" w:line="113" w:lineRule="exact"/>
              <w:rPr>
                <w:sz w:val="20"/>
                <w:szCs w:val="20"/>
                <w:color w:val="auto"/>
              </w:rPr>
            </w:pPr>
            <w:r>
              <w:rPr>
                <w:rFonts w:ascii="Times New Roman" w:cs="Times New Roman" w:eastAsia="Times New Roman" w:hAnsi="Times New Roman"/>
                <w:sz w:val="11"/>
                <w:szCs w:val="11"/>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13"/>
        </w:trPr>
        <w:tc>
          <w:tcPr>
            <w:tcW w:w="3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(bo)</w:t>
            </w:r>
          </w:p>
        </w:tc>
        <w:tc>
          <w:tcPr>
            <w:tcW w:w="8020" w:type="dxa"/>
            <w:vAlign w:val="bottom"/>
          </w:tcPr>
          <w:p>
            <w:pPr>
              <w:ind w:left="80"/>
              <w:spacing w:after="0" w:line="113" w:lineRule="exact"/>
              <w:rPr>
                <w:sz w:val="20"/>
                <w:szCs w:val="20"/>
                <w:color w:val="auto"/>
              </w:rPr>
            </w:pPr>
            <w:r>
              <w:rPr>
                <w:rFonts w:ascii="Times New Roman" w:cs="Times New Roman" w:eastAsia="Times New Roman" w:hAnsi="Times New Roman"/>
                <w:sz w:val="11"/>
                <w:szCs w:val="11"/>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41"/>
        </w:trPr>
        <w:tc>
          <w:tcPr>
            <w:tcW w:w="320" w:type="dxa"/>
            <w:vAlign w:val="bottom"/>
            <w:vMerge w:val="continue"/>
          </w:tcPr>
          <w:p>
            <w:pPr>
              <w:spacing w:after="0"/>
              <w:rPr>
                <w:sz w:val="12"/>
                <w:szCs w:val="12"/>
                <w:color w:val="auto"/>
              </w:rPr>
            </w:pPr>
          </w:p>
        </w:tc>
        <w:tc>
          <w:tcPr>
            <w:tcW w:w="8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Percentage of class held refers only to equity held, if any, calculated on a fully diluted basis.</w:t>
            </w:r>
          </w:p>
        </w:tc>
        <w:tc>
          <w:tcPr>
            <w:tcW w:w="0" w:type="dxa"/>
            <w:vAlign w:val="bottom"/>
          </w:tcPr>
          <w:p>
            <w:pPr>
              <w:spacing w:after="0"/>
              <w:rPr>
                <w:sz w:val="1"/>
                <w:szCs w:val="1"/>
                <w:color w:val="auto"/>
              </w:rPr>
            </w:pPr>
          </w:p>
        </w:tc>
      </w:tr>
      <w:tr>
        <w:trPr>
          <w:trHeight w:val="264"/>
        </w:trPr>
        <w:tc>
          <w:tcPr>
            <w:tcW w:w="320" w:type="dxa"/>
            <w:vAlign w:val="bottom"/>
          </w:tcPr>
          <w:p>
            <w:pPr>
              <w:spacing w:after="0"/>
              <w:rPr>
                <w:sz w:val="22"/>
                <w:szCs w:val="22"/>
                <w:color w:val="auto"/>
              </w:rPr>
            </w:pPr>
          </w:p>
        </w:tc>
        <w:tc>
          <w:tcPr>
            <w:tcW w:w="8020" w:type="dxa"/>
            <w:vAlign w:val="bottom"/>
          </w:tcPr>
          <w:p>
            <w:pPr>
              <w:ind w:left="3760"/>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42" w:right="1440" w:bottom="1440" w:gutter="0" w:footer="0" w:header="0"/>
        </w:sect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203440" cy="45085"/>
                    </a:xfrm>
                    <a:prstGeom prst="rect">
                      <a:avLst/>
                    </a:prstGeom>
                    <a:noFill/>
                  </pic:spPr>
                </pic:pic>
              </a:graphicData>
            </a:graphic>
          </wp:anchor>
        </w:drawing>
      </w:r>
    </w:p>
    <w:bookmarkStart w:id="39" w:name="page40"/>
    <w:bookmarkEnd w:id="39"/>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203440" cy="45085"/>
                    </a:xfrm>
                    <a:prstGeom prst="rect">
                      <a:avLst/>
                    </a:prstGeom>
                    <a:noFill/>
                  </pic:spPr>
                </pic:pic>
              </a:graphicData>
            </a:graphic>
          </wp:anchor>
        </w:drawing>
        <w:t>MANAGEMENT</w:t>
      </w:r>
    </w:p>
    <w:p>
      <w:pPr>
        <w:spacing w:after="0" w:line="171" w:lineRule="exact"/>
        <w:rPr>
          <w:sz w:val="20"/>
          <w:szCs w:val="20"/>
          <w:color w:val="auto"/>
        </w:rPr>
      </w:pPr>
    </w:p>
    <w:p>
      <w:pPr>
        <w:ind w:left="320" w:right="619" w:firstLine="335"/>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in the sections entitled “Proposal No. 1,” “Information About Executive Officer Who is Not a Director,” “Corporate Governance,” “Compensation Discussion and Analysis,” “Certain Relationships and Related Transactions — Investment Committee,” and “Certain Relationships and Related Transactions — Portfolio Management” in our most recent </w:t>
      </w:r>
      <w:hyperlink r:id="rId121">
        <w:r>
          <w:rPr>
            <w:rFonts w:ascii="Times New Roman" w:cs="Times New Roman" w:eastAsia="Times New Roman" w:hAnsi="Times New Roman"/>
            <w:sz w:val="14"/>
            <w:szCs w:val="14"/>
            <w:u w:val="single" w:color="auto"/>
            <w:color w:val="0000EE"/>
          </w:rPr>
          <w:t>Definitive Proxy Statement on 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is incorporated herein by reference.</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256" w:right="1440"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203440" cy="45085"/>
                    </a:xfrm>
                    <a:prstGeom prst="rect">
                      <a:avLst/>
                    </a:prstGeom>
                    <a:noFill/>
                  </pic:spPr>
                </pic:pic>
              </a:graphicData>
            </a:graphic>
          </wp:anchor>
        </w:drawing>
        <w:t>MANAGEMENT AND OTHER AGREEMENTS</w:t>
      </w:r>
    </w:p>
    <w:p>
      <w:pPr>
        <w:spacing w:after="0" w:line="171" w:lineRule="exact"/>
        <w:rPr>
          <w:sz w:val="20"/>
          <w:szCs w:val="20"/>
          <w:color w:val="auto"/>
        </w:rPr>
      </w:pPr>
    </w:p>
    <w:p>
      <w:pPr>
        <w:jc w:val="both"/>
        <w:ind w:left="320" w:right="479" w:firstLine="335"/>
        <w:spacing w:after="0" w:line="255" w:lineRule="auto"/>
        <w:rPr>
          <w:rFonts w:ascii="Times New Roman" w:cs="Times New Roman" w:eastAsia="Times New Roman" w:hAnsi="Times New Roman"/>
          <w:sz w:val="14"/>
          <w:szCs w:val="14"/>
          <w:color w:val="0000EE"/>
        </w:rPr>
      </w:pPr>
      <w:hyperlink r:id="rId36">
        <w:r>
          <w:rPr>
            <w:rFonts w:ascii="Times New Roman" w:cs="Times New Roman" w:eastAsia="Times New Roman" w:hAnsi="Times New Roman"/>
            <w:sz w:val="14"/>
            <w:szCs w:val="14"/>
            <w:color w:val="auto"/>
          </w:rPr>
          <w:t xml:space="preserve">The information in the section entitled “Business — Management and Other Agreements” in Part I, Item 1 of our most recent </w:t>
        </w:r>
        <w:r>
          <w:rPr>
            <w:rFonts w:ascii="Times New Roman" w:cs="Times New Roman" w:eastAsia="Times New Roman" w:hAnsi="Times New Roman"/>
            <w:sz w:val="14"/>
            <w:szCs w:val="14"/>
            <w:u w:val="single" w:color="auto"/>
            <w:color w:val="0000EE"/>
          </w:rPr>
          <w:t>Annual Report on</w:t>
        </w:r>
      </w:hyperlink>
      <w:r>
        <w:rPr>
          <w:rFonts w:ascii="Times New Roman" w:cs="Times New Roman" w:eastAsia="Times New Roman" w:hAnsi="Times New Roman"/>
          <w:sz w:val="14"/>
          <w:szCs w:val="14"/>
          <w:color w:val="auto"/>
        </w:rPr>
        <w:t xml:space="preserve"> </w:t>
      </w:r>
      <w:hyperlink r:id="rId36">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 in the notes to our consolidated financial statements under the caption “Note 5. Related Party Transactions” in our most recent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Annual</w:t>
        </w:r>
      </w:hyperlink>
      <w:r>
        <w:rPr>
          <w:rFonts w:ascii="Times New Roman" w:cs="Times New Roman" w:eastAsia="Times New Roman" w:hAnsi="Times New Roman"/>
          <w:sz w:val="14"/>
          <w:szCs w:val="14"/>
          <w:color w:val="0000EE"/>
        </w:rPr>
        <w:t xml:space="preserve"> </w:t>
      </w:r>
      <w:hyperlink r:id="rId36">
        <w:r>
          <w:rPr>
            <w:rFonts w:ascii="Times New Roman" w:cs="Times New Roman" w:eastAsia="Times New Roman" w:hAnsi="Times New Roman"/>
            <w:sz w:val="14"/>
            <w:szCs w:val="14"/>
            <w:u w:val="single" w:color="auto"/>
            <w:color w:val="0000EE"/>
          </w:rPr>
          <w:t>Report on Form 10-K</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is incorporated herein by reference.</w:t>
        </w:r>
      </w:hyperlink>
    </w:p>
    <w:p>
      <w:pPr>
        <w:spacing w:after="0" w:line="92"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019"/>
          </w:cols>
          <w:pgMar w:left="1440" w:top="256" w:right="1440"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203440" cy="45085"/>
                    </a:xfrm>
                    <a:prstGeom prst="rect">
                      <a:avLst/>
                    </a:prstGeom>
                    <a:noFill/>
                  </pic:spPr>
                </pic:pic>
              </a:graphicData>
            </a:graphic>
          </wp:anchor>
        </w:drawing>
        <w:t>CERTAIN RELATIONSHIPS AND RELATED TRANSACTIONS</w:t>
      </w:r>
    </w:p>
    <w:p>
      <w:pPr>
        <w:spacing w:after="0" w:line="171" w:lineRule="exact"/>
        <w:rPr>
          <w:sz w:val="20"/>
          <w:szCs w:val="20"/>
          <w:color w:val="auto"/>
        </w:rPr>
      </w:pPr>
    </w:p>
    <w:p>
      <w:pPr>
        <w:ind w:left="320" w:right="799" w:firstLine="335"/>
        <w:spacing w:after="0" w:line="266" w:lineRule="auto"/>
        <w:rPr>
          <w:rFonts w:ascii="Times New Roman" w:cs="Times New Roman" w:eastAsia="Times New Roman" w:hAnsi="Times New Roman"/>
          <w:sz w:val="14"/>
          <w:szCs w:val="14"/>
          <w:color w:val="0000EE"/>
        </w:rPr>
      </w:pPr>
      <w:hyperlink r:id="rId121">
        <w:r>
          <w:rPr>
            <w:rFonts w:ascii="Times New Roman" w:cs="Times New Roman" w:eastAsia="Times New Roman" w:hAnsi="Times New Roman"/>
            <w:sz w:val="14"/>
            <w:szCs w:val="14"/>
            <w:color w:val="auto"/>
          </w:rPr>
          <w:t xml:space="preserve">The information in the section entitled “Certain Relationships and Related Transactions” in our most recent </w:t>
        </w:r>
        <w:r>
          <w:rPr>
            <w:rFonts w:ascii="Times New Roman" w:cs="Times New Roman" w:eastAsia="Times New Roman" w:hAnsi="Times New Roman"/>
            <w:sz w:val="14"/>
            <w:szCs w:val="14"/>
            <w:u w:val="single" w:color="auto"/>
            <w:color w:val="0000EE"/>
          </w:rPr>
          <w:t>Definitive Proxy Statement on</w:t>
        </w:r>
      </w:hyperlink>
      <w:r>
        <w:rPr>
          <w:rFonts w:ascii="Times New Roman" w:cs="Times New Roman" w:eastAsia="Times New Roman" w:hAnsi="Times New Roman"/>
          <w:sz w:val="14"/>
          <w:szCs w:val="14"/>
          <w:color w:val="auto"/>
        </w:rPr>
        <w:t xml:space="preserve"> </w:t>
      </w:r>
      <w:hyperlink r:id="rId121">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is incorporated herein by reference.</w:t>
        </w:r>
      </w:hyperlink>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019"/>
          </w:cols>
          <w:pgMar w:left="1440" w:top="256" w:right="1440"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203440" cy="45085"/>
                    </a:xfrm>
                    <a:prstGeom prst="rect">
                      <a:avLst/>
                    </a:prstGeom>
                    <a:noFill/>
                  </pic:spPr>
                </pic:pic>
              </a:graphicData>
            </a:graphic>
          </wp:anchor>
        </w:drawing>
        <w:t>CONTROL PERSONS AND PRINCIPAL STOCKHOLDERS</w:t>
      </w:r>
    </w:p>
    <w:p>
      <w:pPr>
        <w:spacing w:after="0" w:line="171" w:lineRule="exact"/>
        <w:rPr>
          <w:sz w:val="20"/>
          <w:szCs w:val="20"/>
          <w:color w:val="auto"/>
        </w:rPr>
      </w:pPr>
    </w:p>
    <w:p>
      <w:pPr>
        <w:ind w:left="320" w:right="419" w:firstLine="335"/>
        <w:spacing w:after="0" w:line="266" w:lineRule="auto"/>
        <w:rPr>
          <w:rFonts w:ascii="Times New Roman" w:cs="Times New Roman" w:eastAsia="Times New Roman" w:hAnsi="Times New Roman"/>
          <w:sz w:val="14"/>
          <w:szCs w:val="14"/>
          <w:color w:val="0000EE"/>
        </w:rPr>
      </w:pPr>
      <w:hyperlink r:id="rId121">
        <w:r>
          <w:rPr>
            <w:rFonts w:ascii="Times New Roman" w:cs="Times New Roman" w:eastAsia="Times New Roman" w:hAnsi="Times New Roman"/>
            <w:sz w:val="14"/>
            <w:szCs w:val="14"/>
            <w:color w:val="auto"/>
          </w:rPr>
          <w:t xml:space="preserve">The information in the section entitled “Security Ownership of Certain Beneficial Owners and Management” in our most recent </w:t>
        </w:r>
        <w:r>
          <w:rPr>
            <w:rFonts w:ascii="Times New Roman" w:cs="Times New Roman" w:eastAsia="Times New Roman" w:hAnsi="Times New Roman"/>
            <w:sz w:val="14"/>
            <w:szCs w:val="14"/>
            <w:u w:val="single" w:color="auto"/>
            <w:color w:val="0000EE"/>
          </w:rPr>
          <w:t>Definitive Proxy</w:t>
        </w:r>
      </w:hyperlink>
      <w:r>
        <w:rPr>
          <w:rFonts w:ascii="Times New Roman" w:cs="Times New Roman" w:eastAsia="Times New Roman" w:hAnsi="Times New Roman"/>
          <w:sz w:val="14"/>
          <w:szCs w:val="14"/>
          <w:color w:val="auto"/>
        </w:rPr>
        <w:t xml:space="preserve"> </w:t>
      </w:r>
      <w:hyperlink r:id="rId121">
        <w:r>
          <w:rPr>
            <w:rFonts w:ascii="Times New Roman" w:cs="Times New Roman" w:eastAsia="Times New Roman" w:hAnsi="Times New Roman"/>
            <w:sz w:val="14"/>
            <w:szCs w:val="14"/>
            <w:u w:val="single" w:color="auto"/>
            <w:color w:val="0000EE"/>
          </w:rPr>
          <w:t>Statement on Schedule 14A</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is incorporated herein by reference.</w:t>
        </w:r>
      </w:hyperlink>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9019"/>
          </w:cols>
          <w:pgMar w:left="1440" w:top="256" w:right="1440"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203440" cy="45085"/>
                    </a:xfrm>
                    <a:prstGeom prst="rect">
                      <a:avLst/>
                    </a:prstGeom>
                    <a:noFill/>
                  </pic:spPr>
                </pic:pic>
              </a:graphicData>
            </a:graphic>
          </wp:anchor>
        </w:drawing>
        <w:t>SALES OF COMMON STOCK BELOW NET ASSET VALUE</w:t>
      </w:r>
    </w:p>
    <w:p>
      <w:pPr>
        <w:spacing w:after="0" w:line="171" w:lineRule="exact"/>
        <w:rPr>
          <w:sz w:val="20"/>
          <w:szCs w:val="20"/>
          <w:color w:val="auto"/>
        </w:rPr>
      </w:pPr>
    </w:p>
    <w:p>
      <w:pPr>
        <w:ind w:left="320" w:right="359" w:firstLine="335"/>
        <w:spacing w:after="0" w:line="246" w:lineRule="auto"/>
        <w:rPr>
          <w:sz w:val="20"/>
          <w:szCs w:val="20"/>
          <w:color w:val="auto"/>
        </w:rPr>
      </w:pPr>
      <w:r>
        <w:rPr>
          <w:rFonts w:ascii="Times New Roman" w:cs="Times New Roman" w:eastAsia="Times New Roman" w:hAnsi="Times New Roman"/>
          <w:sz w:val="14"/>
          <w:szCs w:val="14"/>
          <w:color w:val="auto"/>
        </w:rPr>
        <w:t>On June 11, 2025, our stockholders approved our ability to sell or otherwise issue shares of our common stock at a discount from net asset value per share for a period of one year ending on the earlier of June 11, 2026 or the date of our 2026 Annual Meeting of Stockholders. Our stockholders are being asked to consider and approve a similar proposal at our 2026 Annual Meeting of Stockholders. In order to sell shares pursuant to this authorization, a majority of our directors who have no financial interest in the sale or issuance and a majority of our independent directors must (a) find that the sale or issuance is in our best interests and in the best interests of our stockholders, and (b) in consultation with any underwriter or underwriters of the offering, make a good faith determination as of a time either immediately prior to the first solicitation by us or on our behalf of firm commitments to purchase such shares, or immediately prior to the issuance of such shares, that the price at which such shares are to be sold or otherwise issued is not less than a price which closely approximates the market value of such shares, less any distributing commission or discount. It should be noted that the maximum number of shares issuable below net asset value pursuant to this authority that could result in such dilution is limited to 25% of the Company’s then outstanding common stock immediately prior to each such sale. Any offering of common stock below net asset value per share will be designed to raise capital for investment in accordance with our investment objective.</w:t>
      </w:r>
    </w:p>
    <w:p>
      <w:pPr>
        <w:spacing w:after="0" w:line="154" w:lineRule="exact"/>
        <w:rPr>
          <w:sz w:val="20"/>
          <w:szCs w:val="20"/>
          <w:color w:val="auto"/>
        </w:rPr>
      </w:pPr>
    </w:p>
    <w:p>
      <w:pPr>
        <w:ind w:left="320" w:right="619" w:firstLine="335"/>
        <w:spacing w:after="0" w:line="266" w:lineRule="auto"/>
        <w:rPr>
          <w:sz w:val="20"/>
          <w:szCs w:val="20"/>
          <w:color w:val="auto"/>
        </w:rPr>
      </w:pPr>
      <w:r>
        <w:rPr>
          <w:rFonts w:ascii="Times New Roman" w:cs="Times New Roman" w:eastAsia="Times New Roman" w:hAnsi="Times New Roman"/>
          <w:sz w:val="14"/>
          <w:szCs w:val="14"/>
          <w:color w:val="auto"/>
        </w:rPr>
        <w:t>In making a determination that an offering below net asset value per share is in our and our stockholders’ best interests, our board of directors considers a variety of factors, including:</w:t>
      </w:r>
    </w:p>
    <w:p>
      <w:pPr>
        <w:spacing w:after="0" w:line="64" w:lineRule="exact"/>
        <w:rPr>
          <w:sz w:val="20"/>
          <w:szCs w:val="20"/>
          <w:color w:val="auto"/>
        </w:rPr>
      </w:pPr>
    </w:p>
    <w:p>
      <w:pPr>
        <w:ind w:left="1060" w:right="659" w:hanging="331"/>
        <w:spacing w:after="0" w:line="266" w:lineRule="auto"/>
        <w:tabs>
          <w:tab w:leader="none" w:pos="10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that an offering below net asset value per share would have on our stockholders, including the potential dilution they would experience as a result of the offering;</w:t>
      </w:r>
    </w:p>
    <w:p>
      <w:pPr>
        <w:spacing w:after="0" w:line="63" w:lineRule="exact"/>
        <w:rPr>
          <w:rFonts w:ascii="Times New Roman" w:cs="Times New Roman" w:eastAsia="Times New Roman" w:hAnsi="Times New Roman"/>
          <w:sz w:val="14"/>
          <w:szCs w:val="14"/>
          <w:color w:val="auto"/>
        </w:rPr>
      </w:pPr>
    </w:p>
    <w:p>
      <w:pPr>
        <w:ind w:left="1060" w:right="539" w:hanging="331"/>
        <w:spacing w:after="0" w:line="266" w:lineRule="auto"/>
        <w:tabs>
          <w:tab w:leader="none" w:pos="10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per share by which the offering price per share and the net proceeds per share are less than the most recently determined net asset value per share;</w:t>
      </w:r>
    </w:p>
    <w:p>
      <w:pPr>
        <w:spacing w:after="0" w:line="63" w:lineRule="exact"/>
        <w:rPr>
          <w:rFonts w:ascii="Times New Roman" w:cs="Times New Roman" w:eastAsia="Times New Roman" w:hAnsi="Times New Roman"/>
          <w:sz w:val="14"/>
          <w:szCs w:val="14"/>
          <w:color w:val="auto"/>
        </w:rPr>
      </w:pPr>
    </w:p>
    <w:p>
      <w:pPr>
        <w:ind w:left="1060" w:right="579" w:hanging="331"/>
        <w:spacing w:after="0" w:line="266" w:lineRule="auto"/>
        <w:tabs>
          <w:tab w:leader="none" w:pos="10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relationship of recent market prices of our common stock to net asset value per share and the potential impact of the offering on the market price per share of our common stock;</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estimated offering price would closely approximate the market value of our shares;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market impact of being able to raise capital during the current financial market difficulties;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nature of any new investors anticipated to acquire shares of our common stock in the offering;</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anticipated rate of return on and quality, type and availability of investments;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leverage available to us.</w:t>
      </w:r>
    </w:p>
    <w:p>
      <w:pPr>
        <w:spacing w:after="0" w:line="167" w:lineRule="exact"/>
        <w:rPr>
          <w:sz w:val="20"/>
          <w:szCs w:val="20"/>
          <w:color w:val="auto"/>
        </w:rPr>
      </w:pPr>
    </w:p>
    <w:p>
      <w:pPr>
        <w:ind w:left="320" w:right="979" w:firstLine="335"/>
        <w:spacing w:after="0" w:line="266" w:lineRule="auto"/>
        <w:rPr>
          <w:sz w:val="20"/>
          <w:szCs w:val="20"/>
          <w:color w:val="auto"/>
        </w:rPr>
      </w:pPr>
      <w:r>
        <w:rPr>
          <w:rFonts w:ascii="Times New Roman" w:cs="Times New Roman" w:eastAsia="Times New Roman" w:hAnsi="Times New Roman"/>
          <w:sz w:val="14"/>
          <w:szCs w:val="14"/>
          <w:color w:val="auto"/>
        </w:rPr>
        <w:t>Sales or other issuances by us of our common stock at a discount from the net asset value per share pose potential risks for our existing stockholders whether or not they participate in the offering, as well as for new investors who participate in the offering.</w:t>
      </w:r>
    </w:p>
    <w:p>
      <w:pPr>
        <w:spacing w:after="0" w:line="136" w:lineRule="exact"/>
        <w:rPr>
          <w:sz w:val="20"/>
          <w:szCs w:val="20"/>
          <w:color w:val="auto"/>
        </w:rPr>
      </w:pPr>
    </w:p>
    <w:p>
      <w:pPr>
        <w:ind w:left="320" w:right="379" w:firstLine="335"/>
        <w:spacing w:after="0" w:line="266" w:lineRule="auto"/>
        <w:rPr>
          <w:sz w:val="20"/>
          <w:szCs w:val="20"/>
          <w:color w:val="auto"/>
        </w:rPr>
      </w:pPr>
      <w:r>
        <w:rPr>
          <w:rFonts w:ascii="Times New Roman" w:cs="Times New Roman" w:eastAsia="Times New Roman" w:hAnsi="Times New Roman"/>
          <w:sz w:val="14"/>
          <w:szCs w:val="14"/>
          <w:color w:val="auto"/>
        </w:rPr>
        <w:t>The following three headings and accompanying tables will explain and provide hypothetical examples on the impact of an offering at a price less than the net asset value per share on three different sets of investors:</w:t>
      </w:r>
    </w:p>
    <w:p>
      <w:pPr>
        <w:spacing w:after="0" w:line="64" w:lineRule="exact"/>
        <w:rPr>
          <w:sz w:val="20"/>
          <w:szCs w:val="20"/>
          <w:color w:val="auto"/>
        </w:rPr>
      </w:pPr>
    </w:p>
    <w:p>
      <w:pPr>
        <w:ind w:left="1060" w:hanging="331"/>
        <w:spacing w:after="0"/>
        <w:tabs>
          <w:tab w:leader="none" w:pos="10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existing stockholders who do not purchase any shares in the offering;</w:t>
      </w:r>
    </w:p>
    <w:p>
      <w:pPr>
        <w:spacing w:after="0" w:line="95" w:lineRule="exact"/>
        <w:rPr>
          <w:rFonts w:ascii="Times New Roman" w:cs="Times New Roman" w:eastAsia="Times New Roman" w:hAnsi="Times New Roman"/>
          <w:sz w:val="14"/>
          <w:szCs w:val="14"/>
          <w:color w:val="auto"/>
        </w:rPr>
      </w:pPr>
    </w:p>
    <w:p>
      <w:pPr>
        <w:ind w:left="1060" w:right="359" w:hanging="331"/>
        <w:spacing w:after="0" w:line="266" w:lineRule="auto"/>
        <w:tabs>
          <w:tab w:leader="none" w:pos="10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existing stockholders who purchase a relatively small amount of shares of our common stock in the offering or a relatively large amount of shares of our common stock in the offering; and</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investors who become stockholders by purchasing shares of our common stock in the offering.</w:t>
      </w:r>
    </w:p>
    <w:p>
      <w:pPr>
        <w:spacing w:after="0" w:line="167" w:lineRule="exact"/>
        <w:rPr>
          <w:sz w:val="20"/>
          <w:szCs w:val="20"/>
          <w:color w:val="auto"/>
        </w:rPr>
      </w:pPr>
    </w:p>
    <w:p>
      <w:pPr>
        <w:jc w:val="both"/>
        <w:ind w:left="320" w:right="519" w:firstLine="335"/>
        <w:spacing w:after="0" w:line="252" w:lineRule="auto"/>
        <w:rPr>
          <w:sz w:val="20"/>
          <w:szCs w:val="20"/>
          <w:color w:val="auto"/>
        </w:rPr>
      </w:pPr>
      <w:r>
        <w:rPr>
          <w:rFonts w:ascii="Times New Roman" w:cs="Times New Roman" w:eastAsia="Times New Roman" w:hAnsi="Times New Roman"/>
          <w:sz w:val="14"/>
          <w:szCs w:val="14"/>
          <w:color w:val="auto"/>
        </w:rPr>
        <w:t>The tables below provide hypothetical examples of the impact that an offering at a price less than net asset value per share may have on the net asset value per share of stockholders and investors who do and do not participate in such an offering. However, the tables below do not show, nor are they intended to show, any potential changes in market price that may occur from an offering at a price less than net asset value per share and it is not possible to predict any potential market price change that may occur from such an offering.</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9019"/>
          </w:cols>
          <w:pgMar w:left="1440" w:top="256" w:right="1440" w:bottom="1440" w:gutter="0" w:footer="0" w:header="0"/>
        </w:sectPr>
      </w:pPr>
    </w:p>
    <w:bookmarkStart w:id="44" w:name="page45"/>
    <w:bookmarkEnd w:id="44"/>
    <w:p>
      <w:pPr>
        <w:ind w:left="3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203440" cy="45085"/>
                    </a:xfrm>
                    <a:prstGeom prst="rect">
                      <a:avLst/>
                    </a:prstGeom>
                    <a:noFill/>
                  </pic:spPr>
                </pic:pic>
              </a:graphicData>
            </a:graphic>
          </wp:anchor>
        </w:drawing>
        <w:t>Impact on Existing Stockholders Who Do Not Participate in an Offering of Our Common Stock</w:t>
      </w:r>
    </w:p>
    <w:p>
      <w:pPr>
        <w:spacing w:after="0" w:line="89" w:lineRule="exact"/>
        <w:rPr>
          <w:sz w:val="20"/>
          <w:szCs w:val="20"/>
          <w:color w:val="auto"/>
        </w:rPr>
      </w:pPr>
    </w:p>
    <w:p>
      <w:pPr>
        <w:ind w:left="320" w:right="339" w:firstLine="335"/>
        <w:spacing w:after="0" w:line="248" w:lineRule="auto"/>
        <w:rPr>
          <w:sz w:val="20"/>
          <w:szCs w:val="20"/>
          <w:color w:val="auto"/>
        </w:rPr>
      </w:pPr>
      <w:r>
        <w:rPr>
          <w:rFonts w:ascii="Times New Roman" w:cs="Times New Roman" w:eastAsia="Times New Roman" w:hAnsi="Times New Roman"/>
          <w:sz w:val="14"/>
          <w:szCs w:val="14"/>
          <w:color w:val="auto"/>
        </w:rPr>
        <w:t>Our existing stockholders who do not participate in an offering below net asset value per share or who do not buy additional shares in the secondary market at the same or lower price we obtain in the offering (after expenses and commissions) face the greatest potential risk of an immediate decrease (often called dilution) in the net asset value of the shares they hold and their net asset value per share. These stockholders will also experience a disproportionately greater decrease in their participation in our earnings and assets and their voting power than the increase we will experience in our assets, potential earning power and voting interests due to the offering. These stockholders may also experience a decline in the market price of their shares, which often reflects to some degree announced or potential increases and decreases in net asset value per share. This decrease could be more pronounced as the size of the offering and level of discounts increases.</w:t>
      </w:r>
    </w:p>
    <w:p>
      <w:pPr>
        <w:spacing w:after="0" w:line="149" w:lineRule="exact"/>
        <w:rPr>
          <w:sz w:val="20"/>
          <w:szCs w:val="20"/>
          <w:color w:val="auto"/>
        </w:rPr>
      </w:pPr>
    </w:p>
    <w:p>
      <w:pPr>
        <w:ind w:left="320" w:right="499" w:firstLine="335"/>
        <w:spacing w:after="0" w:line="255" w:lineRule="auto"/>
        <w:rPr>
          <w:sz w:val="20"/>
          <w:szCs w:val="20"/>
          <w:color w:val="auto"/>
        </w:rPr>
      </w:pPr>
      <w:r>
        <w:rPr>
          <w:rFonts w:ascii="Times New Roman" w:cs="Times New Roman" w:eastAsia="Times New Roman" w:hAnsi="Times New Roman"/>
          <w:sz w:val="14"/>
          <w:szCs w:val="14"/>
          <w:color w:val="auto"/>
        </w:rPr>
        <w:t>The following table illustrates the level of net asset value dilution that would be experienced by a nonparticipating stockholder in three different hypothetical offerings of different sizes and levels of discount from net asset value per share, although it is not possible to predict the level of market price decline that may occur. Actual sales prices and discounts may differ from the presentation below.</w:t>
      </w:r>
    </w:p>
    <w:p>
      <w:pPr>
        <w:spacing w:after="0" w:line="143" w:lineRule="exact"/>
        <w:rPr>
          <w:sz w:val="20"/>
          <w:szCs w:val="20"/>
          <w:color w:val="auto"/>
        </w:rPr>
      </w:pPr>
    </w:p>
    <w:p>
      <w:pPr>
        <w:ind w:left="320" w:right="399" w:firstLine="335"/>
        <w:spacing w:after="0" w:line="271" w:lineRule="auto"/>
        <w:rPr>
          <w:sz w:val="20"/>
          <w:szCs w:val="20"/>
          <w:color w:val="auto"/>
        </w:rPr>
      </w:pPr>
      <w:r>
        <w:rPr>
          <w:rFonts w:ascii="Times New Roman" w:cs="Times New Roman" w:eastAsia="Times New Roman" w:hAnsi="Times New Roman"/>
          <w:sz w:val="13"/>
          <w:szCs w:val="13"/>
          <w:color w:val="auto"/>
        </w:rPr>
        <w:t>The examples assume that Company XYZ has 1,000,000 shares of common stock outstanding, $15,000,000 in total assets and $5,000,000 in total liabilities. The current net asset value and net asset value per share are thus $10,000,000 and $10.00. The table illustrates the dilutive effect on nonparticipating Stockholder A of (1) an offering of 50,000 shares (5.0% of the outstanding shares) at $9.50 per share after offering expenses and commission (a 5.0% discount from net asset value), (2) an offering of 100,000 shares (10.0% of the outstanding shares) at $9.00 per share after offering expenses and commissions (a 10.0% discount from net asset value) and (3) an offering of 200,000 shares (20.0% of the outstanding shares) at $8.00 per share after offering expenses and commissions (a 20.0% discount from net asset value). The acronym “NAV” stands for “net asset value.”</w:t>
      </w:r>
    </w:p>
    <w:p>
      <w:pPr>
        <w:spacing w:after="0" w:line="137"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3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4"/>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Example 1</w:t>
            </w:r>
          </w:p>
        </w:tc>
        <w:tc>
          <w:tcPr>
            <w:tcW w:w="60" w:type="dxa"/>
            <w:vAlign w:val="bottom"/>
          </w:tcPr>
          <w:p>
            <w:pPr>
              <w:spacing w:after="0"/>
              <w:rPr>
                <w:sz w:val="11"/>
                <w:szCs w:val="11"/>
                <w:color w:val="auto"/>
              </w:rPr>
            </w:pPr>
          </w:p>
        </w:tc>
        <w:tc>
          <w:tcPr>
            <w:tcW w:w="1240" w:type="dxa"/>
            <w:vAlign w:val="bottom"/>
            <w:gridSpan w:val="4"/>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Example 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4"/>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Example 3</w:t>
            </w:r>
          </w:p>
        </w:tc>
        <w:tc>
          <w:tcPr>
            <w:tcW w:w="0" w:type="dxa"/>
            <w:vAlign w:val="bottom"/>
          </w:tcPr>
          <w:p>
            <w:pPr>
              <w:spacing w:after="0"/>
              <w:rPr>
                <w:sz w:val="1"/>
                <w:szCs w:val="1"/>
                <w:color w:val="auto"/>
              </w:rPr>
            </w:pPr>
          </w:p>
        </w:tc>
      </w:tr>
      <w:tr>
        <w:trPr>
          <w:trHeight w:val="113"/>
        </w:trPr>
        <w:tc>
          <w:tcPr>
            <w:tcW w:w="3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380" w:type="dxa"/>
            <w:vAlign w:val="bottom"/>
            <w:gridSpan w:val="4"/>
          </w:tcPr>
          <w:p>
            <w:pPr>
              <w:jc w:val="center"/>
              <w:ind w:right="400"/>
              <w:spacing w:after="0" w:line="113" w:lineRule="exact"/>
              <w:rPr>
                <w:sz w:val="20"/>
                <w:szCs w:val="20"/>
                <w:color w:val="auto"/>
              </w:rPr>
            </w:pPr>
            <w:r>
              <w:rPr>
                <w:rFonts w:ascii="Times New Roman" w:cs="Times New Roman" w:eastAsia="Times New Roman" w:hAnsi="Times New Roman"/>
                <w:sz w:val="11"/>
                <w:szCs w:val="11"/>
                <w:b w:val="1"/>
                <w:bCs w:val="1"/>
                <w:color w:val="auto"/>
                <w:w w:val="97"/>
              </w:rPr>
              <w:t>5.0% Offering</w:t>
            </w:r>
          </w:p>
        </w:tc>
        <w:tc>
          <w:tcPr>
            <w:tcW w:w="60" w:type="dxa"/>
            <w:vAlign w:val="bottom"/>
          </w:tcPr>
          <w:p>
            <w:pPr>
              <w:spacing w:after="0"/>
              <w:rPr>
                <w:sz w:val="9"/>
                <w:szCs w:val="9"/>
                <w:color w:val="auto"/>
              </w:rPr>
            </w:pPr>
          </w:p>
        </w:tc>
        <w:tc>
          <w:tcPr>
            <w:tcW w:w="1240" w:type="dxa"/>
            <w:vAlign w:val="bottom"/>
            <w:gridSpan w:val="4"/>
          </w:tcPr>
          <w:p>
            <w:pPr>
              <w:jc w:val="center"/>
              <w:ind w:right="280"/>
              <w:spacing w:after="0" w:line="113" w:lineRule="exact"/>
              <w:rPr>
                <w:sz w:val="20"/>
                <w:szCs w:val="20"/>
                <w:color w:val="auto"/>
              </w:rPr>
            </w:pPr>
            <w:r>
              <w:rPr>
                <w:rFonts w:ascii="Times New Roman" w:cs="Times New Roman" w:eastAsia="Times New Roman" w:hAnsi="Times New Roman"/>
                <w:sz w:val="11"/>
                <w:szCs w:val="11"/>
                <w:b w:val="1"/>
                <w:bCs w:val="1"/>
                <w:color w:val="auto"/>
                <w:w w:val="98"/>
              </w:rPr>
              <w:t>10.0% Offering</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4"/>
          </w:tcPr>
          <w:p>
            <w:pPr>
              <w:jc w:val="center"/>
              <w:ind w:right="240"/>
              <w:spacing w:after="0" w:line="113" w:lineRule="exact"/>
              <w:rPr>
                <w:sz w:val="20"/>
                <w:szCs w:val="20"/>
                <w:color w:val="auto"/>
              </w:rPr>
            </w:pPr>
            <w:r>
              <w:rPr>
                <w:rFonts w:ascii="Times New Roman" w:cs="Times New Roman" w:eastAsia="Times New Roman" w:hAnsi="Times New Roman"/>
                <w:sz w:val="11"/>
                <w:szCs w:val="11"/>
                <w:b w:val="1"/>
                <w:bCs w:val="1"/>
                <w:color w:val="auto"/>
                <w:w w:val="98"/>
              </w:rPr>
              <w:t>20.0% Offering</w:t>
            </w:r>
          </w:p>
        </w:tc>
        <w:tc>
          <w:tcPr>
            <w:tcW w:w="0" w:type="dxa"/>
            <w:vAlign w:val="bottom"/>
          </w:tcPr>
          <w:p>
            <w:pPr>
              <w:spacing w:after="0"/>
              <w:rPr>
                <w:sz w:val="1"/>
                <w:szCs w:val="1"/>
                <w:color w:val="auto"/>
              </w:rPr>
            </w:pPr>
          </w:p>
        </w:tc>
      </w:tr>
      <w:tr>
        <w:trPr>
          <w:trHeight w:val="132"/>
        </w:trPr>
        <w:tc>
          <w:tcPr>
            <w:tcW w:w="3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Prior to Sale</w:t>
            </w:r>
          </w:p>
        </w:tc>
        <w:tc>
          <w:tcPr>
            <w:tcW w:w="60" w:type="dxa"/>
            <w:vAlign w:val="bottom"/>
          </w:tcPr>
          <w:p>
            <w:pPr>
              <w:spacing w:after="0"/>
              <w:rPr>
                <w:sz w:val="11"/>
                <w:szCs w:val="11"/>
                <w:color w:val="auto"/>
              </w:rPr>
            </w:pPr>
          </w:p>
        </w:tc>
        <w:tc>
          <w:tcPr>
            <w:tcW w:w="1380" w:type="dxa"/>
            <w:vAlign w:val="bottom"/>
            <w:gridSpan w:val="4"/>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8"/>
              </w:rPr>
              <w:t>At 5.0% Discount</w:t>
            </w:r>
          </w:p>
        </w:tc>
        <w:tc>
          <w:tcPr>
            <w:tcW w:w="60" w:type="dxa"/>
            <w:vAlign w:val="bottom"/>
          </w:tcPr>
          <w:p>
            <w:pPr>
              <w:spacing w:after="0"/>
              <w:rPr>
                <w:sz w:val="11"/>
                <w:szCs w:val="11"/>
                <w:color w:val="auto"/>
              </w:rPr>
            </w:pPr>
          </w:p>
        </w:tc>
        <w:tc>
          <w:tcPr>
            <w:tcW w:w="1240" w:type="dxa"/>
            <w:vAlign w:val="bottom"/>
            <w:gridSpan w:val="4"/>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At 10.0% Discount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4"/>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At 20.0% Discount</w:t>
            </w:r>
          </w:p>
        </w:tc>
        <w:tc>
          <w:tcPr>
            <w:tcW w:w="0" w:type="dxa"/>
            <w:vAlign w:val="bottom"/>
          </w:tcPr>
          <w:p>
            <w:pPr>
              <w:spacing w:after="0"/>
              <w:rPr>
                <w:sz w:val="1"/>
                <w:szCs w:val="1"/>
                <w:color w:val="auto"/>
              </w:rPr>
            </w:pPr>
          </w:p>
        </w:tc>
      </w:tr>
      <w:tr>
        <w:trPr>
          <w:trHeight w:val="84"/>
        </w:trPr>
        <w:tc>
          <w:tcPr>
            <w:tcW w:w="3400" w:type="dxa"/>
            <w:vAlign w:val="bottom"/>
            <w:gridSpan w:val="2"/>
            <w:vMerge w:val="restart"/>
          </w:tcPr>
          <w:p>
            <w:pPr>
              <w:ind w:left="1500"/>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820" w:type="dxa"/>
            <w:vAlign w:val="bottom"/>
            <w:gridSpan w:val="3"/>
            <w:vMerge w:val="continue"/>
          </w:tcPr>
          <w:p>
            <w:pPr>
              <w:spacing w:after="0"/>
              <w:rPr>
                <w:sz w:val="7"/>
                <w:szCs w:val="7"/>
                <w:color w:val="auto"/>
              </w:rPr>
            </w:pPr>
          </w:p>
        </w:tc>
        <w:tc>
          <w:tcPr>
            <w:tcW w:w="740" w:type="dxa"/>
            <w:vAlign w:val="bottom"/>
            <w:tcBorders>
              <w:top w:val="single" w:sz="8" w:color="auto"/>
            </w:tcBorders>
            <w:gridSpan w:val="3"/>
          </w:tcPr>
          <w:p>
            <w:pPr>
              <w:jc w:val="right"/>
              <w:ind w:right="240"/>
              <w:spacing w:after="0" w:line="84" w:lineRule="exact"/>
              <w:rPr>
                <w:sz w:val="20"/>
                <w:szCs w:val="20"/>
                <w:color w:val="auto"/>
              </w:rPr>
            </w:pPr>
            <w:r>
              <w:rPr>
                <w:rFonts w:ascii="Times New Roman" w:cs="Times New Roman" w:eastAsia="Times New Roman" w:hAnsi="Times New Roman"/>
                <w:sz w:val="9"/>
                <w:szCs w:val="9"/>
                <w:b w:val="1"/>
                <w:bCs w:val="1"/>
                <w:color w:val="auto"/>
              </w:rPr>
              <w:t>Following</w:t>
            </w:r>
          </w:p>
        </w:tc>
        <w:tc>
          <w:tcPr>
            <w:tcW w:w="360" w:type="dxa"/>
            <w:vAlign w:val="bottom"/>
            <w:tcBorders>
              <w:top w:val="single" w:sz="8" w:color="auto"/>
            </w:tcBorders>
          </w:tcPr>
          <w:p>
            <w:pPr>
              <w:jc w:val="right"/>
              <w:ind w:right="63"/>
              <w:spacing w:after="0" w:line="84" w:lineRule="exact"/>
              <w:rPr>
                <w:sz w:val="20"/>
                <w:szCs w:val="20"/>
                <w:color w:val="auto"/>
              </w:rPr>
            </w:pPr>
            <w:r>
              <w:rPr>
                <w:rFonts w:ascii="Times New Roman" w:cs="Times New Roman" w:eastAsia="Times New Roman" w:hAnsi="Times New Roman"/>
                <w:sz w:val="9"/>
                <w:szCs w:val="9"/>
                <w:b w:val="1"/>
                <w:bCs w:val="1"/>
                <w:color w:val="auto"/>
              </w:rPr>
              <w:t>%</w:t>
            </w:r>
          </w:p>
        </w:tc>
        <w:tc>
          <w:tcPr>
            <w:tcW w:w="340" w:type="dxa"/>
            <w:vAlign w:val="bottom"/>
          </w:tcPr>
          <w:p>
            <w:pPr>
              <w:spacing w:after="0"/>
              <w:rPr>
                <w:sz w:val="7"/>
                <w:szCs w:val="7"/>
                <w:color w:val="auto"/>
              </w:rPr>
            </w:pPr>
          </w:p>
        </w:tc>
        <w:tc>
          <w:tcPr>
            <w:tcW w:w="740" w:type="dxa"/>
            <w:vAlign w:val="bottom"/>
            <w:tcBorders>
              <w:top w:val="single" w:sz="8" w:color="auto"/>
            </w:tcBorders>
            <w:gridSpan w:val="3"/>
          </w:tcPr>
          <w:p>
            <w:pPr>
              <w:jc w:val="right"/>
              <w:ind w:right="260"/>
              <w:spacing w:after="0" w:line="84" w:lineRule="exact"/>
              <w:rPr>
                <w:sz w:val="20"/>
                <w:szCs w:val="20"/>
                <w:color w:val="auto"/>
              </w:rPr>
            </w:pPr>
            <w:r>
              <w:rPr>
                <w:rFonts w:ascii="Times New Roman" w:cs="Times New Roman" w:eastAsia="Times New Roman" w:hAnsi="Times New Roman"/>
                <w:sz w:val="9"/>
                <w:szCs w:val="9"/>
                <w:b w:val="1"/>
                <w:bCs w:val="1"/>
                <w:color w:val="auto"/>
              </w:rPr>
              <w:t>Following</w:t>
            </w:r>
          </w:p>
        </w:tc>
        <w:tc>
          <w:tcPr>
            <w:tcW w:w="360" w:type="dxa"/>
            <w:vAlign w:val="bottom"/>
            <w:tcBorders>
              <w:top w:val="single" w:sz="8" w:color="auto"/>
            </w:tcBorders>
          </w:tcPr>
          <w:p>
            <w:pPr>
              <w:jc w:val="right"/>
              <w:ind w:right="63"/>
              <w:spacing w:after="0" w:line="84" w:lineRule="exact"/>
              <w:rPr>
                <w:sz w:val="20"/>
                <w:szCs w:val="20"/>
                <w:color w:val="auto"/>
              </w:rPr>
            </w:pPr>
            <w:r>
              <w:rPr>
                <w:rFonts w:ascii="Times New Roman" w:cs="Times New Roman" w:eastAsia="Times New Roman" w:hAnsi="Times New Roman"/>
                <w:sz w:val="9"/>
                <w:szCs w:val="9"/>
                <w:b w:val="1"/>
                <w:bCs w:val="1"/>
                <w:color w:val="auto"/>
              </w:rPr>
              <w:t>%</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Borders>
              <w:top w:val="single" w:sz="8" w:color="auto"/>
            </w:tcBorders>
            <w:gridSpan w:val="3"/>
          </w:tcPr>
          <w:p>
            <w:pPr>
              <w:jc w:val="right"/>
              <w:ind w:right="320"/>
              <w:spacing w:after="0" w:line="84" w:lineRule="exact"/>
              <w:rPr>
                <w:sz w:val="20"/>
                <w:szCs w:val="20"/>
                <w:color w:val="auto"/>
              </w:rPr>
            </w:pPr>
            <w:r>
              <w:rPr>
                <w:rFonts w:ascii="Times New Roman" w:cs="Times New Roman" w:eastAsia="Times New Roman" w:hAnsi="Times New Roman"/>
                <w:sz w:val="9"/>
                <w:szCs w:val="9"/>
                <w:b w:val="1"/>
                <w:bCs w:val="1"/>
                <w:color w:val="auto"/>
              </w:rPr>
              <w:t>Following</w:t>
            </w:r>
          </w:p>
        </w:tc>
        <w:tc>
          <w:tcPr>
            <w:tcW w:w="360" w:type="dxa"/>
            <w:vAlign w:val="bottom"/>
            <w:tcBorders>
              <w:top w:val="single" w:sz="8" w:color="auto"/>
            </w:tcBorders>
          </w:tcPr>
          <w:p>
            <w:pPr>
              <w:jc w:val="right"/>
              <w:ind w:right="63"/>
              <w:spacing w:after="0" w:line="84" w:lineRule="exact"/>
              <w:rPr>
                <w:sz w:val="20"/>
                <w:szCs w:val="20"/>
                <w:color w:val="auto"/>
              </w:rPr>
            </w:pPr>
            <w:r>
              <w:rPr>
                <w:rFonts w:ascii="Times New Roman" w:cs="Times New Roman" w:eastAsia="Times New Roman" w:hAnsi="Times New Roman"/>
                <w:sz w:val="9"/>
                <w:szCs w:val="9"/>
                <w:b w:val="1"/>
                <w:bCs w:val="1"/>
                <w:color w:val="auto"/>
              </w:rPr>
              <w:t>%</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3400" w:type="dxa"/>
            <w:vAlign w:val="bottom"/>
            <w:gridSpan w:val="2"/>
            <w:vMerge w:val="continue"/>
          </w:tcPr>
          <w:p>
            <w:pPr>
              <w:spacing w:after="0"/>
              <w:rPr>
                <w:sz w:val="11"/>
                <w:szCs w:val="11"/>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w w:val="97"/>
              </w:rPr>
              <w:t>Below NAV</w:t>
            </w:r>
          </w:p>
        </w:tc>
        <w:tc>
          <w:tcPr>
            <w:tcW w:w="60" w:type="dxa"/>
            <w:vAlign w:val="bottom"/>
          </w:tcPr>
          <w:p>
            <w:pPr>
              <w:spacing w:after="0"/>
              <w:rPr>
                <w:sz w:val="11"/>
                <w:szCs w:val="11"/>
                <w:color w:val="auto"/>
              </w:rPr>
            </w:pPr>
          </w:p>
        </w:tc>
        <w:tc>
          <w:tcPr>
            <w:tcW w:w="68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Sale</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w w:val="94"/>
              </w:rPr>
              <w:t>Change</w:t>
            </w:r>
          </w:p>
        </w:tc>
        <w:tc>
          <w:tcPr>
            <w:tcW w:w="60" w:type="dxa"/>
            <w:vAlign w:val="bottom"/>
          </w:tcPr>
          <w:p>
            <w:pPr>
              <w:spacing w:after="0"/>
              <w:rPr>
                <w:sz w:val="11"/>
                <w:szCs w:val="11"/>
                <w:color w:val="auto"/>
              </w:rPr>
            </w:pPr>
          </w:p>
        </w:tc>
        <w:tc>
          <w:tcPr>
            <w:tcW w:w="68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Sale</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w w:val="94"/>
              </w:rPr>
              <w:t>Change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Sale</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4"/>
              </w:rPr>
              <w:t>Change</w:t>
            </w:r>
          </w:p>
        </w:tc>
        <w:tc>
          <w:tcPr>
            <w:tcW w:w="0" w:type="dxa"/>
            <w:vAlign w:val="bottom"/>
          </w:tcPr>
          <w:p>
            <w:pPr>
              <w:spacing w:after="0"/>
              <w:rPr>
                <w:sz w:val="1"/>
                <w:szCs w:val="1"/>
                <w:color w:val="auto"/>
              </w:rPr>
            </w:pPr>
          </w:p>
        </w:tc>
      </w:tr>
      <w:tr>
        <w:trPr>
          <w:trHeight w:val="113"/>
        </w:trPr>
        <w:tc>
          <w:tcPr>
            <w:tcW w:w="3320" w:type="dxa"/>
            <w:vAlign w:val="bottom"/>
            <w:tcBorders>
              <w:top w:val="single" w:sz="8" w:color="auto"/>
            </w:tcBorders>
            <w:shd w:val="clear" w:color="auto" w:fill="CCEEFF"/>
          </w:tcPr>
          <w:p>
            <w:pPr>
              <w:spacing w:after="0" w:line="114" w:lineRule="exact"/>
              <w:rPr>
                <w:sz w:val="20"/>
                <w:szCs w:val="20"/>
                <w:color w:val="auto"/>
              </w:rPr>
            </w:pPr>
            <w:r>
              <w:rPr>
                <w:rFonts w:ascii="Times New Roman" w:cs="Times New Roman" w:eastAsia="Times New Roman" w:hAnsi="Times New Roman"/>
                <w:sz w:val="12"/>
                <w:szCs w:val="12"/>
                <w:b w:val="1"/>
                <w:bCs w:val="1"/>
                <w:i w:val="1"/>
                <w:iCs w:val="1"/>
                <w:color w:val="auto"/>
              </w:rPr>
              <w:t>Offering Price</w:t>
            </w: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340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auto"/>
              </w:rPr>
              <w:t>Price per Share to Public</w:t>
            </w:r>
          </w:p>
        </w:tc>
        <w:tc>
          <w:tcPr>
            <w:tcW w:w="100" w:type="dxa"/>
            <w:vAlign w:val="bottom"/>
          </w:tcPr>
          <w:p>
            <w:pPr>
              <w:spacing w:after="0"/>
              <w:rPr>
                <w:sz w:val="10"/>
                <w:szCs w:val="10"/>
                <w:color w:val="auto"/>
              </w:rPr>
            </w:pPr>
          </w:p>
        </w:tc>
        <w:tc>
          <w:tcPr>
            <w:tcW w:w="720" w:type="dxa"/>
            <w:vAlign w:val="bottom"/>
            <w:gridSpan w:val="2"/>
          </w:tcPr>
          <w:p>
            <w:pPr>
              <w:jc w:val="right"/>
              <w:ind w:right="24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tcPr>
          <w:p>
            <w:pPr>
              <w:jc w:val="right"/>
              <w:ind w:right="220"/>
              <w:spacing w:after="0" w:line="124" w:lineRule="exact"/>
              <w:rPr>
                <w:sz w:val="20"/>
                <w:szCs w:val="20"/>
                <w:color w:val="auto"/>
              </w:rPr>
            </w:pPr>
            <w:r>
              <w:rPr>
                <w:rFonts w:ascii="Times New Roman" w:cs="Times New Roman" w:eastAsia="Times New Roman" w:hAnsi="Times New Roman"/>
                <w:sz w:val="12"/>
                <w:szCs w:val="12"/>
                <w:color w:val="auto"/>
              </w:rPr>
              <w:t>10.00</w:t>
            </w:r>
          </w:p>
        </w:tc>
        <w:tc>
          <w:tcPr>
            <w:tcW w:w="700" w:type="dxa"/>
            <w:vAlign w:val="bottom"/>
            <w:gridSpan w:val="2"/>
          </w:tcPr>
          <w:p>
            <w:pPr>
              <w:jc w:val="right"/>
              <w:ind w:right="36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gridSpan w:val="2"/>
          </w:tcPr>
          <w:p>
            <w:pPr>
              <w:jc w:val="right"/>
              <w:ind w:right="220"/>
              <w:spacing w:after="0" w:line="124" w:lineRule="exact"/>
              <w:rPr>
                <w:sz w:val="20"/>
                <w:szCs w:val="20"/>
                <w:color w:val="auto"/>
              </w:rPr>
            </w:pPr>
            <w:r>
              <w:rPr>
                <w:rFonts w:ascii="Times New Roman" w:cs="Times New Roman" w:eastAsia="Times New Roman" w:hAnsi="Times New Roman"/>
                <w:sz w:val="12"/>
                <w:szCs w:val="12"/>
                <w:color w:val="auto"/>
              </w:rPr>
              <w:t>9.47</w:t>
            </w:r>
          </w:p>
        </w:tc>
        <w:tc>
          <w:tcPr>
            <w:tcW w:w="560" w:type="dxa"/>
            <w:vAlign w:val="bottom"/>
            <w:gridSpan w:val="2"/>
          </w:tcPr>
          <w:p>
            <w:pPr>
              <w:jc w:val="right"/>
              <w:ind w:right="24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1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300"/>
              <w:spacing w:after="0" w:line="124" w:lineRule="exact"/>
              <w:rPr>
                <w:sz w:val="20"/>
                <w:szCs w:val="20"/>
                <w:color w:val="auto"/>
              </w:rPr>
            </w:pPr>
            <w:r>
              <w:rPr>
                <w:rFonts w:ascii="Times New Roman" w:cs="Times New Roman" w:eastAsia="Times New Roman" w:hAnsi="Times New Roman"/>
                <w:sz w:val="12"/>
                <w:szCs w:val="12"/>
                <w:color w:val="auto"/>
              </w:rPr>
              <w:t>8.42</w:t>
            </w:r>
          </w:p>
        </w:tc>
        <w:tc>
          <w:tcPr>
            <w:tcW w:w="520" w:type="dxa"/>
            <w:vAlign w:val="bottom"/>
            <w:gridSpan w:val="2"/>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3"/>
        </w:trPr>
        <w:tc>
          <w:tcPr>
            <w:tcW w:w="340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Net Proceeds per Share to Issuer</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4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shd w:val="clear" w:color="auto" w:fill="CCEEFF"/>
          </w:tcPr>
          <w:p>
            <w:pPr>
              <w:jc w:val="right"/>
              <w:ind w:right="220"/>
              <w:spacing w:after="0" w:line="124" w:lineRule="exact"/>
              <w:rPr>
                <w:sz w:val="20"/>
                <w:szCs w:val="20"/>
                <w:color w:val="auto"/>
              </w:rPr>
            </w:pPr>
            <w:r>
              <w:rPr>
                <w:rFonts w:ascii="Times New Roman" w:cs="Times New Roman" w:eastAsia="Times New Roman" w:hAnsi="Times New Roman"/>
                <w:sz w:val="12"/>
                <w:szCs w:val="12"/>
                <w:color w:val="auto"/>
              </w:rPr>
              <w:t>9.50</w:t>
            </w:r>
          </w:p>
        </w:tc>
        <w:tc>
          <w:tcPr>
            <w:tcW w:w="700" w:type="dxa"/>
            <w:vAlign w:val="bottom"/>
            <w:gridSpan w:val="2"/>
            <w:shd w:val="clear" w:color="auto" w:fill="CCEEFF"/>
          </w:tcPr>
          <w:p>
            <w:pPr>
              <w:jc w:val="right"/>
              <w:ind w:right="36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gridSpan w:val="2"/>
            <w:shd w:val="clear" w:color="auto" w:fill="CCEEFF"/>
          </w:tcPr>
          <w:p>
            <w:pPr>
              <w:jc w:val="right"/>
              <w:ind w:right="220"/>
              <w:spacing w:after="0" w:line="124" w:lineRule="exact"/>
              <w:rPr>
                <w:sz w:val="20"/>
                <w:szCs w:val="20"/>
                <w:color w:val="auto"/>
              </w:rPr>
            </w:pPr>
            <w:r>
              <w:rPr>
                <w:rFonts w:ascii="Times New Roman" w:cs="Times New Roman" w:eastAsia="Times New Roman" w:hAnsi="Times New Roman"/>
                <w:sz w:val="12"/>
                <w:szCs w:val="12"/>
                <w:color w:val="auto"/>
              </w:rPr>
              <w:t>9.00</w:t>
            </w:r>
          </w:p>
        </w:tc>
        <w:tc>
          <w:tcPr>
            <w:tcW w:w="560" w:type="dxa"/>
            <w:vAlign w:val="bottom"/>
            <w:gridSpan w:val="2"/>
            <w:shd w:val="clear" w:color="auto" w:fill="CCEEFF"/>
          </w:tcPr>
          <w:p>
            <w:pPr>
              <w:jc w:val="right"/>
              <w:ind w:right="24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12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300"/>
              <w:spacing w:after="0" w:line="124" w:lineRule="exact"/>
              <w:rPr>
                <w:sz w:val="20"/>
                <w:szCs w:val="20"/>
                <w:color w:val="auto"/>
              </w:rPr>
            </w:pPr>
            <w:r>
              <w:rPr>
                <w:rFonts w:ascii="Times New Roman" w:cs="Times New Roman" w:eastAsia="Times New Roman" w:hAnsi="Times New Roman"/>
                <w:sz w:val="12"/>
                <w:szCs w:val="12"/>
                <w:color w:val="auto"/>
              </w:rPr>
              <w:t>8.00</w:t>
            </w:r>
          </w:p>
        </w:tc>
        <w:tc>
          <w:tcPr>
            <w:tcW w:w="520" w:type="dxa"/>
            <w:vAlign w:val="bottom"/>
            <w:gridSpan w:val="2"/>
            <w:shd w:val="clear" w:color="auto" w:fill="CCEEFF"/>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3"/>
        </w:trPr>
        <w:tc>
          <w:tcPr>
            <w:tcW w:w="340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b w:val="1"/>
                <w:bCs w:val="1"/>
                <w:i w:val="1"/>
                <w:iCs w:val="1"/>
                <w:color w:val="auto"/>
              </w:rPr>
              <w:t>Increase (Decrease) to NAV</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40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Total Shares Outstanding</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20"/>
              <w:spacing w:after="0" w:line="124" w:lineRule="exact"/>
              <w:rPr>
                <w:sz w:val="20"/>
                <w:szCs w:val="20"/>
                <w:color w:val="auto"/>
              </w:rPr>
            </w:pPr>
            <w:r>
              <w:rPr>
                <w:rFonts w:ascii="Times New Roman" w:cs="Times New Roman" w:eastAsia="Times New Roman" w:hAnsi="Times New Roman"/>
                <w:sz w:val="12"/>
                <w:szCs w:val="12"/>
                <w:color w:val="auto"/>
                <w:w w:val="99"/>
              </w:rPr>
              <w:t>1,000,000</w:t>
            </w: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20"/>
              <w:spacing w:after="0" w:line="124" w:lineRule="exact"/>
              <w:rPr>
                <w:sz w:val="20"/>
                <w:szCs w:val="20"/>
                <w:color w:val="auto"/>
              </w:rPr>
            </w:pPr>
            <w:r>
              <w:rPr>
                <w:rFonts w:ascii="Times New Roman" w:cs="Times New Roman" w:eastAsia="Times New Roman" w:hAnsi="Times New Roman"/>
                <w:sz w:val="12"/>
                <w:szCs w:val="12"/>
                <w:color w:val="auto"/>
                <w:w w:val="91"/>
              </w:rPr>
              <w:t>1,050,000</w:t>
            </w:r>
          </w:p>
        </w:tc>
        <w:tc>
          <w:tcPr>
            <w:tcW w:w="700" w:type="dxa"/>
            <w:vAlign w:val="bottom"/>
            <w:gridSpan w:val="2"/>
            <w:shd w:val="clear" w:color="auto" w:fill="CCEEFF"/>
          </w:tcPr>
          <w:p>
            <w:pPr>
              <w:jc w:val="right"/>
              <w:ind w:right="240"/>
              <w:spacing w:after="0" w:line="124" w:lineRule="exact"/>
              <w:rPr>
                <w:sz w:val="20"/>
                <w:szCs w:val="20"/>
                <w:color w:val="auto"/>
              </w:rPr>
            </w:pPr>
            <w:r>
              <w:rPr>
                <w:rFonts w:ascii="Times New Roman" w:cs="Times New Roman" w:eastAsia="Times New Roman" w:hAnsi="Times New Roman"/>
                <w:sz w:val="12"/>
                <w:szCs w:val="12"/>
                <w:color w:val="auto"/>
              </w:rPr>
              <w:t>5.00%</w:t>
            </w: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20"/>
              <w:spacing w:after="0" w:line="124" w:lineRule="exact"/>
              <w:rPr>
                <w:sz w:val="20"/>
                <w:szCs w:val="20"/>
                <w:color w:val="auto"/>
              </w:rPr>
            </w:pPr>
            <w:r>
              <w:rPr>
                <w:rFonts w:ascii="Times New Roman" w:cs="Times New Roman" w:eastAsia="Times New Roman" w:hAnsi="Times New Roman"/>
                <w:sz w:val="12"/>
                <w:szCs w:val="12"/>
                <w:color w:val="auto"/>
                <w:w w:val="91"/>
              </w:rPr>
              <w:t>1,100,000</w:t>
            </w:r>
          </w:p>
        </w:tc>
        <w:tc>
          <w:tcPr>
            <w:tcW w:w="56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10.00%</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w w:val="91"/>
              </w:rPr>
              <w:t>1,200,000</w:t>
            </w:r>
          </w:p>
        </w:tc>
        <w:tc>
          <w:tcPr>
            <w:tcW w:w="30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20.00%</w:t>
            </w:r>
          </w:p>
        </w:tc>
        <w:tc>
          <w:tcPr>
            <w:tcW w:w="0" w:type="dxa"/>
            <w:vAlign w:val="bottom"/>
          </w:tcPr>
          <w:p>
            <w:pPr>
              <w:spacing w:after="0"/>
              <w:rPr>
                <w:sz w:val="1"/>
                <w:szCs w:val="1"/>
                <w:color w:val="auto"/>
              </w:rPr>
            </w:pPr>
          </w:p>
        </w:tc>
      </w:tr>
      <w:tr>
        <w:trPr>
          <w:trHeight w:val="123"/>
        </w:trPr>
        <w:tc>
          <w:tcPr>
            <w:tcW w:w="340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auto"/>
              </w:rPr>
              <w:t>NAV per Share</w:t>
            </w: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220"/>
              <w:spacing w:after="0" w:line="124" w:lineRule="exact"/>
              <w:rPr>
                <w:sz w:val="20"/>
                <w:szCs w:val="20"/>
                <w:color w:val="auto"/>
              </w:rPr>
            </w:pPr>
            <w:r>
              <w:rPr>
                <w:rFonts w:ascii="Times New Roman" w:cs="Times New Roman" w:eastAsia="Times New Roman" w:hAnsi="Times New Roman"/>
                <w:sz w:val="12"/>
                <w:szCs w:val="12"/>
                <w:color w:val="auto"/>
              </w:rPr>
              <w:t>10.00</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tcPr>
          <w:p>
            <w:pPr>
              <w:jc w:val="right"/>
              <w:ind w:right="220"/>
              <w:spacing w:after="0" w:line="124" w:lineRule="exact"/>
              <w:rPr>
                <w:sz w:val="20"/>
                <w:szCs w:val="20"/>
                <w:color w:val="auto"/>
              </w:rPr>
            </w:pPr>
            <w:r>
              <w:rPr>
                <w:rFonts w:ascii="Times New Roman" w:cs="Times New Roman" w:eastAsia="Times New Roman" w:hAnsi="Times New Roman"/>
                <w:sz w:val="12"/>
                <w:szCs w:val="12"/>
                <w:color w:val="auto"/>
              </w:rPr>
              <w:t>9.98</w:t>
            </w:r>
          </w:p>
        </w:tc>
        <w:tc>
          <w:tcPr>
            <w:tcW w:w="700" w:type="dxa"/>
            <w:vAlign w:val="bottom"/>
            <w:gridSpan w:val="2"/>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rPr>
              <w:t>(0.24)%</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gridSpan w:val="2"/>
          </w:tcPr>
          <w:p>
            <w:pPr>
              <w:jc w:val="right"/>
              <w:ind w:right="220"/>
              <w:spacing w:after="0" w:line="124" w:lineRule="exact"/>
              <w:rPr>
                <w:sz w:val="20"/>
                <w:szCs w:val="20"/>
                <w:color w:val="auto"/>
              </w:rPr>
            </w:pPr>
            <w:r>
              <w:rPr>
                <w:rFonts w:ascii="Times New Roman" w:cs="Times New Roman" w:eastAsia="Times New Roman" w:hAnsi="Times New Roman"/>
                <w:sz w:val="12"/>
                <w:szCs w:val="12"/>
                <w:color w:val="auto"/>
              </w:rPr>
              <w:t>9.91</w:t>
            </w:r>
          </w:p>
        </w:tc>
        <w:tc>
          <w:tcPr>
            <w:tcW w:w="56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(0.91)%</w:t>
            </w:r>
          </w:p>
        </w:tc>
        <w:tc>
          <w:tcPr>
            <w:tcW w:w="1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300"/>
              <w:spacing w:after="0" w:line="124" w:lineRule="exact"/>
              <w:rPr>
                <w:sz w:val="20"/>
                <w:szCs w:val="20"/>
                <w:color w:val="auto"/>
              </w:rPr>
            </w:pPr>
            <w:r>
              <w:rPr>
                <w:rFonts w:ascii="Times New Roman" w:cs="Times New Roman" w:eastAsia="Times New Roman" w:hAnsi="Times New Roman"/>
                <w:sz w:val="12"/>
                <w:szCs w:val="12"/>
                <w:color w:val="auto"/>
              </w:rPr>
              <w:t>9.67</w:t>
            </w:r>
          </w:p>
        </w:tc>
        <w:tc>
          <w:tcPr>
            <w:tcW w:w="52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(3.33)%</w:t>
            </w:r>
          </w:p>
        </w:tc>
        <w:tc>
          <w:tcPr>
            <w:tcW w:w="0" w:type="dxa"/>
            <w:vAlign w:val="bottom"/>
          </w:tcPr>
          <w:p>
            <w:pPr>
              <w:spacing w:after="0"/>
              <w:rPr>
                <w:sz w:val="1"/>
                <w:szCs w:val="1"/>
                <w:color w:val="auto"/>
              </w:rPr>
            </w:pPr>
          </w:p>
        </w:tc>
      </w:tr>
      <w:tr>
        <w:trPr>
          <w:trHeight w:val="123"/>
        </w:trPr>
        <w:tc>
          <w:tcPr>
            <w:tcW w:w="340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i w:val="1"/>
                <w:iCs w:val="1"/>
                <w:color w:val="auto"/>
              </w:rPr>
              <w:t>(Dilution) Accretion to Stockholder</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40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auto"/>
              </w:rPr>
              <w:t>Shares Held by Stockholder A</w:t>
            </w:r>
          </w:p>
        </w:tc>
        <w:tc>
          <w:tcPr>
            <w:tcW w:w="100" w:type="dxa"/>
            <w:vAlign w:val="bottom"/>
          </w:tcPr>
          <w:p>
            <w:pPr>
              <w:spacing w:after="0"/>
              <w:rPr>
                <w:sz w:val="10"/>
                <w:szCs w:val="10"/>
                <w:color w:val="auto"/>
              </w:rPr>
            </w:pPr>
          </w:p>
        </w:tc>
        <w:tc>
          <w:tcPr>
            <w:tcW w:w="720" w:type="dxa"/>
            <w:vAlign w:val="bottom"/>
            <w:gridSpan w:val="2"/>
          </w:tcPr>
          <w:p>
            <w:pPr>
              <w:jc w:val="right"/>
              <w:ind w:right="220"/>
              <w:spacing w:after="0" w:line="124" w:lineRule="exact"/>
              <w:rPr>
                <w:sz w:val="20"/>
                <w:szCs w:val="20"/>
                <w:color w:val="auto"/>
              </w:rPr>
            </w:pPr>
            <w:r>
              <w:rPr>
                <w:rFonts w:ascii="Times New Roman" w:cs="Times New Roman" w:eastAsia="Times New Roman" w:hAnsi="Times New Roman"/>
                <w:sz w:val="12"/>
                <w:szCs w:val="12"/>
                <w:color w:val="auto"/>
              </w:rPr>
              <w:t>10,000</w:t>
            </w:r>
          </w:p>
        </w:tc>
        <w:tc>
          <w:tcPr>
            <w:tcW w:w="60" w:type="dxa"/>
            <w:vAlign w:val="bottom"/>
          </w:tcPr>
          <w:p>
            <w:pPr>
              <w:spacing w:after="0"/>
              <w:rPr>
                <w:sz w:val="10"/>
                <w:szCs w:val="10"/>
                <w:color w:val="auto"/>
              </w:rPr>
            </w:pPr>
          </w:p>
        </w:tc>
        <w:tc>
          <w:tcPr>
            <w:tcW w:w="680" w:type="dxa"/>
            <w:vAlign w:val="bottom"/>
            <w:gridSpan w:val="2"/>
          </w:tcPr>
          <w:p>
            <w:pPr>
              <w:jc w:val="right"/>
              <w:ind w:right="220"/>
              <w:spacing w:after="0" w:line="124" w:lineRule="exact"/>
              <w:rPr>
                <w:sz w:val="20"/>
                <w:szCs w:val="20"/>
                <w:color w:val="auto"/>
              </w:rPr>
            </w:pPr>
            <w:r>
              <w:rPr>
                <w:rFonts w:ascii="Times New Roman" w:cs="Times New Roman" w:eastAsia="Times New Roman" w:hAnsi="Times New Roman"/>
                <w:sz w:val="12"/>
                <w:szCs w:val="12"/>
                <w:color w:val="auto"/>
              </w:rPr>
              <w:t>10,000</w:t>
            </w:r>
          </w:p>
        </w:tc>
        <w:tc>
          <w:tcPr>
            <w:tcW w:w="700" w:type="dxa"/>
            <w:vAlign w:val="bottom"/>
            <w:gridSpan w:val="2"/>
          </w:tcPr>
          <w:p>
            <w:pPr>
              <w:jc w:val="right"/>
              <w:ind w:right="36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0"/>
                <w:szCs w:val="10"/>
                <w:color w:val="auto"/>
              </w:rPr>
            </w:pPr>
          </w:p>
        </w:tc>
        <w:tc>
          <w:tcPr>
            <w:tcW w:w="680" w:type="dxa"/>
            <w:vAlign w:val="bottom"/>
            <w:gridSpan w:val="2"/>
          </w:tcPr>
          <w:p>
            <w:pPr>
              <w:jc w:val="right"/>
              <w:ind w:right="220"/>
              <w:spacing w:after="0" w:line="124" w:lineRule="exact"/>
              <w:rPr>
                <w:sz w:val="20"/>
                <w:szCs w:val="20"/>
                <w:color w:val="auto"/>
              </w:rPr>
            </w:pPr>
            <w:r>
              <w:rPr>
                <w:rFonts w:ascii="Times New Roman" w:cs="Times New Roman" w:eastAsia="Times New Roman" w:hAnsi="Times New Roman"/>
                <w:sz w:val="12"/>
                <w:szCs w:val="12"/>
                <w:color w:val="auto"/>
              </w:rPr>
              <w:t>10,000</w:t>
            </w:r>
          </w:p>
        </w:tc>
        <w:tc>
          <w:tcPr>
            <w:tcW w:w="560" w:type="dxa"/>
            <w:vAlign w:val="bottom"/>
            <w:gridSpan w:val="2"/>
          </w:tcPr>
          <w:p>
            <w:pPr>
              <w:jc w:val="right"/>
              <w:ind w:right="24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300"/>
              <w:spacing w:after="0" w:line="124" w:lineRule="exact"/>
              <w:rPr>
                <w:sz w:val="20"/>
                <w:szCs w:val="20"/>
                <w:color w:val="auto"/>
              </w:rPr>
            </w:pPr>
            <w:r>
              <w:rPr>
                <w:rFonts w:ascii="Times New Roman" w:cs="Times New Roman" w:eastAsia="Times New Roman" w:hAnsi="Times New Roman"/>
                <w:sz w:val="12"/>
                <w:szCs w:val="12"/>
                <w:color w:val="auto"/>
              </w:rPr>
              <w:t>10,000</w:t>
            </w:r>
          </w:p>
        </w:tc>
        <w:tc>
          <w:tcPr>
            <w:tcW w:w="520" w:type="dxa"/>
            <w:vAlign w:val="bottom"/>
            <w:gridSpan w:val="2"/>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3"/>
        </w:trPr>
        <w:tc>
          <w:tcPr>
            <w:tcW w:w="340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Percentage Held by Stockholder A</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1.0%</w:t>
            </w: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0.95%</w:t>
            </w:r>
          </w:p>
        </w:tc>
        <w:tc>
          <w:tcPr>
            <w:tcW w:w="700" w:type="dxa"/>
            <w:vAlign w:val="bottom"/>
            <w:gridSpan w:val="2"/>
            <w:shd w:val="clear" w:color="auto" w:fill="CCEEFF"/>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rPr>
              <w:t>(4.76)%</w:t>
            </w: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0.91%</w:t>
            </w:r>
          </w:p>
        </w:tc>
        <w:tc>
          <w:tcPr>
            <w:tcW w:w="56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(9.09)%</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rPr>
              <w:t>0.83%</w:t>
            </w:r>
          </w:p>
        </w:tc>
        <w:tc>
          <w:tcPr>
            <w:tcW w:w="520" w:type="dxa"/>
            <w:vAlign w:val="bottom"/>
            <w:gridSpan w:val="2"/>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(16.67)%</w:t>
            </w:r>
          </w:p>
        </w:tc>
        <w:tc>
          <w:tcPr>
            <w:tcW w:w="0" w:type="dxa"/>
            <w:vAlign w:val="bottom"/>
          </w:tcPr>
          <w:p>
            <w:pPr>
              <w:spacing w:after="0"/>
              <w:rPr>
                <w:sz w:val="1"/>
                <w:szCs w:val="1"/>
                <w:color w:val="auto"/>
              </w:rPr>
            </w:pPr>
          </w:p>
        </w:tc>
      </w:tr>
      <w:tr>
        <w:trPr>
          <w:trHeight w:val="123"/>
        </w:trPr>
        <w:tc>
          <w:tcPr>
            <w:tcW w:w="340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Total Asset Values</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400" w:type="dxa"/>
            <w:vAlign w:val="bottom"/>
            <w:gridSpan w:val="2"/>
            <w:shd w:val="clear" w:color="auto" w:fill="CCEEFF"/>
          </w:tcPr>
          <w:p>
            <w:pPr>
              <w:ind w:left="240"/>
              <w:spacing w:after="0" w:line="124" w:lineRule="exact"/>
              <w:rPr>
                <w:sz w:val="20"/>
                <w:szCs w:val="20"/>
                <w:color w:val="auto"/>
              </w:rPr>
            </w:pPr>
            <w:r>
              <w:rPr>
                <w:rFonts w:ascii="Times New Roman" w:cs="Times New Roman" w:eastAsia="Times New Roman" w:hAnsi="Times New Roman"/>
                <w:sz w:val="12"/>
                <w:szCs w:val="12"/>
                <w:color w:val="auto"/>
              </w:rPr>
              <w:t>Total NAV Held by Stockholder A</w:t>
            </w:r>
          </w:p>
        </w:tc>
        <w:tc>
          <w:tcPr>
            <w:tcW w:w="1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220"/>
              <w:spacing w:after="0" w:line="124" w:lineRule="exact"/>
              <w:rPr>
                <w:sz w:val="20"/>
                <w:szCs w:val="20"/>
                <w:color w:val="auto"/>
              </w:rPr>
            </w:pPr>
            <w:r>
              <w:rPr>
                <w:rFonts w:ascii="Times New Roman" w:cs="Times New Roman" w:eastAsia="Times New Roman" w:hAnsi="Times New Roman"/>
                <w:sz w:val="12"/>
                <w:szCs w:val="12"/>
                <w:color w:val="auto"/>
              </w:rPr>
              <w:t>100,000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shd w:val="clear" w:color="auto" w:fill="CCEEFF"/>
          </w:tcPr>
          <w:p>
            <w:pPr>
              <w:jc w:val="right"/>
              <w:ind w:right="220"/>
              <w:spacing w:after="0" w:line="124" w:lineRule="exact"/>
              <w:rPr>
                <w:sz w:val="20"/>
                <w:szCs w:val="20"/>
                <w:color w:val="auto"/>
              </w:rPr>
            </w:pPr>
            <w:r>
              <w:rPr>
                <w:rFonts w:ascii="Times New Roman" w:cs="Times New Roman" w:eastAsia="Times New Roman" w:hAnsi="Times New Roman"/>
                <w:sz w:val="12"/>
                <w:szCs w:val="12"/>
                <w:color w:val="auto"/>
              </w:rPr>
              <w:t>99,762</w:t>
            </w:r>
          </w:p>
        </w:tc>
        <w:tc>
          <w:tcPr>
            <w:tcW w:w="700" w:type="dxa"/>
            <w:vAlign w:val="bottom"/>
            <w:gridSpan w:val="2"/>
            <w:shd w:val="clear" w:color="auto" w:fill="CCEEFF"/>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rPr>
              <w:t>(0.24)%</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gridSpan w:val="2"/>
            <w:shd w:val="clear" w:color="auto" w:fill="CCEEFF"/>
          </w:tcPr>
          <w:p>
            <w:pPr>
              <w:jc w:val="right"/>
              <w:ind w:right="220"/>
              <w:spacing w:after="0" w:line="124" w:lineRule="exact"/>
              <w:rPr>
                <w:sz w:val="20"/>
                <w:szCs w:val="20"/>
                <w:color w:val="auto"/>
              </w:rPr>
            </w:pPr>
            <w:r>
              <w:rPr>
                <w:rFonts w:ascii="Times New Roman" w:cs="Times New Roman" w:eastAsia="Times New Roman" w:hAnsi="Times New Roman"/>
                <w:sz w:val="12"/>
                <w:szCs w:val="12"/>
                <w:color w:val="auto"/>
              </w:rPr>
              <w:t>99,091</w:t>
            </w:r>
          </w:p>
        </w:tc>
        <w:tc>
          <w:tcPr>
            <w:tcW w:w="56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(0.91)%</w:t>
            </w:r>
          </w:p>
        </w:tc>
        <w:tc>
          <w:tcPr>
            <w:tcW w:w="12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300"/>
              <w:spacing w:after="0" w:line="124" w:lineRule="exact"/>
              <w:rPr>
                <w:sz w:val="20"/>
                <w:szCs w:val="20"/>
                <w:color w:val="auto"/>
              </w:rPr>
            </w:pPr>
            <w:r>
              <w:rPr>
                <w:rFonts w:ascii="Times New Roman" w:cs="Times New Roman" w:eastAsia="Times New Roman" w:hAnsi="Times New Roman"/>
                <w:sz w:val="12"/>
                <w:szCs w:val="12"/>
                <w:color w:val="auto"/>
              </w:rPr>
              <w:t>96,667</w:t>
            </w:r>
          </w:p>
        </w:tc>
        <w:tc>
          <w:tcPr>
            <w:tcW w:w="520" w:type="dxa"/>
            <w:vAlign w:val="bottom"/>
            <w:gridSpan w:val="2"/>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(3.33)%</w:t>
            </w:r>
          </w:p>
        </w:tc>
        <w:tc>
          <w:tcPr>
            <w:tcW w:w="0" w:type="dxa"/>
            <w:vAlign w:val="bottom"/>
          </w:tcPr>
          <w:p>
            <w:pPr>
              <w:spacing w:after="0"/>
              <w:rPr>
                <w:sz w:val="1"/>
                <w:szCs w:val="1"/>
                <w:color w:val="auto"/>
              </w:rPr>
            </w:pPr>
          </w:p>
        </w:tc>
      </w:tr>
      <w:tr>
        <w:trPr>
          <w:trHeight w:val="110"/>
        </w:trPr>
        <w:tc>
          <w:tcPr>
            <w:tcW w:w="3400" w:type="dxa"/>
            <w:vAlign w:val="bottom"/>
            <w:gridSpan w:val="2"/>
          </w:tcPr>
          <w:p>
            <w:pPr>
              <w:ind w:left="240"/>
              <w:spacing w:after="0" w:line="110" w:lineRule="exact"/>
              <w:rPr>
                <w:sz w:val="20"/>
                <w:szCs w:val="20"/>
                <w:color w:val="auto"/>
              </w:rPr>
            </w:pPr>
            <w:r>
              <w:rPr>
                <w:rFonts w:ascii="Times New Roman" w:cs="Times New Roman" w:eastAsia="Times New Roman" w:hAnsi="Times New Roman"/>
                <w:sz w:val="12"/>
                <w:szCs w:val="12"/>
                <w:color w:val="auto"/>
              </w:rPr>
              <w:t>Total Investment by Stockholder A (Assumed to Be $10.00 per</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3400" w:type="dxa"/>
            <w:vAlign w:val="bottom"/>
            <w:gridSpan w:val="2"/>
          </w:tcPr>
          <w:p>
            <w:pPr>
              <w:ind w:left="340"/>
              <w:spacing w:after="0" w:line="136" w:lineRule="exact"/>
              <w:rPr>
                <w:sz w:val="20"/>
                <w:szCs w:val="20"/>
                <w:color w:val="auto"/>
              </w:rPr>
            </w:pPr>
            <w:r>
              <w:rPr>
                <w:rFonts w:ascii="Times New Roman" w:cs="Times New Roman" w:eastAsia="Times New Roman" w:hAnsi="Times New Roman"/>
                <w:sz w:val="12"/>
                <w:szCs w:val="12"/>
                <w:color w:val="auto"/>
              </w:rPr>
              <w:t>Share)</w:t>
            </w:r>
          </w:p>
        </w:tc>
        <w:tc>
          <w:tcPr>
            <w:tcW w:w="100" w:type="dxa"/>
            <w:vAlign w:val="bottom"/>
          </w:tcPr>
          <w:p>
            <w:pPr>
              <w:spacing w:after="0" w:line="136"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100,000</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100,000</w:t>
            </w:r>
          </w:p>
        </w:tc>
        <w:tc>
          <w:tcPr>
            <w:tcW w:w="700" w:type="dxa"/>
            <w:vAlign w:val="bottom"/>
            <w:gridSpan w:val="2"/>
          </w:tcPr>
          <w:p>
            <w:pPr>
              <w:jc w:val="right"/>
              <w:ind w:right="360"/>
              <w:spacing w:after="0" w:line="136"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100,000</w:t>
            </w:r>
          </w:p>
        </w:tc>
        <w:tc>
          <w:tcPr>
            <w:tcW w:w="560" w:type="dxa"/>
            <w:vAlign w:val="bottom"/>
            <w:gridSpan w:val="2"/>
          </w:tcPr>
          <w:p>
            <w:pPr>
              <w:jc w:val="right"/>
              <w:ind w:right="240"/>
              <w:spacing w:after="0" w:line="136" w:lineRule="exact"/>
              <w:rPr>
                <w:sz w:val="20"/>
                <w:szCs w:val="20"/>
                <w:color w:val="auto"/>
              </w:rPr>
            </w:pPr>
            <w:r>
              <w:rPr>
                <w:rFonts w:ascii="Times New Roman" w:cs="Times New Roman" w:eastAsia="Times New Roman" w:hAnsi="Times New Roman"/>
                <w:sz w:val="12"/>
                <w:szCs w:val="12"/>
                <w:color w:val="auto"/>
              </w:rPr>
              <w:t>— </w:t>
            </w:r>
          </w:p>
        </w:tc>
        <w:tc>
          <w:tcPr>
            <w:tcW w:w="1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rPr>
              <w:t>100,000</w:t>
            </w:r>
          </w:p>
        </w:tc>
        <w:tc>
          <w:tcPr>
            <w:tcW w:w="300" w:type="dxa"/>
            <w:vAlign w:val="bottom"/>
          </w:tcPr>
          <w:p>
            <w:pPr>
              <w:spacing w:after="0"/>
              <w:rPr>
                <w:sz w:val="11"/>
                <w:szCs w:val="11"/>
                <w:color w:val="auto"/>
              </w:rPr>
            </w:pPr>
          </w:p>
        </w:tc>
        <w:tc>
          <w:tcPr>
            <w:tcW w:w="52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10"/>
        </w:trPr>
        <w:tc>
          <w:tcPr>
            <w:tcW w:w="3400" w:type="dxa"/>
            <w:vAlign w:val="bottom"/>
            <w:gridSpan w:val="2"/>
            <w:shd w:val="clear" w:color="auto" w:fill="CCEEFF"/>
          </w:tcPr>
          <w:p>
            <w:pPr>
              <w:ind w:left="240"/>
              <w:spacing w:after="0" w:line="110" w:lineRule="exact"/>
              <w:rPr>
                <w:sz w:val="20"/>
                <w:szCs w:val="20"/>
                <w:color w:val="auto"/>
              </w:rPr>
            </w:pPr>
            <w:r>
              <w:rPr>
                <w:rFonts w:ascii="Times New Roman" w:cs="Times New Roman" w:eastAsia="Times New Roman" w:hAnsi="Times New Roman"/>
                <w:sz w:val="12"/>
                <w:szCs w:val="12"/>
                <w:color w:val="auto"/>
              </w:rPr>
              <w:t>Total (Dilution) Accretion to Stockholder A (Total NAV Less</w:t>
            </w: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3400" w:type="dxa"/>
            <w:vAlign w:val="bottom"/>
            <w:gridSpan w:val="2"/>
            <w:shd w:val="clear" w:color="auto" w:fill="CCEEFF"/>
          </w:tcPr>
          <w:p>
            <w:pPr>
              <w:ind w:left="340"/>
              <w:spacing w:after="0" w:line="136" w:lineRule="exact"/>
              <w:rPr>
                <w:sz w:val="20"/>
                <w:szCs w:val="20"/>
                <w:color w:val="auto"/>
              </w:rPr>
            </w:pPr>
            <w:r>
              <w:rPr>
                <w:rFonts w:ascii="Times New Roman" w:cs="Times New Roman" w:eastAsia="Times New Roman" w:hAnsi="Times New Roman"/>
                <w:sz w:val="12"/>
                <w:szCs w:val="12"/>
                <w:color w:val="auto"/>
              </w:rPr>
              <w:t>Total Investment)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40"/>
              <w:spacing w:after="0" w:line="136"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shd w:val="clear" w:color="auto" w:fill="CCEEFF"/>
          </w:tcPr>
          <w:p>
            <w:pPr>
              <w:jc w:val="right"/>
              <w:ind w:right="180"/>
              <w:spacing w:after="0" w:line="136" w:lineRule="exact"/>
              <w:rPr>
                <w:sz w:val="20"/>
                <w:szCs w:val="20"/>
                <w:color w:val="auto"/>
              </w:rPr>
            </w:pPr>
            <w:r>
              <w:rPr>
                <w:rFonts w:ascii="Times New Roman" w:cs="Times New Roman" w:eastAsia="Times New Roman" w:hAnsi="Times New Roman"/>
                <w:sz w:val="12"/>
                <w:szCs w:val="12"/>
                <w:color w:val="auto"/>
              </w:rPr>
              <w:t>(238)</w:t>
            </w:r>
          </w:p>
        </w:tc>
        <w:tc>
          <w:tcPr>
            <w:tcW w:w="700" w:type="dxa"/>
            <w:vAlign w:val="bottom"/>
            <w:gridSpan w:val="2"/>
            <w:shd w:val="clear" w:color="auto" w:fill="CCEEFF"/>
          </w:tcPr>
          <w:p>
            <w:pPr>
              <w:jc w:val="right"/>
              <w:ind w:right="360"/>
              <w:spacing w:after="0" w:line="136"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gridSpan w:val="2"/>
            <w:shd w:val="clear" w:color="auto" w:fill="CCEEFF"/>
          </w:tcPr>
          <w:p>
            <w:pPr>
              <w:jc w:val="right"/>
              <w:ind w:right="180"/>
              <w:spacing w:after="0" w:line="136" w:lineRule="exact"/>
              <w:rPr>
                <w:sz w:val="20"/>
                <w:szCs w:val="20"/>
                <w:color w:val="auto"/>
              </w:rPr>
            </w:pPr>
            <w:r>
              <w:rPr>
                <w:rFonts w:ascii="Times New Roman" w:cs="Times New Roman" w:eastAsia="Times New Roman" w:hAnsi="Times New Roman"/>
                <w:sz w:val="12"/>
                <w:szCs w:val="12"/>
                <w:color w:val="auto"/>
              </w:rPr>
              <w:t>(909)</w:t>
            </w:r>
          </w:p>
        </w:tc>
        <w:tc>
          <w:tcPr>
            <w:tcW w:w="560" w:type="dxa"/>
            <w:vAlign w:val="bottom"/>
            <w:gridSpan w:val="2"/>
            <w:shd w:val="clear" w:color="auto" w:fill="CCEEFF"/>
          </w:tcPr>
          <w:p>
            <w:pPr>
              <w:jc w:val="right"/>
              <w:ind w:right="240"/>
              <w:spacing w:after="0" w:line="136" w:lineRule="exact"/>
              <w:rPr>
                <w:sz w:val="20"/>
                <w:szCs w:val="20"/>
                <w:color w:val="auto"/>
              </w:rPr>
            </w:pPr>
            <w:r>
              <w:rPr>
                <w:rFonts w:ascii="Times New Roman" w:cs="Times New Roman" w:eastAsia="Times New Roman" w:hAnsi="Times New Roman"/>
                <w:sz w:val="12"/>
                <w:szCs w:val="12"/>
                <w:color w:val="auto"/>
              </w:rPr>
              <w:t>— </w:t>
            </w:r>
          </w:p>
        </w:tc>
        <w:tc>
          <w:tcPr>
            <w:tcW w:w="12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260"/>
              <w:spacing w:after="0" w:line="136" w:lineRule="exact"/>
              <w:rPr>
                <w:sz w:val="20"/>
                <w:szCs w:val="20"/>
                <w:color w:val="auto"/>
              </w:rPr>
            </w:pPr>
            <w:r>
              <w:rPr>
                <w:rFonts w:ascii="Times New Roman" w:cs="Times New Roman" w:eastAsia="Times New Roman" w:hAnsi="Times New Roman"/>
                <w:sz w:val="12"/>
                <w:szCs w:val="12"/>
                <w:color w:val="auto"/>
              </w:rPr>
              <w:t>(3,333)</w:t>
            </w:r>
          </w:p>
        </w:tc>
        <w:tc>
          <w:tcPr>
            <w:tcW w:w="520" w:type="dxa"/>
            <w:vAlign w:val="bottom"/>
            <w:gridSpan w:val="2"/>
            <w:shd w:val="clear" w:color="auto" w:fill="CCEEFF"/>
          </w:tcPr>
          <w:p>
            <w:pPr>
              <w:jc w:val="right"/>
              <w:ind w:right="200"/>
              <w:spacing w:after="0" w:line="136"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3"/>
        </w:trPr>
        <w:tc>
          <w:tcPr>
            <w:tcW w:w="340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Per Share Amounts</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40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NAV per Share Held by Stockholder A</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4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shd w:val="clear" w:color="auto" w:fill="CCEEFF"/>
          </w:tcPr>
          <w:p>
            <w:pPr>
              <w:jc w:val="right"/>
              <w:ind w:right="220"/>
              <w:spacing w:after="0" w:line="124" w:lineRule="exact"/>
              <w:rPr>
                <w:sz w:val="20"/>
                <w:szCs w:val="20"/>
                <w:color w:val="auto"/>
              </w:rPr>
            </w:pPr>
            <w:r>
              <w:rPr>
                <w:rFonts w:ascii="Times New Roman" w:cs="Times New Roman" w:eastAsia="Times New Roman" w:hAnsi="Times New Roman"/>
                <w:sz w:val="12"/>
                <w:szCs w:val="12"/>
                <w:color w:val="auto"/>
              </w:rPr>
              <w:t>9.98</w:t>
            </w:r>
          </w:p>
        </w:tc>
        <w:tc>
          <w:tcPr>
            <w:tcW w:w="700" w:type="dxa"/>
            <w:vAlign w:val="bottom"/>
            <w:gridSpan w:val="2"/>
            <w:shd w:val="clear" w:color="auto" w:fill="CCEEFF"/>
          </w:tcPr>
          <w:p>
            <w:pPr>
              <w:jc w:val="right"/>
              <w:ind w:right="36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gridSpan w:val="2"/>
            <w:shd w:val="clear" w:color="auto" w:fill="CCEEFF"/>
          </w:tcPr>
          <w:p>
            <w:pPr>
              <w:jc w:val="right"/>
              <w:ind w:right="220"/>
              <w:spacing w:after="0" w:line="124" w:lineRule="exact"/>
              <w:rPr>
                <w:sz w:val="20"/>
                <w:szCs w:val="20"/>
                <w:color w:val="auto"/>
              </w:rPr>
            </w:pPr>
            <w:r>
              <w:rPr>
                <w:rFonts w:ascii="Times New Roman" w:cs="Times New Roman" w:eastAsia="Times New Roman" w:hAnsi="Times New Roman"/>
                <w:sz w:val="12"/>
                <w:szCs w:val="12"/>
                <w:color w:val="auto"/>
              </w:rPr>
              <w:t>9.91</w:t>
            </w:r>
          </w:p>
        </w:tc>
        <w:tc>
          <w:tcPr>
            <w:tcW w:w="560" w:type="dxa"/>
            <w:vAlign w:val="bottom"/>
            <w:gridSpan w:val="2"/>
            <w:shd w:val="clear" w:color="auto" w:fill="CCEEFF"/>
          </w:tcPr>
          <w:p>
            <w:pPr>
              <w:jc w:val="right"/>
              <w:ind w:right="24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12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300"/>
              <w:spacing w:after="0" w:line="124" w:lineRule="exact"/>
              <w:rPr>
                <w:sz w:val="20"/>
                <w:szCs w:val="20"/>
                <w:color w:val="auto"/>
              </w:rPr>
            </w:pPr>
            <w:r>
              <w:rPr>
                <w:rFonts w:ascii="Times New Roman" w:cs="Times New Roman" w:eastAsia="Times New Roman" w:hAnsi="Times New Roman"/>
                <w:sz w:val="12"/>
                <w:szCs w:val="12"/>
                <w:color w:val="auto"/>
              </w:rPr>
              <w:t>9.67</w:t>
            </w:r>
          </w:p>
        </w:tc>
        <w:tc>
          <w:tcPr>
            <w:tcW w:w="520" w:type="dxa"/>
            <w:vAlign w:val="bottom"/>
            <w:gridSpan w:val="2"/>
            <w:shd w:val="clear" w:color="auto" w:fill="CCEEFF"/>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10"/>
        </w:trPr>
        <w:tc>
          <w:tcPr>
            <w:tcW w:w="3400" w:type="dxa"/>
            <w:vAlign w:val="bottom"/>
            <w:gridSpan w:val="2"/>
          </w:tcPr>
          <w:p>
            <w:pPr>
              <w:ind w:left="240"/>
              <w:spacing w:after="0" w:line="110" w:lineRule="exact"/>
              <w:rPr>
                <w:sz w:val="20"/>
                <w:szCs w:val="20"/>
                <w:color w:val="auto"/>
              </w:rPr>
            </w:pPr>
            <w:r>
              <w:rPr>
                <w:rFonts w:ascii="Times New Roman" w:cs="Times New Roman" w:eastAsia="Times New Roman" w:hAnsi="Times New Roman"/>
                <w:sz w:val="12"/>
                <w:szCs w:val="12"/>
                <w:color w:val="auto"/>
              </w:rPr>
              <w:t>Investment per Share Held by Stockholder A (Assumed to be</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3400" w:type="dxa"/>
            <w:vAlign w:val="bottom"/>
            <w:gridSpan w:val="2"/>
          </w:tcPr>
          <w:p>
            <w:pPr>
              <w:ind w:left="340"/>
              <w:spacing w:after="0" w:line="136" w:lineRule="exact"/>
              <w:rPr>
                <w:sz w:val="20"/>
                <w:szCs w:val="20"/>
                <w:color w:val="auto"/>
              </w:rPr>
            </w:pPr>
            <w:r>
              <w:rPr>
                <w:rFonts w:ascii="Times New Roman" w:cs="Times New Roman" w:eastAsia="Times New Roman" w:hAnsi="Times New Roman"/>
                <w:sz w:val="12"/>
                <w:szCs w:val="12"/>
                <w:color w:val="auto"/>
              </w:rPr>
              <w:t>$10.00 per Share)</w:t>
            </w:r>
          </w:p>
        </w:tc>
        <w:tc>
          <w:tcPr>
            <w:tcW w:w="100" w:type="dxa"/>
            <w:vAlign w:val="bottom"/>
          </w:tcPr>
          <w:p>
            <w:pPr>
              <w:spacing w:after="0" w:line="136"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10.00</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10.00</w:t>
            </w:r>
          </w:p>
        </w:tc>
        <w:tc>
          <w:tcPr>
            <w:tcW w:w="700" w:type="dxa"/>
            <w:vAlign w:val="bottom"/>
            <w:gridSpan w:val="2"/>
          </w:tcPr>
          <w:p>
            <w:pPr>
              <w:jc w:val="right"/>
              <w:ind w:right="360"/>
              <w:spacing w:after="0" w:line="136"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10.00</w:t>
            </w:r>
          </w:p>
        </w:tc>
        <w:tc>
          <w:tcPr>
            <w:tcW w:w="560" w:type="dxa"/>
            <w:vAlign w:val="bottom"/>
            <w:gridSpan w:val="2"/>
          </w:tcPr>
          <w:p>
            <w:pPr>
              <w:jc w:val="right"/>
              <w:ind w:right="240"/>
              <w:spacing w:after="0" w:line="136" w:lineRule="exact"/>
              <w:rPr>
                <w:sz w:val="20"/>
                <w:szCs w:val="20"/>
                <w:color w:val="auto"/>
              </w:rPr>
            </w:pPr>
            <w:r>
              <w:rPr>
                <w:rFonts w:ascii="Times New Roman" w:cs="Times New Roman" w:eastAsia="Times New Roman" w:hAnsi="Times New Roman"/>
                <w:sz w:val="12"/>
                <w:szCs w:val="12"/>
                <w:color w:val="auto"/>
              </w:rPr>
              <w:t>— </w:t>
            </w:r>
          </w:p>
        </w:tc>
        <w:tc>
          <w:tcPr>
            <w:tcW w:w="1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rPr>
              <w:t>10.00</w:t>
            </w:r>
          </w:p>
        </w:tc>
        <w:tc>
          <w:tcPr>
            <w:tcW w:w="300" w:type="dxa"/>
            <w:vAlign w:val="bottom"/>
          </w:tcPr>
          <w:p>
            <w:pPr>
              <w:spacing w:after="0"/>
              <w:rPr>
                <w:sz w:val="11"/>
                <w:szCs w:val="11"/>
                <w:color w:val="auto"/>
              </w:rPr>
            </w:pPr>
          </w:p>
        </w:tc>
        <w:tc>
          <w:tcPr>
            <w:tcW w:w="52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10"/>
        </w:trPr>
        <w:tc>
          <w:tcPr>
            <w:tcW w:w="3400" w:type="dxa"/>
            <w:vAlign w:val="bottom"/>
            <w:gridSpan w:val="2"/>
            <w:shd w:val="clear" w:color="auto" w:fill="CCEEFF"/>
          </w:tcPr>
          <w:p>
            <w:pPr>
              <w:ind w:left="240"/>
              <w:spacing w:after="0" w:line="110" w:lineRule="exact"/>
              <w:rPr>
                <w:sz w:val="20"/>
                <w:szCs w:val="20"/>
                <w:color w:val="auto"/>
              </w:rPr>
            </w:pPr>
            <w:r>
              <w:rPr>
                <w:rFonts w:ascii="Times New Roman" w:cs="Times New Roman" w:eastAsia="Times New Roman" w:hAnsi="Times New Roman"/>
                <w:sz w:val="12"/>
                <w:szCs w:val="12"/>
                <w:color w:val="auto"/>
              </w:rPr>
              <w:t>(Dilution) Accretion per Share Held by Stockholder A (NAV per</w:t>
            </w: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3400" w:type="dxa"/>
            <w:vAlign w:val="bottom"/>
            <w:gridSpan w:val="2"/>
            <w:shd w:val="clear" w:color="auto" w:fill="CCEEFF"/>
          </w:tcPr>
          <w:p>
            <w:pPr>
              <w:ind w:left="340"/>
              <w:spacing w:after="0" w:line="136" w:lineRule="exact"/>
              <w:rPr>
                <w:sz w:val="20"/>
                <w:szCs w:val="20"/>
                <w:color w:val="auto"/>
              </w:rPr>
            </w:pPr>
            <w:r>
              <w:rPr>
                <w:rFonts w:ascii="Times New Roman" w:cs="Times New Roman" w:eastAsia="Times New Roman" w:hAnsi="Times New Roman"/>
                <w:sz w:val="12"/>
                <w:szCs w:val="12"/>
                <w:color w:val="auto"/>
              </w:rPr>
              <w:t>Share Less Investment per Share)</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40"/>
              <w:spacing w:after="0" w:line="136"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shd w:val="clear" w:color="auto" w:fill="CCEEFF"/>
          </w:tcPr>
          <w:p>
            <w:pPr>
              <w:jc w:val="right"/>
              <w:ind w:right="180"/>
              <w:spacing w:after="0" w:line="136" w:lineRule="exact"/>
              <w:rPr>
                <w:sz w:val="20"/>
                <w:szCs w:val="20"/>
                <w:color w:val="auto"/>
              </w:rPr>
            </w:pPr>
            <w:r>
              <w:rPr>
                <w:rFonts w:ascii="Times New Roman" w:cs="Times New Roman" w:eastAsia="Times New Roman" w:hAnsi="Times New Roman"/>
                <w:sz w:val="12"/>
                <w:szCs w:val="12"/>
                <w:color w:val="auto"/>
              </w:rPr>
              <w:t>(0.02)</w:t>
            </w:r>
          </w:p>
        </w:tc>
        <w:tc>
          <w:tcPr>
            <w:tcW w:w="700" w:type="dxa"/>
            <w:vAlign w:val="bottom"/>
            <w:gridSpan w:val="2"/>
            <w:shd w:val="clear" w:color="auto" w:fill="CCEEFF"/>
          </w:tcPr>
          <w:p>
            <w:pPr>
              <w:jc w:val="right"/>
              <w:ind w:right="360"/>
              <w:spacing w:after="0" w:line="136"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gridSpan w:val="2"/>
            <w:shd w:val="clear" w:color="auto" w:fill="CCEEFF"/>
          </w:tcPr>
          <w:p>
            <w:pPr>
              <w:jc w:val="right"/>
              <w:ind w:right="180"/>
              <w:spacing w:after="0" w:line="136" w:lineRule="exact"/>
              <w:rPr>
                <w:sz w:val="20"/>
                <w:szCs w:val="20"/>
                <w:color w:val="auto"/>
              </w:rPr>
            </w:pPr>
            <w:r>
              <w:rPr>
                <w:rFonts w:ascii="Times New Roman" w:cs="Times New Roman" w:eastAsia="Times New Roman" w:hAnsi="Times New Roman"/>
                <w:sz w:val="12"/>
                <w:szCs w:val="12"/>
                <w:color w:val="auto"/>
              </w:rPr>
              <w:t>(0.09)</w:t>
            </w:r>
          </w:p>
        </w:tc>
        <w:tc>
          <w:tcPr>
            <w:tcW w:w="560" w:type="dxa"/>
            <w:vAlign w:val="bottom"/>
            <w:gridSpan w:val="2"/>
            <w:shd w:val="clear" w:color="auto" w:fill="CCEEFF"/>
          </w:tcPr>
          <w:p>
            <w:pPr>
              <w:jc w:val="right"/>
              <w:ind w:right="240"/>
              <w:spacing w:after="0" w:line="136" w:lineRule="exact"/>
              <w:rPr>
                <w:sz w:val="20"/>
                <w:szCs w:val="20"/>
                <w:color w:val="auto"/>
              </w:rPr>
            </w:pPr>
            <w:r>
              <w:rPr>
                <w:rFonts w:ascii="Times New Roman" w:cs="Times New Roman" w:eastAsia="Times New Roman" w:hAnsi="Times New Roman"/>
                <w:sz w:val="12"/>
                <w:szCs w:val="12"/>
                <w:color w:val="auto"/>
              </w:rPr>
              <w:t>— </w:t>
            </w:r>
          </w:p>
        </w:tc>
        <w:tc>
          <w:tcPr>
            <w:tcW w:w="12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260"/>
              <w:spacing w:after="0" w:line="136" w:lineRule="exact"/>
              <w:rPr>
                <w:sz w:val="20"/>
                <w:szCs w:val="20"/>
                <w:color w:val="auto"/>
              </w:rPr>
            </w:pPr>
            <w:r>
              <w:rPr>
                <w:rFonts w:ascii="Times New Roman" w:cs="Times New Roman" w:eastAsia="Times New Roman" w:hAnsi="Times New Roman"/>
                <w:sz w:val="12"/>
                <w:szCs w:val="12"/>
                <w:color w:val="auto"/>
              </w:rPr>
              <w:t>(0.33)</w:t>
            </w:r>
          </w:p>
        </w:tc>
        <w:tc>
          <w:tcPr>
            <w:tcW w:w="520" w:type="dxa"/>
            <w:vAlign w:val="bottom"/>
            <w:gridSpan w:val="2"/>
            <w:shd w:val="clear" w:color="auto" w:fill="CCEEFF"/>
          </w:tcPr>
          <w:p>
            <w:pPr>
              <w:jc w:val="right"/>
              <w:ind w:right="200"/>
              <w:spacing w:after="0" w:line="136"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10"/>
        </w:trPr>
        <w:tc>
          <w:tcPr>
            <w:tcW w:w="3400" w:type="dxa"/>
            <w:vAlign w:val="bottom"/>
            <w:gridSpan w:val="2"/>
          </w:tcPr>
          <w:p>
            <w:pPr>
              <w:ind w:left="240"/>
              <w:spacing w:after="0" w:line="110" w:lineRule="exact"/>
              <w:rPr>
                <w:sz w:val="20"/>
                <w:szCs w:val="20"/>
                <w:color w:val="auto"/>
              </w:rPr>
            </w:pPr>
            <w:r>
              <w:rPr>
                <w:rFonts w:ascii="Times New Roman" w:cs="Times New Roman" w:eastAsia="Times New Roman" w:hAnsi="Times New Roman"/>
                <w:sz w:val="12"/>
                <w:szCs w:val="12"/>
                <w:color w:val="auto"/>
              </w:rPr>
              <w:t>Percentage (Dilution) Accretion to Stockholder A (Dilution per</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34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Share Divided by Investment per Share)</w:t>
            </w:r>
          </w:p>
        </w:tc>
        <w:tc>
          <w:tcPr>
            <w:tcW w:w="100" w:type="dxa"/>
            <w:vAlign w:val="bottom"/>
          </w:tcPr>
          <w:p>
            <w:pPr>
              <w:spacing w:after="0"/>
              <w:rPr>
                <w:sz w:val="13"/>
                <w:szCs w:val="13"/>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— </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(0.24)%</w:t>
            </w:r>
          </w:p>
        </w:tc>
        <w:tc>
          <w:tcPr>
            <w:tcW w:w="6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(0.91)%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(3.33)%</w:t>
            </w:r>
          </w:p>
        </w:tc>
        <w:tc>
          <w:tcPr>
            <w:tcW w:w="0" w:type="dxa"/>
            <w:vAlign w:val="bottom"/>
          </w:tcPr>
          <w:p>
            <w:pPr>
              <w:spacing w:after="0"/>
              <w:rPr>
                <w:sz w:val="1"/>
                <w:szCs w:val="1"/>
                <w:color w:val="auto"/>
              </w:rPr>
            </w:pPr>
          </w:p>
        </w:tc>
      </w:tr>
    </w:tbl>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9019"/>
          </w:cols>
          <w:pgMar w:left="1440" w:top="256" w:right="1440" w:bottom="1440" w:gutter="0" w:footer="0" w:header="0"/>
        </w:sectPr>
      </w:pPr>
    </w:p>
    <w:bookmarkStart w:id="45" w:name="page46"/>
    <w:bookmarkEnd w:id="45"/>
    <w:p>
      <w:pPr>
        <w:ind w:left="3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203440" cy="45085"/>
                    </a:xfrm>
                    <a:prstGeom prst="rect">
                      <a:avLst/>
                    </a:prstGeom>
                    <a:noFill/>
                  </pic:spPr>
                </pic:pic>
              </a:graphicData>
            </a:graphic>
          </wp:anchor>
        </w:drawing>
        <w:t>Impact on Existing Stockholders Who Do Participate in an Offering of Our Common Stock</w:t>
      </w:r>
    </w:p>
    <w:p>
      <w:pPr>
        <w:spacing w:after="0" w:line="89" w:lineRule="exact"/>
        <w:rPr>
          <w:sz w:val="20"/>
          <w:szCs w:val="20"/>
          <w:color w:val="auto"/>
        </w:rPr>
      </w:pPr>
    </w:p>
    <w:p>
      <w:pPr>
        <w:ind w:left="320" w:right="339" w:firstLine="335"/>
        <w:spacing w:after="0" w:line="246" w:lineRule="auto"/>
        <w:rPr>
          <w:sz w:val="20"/>
          <w:szCs w:val="20"/>
          <w:color w:val="auto"/>
        </w:rPr>
      </w:pPr>
      <w:r>
        <w:rPr>
          <w:rFonts w:ascii="Times New Roman" w:cs="Times New Roman" w:eastAsia="Times New Roman" w:hAnsi="Times New Roman"/>
          <w:sz w:val="14"/>
          <w:szCs w:val="14"/>
          <w:color w:val="auto"/>
        </w:rPr>
        <w:t>Our existing stockholders who participate in an offering below net asset value per share or who buy additional shares in the secondary market at the same or lower price as we obtain in the offering (after expenses and commissions) will experience the same types of net asset value dilution as the nonparticipating stockholders, albeit at a lower level, to the extent they purchase less than the same percentage of the discounted offering as their interest in our shares immediately prior to the offering. The level of net asset value dilution will decrease as the number of shares such stockholders purchase increases. Existing stockholders who buy more than such percentage will experience net asset value dilution on their existing shares but will, in contrast to existing stockholders who purchase less than their proportionate share of the offering, experience an increase (often called accretion) in average net asset value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 participates will, however, be subject to the risk that we may make additional discounted offerings in which such stockholder does not participate, in which case such a stockholder will experience net asset value dilution as described above in such subsequent offerings. These stockholders may also experience a decline in the market price of their shares, which often reflects to some degree announced or potential decreases in net asset value per share. This decrease could be more pronounced as the size of the offering and the level of discounts increases.</w:t>
      </w:r>
    </w:p>
    <w:p>
      <w:pPr>
        <w:spacing w:after="0" w:line="153" w:lineRule="exact"/>
        <w:rPr>
          <w:sz w:val="20"/>
          <w:szCs w:val="20"/>
          <w:color w:val="auto"/>
        </w:rPr>
      </w:pPr>
    </w:p>
    <w:p>
      <w:pPr>
        <w:ind w:left="320" w:right="339" w:firstLine="335"/>
        <w:spacing w:after="0" w:line="250" w:lineRule="auto"/>
        <w:rPr>
          <w:sz w:val="20"/>
          <w:szCs w:val="20"/>
          <w:color w:val="auto"/>
        </w:rPr>
      </w:pPr>
      <w:r>
        <w:rPr>
          <w:rFonts w:ascii="Times New Roman" w:cs="Times New Roman" w:eastAsia="Times New Roman" w:hAnsi="Times New Roman"/>
          <w:sz w:val="14"/>
          <w:szCs w:val="14"/>
          <w:color w:val="auto"/>
        </w:rPr>
        <w:t>The following table illustrates the level of dilution and accretion in the hypothetical 20.0% discount offering from the prior table (Example 3) for a stockholder that acquires shares equal to (1) 50.0% of its proportionate share of the offering (i.e., 1,000 shares, which is 0.5% of an offering of 200,000 shares) rather than its 1.0% proportionate share and (2) 150% of such percentage (i.e. 3,000 shares, which is 1.5% of an offering of</w:t>
      </w:r>
    </w:p>
    <w:p>
      <w:pPr>
        <w:spacing w:after="0" w:line="1" w:lineRule="exact"/>
        <w:rPr>
          <w:sz w:val="20"/>
          <w:szCs w:val="20"/>
          <w:color w:val="auto"/>
        </w:rPr>
      </w:pPr>
    </w:p>
    <w:p>
      <w:pPr>
        <w:ind w:left="320" w:right="359"/>
        <w:spacing w:after="0" w:line="246" w:lineRule="auto"/>
        <w:rPr>
          <w:sz w:val="20"/>
          <w:szCs w:val="20"/>
          <w:color w:val="auto"/>
        </w:rPr>
      </w:pPr>
      <w:r>
        <w:rPr>
          <w:rFonts w:ascii="Times New Roman" w:cs="Times New Roman" w:eastAsia="Times New Roman" w:hAnsi="Times New Roman"/>
          <w:sz w:val="14"/>
          <w:szCs w:val="14"/>
          <w:color w:val="auto"/>
        </w:rPr>
        <w:t>200,000 shares rather than its 1.0% proportionate share). The prospectus supplement pursuant to which any discounted offering is made will include a table for these examples based on the actual number of shares in such offering and the actual discount from the most recently determined net asset value per share. It is not possible to predict the level of market price decline that may occur. Actual sales prices and discounts may differ from the presentation below.</w:t>
      </w:r>
    </w:p>
    <w:p>
      <w:pPr>
        <w:spacing w:after="0" w:line="149"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4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40" w:type="dxa"/>
            <w:vAlign w:val="bottom"/>
            <w:gridSpan w:val="4"/>
            <w:vMerge w:val="restart"/>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50.0% Participation</w:t>
            </w:r>
          </w:p>
        </w:tc>
        <w:tc>
          <w:tcPr>
            <w:tcW w:w="6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150.0%</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Prior to Sale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40" w:type="dxa"/>
            <w:vAlign w:val="bottom"/>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gridSpan w:val="4"/>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Participation</w:t>
            </w:r>
          </w:p>
        </w:tc>
        <w:tc>
          <w:tcPr>
            <w:tcW w:w="0" w:type="dxa"/>
            <w:vAlign w:val="bottom"/>
          </w:tcPr>
          <w:p>
            <w:pPr>
              <w:spacing w:after="0"/>
              <w:rPr>
                <w:sz w:val="1"/>
                <w:szCs w:val="1"/>
                <w:color w:val="auto"/>
              </w:rPr>
            </w:pPr>
          </w:p>
        </w:tc>
      </w:tr>
      <w:tr>
        <w:trPr>
          <w:trHeight w:val="84"/>
        </w:trPr>
        <w:tc>
          <w:tcPr>
            <w:tcW w:w="4420" w:type="dxa"/>
            <w:vAlign w:val="bottom"/>
            <w:gridSpan w:val="2"/>
            <w:vMerge w:val="restart"/>
          </w:tcPr>
          <w:p>
            <w:pPr>
              <w:ind w:left="1960"/>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8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Borders>
              <w:top w:val="single" w:sz="8" w:color="auto"/>
            </w:tcBorders>
            <w:gridSpan w:val="3"/>
          </w:tcPr>
          <w:p>
            <w:pPr>
              <w:jc w:val="right"/>
              <w:ind w:right="360"/>
              <w:spacing w:after="0" w:line="84" w:lineRule="exact"/>
              <w:rPr>
                <w:sz w:val="20"/>
                <w:szCs w:val="20"/>
                <w:color w:val="auto"/>
              </w:rPr>
            </w:pPr>
            <w:r>
              <w:rPr>
                <w:rFonts w:ascii="Times New Roman" w:cs="Times New Roman" w:eastAsia="Times New Roman" w:hAnsi="Times New Roman"/>
                <w:sz w:val="9"/>
                <w:szCs w:val="9"/>
                <w:b w:val="1"/>
                <w:bCs w:val="1"/>
                <w:color w:val="auto"/>
              </w:rPr>
              <w:t>Following</w:t>
            </w:r>
          </w:p>
        </w:tc>
        <w:tc>
          <w:tcPr>
            <w:tcW w:w="360" w:type="dxa"/>
            <w:vAlign w:val="bottom"/>
            <w:tcBorders>
              <w:top w:val="single" w:sz="8" w:color="auto"/>
            </w:tcBorders>
          </w:tcPr>
          <w:p>
            <w:pPr>
              <w:jc w:val="right"/>
              <w:ind w:right="63"/>
              <w:spacing w:after="0" w:line="84" w:lineRule="exact"/>
              <w:rPr>
                <w:sz w:val="20"/>
                <w:szCs w:val="20"/>
                <w:color w:val="auto"/>
              </w:rPr>
            </w:pPr>
            <w:r>
              <w:rPr>
                <w:rFonts w:ascii="Times New Roman" w:cs="Times New Roman" w:eastAsia="Times New Roman" w:hAnsi="Times New Roman"/>
                <w:sz w:val="9"/>
                <w:szCs w:val="9"/>
                <w:b w:val="1"/>
                <w:bCs w:val="1"/>
                <w:color w:val="auto"/>
              </w:rPr>
              <w:t>%</w:t>
            </w:r>
          </w:p>
        </w:tc>
        <w:tc>
          <w:tcPr>
            <w:tcW w:w="380" w:type="dxa"/>
            <w:vAlign w:val="bottom"/>
          </w:tcPr>
          <w:p>
            <w:pPr>
              <w:spacing w:after="0"/>
              <w:rPr>
                <w:sz w:val="7"/>
                <w:szCs w:val="7"/>
                <w:color w:val="auto"/>
              </w:rPr>
            </w:pPr>
          </w:p>
        </w:tc>
        <w:tc>
          <w:tcPr>
            <w:tcW w:w="880" w:type="dxa"/>
            <w:vAlign w:val="bottom"/>
            <w:tcBorders>
              <w:top w:val="single" w:sz="8" w:color="auto"/>
            </w:tcBorders>
            <w:gridSpan w:val="3"/>
          </w:tcPr>
          <w:p>
            <w:pPr>
              <w:jc w:val="right"/>
              <w:ind w:right="380"/>
              <w:spacing w:after="0" w:line="84" w:lineRule="exact"/>
              <w:rPr>
                <w:sz w:val="20"/>
                <w:szCs w:val="20"/>
                <w:color w:val="auto"/>
              </w:rPr>
            </w:pPr>
            <w:r>
              <w:rPr>
                <w:rFonts w:ascii="Times New Roman" w:cs="Times New Roman" w:eastAsia="Times New Roman" w:hAnsi="Times New Roman"/>
                <w:sz w:val="9"/>
                <w:szCs w:val="9"/>
                <w:b w:val="1"/>
                <w:bCs w:val="1"/>
                <w:color w:val="auto"/>
              </w:rPr>
              <w:t>Following</w:t>
            </w:r>
          </w:p>
        </w:tc>
        <w:tc>
          <w:tcPr>
            <w:tcW w:w="360" w:type="dxa"/>
            <w:vAlign w:val="bottom"/>
            <w:tcBorders>
              <w:top w:val="single" w:sz="8" w:color="auto"/>
            </w:tcBorders>
          </w:tcPr>
          <w:p>
            <w:pPr>
              <w:jc w:val="right"/>
              <w:ind w:right="63"/>
              <w:spacing w:after="0" w:line="84" w:lineRule="exact"/>
              <w:rPr>
                <w:sz w:val="20"/>
                <w:szCs w:val="20"/>
                <w:color w:val="auto"/>
              </w:rPr>
            </w:pPr>
            <w:r>
              <w:rPr>
                <w:rFonts w:ascii="Times New Roman" w:cs="Times New Roman" w:eastAsia="Times New Roman" w:hAnsi="Times New Roman"/>
                <w:sz w:val="9"/>
                <w:szCs w:val="9"/>
                <w:b w:val="1"/>
                <w:bCs w:val="1"/>
                <w:color w:val="auto"/>
              </w:rPr>
              <w:t>%</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420" w:type="dxa"/>
            <w:vAlign w:val="bottom"/>
            <w:gridSpan w:val="2"/>
            <w:vMerge w:val="continue"/>
          </w:tcPr>
          <w:p>
            <w:pPr>
              <w:spacing w:after="0"/>
              <w:rPr>
                <w:sz w:val="11"/>
                <w:szCs w:val="11"/>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w w:val="97"/>
              </w:rPr>
              <w:t>Below NAV</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Sale</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w w:val="94"/>
              </w:rPr>
              <w:t>Change</w:t>
            </w:r>
          </w:p>
        </w:tc>
        <w:tc>
          <w:tcPr>
            <w:tcW w:w="60" w:type="dxa"/>
            <w:vAlign w:val="bottom"/>
          </w:tcPr>
          <w:p>
            <w:pPr>
              <w:spacing w:after="0"/>
              <w:rPr>
                <w:sz w:val="11"/>
                <w:szCs w:val="11"/>
                <w:color w:val="auto"/>
              </w:rPr>
            </w:pPr>
          </w:p>
        </w:tc>
        <w:tc>
          <w:tcPr>
            <w:tcW w:w="820" w:type="dxa"/>
            <w:vAlign w:val="bottom"/>
            <w:gridSpan w:val="2"/>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Sale</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4"/>
              </w:rPr>
              <w:t>Change</w:t>
            </w:r>
          </w:p>
        </w:tc>
        <w:tc>
          <w:tcPr>
            <w:tcW w:w="0" w:type="dxa"/>
            <w:vAlign w:val="bottom"/>
          </w:tcPr>
          <w:p>
            <w:pPr>
              <w:spacing w:after="0"/>
              <w:rPr>
                <w:sz w:val="1"/>
                <w:szCs w:val="1"/>
                <w:color w:val="auto"/>
              </w:rPr>
            </w:pPr>
          </w:p>
        </w:tc>
      </w:tr>
      <w:tr>
        <w:trPr>
          <w:trHeight w:val="113"/>
        </w:trPr>
        <w:tc>
          <w:tcPr>
            <w:tcW w:w="4220" w:type="dxa"/>
            <w:vAlign w:val="bottom"/>
            <w:tcBorders>
              <w:top w:val="single" w:sz="8" w:color="auto"/>
            </w:tcBorders>
            <w:shd w:val="clear" w:color="auto" w:fill="CCEEFF"/>
          </w:tcPr>
          <w:p>
            <w:pPr>
              <w:spacing w:after="0" w:line="114" w:lineRule="exact"/>
              <w:rPr>
                <w:sz w:val="20"/>
                <w:szCs w:val="20"/>
                <w:color w:val="auto"/>
              </w:rPr>
            </w:pPr>
            <w:r>
              <w:rPr>
                <w:rFonts w:ascii="Times New Roman" w:cs="Times New Roman" w:eastAsia="Times New Roman" w:hAnsi="Times New Roman"/>
                <w:sz w:val="12"/>
                <w:szCs w:val="12"/>
                <w:b w:val="1"/>
                <w:bCs w:val="1"/>
                <w:i w:val="1"/>
                <w:iCs w:val="1"/>
                <w:color w:val="auto"/>
              </w:rPr>
              <w:t>Offering Price</w:t>
            </w:r>
          </w:p>
        </w:tc>
        <w:tc>
          <w:tcPr>
            <w:tcW w:w="2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442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auto"/>
              </w:rPr>
              <w:t>Price per Share to Public</w:t>
            </w:r>
          </w:p>
        </w:tc>
        <w:tc>
          <w:tcPr>
            <w:tcW w:w="100" w:type="dxa"/>
            <w:vAlign w:val="bottom"/>
          </w:tcPr>
          <w:p>
            <w:pPr>
              <w:spacing w:after="0"/>
              <w:rPr>
                <w:sz w:val="10"/>
                <w:szCs w:val="10"/>
                <w:color w:val="auto"/>
              </w:rPr>
            </w:pPr>
          </w:p>
        </w:tc>
        <w:tc>
          <w:tcPr>
            <w:tcW w:w="720" w:type="dxa"/>
            <w:vAlign w:val="bottom"/>
            <w:gridSpan w:val="2"/>
          </w:tcPr>
          <w:p>
            <w:pPr>
              <w:jc w:val="right"/>
              <w:ind w:right="26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18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340"/>
              <w:spacing w:after="0" w:line="124" w:lineRule="exact"/>
              <w:rPr>
                <w:sz w:val="20"/>
                <w:szCs w:val="20"/>
                <w:color w:val="auto"/>
              </w:rPr>
            </w:pPr>
            <w:r>
              <w:rPr>
                <w:rFonts w:ascii="Times New Roman" w:cs="Times New Roman" w:eastAsia="Times New Roman" w:hAnsi="Times New Roman"/>
                <w:sz w:val="12"/>
                <w:szCs w:val="12"/>
                <w:color w:val="auto"/>
              </w:rPr>
              <w:t>8.42</w:t>
            </w:r>
          </w:p>
        </w:tc>
        <w:tc>
          <w:tcPr>
            <w:tcW w:w="740" w:type="dxa"/>
            <w:vAlign w:val="bottom"/>
            <w:gridSpan w:val="2"/>
          </w:tcPr>
          <w:p>
            <w:pPr>
              <w:jc w:val="right"/>
              <w:ind w:right="40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tcPr>
          <w:p>
            <w:pPr>
              <w:jc w:val="right"/>
              <w:ind w:right="340"/>
              <w:spacing w:after="0" w:line="124" w:lineRule="exact"/>
              <w:rPr>
                <w:sz w:val="20"/>
                <w:szCs w:val="20"/>
                <w:color w:val="auto"/>
              </w:rPr>
            </w:pPr>
            <w:r>
              <w:rPr>
                <w:rFonts w:ascii="Times New Roman" w:cs="Times New Roman" w:eastAsia="Times New Roman" w:hAnsi="Times New Roman"/>
                <w:sz w:val="12"/>
                <w:szCs w:val="12"/>
                <w:color w:val="auto"/>
              </w:rPr>
              <w:t>8.42</w:t>
            </w:r>
          </w:p>
        </w:tc>
        <w:tc>
          <w:tcPr>
            <w:tcW w:w="520" w:type="dxa"/>
            <w:vAlign w:val="bottom"/>
            <w:gridSpan w:val="2"/>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3"/>
        </w:trPr>
        <w:tc>
          <w:tcPr>
            <w:tcW w:w="442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Net Proceeds per Share to Issuer</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18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340"/>
              <w:spacing w:after="0" w:line="124" w:lineRule="exact"/>
              <w:rPr>
                <w:sz w:val="20"/>
                <w:szCs w:val="20"/>
                <w:color w:val="auto"/>
              </w:rPr>
            </w:pPr>
            <w:r>
              <w:rPr>
                <w:rFonts w:ascii="Times New Roman" w:cs="Times New Roman" w:eastAsia="Times New Roman" w:hAnsi="Times New Roman"/>
                <w:sz w:val="12"/>
                <w:szCs w:val="12"/>
                <w:color w:val="auto"/>
              </w:rPr>
              <w:t>8.00</w:t>
            </w:r>
          </w:p>
        </w:tc>
        <w:tc>
          <w:tcPr>
            <w:tcW w:w="740" w:type="dxa"/>
            <w:vAlign w:val="bottom"/>
            <w:gridSpan w:val="2"/>
            <w:shd w:val="clear" w:color="auto" w:fill="CCEEFF"/>
          </w:tcPr>
          <w:p>
            <w:pPr>
              <w:jc w:val="right"/>
              <w:ind w:right="40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shd w:val="clear" w:color="auto" w:fill="CCEEFF"/>
          </w:tcPr>
          <w:p>
            <w:pPr>
              <w:jc w:val="right"/>
              <w:ind w:right="340"/>
              <w:spacing w:after="0" w:line="124" w:lineRule="exact"/>
              <w:rPr>
                <w:sz w:val="20"/>
                <w:szCs w:val="20"/>
                <w:color w:val="auto"/>
              </w:rPr>
            </w:pPr>
            <w:r>
              <w:rPr>
                <w:rFonts w:ascii="Times New Roman" w:cs="Times New Roman" w:eastAsia="Times New Roman" w:hAnsi="Times New Roman"/>
                <w:sz w:val="12"/>
                <w:szCs w:val="12"/>
                <w:color w:val="auto"/>
              </w:rPr>
              <w:t>8.00</w:t>
            </w:r>
          </w:p>
        </w:tc>
        <w:tc>
          <w:tcPr>
            <w:tcW w:w="520" w:type="dxa"/>
            <w:vAlign w:val="bottom"/>
            <w:gridSpan w:val="2"/>
            <w:shd w:val="clear" w:color="auto" w:fill="CCEEFF"/>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3"/>
        </w:trPr>
        <w:tc>
          <w:tcPr>
            <w:tcW w:w="442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b w:val="1"/>
                <w:bCs w:val="1"/>
                <w:i w:val="1"/>
                <w:iCs w:val="1"/>
                <w:color w:val="auto"/>
              </w:rPr>
              <w:t>Increase (Decrease) to NAV</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42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Total Shares Outstanding</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20"/>
              <w:spacing w:after="0" w:line="124" w:lineRule="exact"/>
              <w:rPr>
                <w:sz w:val="20"/>
                <w:szCs w:val="20"/>
                <w:color w:val="auto"/>
              </w:rPr>
            </w:pPr>
            <w:r>
              <w:rPr>
                <w:rFonts w:ascii="Times New Roman" w:cs="Times New Roman" w:eastAsia="Times New Roman" w:hAnsi="Times New Roman"/>
                <w:sz w:val="12"/>
                <w:szCs w:val="12"/>
                <w:color w:val="auto"/>
                <w:w w:val="99"/>
              </w:rPr>
              <w:t>1,000,000</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w w:val="91"/>
              </w:rPr>
              <w:t>1,200,000</w:t>
            </w:r>
          </w:p>
        </w:tc>
        <w:tc>
          <w:tcPr>
            <w:tcW w:w="3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80"/>
              <w:spacing w:after="0" w:line="124" w:lineRule="exact"/>
              <w:rPr>
                <w:sz w:val="20"/>
                <w:szCs w:val="20"/>
                <w:color w:val="auto"/>
              </w:rPr>
            </w:pPr>
            <w:r>
              <w:rPr>
                <w:rFonts w:ascii="Times New Roman" w:cs="Times New Roman" w:eastAsia="Times New Roman" w:hAnsi="Times New Roman"/>
                <w:sz w:val="12"/>
                <w:szCs w:val="12"/>
                <w:color w:val="auto"/>
              </w:rPr>
              <w:t>20.00%</w:t>
            </w: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340"/>
              <w:spacing w:after="0" w:line="124" w:lineRule="exact"/>
              <w:rPr>
                <w:sz w:val="20"/>
                <w:szCs w:val="20"/>
                <w:color w:val="auto"/>
              </w:rPr>
            </w:pPr>
            <w:r>
              <w:rPr>
                <w:rFonts w:ascii="Times New Roman" w:cs="Times New Roman" w:eastAsia="Times New Roman" w:hAnsi="Times New Roman"/>
                <w:sz w:val="12"/>
                <w:szCs w:val="12"/>
                <w:color w:val="auto"/>
                <w:w w:val="95"/>
              </w:rPr>
              <w:t>1,200,000</w:t>
            </w:r>
          </w:p>
        </w:tc>
        <w:tc>
          <w:tcPr>
            <w:tcW w:w="52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20.00%</w:t>
            </w:r>
          </w:p>
        </w:tc>
        <w:tc>
          <w:tcPr>
            <w:tcW w:w="0" w:type="dxa"/>
            <w:vAlign w:val="bottom"/>
          </w:tcPr>
          <w:p>
            <w:pPr>
              <w:spacing w:after="0"/>
              <w:rPr>
                <w:sz w:val="1"/>
                <w:szCs w:val="1"/>
                <w:color w:val="auto"/>
              </w:rPr>
            </w:pPr>
          </w:p>
        </w:tc>
      </w:tr>
      <w:tr>
        <w:trPr>
          <w:trHeight w:val="123"/>
        </w:trPr>
        <w:tc>
          <w:tcPr>
            <w:tcW w:w="442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auto"/>
              </w:rPr>
              <w:t>NAV per Share</w:t>
            </w: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220"/>
              <w:spacing w:after="0" w:line="124" w:lineRule="exact"/>
              <w:rPr>
                <w:sz w:val="20"/>
                <w:szCs w:val="20"/>
                <w:color w:val="auto"/>
              </w:rPr>
            </w:pPr>
            <w:r>
              <w:rPr>
                <w:rFonts w:ascii="Times New Roman" w:cs="Times New Roman" w:eastAsia="Times New Roman" w:hAnsi="Times New Roman"/>
                <w:sz w:val="12"/>
                <w:szCs w:val="12"/>
                <w:color w:val="auto"/>
              </w:rPr>
              <w:t>10.00</w:t>
            </w:r>
          </w:p>
        </w:tc>
        <w:tc>
          <w:tcPr>
            <w:tcW w:w="18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340"/>
              <w:spacing w:after="0" w:line="124" w:lineRule="exact"/>
              <w:rPr>
                <w:sz w:val="20"/>
                <w:szCs w:val="20"/>
                <w:color w:val="auto"/>
              </w:rPr>
            </w:pPr>
            <w:r>
              <w:rPr>
                <w:rFonts w:ascii="Times New Roman" w:cs="Times New Roman" w:eastAsia="Times New Roman" w:hAnsi="Times New Roman"/>
                <w:sz w:val="12"/>
                <w:szCs w:val="12"/>
                <w:color w:val="auto"/>
              </w:rPr>
              <w:t>9.67</w:t>
            </w:r>
          </w:p>
        </w:tc>
        <w:tc>
          <w:tcPr>
            <w:tcW w:w="740" w:type="dxa"/>
            <w:vAlign w:val="bottom"/>
            <w:gridSpan w:val="2"/>
          </w:tcPr>
          <w:p>
            <w:pPr>
              <w:jc w:val="right"/>
              <w:ind w:right="240"/>
              <w:spacing w:after="0" w:line="124" w:lineRule="exact"/>
              <w:rPr>
                <w:sz w:val="20"/>
                <w:szCs w:val="20"/>
                <w:color w:val="auto"/>
              </w:rPr>
            </w:pPr>
            <w:r>
              <w:rPr>
                <w:rFonts w:ascii="Times New Roman" w:cs="Times New Roman" w:eastAsia="Times New Roman" w:hAnsi="Times New Roman"/>
                <w:sz w:val="12"/>
                <w:szCs w:val="12"/>
                <w:color w:val="auto"/>
              </w:rPr>
              <w:t>(3.33)%</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tcPr>
          <w:p>
            <w:pPr>
              <w:jc w:val="right"/>
              <w:ind w:right="340"/>
              <w:spacing w:after="0" w:line="124" w:lineRule="exact"/>
              <w:rPr>
                <w:sz w:val="20"/>
                <w:szCs w:val="20"/>
                <w:color w:val="auto"/>
              </w:rPr>
            </w:pPr>
            <w:r>
              <w:rPr>
                <w:rFonts w:ascii="Times New Roman" w:cs="Times New Roman" w:eastAsia="Times New Roman" w:hAnsi="Times New Roman"/>
                <w:sz w:val="12"/>
                <w:szCs w:val="12"/>
                <w:color w:val="auto"/>
              </w:rPr>
              <w:t>9.67</w:t>
            </w:r>
          </w:p>
        </w:tc>
        <w:tc>
          <w:tcPr>
            <w:tcW w:w="52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(3.33)%</w:t>
            </w:r>
          </w:p>
        </w:tc>
        <w:tc>
          <w:tcPr>
            <w:tcW w:w="0" w:type="dxa"/>
            <w:vAlign w:val="bottom"/>
          </w:tcPr>
          <w:p>
            <w:pPr>
              <w:spacing w:after="0"/>
              <w:rPr>
                <w:sz w:val="1"/>
                <w:szCs w:val="1"/>
                <w:color w:val="auto"/>
              </w:rPr>
            </w:pPr>
          </w:p>
        </w:tc>
      </w:tr>
      <w:tr>
        <w:trPr>
          <w:trHeight w:val="123"/>
        </w:trPr>
        <w:tc>
          <w:tcPr>
            <w:tcW w:w="442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i w:val="1"/>
                <w:iCs w:val="1"/>
                <w:color w:val="auto"/>
              </w:rPr>
              <w:t>(Dilution) Accretion to Stockholder</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42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auto"/>
              </w:rPr>
              <w:t>Shares Held by Stockholder A</w:t>
            </w:r>
          </w:p>
        </w:tc>
        <w:tc>
          <w:tcPr>
            <w:tcW w:w="100" w:type="dxa"/>
            <w:vAlign w:val="bottom"/>
          </w:tcPr>
          <w:p>
            <w:pPr>
              <w:spacing w:after="0"/>
              <w:rPr>
                <w:sz w:val="10"/>
                <w:szCs w:val="10"/>
                <w:color w:val="auto"/>
              </w:rPr>
            </w:pPr>
          </w:p>
        </w:tc>
        <w:tc>
          <w:tcPr>
            <w:tcW w:w="720" w:type="dxa"/>
            <w:vAlign w:val="bottom"/>
            <w:gridSpan w:val="2"/>
          </w:tcPr>
          <w:p>
            <w:pPr>
              <w:jc w:val="right"/>
              <w:ind w:right="220"/>
              <w:spacing w:after="0" w:line="124" w:lineRule="exact"/>
              <w:rPr>
                <w:sz w:val="20"/>
                <w:szCs w:val="20"/>
                <w:color w:val="auto"/>
              </w:rPr>
            </w:pPr>
            <w:r>
              <w:rPr>
                <w:rFonts w:ascii="Times New Roman" w:cs="Times New Roman" w:eastAsia="Times New Roman" w:hAnsi="Times New Roman"/>
                <w:sz w:val="12"/>
                <w:szCs w:val="12"/>
                <w:color w:val="auto"/>
              </w:rPr>
              <w:t>10,000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340"/>
              <w:spacing w:after="0" w:line="124" w:lineRule="exact"/>
              <w:rPr>
                <w:sz w:val="20"/>
                <w:szCs w:val="20"/>
                <w:color w:val="auto"/>
              </w:rPr>
            </w:pPr>
            <w:r>
              <w:rPr>
                <w:rFonts w:ascii="Times New Roman" w:cs="Times New Roman" w:eastAsia="Times New Roman" w:hAnsi="Times New Roman"/>
                <w:sz w:val="12"/>
                <w:szCs w:val="12"/>
                <w:color w:val="auto"/>
              </w:rPr>
              <w:t>11,000</w:t>
            </w:r>
          </w:p>
        </w:tc>
        <w:tc>
          <w:tcPr>
            <w:tcW w:w="740" w:type="dxa"/>
            <w:vAlign w:val="bottom"/>
            <w:gridSpan w:val="2"/>
          </w:tcPr>
          <w:p>
            <w:pPr>
              <w:jc w:val="right"/>
              <w:ind w:right="280"/>
              <w:spacing w:after="0" w:line="124" w:lineRule="exact"/>
              <w:rPr>
                <w:sz w:val="20"/>
                <w:szCs w:val="20"/>
                <w:color w:val="auto"/>
              </w:rPr>
            </w:pPr>
            <w:r>
              <w:rPr>
                <w:rFonts w:ascii="Times New Roman" w:cs="Times New Roman" w:eastAsia="Times New Roman" w:hAnsi="Times New Roman"/>
                <w:sz w:val="12"/>
                <w:szCs w:val="12"/>
                <w:color w:val="auto"/>
              </w:rPr>
              <w:t>10.00%</w:t>
            </w:r>
          </w:p>
        </w:tc>
        <w:tc>
          <w:tcPr>
            <w:tcW w:w="60" w:type="dxa"/>
            <w:vAlign w:val="bottom"/>
          </w:tcPr>
          <w:p>
            <w:pPr>
              <w:spacing w:after="0"/>
              <w:rPr>
                <w:sz w:val="10"/>
                <w:szCs w:val="10"/>
                <w:color w:val="auto"/>
              </w:rPr>
            </w:pPr>
          </w:p>
        </w:tc>
        <w:tc>
          <w:tcPr>
            <w:tcW w:w="820" w:type="dxa"/>
            <w:vAlign w:val="bottom"/>
            <w:gridSpan w:val="2"/>
          </w:tcPr>
          <w:p>
            <w:pPr>
              <w:jc w:val="right"/>
              <w:ind w:right="340"/>
              <w:spacing w:after="0" w:line="124" w:lineRule="exact"/>
              <w:rPr>
                <w:sz w:val="20"/>
                <w:szCs w:val="20"/>
                <w:color w:val="auto"/>
              </w:rPr>
            </w:pPr>
            <w:r>
              <w:rPr>
                <w:rFonts w:ascii="Times New Roman" w:cs="Times New Roman" w:eastAsia="Times New Roman" w:hAnsi="Times New Roman"/>
                <w:sz w:val="12"/>
                <w:szCs w:val="12"/>
                <w:color w:val="auto"/>
              </w:rPr>
              <w:t>13,000</w:t>
            </w:r>
          </w:p>
        </w:tc>
        <w:tc>
          <w:tcPr>
            <w:tcW w:w="52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30.00</w:t>
            </w:r>
          </w:p>
        </w:tc>
        <w:tc>
          <w:tcPr>
            <w:tcW w:w="0" w:type="dxa"/>
            <w:vAlign w:val="bottom"/>
          </w:tcPr>
          <w:p>
            <w:pPr>
              <w:spacing w:after="0"/>
              <w:rPr>
                <w:sz w:val="1"/>
                <w:szCs w:val="1"/>
                <w:color w:val="auto"/>
              </w:rPr>
            </w:pPr>
          </w:p>
        </w:tc>
      </w:tr>
      <w:tr>
        <w:trPr>
          <w:trHeight w:val="123"/>
        </w:trPr>
        <w:tc>
          <w:tcPr>
            <w:tcW w:w="442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Percentage Held by Stockholder A</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1.0%</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240"/>
              <w:spacing w:after="0" w:line="124" w:lineRule="exact"/>
              <w:rPr>
                <w:sz w:val="20"/>
                <w:szCs w:val="20"/>
                <w:color w:val="auto"/>
              </w:rPr>
            </w:pPr>
            <w:r>
              <w:rPr>
                <w:rFonts w:ascii="Times New Roman" w:cs="Times New Roman" w:eastAsia="Times New Roman" w:hAnsi="Times New Roman"/>
                <w:sz w:val="12"/>
                <w:szCs w:val="12"/>
                <w:color w:val="auto"/>
              </w:rPr>
              <w:t>0.92%</w:t>
            </w:r>
          </w:p>
        </w:tc>
        <w:tc>
          <w:tcPr>
            <w:tcW w:w="740" w:type="dxa"/>
            <w:vAlign w:val="bottom"/>
            <w:gridSpan w:val="2"/>
            <w:shd w:val="clear" w:color="auto" w:fill="CCEEFF"/>
          </w:tcPr>
          <w:p>
            <w:pPr>
              <w:jc w:val="right"/>
              <w:ind w:right="240"/>
              <w:spacing w:after="0" w:line="124" w:lineRule="exact"/>
              <w:rPr>
                <w:sz w:val="20"/>
                <w:szCs w:val="20"/>
                <w:color w:val="auto"/>
              </w:rPr>
            </w:pPr>
            <w:r>
              <w:rPr>
                <w:rFonts w:ascii="Times New Roman" w:cs="Times New Roman" w:eastAsia="Times New Roman" w:hAnsi="Times New Roman"/>
                <w:sz w:val="12"/>
                <w:szCs w:val="12"/>
                <w:color w:val="auto"/>
              </w:rPr>
              <w:t>(8.33)%</w:t>
            </w: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40"/>
              <w:spacing w:after="0" w:line="124" w:lineRule="exact"/>
              <w:rPr>
                <w:sz w:val="20"/>
                <w:szCs w:val="20"/>
                <w:color w:val="auto"/>
              </w:rPr>
            </w:pPr>
            <w:r>
              <w:rPr>
                <w:rFonts w:ascii="Times New Roman" w:cs="Times New Roman" w:eastAsia="Times New Roman" w:hAnsi="Times New Roman"/>
                <w:sz w:val="12"/>
                <w:szCs w:val="12"/>
                <w:color w:val="auto"/>
              </w:rPr>
              <w:t>1.08%</w:t>
            </w:r>
          </w:p>
        </w:tc>
        <w:tc>
          <w:tcPr>
            <w:tcW w:w="52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8.33%</w:t>
            </w:r>
          </w:p>
        </w:tc>
        <w:tc>
          <w:tcPr>
            <w:tcW w:w="0" w:type="dxa"/>
            <w:vAlign w:val="bottom"/>
          </w:tcPr>
          <w:p>
            <w:pPr>
              <w:spacing w:after="0"/>
              <w:rPr>
                <w:sz w:val="1"/>
                <w:szCs w:val="1"/>
                <w:color w:val="auto"/>
              </w:rPr>
            </w:pPr>
          </w:p>
        </w:tc>
      </w:tr>
      <w:tr>
        <w:trPr>
          <w:trHeight w:val="123"/>
        </w:trPr>
        <w:tc>
          <w:tcPr>
            <w:tcW w:w="442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Total Asset Values</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420" w:type="dxa"/>
            <w:vAlign w:val="bottom"/>
            <w:gridSpan w:val="2"/>
            <w:shd w:val="clear" w:color="auto" w:fill="CCEEFF"/>
          </w:tcPr>
          <w:p>
            <w:pPr>
              <w:ind w:left="240"/>
              <w:spacing w:after="0" w:line="124" w:lineRule="exact"/>
              <w:rPr>
                <w:sz w:val="20"/>
                <w:szCs w:val="20"/>
                <w:color w:val="auto"/>
              </w:rPr>
            </w:pPr>
            <w:r>
              <w:rPr>
                <w:rFonts w:ascii="Times New Roman" w:cs="Times New Roman" w:eastAsia="Times New Roman" w:hAnsi="Times New Roman"/>
                <w:sz w:val="12"/>
                <w:szCs w:val="12"/>
                <w:color w:val="auto"/>
              </w:rPr>
              <w:t>Total NAV Held by Stockholder A</w:t>
            </w:r>
          </w:p>
        </w:tc>
        <w:tc>
          <w:tcPr>
            <w:tcW w:w="1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220"/>
              <w:spacing w:after="0" w:line="124" w:lineRule="exact"/>
              <w:rPr>
                <w:sz w:val="20"/>
                <w:szCs w:val="20"/>
                <w:color w:val="auto"/>
              </w:rPr>
            </w:pPr>
            <w:r>
              <w:rPr>
                <w:rFonts w:ascii="Times New Roman" w:cs="Times New Roman" w:eastAsia="Times New Roman" w:hAnsi="Times New Roman"/>
                <w:sz w:val="12"/>
                <w:szCs w:val="12"/>
                <w:color w:val="auto"/>
              </w:rPr>
              <w:t>100,000</w:t>
            </w:r>
          </w:p>
        </w:tc>
        <w:tc>
          <w:tcPr>
            <w:tcW w:w="18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106,333</w:t>
            </w:r>
          </w:p>
        </w:tc>
        <w:tc>
          <w:tcPr>
            <w:tcW w:w="3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80"/>
              <w:spacing w:after="0" w:line="124" w:lineRule="exact"/>
              <w:rPr>
                <w:sz w:val="20"/>
                <w:szCs w:val="20"/>
                <w:color w:val="auto"/>
              </w:rPr>
            </w:pPr>
            <w:r>
              <w:rPr>
                <w:rFonts w:ascii="Times New Roman" w:cs="Times New Roman" w:eastAsia="Times New Roman" w:hAnsi="Times New Roman"/>
                <w:sz w:val="12"/>
                <w:szCs w:val="12"/>
                <w:color w:val="auto"/>
              </w:rPr>
              <w:t>6.33%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shd w:val="clear" w:color="auto" w:fill="CCEEFF"/>
          </w:tcPr>
          <w:p>
            <w:pPr>
              <w:jc w:val="right"/>
              <w:ind w:right="340"/>
              <w:spacing w:after="0" w:line="124" w:lineRule="exact"/>
              <w:rPr>
                <w:sz w:val="20"/>
                <w:szCs w:val="20"/>
                <w:color w:val="auto"/>
              </w:rPr>
            </w:pPr>
            <w:r>
              <w:rPr>
                <w:rFonts w:ascii="Times New Roman" w:cs="Times New Roman" w:eastAsia="Times New Roman" w:hAnsi="Times New Roman"/>
                <w:sz w:val="12"/>
                <w:szCs w:val="12"/>
                <w:color w:val="auto"/>
              </w:rPr>
              <w:t>125,667</w:t>
            </w:r>
          </w:p>
        </w:tc>
        <w:tc>
          <w:tcPr>
            <w:tcW w:w="52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25.67%</w:t>
            </w:r>
          </w:p>
        </w:tc>
        <w:tc>
          <w:tcPr>
            <w:tcW w:w="0" w:type="dxa"/>
            <w:vAlign w:val="bottom"/>
          </w:tcPr>
          <w:p>
            <w:pPr>
              <w:spacing w:after="0"/>
              <w:rPr>
                <w:sz w:val="1"/>
                <w:szCs w:val="1"/>
                <w:color w:val="auto"/>
              </w:rPr>
            </w:pPr>
          </w:p>
        </w:tc>
      </w:tr>
      <w:tr>
        <w:trPr>
          <w:trHeight w:val="123"/>
        </w:trPr>
        <w:tc>
          <w:tcPr>
            <w:tcW w:w="442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2"/>
                <w:szCs w:val="12"/>
                <w:color w:val="auto"/>
              </w:rPr>
              <w:t>Total Investment by Stockholder A (Assumed to Be $10.00 per Share)</w:t>
            </w: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220"/>
              <w:spacing w:after="0" w:line="124" w:lineRule="exact"/>
              <w:rPr>
                <w:sz w:val="20"/>
                <w:szCs w:val="20"/>
                <w:color w:val="auto"/>
              </w:rPr>
            </w:pPr>
            <w:r>
              <w:rPr>
                <w:rFonts w:ascii="Times New Roman" w:cs="Times New Roman" w:eastAsia="Times New Roman" w:hAnsi="Times New Roman"/>
                <w:sz w:val="12"/>
                <w:szCs w:val="12"/>
                <w:color w:val="auto"/>
              </w:rPr>
              <w:t>100,000</w:t>
            </w:r>
          </w:p>
        </w:tc>
        <w:tc>
          <w:tcPr>
            <w:tcW w:w="18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108,421</w:t>
            </w:r>
          </w:p>
        </w:tc>
        <w:tc>
          <w:tcPr>
            <w:tcW w:w="340" w:type="dxa"/>
            <w:vAlign w:val="bottom"/>
          </w:tcPr>
          <w:p>
            <w:pPr>
              <w:spacing w:after="0"/>
              <w:rPr>
                <w:sz w:val="10"/>
                <w:szCs w:val="10"/>
                <w:color w:val="auto"/>
              </w:rPr>
            </w:pPr>
          </w:p>
        </w:tc>
        <w:tc>
          <w:tcPr>
            <w:tcW w:w="740" w:type="dxa"/>
            <w:vAlign w:val="bottom"/>
            <w:gridSpan w:val="2"/>
          </w:tcPr>
          <w:p>
            <w:pPr>
              <w:jc w:val="right"/>
              <w:ind w:right="40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tcPr>
          <w:p>
            <w:pPr>
              <w:jc w:val="right"/>
              <w:ind w:right="340"/>
              <w:spacing w:after="0" w:line="124" w:lineRule="exact"/>
              <w:rPr>
                <w:sz w:val="20"/>
                <w:szCs w:val="20"/>
                <w:color w:val="auto"/>
              </w:rPr>
            </w:pPr>
            <w:r>
              <w:rPr>
                <w:rFonts w:ascii="Times New Roman" w:cs="Times New Roman" w:eastAsia="Times New Roman" w:hAnsi="Times New Roman"/>
                <w:sz w:val="12"/>
                <w:szCs w:val="12"/>
                <w:color w:val="auto"/>
              </w:rPr>
              <w:t>125,263</w:t>
            </w:r>
          </w:p>
        </w:tc>
        <w:tc>
          <w:tcPr>
            <w:tcW w:w="520" w:type="dxa"/>
            <w:vAlign w:val="bottom"/>
            <w:gridSpan w:val="2"/>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3"/>
        </w:trPr>
        <w:tc>
          <w:tcPr>
            <w:tcW w:w="4420" w:type="dxa"/>
            <w:vAlign w:val="bottom"/>
            <w:gridSpan w:val="2"/>
            <w:shd w:val="clear" w:color="auto" w:fill="CCEEFF"/>
          </w:tcPr>
          <w:p>
            <w:pPr>
              <w:ind w:left="240"/>
              <w:spacing w:after="0" w:line="124" w:lineRule="exact"/>
              <w:rPr>
                <w:sz w:val="20"/>
                <w:szCs w:val="20"/>
                <w:color w:val="auto"/>
              </w:rPr>
            </w:pPr>
            <w:r>
              <w:rPr>
                <w:rFonts w:ascii="Times New Roman" w:cs="Times New Roman" w:eastAsia="Times New Roman" w:hAnsi="Times New Roman"/>
                <w:sz w:val="12"/>
                <w:szCs w:val="12"/>
                <w:color w:val="auto"/>
              </w:rPr>
              <w:t>Total (Dilution) Accretion to Stockholder A (Total NAV Less Total Investment)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18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300"/>
              <w:spacing w:after="0" w:line="124" w:lineRule="exact"/>
              <w:rPr>
                <w:sz w:val="20"/>
                <w:szCs w:val="20"/>
                <w:color w:val="auto"/>
              </w:rPr>
            </w:pPr>
            <w:r>
              <w:rPr>
                <w:rFonts w:ascii="Times New Roman" w:cs="Times New Roman" w:eastAsia="Times New Roman" w:hAnsi="Times New Roman"/>
                <w:sz w:val="12"/>
                <w:szCs w:val="12"/>
                <w:color w:val="auto"/>
              </w:rPr>
              <w:t>(2,088)</w:t>
            </w:r>
          </w:p>
        </w:tc>
        <w:tc>
          <w:tcPr>
            <w:tcW w:w="740" w:type="dxa"/>
            <w:vAlign w:val="bottom"/>
            <w:gridSpan w:val="2"/>
            <w:shd w:val="clear" w:color="auto" w:fill="CCEEFF"/>
          </w:tcPr>
          <w:p>
            <w:pPr>
              <w:jc w:val="right"/>
              <w:ind w:right="40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shd w:val="clear" w:color="auto" w:fill="CCEEFF"/>
          </w:tcPr>
          <w:p>
            <w:pPr>
              <w:jc w:val="right"/>
              <w:ind w:right="340"/>
              <w:spacing w:after="0" w:line="124" w:lineRule="exact"/>
              <w:rPr>
                <w:sz w:val="20"/>
                <w:szCs w:val="20"/>
                <w:color w:val="auto"/>
              </w:rPr>
            </w:pPr>
            <w:r>
              <w:rPr>
                <w:rFonts w:ascii="Times New Roman" w:cs="Times New Roman" w:eastAsia="Times New Roman" w:hAnsi="Times New Roman"/>
                <w:sz w:val="12"/>
                <w:szCs w:val="12"/>
                <w:color w:val="auto"/>
              </w:rPr>
              <w:t>404</w:t>
            </w:r>
          </w:p>
        </w:tc>
        <w:tc>
          <w:tcPr>
            <w:tcW w:w="520" w:type="dxa"/>
            <w:vAlign w:val="bottom"/>
            <w:gridSpan w:val="2"/>
            <w:shd w:val="clear" w:color="auto" w:fill="CCEEFF"/>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3"/>
        </w:trPr>
        <w:tc>
          <w:tcPr>
            <w:tcW w:w="442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Per Share Amounts</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42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NAV per Share Held by Stockholder A</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18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340"/>
              <w:spacing w:after="0" w:line="124" w:lineRule="exact"/>
              <w:rPr>
                <w:sz w:val="20"/>
                <w:szCs w:val="20"/>
                <w:color w:val="auto"/>
              </w:rPr>
            </w:pPr>
            <w:r>
              <w:rPr>
                <w:rFonts w:ascii="Times New Roman" w:cs="Times New Roman" w:eastAsia="Times New Roman" w:hAnsi="Times New Roman"/>
                <w:sz w:val="12"/>
                <w:szCs w:val="12"/>
                <w:color w:val="auto"/>
              </w:rPr>
              <w:t>9.67</w:t>
            </w:r>
          </w:p>
        </w:tc>
        <w:tc>
          <w:tcPr>
            <w:tcW w:w="740" w:type="dxa"/>
            <w:vAlign w:val="bottom"/>
            <w:gridSpan w:val="2"/>
            <w:shd w:val="clear" w:color="auto" w:fill="CCEEFF"/>
          </w:tcPr>
          <w:p>
            <w:pPr>
              <w:jc w:val="right"/>
              <w:ind w:right="40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shd w:val="clear" w:color="auto" w:fill="CCEEFF"/>
          </w:tcPr>
          <w:p>
            <w:pPr>
              <w:jc w:val="right"/>
              <w:ind w:right="340"/>
              <w:spacing w:after="0" w:line="124" w:lineRule="exact"/>
              <w:rPr>
                <w:sz w:val="20"/>
                <w:szCs w:val="20"/>
                <w:color w:val="auto"/>
              </w:rPr>
            </w:pPr>
            <w:r>
              <w:rPr>
                <w:rFonts w:ascii="Times New Roman" w:cs="Times New Roman" w:eastAsia="Times New Roman" w:hAnsi="Times New Roman"/>
                <w:sz w:val="12"/>
                <w:szCs w:val="12"/>
                <w:color w:val="auto"/>
              </w:rPr>
              <w:t>9.67</w:t>
            </w:r>
          </w:p>
        </w:tc>
        <w:tc>
          <w:tcPr>
            <w:tcW w:w="520" w:type="dxa"/>
            <w:vAlign w:val="bottom"/>
            <w:gridSpan w:val="2"/>
            <w:shd w:val="clear" w:color="auto" w:fill="CCEEFF"/>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3"/>
        </w:trPr>
        <w:tc>
          <w:tcPr>
            <w:tcW w:w="442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2"/>
                <w:szCs w:val="12"/>
                <w:color w:val="auto"/>
              </w:rPr>
              <w:t>Investment per Share Held by Stockholder A (Assumed to be $10.00 per Share)</w:t>
            </w: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220"/>
              <w:spacing w:after="0" w:line="124" w:lineRule="exact"/>
              <w:rPr>
                <w:sz w:val="20"/>
                <w:szCs w:val="20"/>
                <w:color w:val="auto"/>
              </w:rPr>
            </w:pPr>
            <w:r>
              <w:rPr>
                <w:rFonts w:ascii="Times New Roman" w:cs="Times New Roman" w:eastAsia="Times New Roman" w:hAnsi="Times New Roman"/>
                <w:sz w:val="12"/>
                <w:szCs w:val="12"/>
                <w:color w:val="auto"/>
              </w:rPr>
              <w:t>10.00</w:t>
            </w:r>
          </w:p>
        </w:tc>
        <w:tc>
          <w:tcPr>
            <w:tcW w:w="18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340"/>
              <w:spacing w:after="0" w:line="124" w:lineRule="exact"/>
              <w:rPr>
                <w:sz w:val="20"/>
                <w:szCs w:val="20"/>
                <w:color w:val="auto"/>
              </w:rPr>
            </w:pPr>
            <w:r>
              <w:rPr>
                <w:rFonts w:ascii="Times New Roman" w:cs="Times New Roman" w:eastAsia="Times New Roman" w:hAnsi="Times New Roman"/>
                <w:sz w:val="12"/>
                <w:szCs w:val="12"/>
                <w:color w:val="auto"/>
              </w:rPr>
              <w:t>9.86</w:t>
            </w:r>
          </w:p>
        </w:tc>
        <w:tc>
          <w:tcPr>
            <w:tcW w:w="740" w:type="dxa"/>
            <w:vAlign w:val="bottom"/>
            <w:gridSpan w:val="2"/>
          </w:tcPr>
          <w:p>
            <w:pPr>
              <w:jc w:val="right"/>
              <w:ind w:right="40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tcPr>
          <w:p>
            <w:pPr>
              <w:jc w:val="right"/>
              <w:ind w:right="340"/>
              <w:spacing w:after="0" w:line="124" w:lineRule="exact"/>
              <w:rPr>
                <w:sz w:val="20"/>
                <w:szCs w:val="20"/>
                <w:color w:val="auto"/>
              </w:rPr>
            </w:pPr>
            <w:r>
              <w:rPr>
                <w:rFonts w:ascii="Times New Roman" w:cs="Times New Roman" w:eastAsia="Times New Roman" w:hAnsi="Times New Roman"/>
                <w:sz w:val="12"/>
                <w:szCs w:val="12"/>
                <w:color w:val="auto"/>
              </w:rPr>
              <w:t>9.64</w:t>
            </w:r>
          </w:p>
        </w:tc>
        <w:tc>
          <w:tcPr>
            <w:tcW w:w="520" w:type="dxa"/>
            <w:vAlign w:val="bottom"/>
            <w:gridSpan w:val="2"/>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10"/>
        </w:trPr>
        <w:tc>
          <w:tcPr>
            <w:tcW w:w="4420" w:type="dxa"/>
            <w:vAlign w:val="bottom"/>
            <w:gridSpan w:val="2"/>
            <w:shd w:val="clear" w:color="auto" w:fill="CCEEFF"/>
          </w:tcPr>
          <w:p>
            <w:pPr>
              <w:ind w:left="240"/>
              <w:spacing w:after="0" w:line="110" w:lineRule="exact"/>
              <w:rPr>
                <w:sz w:val="20"/>
                <w:szCs w:val="20"/>
                <w:color w:val="auto"/>
              </w:rPr>
            </w:pPr>
            <w:r>
              <w:rPr>
                <w:rFonts w:ascii="Times New Roman" w:cs="Times New Roman" w:eastAsia="Times New Roman" w:hAnsi="Times New Roman"/>
                <w:sz w:val="12"/>
                <w:szCs w:val="12"/>
                <w:color w:val="auto"/>
              </w:rPr>
              <w:t>(Dilution) Accretion per Share Held by Stockholder A (NAV per Share Less</w:t>
            </w: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4420" w:type="dxa"/>
            <w:vAlign w:val="bottom"/>
            <w:gridSpan w:val="2"/>
            <w:shd w:val="clear" w:color="auto" w:fill="CCEEFF"/>
          </w:tcPr>
          <w:p>
            <w:pPr>
              <w:ind w:left="340"/>
              <w:spacing w:after="0" w:line="136" w:lineRule="exact"/>
              <w:rPr>
                <w:sz w:val="20"/>
                <w:szCs w:val="20"/>
                <w:color w:val="auto"/>
              </w:rPr>
            </w:pPr>
            <w:r>
              <w:rPr>
                <w:rFonts w:ascii="Times New Roman" w:cs="Times New Roman" w:eastAsia="Times New Roman" w:hAnsi="Times New Roman"/>
                <w:sz w:val="12"/>
                <w:szCs w:val="12"/>
                <w:color w:val="auto"/>
              </w:rPr>
              <w:t>Investment per Share)</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60"/>
              <w:spacing w:after="0" w:line="136" w:lineRule="exact"/>
              <w:rPr>
                <w:sz w:val="20"/>
                <w:szCs w:val="20"/>
                <w:color w:val="auto"/>
              </w:rPr>
            </w:pPr>
            <w:r>
              <w:rPr>
                <w:rFonts w:ascii="Times New Roman" w:cs="Times New Roman" w:eastAsia="Times New Roman" w:hAnsi="Times New Roman"/>
                <w:sz w:val="12"/>
                <w:szCs w:val="12"/>
                <w:color w:val="auto"/>
              </w:rPr>
              <w:t>— </w:t>
            </w:r>
          </w:p>
        </w:tc>
        <w:tc>
          <w:tcPr>
            <w:tcW w:w="18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300"/>
              <w:spacing w:after="0" w:line="136" w:lineRule="exact"/>
              <w:rPr>
                <w:sz w:val="20"/>
                <w:szCs w:val="20"/>
                <w:color w:val="auto"/>
              </w:rPr>
            </w:pPr>
            <w:r>
              <w:rPr>
                <w:rFonts w:ascii="Times New Roman" w:cs="Times New Roman" w:eastAsia="Times New Roman" w:hAnsi="Times New Roman"/>
                <w:sz w:val="12"/>
                <w:szCs w:val="12"/>
                <w:color w:val="auto"/>
              </w:rPr>
              <w:t>(0.19)</w:t>
            </w:r>
          </w:p>
        </w:tc>
        <w:tc>
          <w:tcPr>
            <w:tcW w:w="740" w:type="dxa"/>
            <w:vAlign w:val="bottom"/>
            <w:gridSpan w:val="2"/>
            <w:shd w:val="clear" w:color="auto" w:fill="CCEEFF"/>
          </w:tcPr>
          <w:p>
            <w:pPr>
              <w:jc w:val="right"/>
              <w:ind w:right="400"/>
              <w:spacing w:after="0" w:line="136"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shd w:val="clear" w:color="auto" w:fill="CCEEFF"/>
          </w:tcPr>
          <w:p>
            <w:pPr>
              <w:jc w:val="right"/>
              <w:ind w:right="340"/>
              <w:spacing w:after="0" w:line="136" w:lineRule="exact"/>
              <w:rPr>
                <w:sz w:val="20"/>
                <w:szCs w:val="20"/>
                <w:color w:val="auto"/>
              </w:rPr>
            </w:pPr>
            <w:r>
              <w:rPr>
                <w:rFonts w:ascii="Times New Roman" w:cs="Times New Roman" w:eastAsia="Times New Roman" w:hAnsi="Times New Roman"/>
                <w:sz w:val="12"/>
                <w:szCs w:val="12"/>
                <w:color w:val="auto"/>
              </w:rPr>
              <w:t>0.03</w:t>
            </w:r>
          </w:p>
        </w:tc>
        <w:tc>
          <w:tcPr>
            <w:tcW w:w="520" w:type="dxa"/>
            <w:vAlign w:val="bottom"/>
            <w:gridSpan w:val="2"/>
            <w:shd w:val="clear" w:color="auto" w:fill="CCEEFF"/>
          </w:tcPr>
          <w:p>
            <w:pPr>
              <w:jc w:val="right"/>
              <w:ind w:right="200"/>
              <w:spacing w:after="0" w:line="136"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10"/>
        </w:trPr>
        <w:tc>
          <w:tcPr>
            <w:tcW w:w="4420" w:type="dxa"/>
            <w:vAlign w:val="bottom"/>
            <w:gridSpan w:val="2"/>
          </w:tcPr>
          <w:p>
            <w:pPr>
              <w:ind w:left="240"/>
              <w:spacing w:after="0" w:line="110" w:lineRule="exact"/>
              <w:rPr>
                <w:sz w:val="20"/>
                <w:szCs w:val="20"/>
                <w:color w:val="auto"/>
              </w:rPr>
            </w:pPr>
            <w:r>
              <w:rPr>
                <w:rFonts w:ascii="Times New Roman" w:cs="Times New Roman" w:eastAsia="Times New Roman" w:hAnsi="Times New Roman"/>
                <w:sz w:val="12"/>
                <w:szCs w:val="12"/>
                <w:color w:val="auto"/>
              </w:rPr>
              <w:t>Percentage (Dilution) Accretion to Stockholder A (Dilution per Share Divided by</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442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Investment per Share)</w:t>
            </w:r>
          </w:p>
        </w:tc>
        <w:tc>
          <w:tcPr>
            <w:tcW w:w="10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— </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— </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(1.93)%</w:t>
            </w:r>
          </w:p>
        </w:tc>
        <w:tc>
          <w:tcPr>
            <w:tcW w:w="6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0.32%</w:t>
            </w:r>
          </w:p>
        </w:tc>
        <w:tc>
          <w:tcPr>
            <w:tcW w:w="0" w:type="dxa"/>
            <w:vAlign w:val="bottom"/>
          </w:tcPr>
          <w:p>
            <w:pPr>
              <w:spacing w:after="0"/>
              <w:rPr>
                <w:sz w:val="1"/>
                <w:szCs w:val="1"/>
                <w:color w:val="auto"/>
              </w:rPr>
            </w:pPr>
          </w:p>
        </w:tc>
      </w:tr>
    </w:tbl>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9019"/>
          </w:cols>
          <w:pgMar w:left="1440" w:top="256" w:right="1440" w:bottom="1440" w:gutter="0" w:footer="0" w:header="0"/>
        </w:sectPr>
      </w:pPr>
    </w:p>
    <w:bookmarkStart w:id="46" w:name="page47"/>
    <w:bookmarkEnd w:id="46"/>
    <w:p>
      <w:pPr>
        <w:ind w:left="3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203440" cy="45085"/>
                    </a:xfrm>
                    <a:prstGeom prst="rect">
                      <a:avLst/>
                    </a:prstGeom>
                    <a:noFill/>
                  </pic:spPr>
                </pic:pic>
              </a:graphicData>
            </a:graphic>
          </wp:anchor>
        </w:drawing>
        <w:t>Impact on New Investors of Our Common Stock</w:t>
      </w:r>
    </w:p>
    <w:p>
      <w:pPr>
        <w:spacing w:after="0" w:line="89" w:lineRule="exact"/>
        <w:rPr>
          <w:sz w:val="20"/>
          <w:szCs w:val="20"/>
          <w:color w:val="auto"/>
        </w:rPr>
      </w:pPr>
    </w:p>
    <w:p>
      <w:pPr>
        <w:ind w:left="320" w:right="339" w:firstLine="335"/>
        <w:spacing w:after="0" w:line="267" w:lineRule="auto"/>
        <w:rPr>
          <w:sz w:val="20"/>
          <w:szCs w:val="20"/>
          <w:color w:val="auto"/>
        </w:rPr>
      </w:pPr>
      <w:r>
        <w:rPr>
          <w:rFonts w:ascii="Times New Roman" w:cs="Times New Roman" w:eastAsia="Times New Roman" w:hAnsi="Times New Roman"/>
          <w:sz w:val="13"/>
          <w:szCs w:val="13"/>
          <w:color w:val="auto"/>
        </w:rPr>
        <w:t>Investors who are not currently stockholders and who participate in an offering of our common stock below net asset value but whose investment per share is greater than the resulting net asset value per share due to selling compensation and expenses paid by the issuer will experience an immediate decrease, albeit small, in the net asset value of their shares of common stock and their net asset value per share compared to the price they pay for their shares of common stock. Investors who are not currently stockholders and who participate in an offering below net asset value per share and whose investment per share is also less than the resulting net asset value per share due to selling compensation and expenses paid by the issuer being significantly less than the discount per share will experience an immediate increase in the net asset value of their shares of common stock and their net asset value per share compared to the price they pay for their shares of common stock.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of common stock, which often reflects to some degree announced or potential increases and decreases in net asset value per share. This decrease could be more pronounced as the size of the offering and level of discounts increases.</w:t>
      </w:r>
    </w:p>
    <w:p>
      <w:pPr>
        <w:spacing w:after="0" w:line="138" w:lineRule="exact"/>
        <w:rPr>
          <w:sz w:val="20"/>
          <w:szCs w:val="20"/>
          <w:color w:val="auto"/>
        </w:rPr>
      </w:pPr>
    </w:p>
    <w:p>
      <w:pPr>
        <w:ind w:left="320" w:right="359" w:firstLine="335"/>
        <w:spacing w:after="0" w:line="249" w:lineRule="auto"/>
        <w:rPr>
          <w:sz w:val="20"/>
          <w:szCs w:val="20"/>
          <w:color w:val="auto"/>
        </w:rPr>
      </w:pPr>
      <w:r>
        <w:rPr>
          <w:rFonts w:ascii="Times New Roman" w:cs="Times New Roman" w:eastAsia="Times New Roman" w:hAnsi="Times New Roman"/>
          <w:sz w:val="14"/>
          <w:szCs w:val="14"/>
          <w:color w:val="auto"/>
        </w:rPr>
        <w:t>The following table illustrates the level of dilution or accretion for new investors that would be experienced by a new investor in the same hypothetical 5.0%, 10.0% and 20.0% discounted offerings as described in the first table above. The illustration is for a new investor who purchases the same percentage (1.0%) of the shares in the offering as Stockholder A in the prior examples held immediately prior to the offering. The prospectus supplement pursuant to which any discounted offering is made will include a table for these examples based on the actual number of shares in such offering and the actual discount from the most recently determined net asset value per share. It is not possible to predict the level of market price decline that may occur. Actual sales prices and discounts may differ from the presentation below.</w:t>
      </w:r>
    </w:p>
    <w:p>
      <w:pPr>
        <w:spacing w:after="0" w:line="147"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3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4"/>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Example 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gridSpan w:val="4"/>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Example 2</w:t>
            </w:r>
          </w:p>
        </w:tc>
        <w:tc>
          <w:tcPr>
            <w:tcW w:w="60" w:type="dxa"/>
            <w:vAlign w:val="bottom"/>
          </w:tcPr>
          <w:p>
            <w:pPr>
              <w:spacing w:after="0"/>
              <w:rPr>
                <w:sz w:val="11"/>
                <w:szCs w:val="11"/>
                <w:color w:val="auto"/>
              </w:rPr>
            </w:pPr>
          </w:p>
        </w:tc>
        <w:tc>
          <w:tcPr>
            <w:tcW w:w="1260" w:type="dxa"/>
            <w:vAlign w:val="bottom"/>
            <w:gridSpan w:val="4"/>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Example 3</w:t>
            </w:r>
          </w:p>
        </w:tc>
        <w:tc>
          <w:tcPr>
            <w:tcW w:w="0" w:type="dxa"/>
            <w:vAlign w:val="bottom"/>
          </w:tcPr>
          <w:p>
            <w:pPr>
              <w:spacing w:after="0"/>
              <w:rPr>
                <w:sz w:val="1"/>
                <w:szCs w:val="1"/>
                <w:color w:val="auto"/>
              </w:rPr>
            </w:pPr>
          </w:p>
        </w:tc>
      </w:tr>
      <w:tr>
        <w:trPr>
          <w:trHeight w:val="113"/>
        </w:trPr>
        <w:tc>
          <w:tcPr>
            <w:tcW w:w="3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4"/>
          </w:tcPr>
          <w:p>
            <w:pPr>
              <w:jc w:val="center"/>
              <w:ind w:right="260"/>
              <w:spacing w:after="0" w:line="113" w:lineRule="exact"/>
              <w:rPr>
                <w:sz w:val="20"/>
                <w:szCs w:val="20"/>
                <w:color w:val="auto"/>
              </w:rPr>
            </w:pPr>
            <w:r>
              <w:rPr>
                <w:rFonts w:ascii="Times New Roman" w:cs="Times New Roman" w:eastAsia="Times New Roman" w:hAnsi="Times New Roman"/>
                <w:sz w:val="11"/>
                <w:szCs w:val="11"/>
                <w:b w:val="1"/>
                <w:bCs w:val="1"/>
                <w:color w:val="auto"/>
              </w:rPr>
              <w:t>5.0% Offering</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gridSpan w:val="4"/>
          </w:tcPr>
          <w:p>
            <w:pPr>
              <w:jc w:val="center"/>
              <w:ind w:right="360"/>
              <w:spacing w:after="0" w:line="113" w:lineRule="exact"/>
              <w:rPr>
                <w:sz w:val="20"/>
                <w:szCs w:val="20"/>
                <w:color w:val="auto"/>
              </w:rPr>
            </w:pPr>
            <w:r>
              <w:rPr>
                <w:rFonts w:ascii="Times New Roman" w:cs="Times New Roman" w:eastAsia="Times New Roman" w:hAnsi="Times New Roman"/>
                <w:sz w:val="11"/>
                <w:szCs w:val="11"/>
                <w:b w:val="1"/>
                <w:bCs w:val="1"/>
                <w:color w:val="auto"/>
              </w:rPr>
              <w:t>10.0% Offering</w:t>
            </w:r>
          </w:p>
        </w:tc>
        <w:tc>
          <w:tcPr>
            <w:tcW w:w="60" w:type="dxa"/>
            <w:vAlign w:val="bottom"/>
          </w:tcPr>
          <w:p>
            <w:pPr>
              <w:spacing w:after="0"/>
              <w:rPr>
                <w:sz w:val="9"/>
                <w:szCs w:val="9"/>
                <w:color w:val="auto"/>
              </w:rPr>
            </w:pPr>
          </w:p>
        </w:tc>
        <w:tc>
          <w:tcPr>
            <w:tcW w:w="1260" w:type="dxa"/>
            <w:vAlign w:val="bottom"/>
            <w:gridSpan w:val="4"/>
          </w:tcPr>
          <w:p>
            <w:pPr>
              <w:jc w:val="center"/>
              <w:ind w:right="220"/>
              <w:spacing w:after="0" w:line="113" w:lineRule="exact"/>
              <w:rPr>
                <w:sz w:val="20"/>
                <w:szCs w:val="20"/>
                <w:color w:val="auto"/>
              </w:rPr>
            </w:pPr>
            <w:r>
              <w:rPr>
                <w:rFonts w:ascii="Times New Roman" w:cs="Times New Roman" w:eastAsia="Times New Roman" w:hAnsi="Times New Roman"/>
                <w:sz w:val="11"/>
                <w:szCs w:val="11"/>
                <w:b w:val="1"/>
                <w:bCs w:val="1"/>
                <w:color w:val="auto"/>
                <w:w w:val="98"/>
              </w:rPr>
              <w:t>20.0% Offering</w:t>
            </w:r>
          </w:p>
        </w:tc>
        <w:tc>
          <w:tcPr>
            <w:tcW w:w="0" w:type="dxa"/>
            <w:vAlign w:val="bottom"/>
          </w:tcPr>
          <w:p>
            <w:pPr>
              <w:spacing w:after="0"/>
              <w:rPr>
                <w:sz w:val="1"/>
                <w:szCs w:val="1"/>
                <w:color w:val="auto"/>
              </w:rPr>
            </w:pPr>
          </w:p>
        </w:tc>
      </w:tr>
      <w:tr>
        <w:trPr>
          <w:trHeight w:val="132"/>
        </w:trPr>
        <w:tc>
          <w:tcPr>
            <w:tcW w:w="3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Prior to Sale</w:t>
            </w:r>
          </w:p>
        </w:tc>
        <w:tc>
          <w:tcPr>
            <w:tcW w:w="60" w:type="dxa"/>
            <w:vAlign w:val="bottom"/>
          </w:tcPr>
          <w:p>
            <w:pPr>
              <w:spacing w:after="0"/>
              <w:rPr>
                <w:sz w:val="11"/>
                <w:szCs w:val="11"/>
                <w:color w:val="auto"/>
              </w:rPr>
            </w:pPr>
          </w:p>
        </w:tc>
        <w:tc>
          <w:tcPr>
            <w:tcW w:w="1260" w:type="dxa"/>
            <w:vAlign w:val="bottom"/>
            <w:gridSpan w:val="4"/>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At 5.0% Discount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gridSpan w:val="4"/>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At 10.0% Discount</w:t>
            </w:r>
          </w:p>
        </w:tc>
        <w:tc>
          <w:tcPr>
            <w:tcW w:w="60" w:type="dxa"/>
            <w:vAlign w:val="bottom"/>
          </w:tcPr>
          <w:p>
            <w:pPr>
              <w:spacing w:after="0"/>
              <w:rPr>
                <w:sz w:val="11"/>
                <w:szCs w:val="11"/>
                <w:color w:val="auto"/>
              </w:rPr>
            </w:pPr>
          </w:p>
        </w:tc>
        <w:tc>
          <w:tcPr>
            <w:tcW w:w="1260" w:type="dxa"/>
            <w:vAlign w:val="bottom"/>
            <w:gridSpan w:val="4"/>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At 20.0% Discount</w:t>
            </w:r>
          </w:p>
        </w:tc>
        <w:tc>
          <w:tcPr>
            <w:tcW w:w="0" w:type="dxa"/>
            <w:vAlign w:val="bottom"/>
          </w:tcPr>
          <w:p>
            <w:pPr>
              <w:spacing w:after="0"/>
              <w:rPr>
                <w:sz w:val="1"/>
                <w:szCs w:val="1"/>
                <w:color w:val="auto"/>
              </w:rPr>
            </w:pPr>
          </w:p>
        </w:tc>
      </w:tr>
      <w:tr>
        <w:trPr>
          <w:trHeight w:val="84"/>
        </w:trPr>
        <w:tc>
          <w:tcPr>
            <w:tcW w:w="3400" w:type="dxa"/>
            <w:vAlign w:val="bottom"/>
            <w:gridSpan w:val="2"/>
            <w:vMerge w:val="restart"/>
          </w:tcPr>
          <w:p>
            <w:pPr>
              <w:ind w:left="1500"/>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840" w:type="dxa"/>
            <w:vAlign w:val="bottom"/>
            <w:gridSpan w:val="3"/>
            <w:vMerge w:val="continue"/>
          </w:tcPr>
          <w:p>
            <w:pPr>
              <w:spacing w:after="0"/>
              <w:rPr>
                <w:sz w:val="7"/>
                <w:szCs w:val="7"/>
                <w:color w:val="auto"/>
              </w:rPr>
            </w:pPr>
          </w:p>
        </w:tc>
        <w:tc>
          <w:tcPr>
            <w:tcW w:w="740" w:type="dxa"/>
            <w:vAlign w:val="bottom"/>
            <w:tcBorders>
              <w:top w:val="single" w:sz="8" w:color="auto"/>
            </w:tcBorders>
            <w:gridSpan w:val="3"/>
          </w:tcPr>
          <w:p>
            <w:pPr>
              <w:jc w:val="right"/>
              <w:ind w:right="240"/>
              <w:spacing w:after="0" w:line="84" w:lineRule="exact"/>
              <w:rPr>
                <w:sz w:val="20"/>
                <w:szCs w:val="20"/>
                <w:color w:val="auto"/>
              </w:rPr>
            </w:pPr>
            <w:r>
              <w:rPr>
                <w:rFonts w:ascii="Times New Roman" w:cs="Times New Roman" w:eastAsia="Times New Roman" w:hAnsi="Times New Roman"/>
                <w:sz w:val="9"/>
                <w:szCs w:val="9"/>
                <w:b w:val="1"/>
                <w:bCs w:val="1"/>
                <w:color w:val="auto"/>
              </w:rPr>
              <w:t>Following</w:t>
            </w:r>
          </w:p>
        </w:tc>
        <w:tc>
          <w:tcPr>
            <w:tcW w:w="360" w:type="dxa"/>
            <w:vAlign w:val="bottom"/>
            <w:tcBorders>
              <w:top w:val="single" w:sz="8" w:color="auto"/>
            </w:tcBorders>
          </w:tcPr>
          <w:p>
            <w:pPr>
              <w:ind w:left="120"/>
              <w:spacing w:after="0" w:line="84" w:lineRule="exact"/>
              <w:rPr>
                <w:sz w:val="20"/>
                <w:szCs w:val="20"/>
                <w:color w:val="auto"/>
              </w:rPr>
            </w:pPr>
            <w:r>
              <w:rPr>
                <w:rFonts w:ascii="Times New Roman" w:cs="Times New Roman" w:eastAsia="Times New Roman" w:hAnsi="Times New Roman"/>
                <w:sz w:val="9"/>
                <w:szCs w:val="9"/>
                <w:b w:val="1"/>
                <w:bCs w:val="1"/>
                <w:color w:val="auto"/>
              </w:rPr>
              <w:t>%</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Borders>
              <w:top w:val="single" w:sz="8" w:color="auto"/>
            </w:tcBorders>
            <w:gridSpan w:val="3"/>
          </w:tcPr>
          <w:p>
            <w:pPr>
              <w:jc w:val="right"/>
              <w:ind w:right="240"/>
              <w:spacing w:after="0" w:line="84" w:lineRule="exact"/>
              <w:rPr>
                <w:sz w:val="20"/>
                <w:szCs w:val="20"/>
                <w:color w:val="auto"/>
              </w:rPr>
            </w:pPr>
            <w:r>
              <w:rPr>
                <w:rFonts w:ascii="Times New Roman" w:cs="Times New Roman" w:eastAsia="Times New Roman" w:hAnsi="Times New Roman"/>
                <w:sz w:val="9"/>
                <w:szCs w:val="9"/>
                <w:b w:val="1"/>
                <w:bCs w:val="1"/>
                <w:color w:val="auto"/>
              </w:rPr>
              <w:t>Following</w:t>
            </w:r>
          </w:p>
        </w:tc>
        <w:tc>
          <w:tcPr>
            <w:tcW w:w="360" w:type="dxa"/>
            <w:vAlign w:val="bottom"/>
            <w:tcBorders>
              <w:top w:val="single" w:sz="8" w:color="auto"/>
            </w:tcBorders>
          </w:tcPr>
          <w:p>
            <w:pPr>
              <w:ind w:left="120"/>
              <w:spacing w:after="0" w:line="84" w:lineRule="exact"/>
              <w:rPr>
                <w:sz w:val="20"/>
                <w:szCs w:val="20"/>
                <w:color w:val="auto"/>
              </w:rPr>
            </w:pPr>
            <w:r>
              <w:rPr>
                <w:rFonts w:ascii="Times New Roman" w:cs="Times New Roman" w:eastAsia="Times New Roman" w:hAnsi="Times New Roman"/>
                <w:sz w:val="9"/>
                <w:szCs w:val="9"/>
                <w:b w:val="1"/>
                <w:bCs w:val="1"/>
                <w:color w:val="auto"/>
              </w:rPr>
              <w:t>%</w:t>
            </w:r>
          </w:p>
        </w:tc>
        <w:tc>
          <w:tcPr>
            <w:tcW w:w="300" w:type="dxa"/>
            <w:vAlign w:val="bottom"/>
          </w:tcPr>
          <w:p>
            <w:pPr>
              <w:spacing w:after="0"/>
              <w:rPr>
                <w:sz w:val="7"/>
                <w:szCs w:val="7"/>
                <w:color w:val="auto"/>
              </w:rPr>
            </w:pPr>
          </w:p>
        </w:tc>
        <w:tc>
          <w:tcPr>
            <w:tcW w:w="800" w:type="dxa"/>
            <w:vAlign w:val="bottom"/>
            <w:tcBorders>
              <w:top w:val="single" w:sz="8" w:color="auto"/>
            </w:tcBorders>
            <w:gridSpan w:val="3"/>
          </w:tcPr>
          <w:p>
            <w:pPr>
              <w:jc w:val="right"/>
              <w:ind w:right="300"/>
              <w:spacing w:after="0" w:line="84" w:lineRule="exact"/>
              <w:rPr>
                <w:sz w:val="20"/>
                <w:szCs w:val="20"/>
                <w:color w:val="auto"/>
              </w:rPr>
            </w:pPr>
            <w:r>
              <w:rPr>
                <w:rFonts w:ascii="Times New Roman" w:cs="Times New Roman" w:eastAsia="Times New Roman" w:hAnsi="Times New Roman"/>
                <w:sz w:val="9"/>
                <w:szCs w:val="9"/>
                <w:b w:val="1"/>
                <w:bCs w:val="1"/>
                <w:color w:val="auto"/>
              </w:rPr>
              <w:t>Following</w:t>
            </w:r>
          </w:p>
        </w:tc>
        <w:tc>
          <w:tcPr>
            <w:tcW w:w="360" w:type="dxa"/>
            <w:vAlign w:val="bottom"/>
            <w:tcBorders>
              <w:top w:val="single" w:sz="8" w:color="auto"/>
            </w:tcBorders>
          </w:tcPr>
          <w:p>
            <w:pPr>
              <w:ind w:left="120"/>
              <w:spacing w:after="0" w:line="84" w:lineRule="exact"/>
              <w:rPr>
                <w:sz w:val="20"/>
                <w:szCs w:val="20"/>
                <w:color w:val="auto"/>
              </w:rPr>
            </w:pPr>
            <w:r>
              <w:rPr>
                <w:rFonts w:ascii="Times New Roman" w:cs="Times New Roman" w:eastAsia="Times New Roman" w:hAnsi="Times New Roman"/>
                <w:sz w:val="9"/>
                <w:szCs w:val="9"/>
                <w:b w:val="1"/>
                <w:bCs w:val="1"/>
                <w:color w:val="auto"/>
              </w:rPr>
              <w:t>%</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3400" w:type="dxa"/>
            <w:vAlign w:val="bottom"/>
            <w:gridSpan w:val="2"/>
            <w:vMerge w:val="continue"/>
          </w:tcPr>
          <w:p>
            <w:pPr>
              <w:spacing w:after="0"/>
              <w:rPr>
                <w:sz w:val="11"/>
                <w:szCs w:val="1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Below NAV</w:t>
            </w:r>
          </w:p>
        </w:tc>
        <w:tc>
          <w:tcPr>
            <w:tcW w:w="60" w:type="dxa"/>
            <w:vAlign w:val="bottom"/>
          </w:tcPr>
          <w:p>
            <w:pPr>
              <w:spacing w:after="0"/>
              <w:rPr>
                <w:sz w:val="11"/>
                <w:szCs w:val="11"/>
                <w:color w:val="auto"/>
              </w:rPr>
            </w:pPr>
          </w:p>
        </w:tc>
        <w:tc>
          <w:tcPr>
            <w:tcW w:w="68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Sale</w:t>
            </w:r>
          </w:p>
        </w:tc>
        <w:tc>
          <w:tcPr>
            <w:tcW w:w="5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Sale</w:t>
            </w:r>
          </w:p>
        </w:tc>
        <w:tc>
          <w:tcPr>
            <w:tcW w:w="6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60" w:type="dxa"/>
            <w:vAlign w:val="bottom"/>
          </w:tcPr>
          <w:p>
            <w:pPr>
              <w:spacing w:after="0"/>
              <w:rPr>
                <w:sz w:val="11"/>
                <w:szCs w:val="11"/>
                <w:color w:val="auto"/>
              </w:rPr>
            </w:pPr>
          </w:p>
        </w:tc>
        <w:tc>
          <w:tcPr>
            <w:tcW w:w="74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Sale</w:t>
            </w:r>
          </w:p>
        </w:tc>
        <w:tc>
          <w:tcPr>
            <w:tcW w:w="5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13"/>
        </w:trPr>
        <w:tc>
          <w:tcPr>
            <w:tcW w:w="3320" w:type="dxa"/>
            <w:vAlign w:val="bottom"/>
            <w:tcBorders>
              <w:top w:val="single" w:sz="8" w:color="auto"/>
            </w:tcBorders>
            <w:shd w:val="clear" w:color="auto" w:fill="CCEEFF"/>
          </w:tcPr>
          <w:p>
            <w:pPr>
              <w:spacing w:after="0" w:line="114" w:lineRule="exact"/>
              <w:rPr>
                <w:sz w:val="20"/>
                <w:szCs w:val="20"/>
                <w:color w:val="auto"/>
              </w:rPr>
            </w:pPr>
            <w:r>
              <w:rPr>
                <w:rFonts w:ascii="Times New Roman" w:cs="Times New Roman" w:eastAsia="Times New Roman" w:hAnsi="Times New Roman"/>
                <w:sz w:val="12"/>
                <w:szCs w:val="12"/>
                <w:b w:val="1"/>
                <w:bCs w:val="1"/>
                <w:i w:val="1"/>
                <w:iCs w:val="1"/>
                <w:color w:val="auto"/>
              </w:rPr>
              <w:t>Offering Price</w:t>
            </w: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340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auto"/>
              </w:rPr>
              <w:t>Price per Share to Public</w:t>
            </w:r>
          </w:p>
        </w:tc>
        <w:tc>
          <w:tcPr>
            <w:tcW w:w="80" w:type="dxa"/>
            <w:vAlign w:val="bottom"/>
          </w:tcPr>
          <w:p>
            <w:pPr>
              <w:spacing w:after="0"/>
              <w:rPr>
                <w:sz w:val="10"/>
                <w:szCs w:val="10"/>
                <w:color w:val="auto"/>
              </w:rPr>
            </w:pPr>
          </w:p>
        </w:tc>
        <w:tc>
          <w:tcPr>
            <w:tcW w:w="760" w:type="dxa"/>
            <w:vAlign w:val="bottom"/>
            <w:gridSpan w:val="2"/>
          </w:tcPr>
          <w:p>
            <w:pPr>
              <w:ind w:left="34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rPr>
              <w:t>10.00</w:t>
            </w:r>
          </w:p>
        </w:tc>
        <w:tc>
          <w:tcPr>
            <w:tcW w:w="580" w:type="dxa"/>
            <w:vAlign w:val="bottom"/>
            <w:gridSpan w:val="2"/>
          </w:tcPr>
          <w:p>
            <w:pPr>
              <w:ind w:left="18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1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rPr>
              <w:t>9.47</w:t>
            </w:r>
          </w:p>
        </w:tc>
        <w:tc>
          <w:tcPr>
            <w:tcW w:w="660" w:type="dxa"/>
            <w:vAlign w:val="bottom"/>
            <w:gridSpan w:val="2"/>
          </w:tcPr>
          <w:p>
            <w:pPr>
              <w:ind w:left="18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jc w:val="right"/>
              <w:ind w:right="280"/>
              <w:spacing w:after="0" w:line="124" w:lineRule="exact"/>
              <w:rPr>
                <w:sz w:val="20"/>
                <w:szCs w:val="20"/>
                <w:color w:val="auto"/>
              </w:rPr>
            </w:pPr>
            <w:r>
              <w:rPr>
                <w:rFonts w:ascii="Times New Roman" w:cs="Times New Roman" w:eastAsia="Times New Roman" w:hAnsi="Times New Roman"/>
                <w:sz w:val="12"/>
                <w:szCs w:val="12"/>
                <w:color w:val="auto"/>
              </w:rPr>
              <w:t>8.42</w:t>
            </w:r>
          </w:p>
        </w:tc>
        <w:tc>
          <w:tcPr>
            <w:tcW w:w="520" w:type="dxa"/>
            <w:vAlign w:val="bottom"/>
            <w:gridSpan w:val="2"/>
          </w:tcPr>
          <w:p>
            <w:pPr>
              <w:ind w:left="18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3"/>
        </w:trPr>
        <w:tc>
          <w:tcPr>
            <w:tcW w:w="340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Net Proceeds per Share to Issuer</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ind w:left="34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shd w:val="clear" w:color="auto" w:fill="CCEEFF"/>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rPr>
              <w:t>9.50</w:t>
            </w:r>
          </w:p>
        </w:tc>
        <w:tc>
          <w:tcPr>
            <w:tcW w:w="580" w:type="dxa"/>
            <w:vAlign w:val="bottom"/>
            <w:gridSpan w:val="2"/>
            <w:shd w:val="clear" w:color="auto" w:fill="CCEEFF"/>
          </w:tcPr>
          <w:p>
            <w:pPr>
              <w:ind w:left="18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14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rPr>
              <w:t>9.00</w:t>
            </w:r>
          </w:p>
        </w:tc>
        <w:tc>
          <w:tcPr>
            <w:tcW w:w="660" w:type="dxa"/>
            <w:vAlign w:val="bottom"/>
            <w:gridSpan w:val="2"/>
            <w:shd w:val="clear" w:color="auto" w:fill="CCEEFF"/>
          </w:tcPr>
          <w:p>
            <w:pPr>
              <w:ind w:left="18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shd w:val="clear" w:color="auto" w:fill="CCEEFF"/>
          </w:tcPr>
          <w:p>
            <w:pPr>
              <w:jc w:val="right"/>
              <w:ind w:right="280"/>
              <w:spacing w:after="0" w:line="124" w:lineRule="exact"/>
              <w:rPr>
                <w:sz w:val="20"/>
                <w:szCs w:val="20"/>
                <w:color w:val="auto"/>
              </w:rPr>
            </w:pPr>
            <w:r>
              <w:rPr>
                <w:rFonts w:ascii="Times New Roman" w:cs="Times New Roman" w:eastAsia="Times New Roman" w:hAnsi="Times New Roman"/>
                <w:sz w:val="12"/>
                <w:szCs w:val="12"/>
                <w:color w:val="auto"/>
              </w:rPr>
              <w:t>8.00</w:t>
            </w:r>
          </w:p>
        </w:tc>
        <w:tc>
          <w:tcPr>
            <w:tcW w:w="520" w:type="dxa"/>
            <w:vAlign w:val="bottom"/>
            <w:gridSpan w:val="2"/>
            <w:shd w:val="clear" w:color="auto" w:fill="CCEEFF"/>
          </w:tcPr>
          <w:p>
            <w:pPr>
              <w:ind w:left="18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3"/>
        </w:trPr>
        <w:tc>
          <w:tcPr>
            <w:tcW w:w="340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b w:val="1"/>
                <w:bCs w:val="1"/>
                <w:i w:val="1"/>
                <w:iCs w:val="1"/>
                <w:color w:val="auto"/>
              </w:rPr>
              <w:t>(Decrease) Increase to NAV</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40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Total Shares Outstanding</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60"/>
              <w:spacing w:after="0" w:line="124" w:lineRule="exact"/>
              <w:rPr>
                <w:sz w:val="20"/>
                <w:szCs w:val="20"/>
                <w:color w:val="auto"/>
              </w:rPr>
            </w:pPr>
            <w:r>
              <w:rPr>
                <w:rFonts w:ascii="Times New Roman" w:cs="Times New Roman" w:eastAsia="Times New Roman" w:hAnsi="Times New Roman"/>
                <w:sz w:val="12"/>
                <w:szCs w:val="12"/>
                <w:color w:val="auto"/>
                <w:w w:val="99"/>
              </w:rPr>
              <w:t>1,000,000</w:t>
            </w: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w w:val="95"/>
              </w:rPr>
              <w:t>1,050,000</w:t>
            </w:r>
          </w:p>
        </w:tc>
        <w:tc>
          <w:tcPr>
            <w:tcW w:w="58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5.00%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w w:val="95"/>
              </w:rPr>
              <w:t>1,100,000</w:t>
            </w:r>
          </w:p>
        </w:tc>
        <w:tc>
          <w:tcPr>
            <w:tcW w:w="2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rPr>
              <w:t>10.00%</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80"/>
              <w:spacing w:after="0" w:line="124" w:lineRule="exact"/>
              <w:rPr>
                <w:sz w:val="20"/>
                <w:szCs w:val="20"/>
                <w:color w:val="auto"/>
              </w:rPr>
            </w:pPr>
            <w:r>
              <w:rPr>
                <w:rFonts w:ascii="Times New Roman" w:cs="Times New Roman" w:eastAsia="Times New Roman" w:hAnsi="Times New Roman"/>
                <w:sz w:val="12"/>
                <w:szCs w:val="12"/>
                <w:color w:val="auto"/>
                <w:w w:val="91"/>
              </w:rPr>
              <w:t>1,200,000</w:t>
            </w:r>
          </w:p>
        </w:tc>
        <w:tc>
          <w:tcPr>
            <w:tcW w:w="52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20.00%</w:t>
            </w:r>
          </w:p>
        </w:tc>
        <w:tc>
          <w:tcPr>
            <w:tcW w:w="0" w:type="dxa"/>
            <w:vAlign w:val="bottom"/>
          </w:tcPr>
          <w:p>
            <w:pPr>
              <w:spacing w:after="0"/>
              <w:rPr>
                <w:sz w:val="1"/>
                <w:szCs w:val="1"/>
                <w:color w:val="auto"/>
              </w:rPr>
            </w:pPr>
          </w:p>
        </w:tc>
      </w:tr>
      <w:tr>
        <w:trPr>
          <w:trHeight w:val="123"/>
        </w:trPr>
        <w:tc>
          <w:tcPr>
            <w:tcW w:w="340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auto"/>
              </w:rPr>
              <w:t>NAV per Share</w:t>
            </w:r>
          </w:p>
        </w:tc>
        <w:tc>
          <w:tcPr>
            <w:tcW w:w="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gridSpan w:val="2"/>
          </w:tcPr>
          <w:p>
            <w:pPr>
              <w:jc w:val="right"/>
              <w:ind w:right="260"/>
              <w:spacing w:after="0" w:line="124" w:lineRule="exact"/>
              <w:rPr>
                <w:sz w:val="20"/>
                <w:szCs w:val="20"/>
                <w:color w:val="auto"/>
              </w:rPr>
            </w:pPr>
            <w:r>
              <w:rPr>
                <w:rFonts w:ascii="Times New Roman" w:cs="Times New Roman" w:eastAsia="Times New Roman" w:hAnsi="Times New Roman"/>
                <w:sz w:val="12"/>
                <w:szCs w:val="12"/>
                <w:color w:val="auto"/>
              </w:rPr>
              <w:t>10.00</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rPr>
              <w:t>9.98</w:t>
            </w:r>
          </w:p>
        </w:tc>
        <w:tc>
          <w:tcPr>
            <w:tcW w:w="58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(0.24)%</w:t>
            </w:r>
          </w:p>
        </w:tc>
        <w:tc>
          <w:tcPr>
            <w:tcW w:w="1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rPr>
              <w:t>9.91</w:t>
            </w:r>
          </w:p>
        </w:tc>
        <w:tc>
          <w:tcPr>
            <w:tcW w:w="66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(0.91)%</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jc w:val="right"/>
              <w:ind w:right="280"/>
              <w:spacing w:after="0" w:line="124" w:lineRule="exact"/>
              <w:rPr>
                <w:sz w:val="20"/>
                <w:szCs w:val="20"/>
                <w:color w:val="auto"/>
              </w:rPr>
            </w:pPr>
            <w:r>
              <w:rPr>
                <w:rFonts w:ascii="Times New Roman" w:cs="Times New Roman" w:eastAsia="Times New Roman" w:hAnsi="Times New Roman"/>
                <w:sz w:val="12"/>
                <w:szCs w:val="12"/>
                <w:color w:val="auto"/>
              </w:rPr>
              <w:t>9.67</w:t>
            </w:r>
          </w:p>
        </w:tc>
        <w:tc>
          <w:tcPr>
            <w:tcW w:w="52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(3.33)%</w:t>
            </w:r>
          </w:p>
        </w:tc>
        <w:tc>
          <w:tcPr>
            <w:tcW w:w="0" w:type="dxa"/>
            <w:vAlign w:val="bottom"/>
          </w:tcPr>
          <w:p>
            <w:pPr>
              <w:spacing w:after="0"/>
              <w:rPr>
                <w:sz w:val="1"/>
                <w:szCs w:val="1"/>
                <w:color w:val="auto"/>
              </w:rPr>
            </w:pPr>
          </w:p>
        </w:tc>
      </w:tr>
      <w:tr>
        <w:trPr>
          <w:trHeight w:val="123"/>
        </w:trPr>
        <w:tc>
          <w:tcPr>
            <w:tcW w:w="340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i w:val="1"/>
                <w:iCs w:val="1"/>
                <w:color w:val="auto"/>
              </w:rPr>
              <w:t>(Dilution) Accretion to Stockholder</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40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auto"/>
              </w:rPr>
              <w:t>Shares Held by Investor A</w:t>
            </w:r>
          </w:p>
        </w:tc>
        <w:tc>
          <w:tcPr>
            <w:tcW w:w="80" w:type="dxa"/>
            <w:vAlign w:val="bottom"/>
          </w:tcPr>
          <w:p>
            <w:pPr>
              <w:spacing w:after="0"/>
              <w:rPr>
                <w:sz w:val="10"/>
                <w:szCs w:val="10"/>
                <w:color w:val="auto"/>
              </w:rPr>
            </w:pPr>
          </w:p>
        </w:tc>
        <w:tc>
          <w:tcPr>
            <w:tcW w:w="760" w:type="dxa"/>
            <w:vAlign w:val="bottom"/>
            <w:gridSpan w:val="2"/>
          </w:tcPr>
          <w:p>
            <w:pPr>
              <w:ind w:left="34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0"/>
                <w:szCs w:val="10"/>
                <w:color w:val="auto"/>
              </w:rPr>
            </w:pPr>
          </w:p>
        </w:tc>
        <w:tc>
          <w:tcPr>
            <w:tcW w:w="680" w:type="dxa"/>
            <w:vAlign w:val="bottom"/>
            <w:gridSpan w:val="2"/>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rPr>
              <w:t>500</w:t>
            </w:r>
          </w:p>
        </w:tc>
        <w:tc>
          <w:tcPr>
            <w:tcW w:w="580" w:type="dxa"/>
            <w:vAlign w:val="bottom"/>
            <w:gridSpan w:val="2"/>
          </w:tcPr>
          <w:p>
            <w:pPr>
              <w:ind w:left="18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rPr>
              <w:t>1,000</w:t>
            </w:r>
          </w:p>
        </w:tc>
        <w:tc>
          <w:tcPr>
            <w:tcW w:w="660" w:type="dxa"/>
            <w:vAlign w:val="bottom"/>
            <w:gridSpan w:val="2"/>
          </w:tcPr>
          <w:p>
            <w:pPr>
              <w:ind w:left="18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0"/>
                <w:szCs w:val="10"/>
                <w:color w:val="auto"/>
              </w:rPr>
            </w:pPr>
          </w:p>
        </w:tc>
        <w:tc>
          <w:tcPr>
            <w:tcW w:w="740" w:type="dxa"/>
            <w:vAlign w:val="bottom"/>
            <w:gridSpan w:val="2"/>
          </w:tcPr>
          <w:p>
            <w:pPr>
              <w:jc w:val="right"/>
              <w:ind w:right="280"/>
              <w:spacing w:after="0" w:line="124" w:lineRule="exact"/>
              <w:rPr>
                <w:sz w:val="20"/>
                <w:szCs w:val="20"/>
                <w:color w:val="auto"/>
              </w:rPr>
            </w:pPr>
            <w:r>
              <w:rPr>
                <w:rFonts w:ascii="Times New Roman" w:cs="Times New Roman" w:eastAsia="Times New Roman" w:hAnsi="Times New Roman"/>
                <w:sz w:val="12"/>
                <w:szCs w:val="12"/>
                <w:color w:val="auto"/>
              </w:rPr>
              <w:t>2,000</w:t>
            </w:r>
          </w:p>
        </w:tc>
        <w:tc>
          <w:tcPr>
            <w:tcW w:w="520" w:type="dxa"/>
            <w:vAlign w:val="bottom"/>
            <w:gridSpan w:val="2"/>
          </w:tcPr>
          <w:p>
            <w:pPr>
              <w:ind w:left="18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3"/>
        </w:trPr>
        <w:tc>
          <w:tcPr>
            <w:tcW w:w="340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Percentage Held by Investor A</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ind w:left="34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0.05%</w:t>
            </w:r>
          </w:p>
        </w:tc>
        <w:tc>
          <w:tcPr>
            <w:tcW w:w="580" w:type="dxa"/>
            <w:vAlign w:val="bottom"/>
            <w:gridSpan w:val="2"/>
            <w:shd w:val="clear" w:color="auto" w:fill="CCEEFF"/>
          </w:tcPr>
          <w:p>
            <w:pPr>
              <w:ind w:left="18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0.09%</w:t>
            </w:r>
          </w:p>
        </w:tc>
        <w:tc>
          <w:tcPr>
            <w:tcW w:w="660" w:type="dxa"/>
            <w:vAlign w:val="bottom"/>
            <w:gridSpan w:val="2"/>
            <w:shd w:val="clear" w:color="auto" w:fill="CCEEFF"/>
          </w:tcPr>
          <w:p>
            <w:pPr>
              <w:ind w:left="18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0.17%</w:t>
            </w:r>
          </w:p>
        </w:tc>
        <w:tc>
          <w:tcPr>
            <w:tcW w:w="520" w:type="dxa"/>
            <w:vAlign w:val="bottom"/>
            <w:gridSpan w:val="2"/>
            <w:shd w:val="clear" w:color="auto" w:fill="CCEEFF"/>
          </w:tcPr>
          <w:p>
            <w:pPr>
              <w:ind w:left="18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3"/>
        </w:trPr>
        <w:tc>
          <w:tcPr>
            <w:tcW w:w="340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Total Asset Values</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400" w:type="dxa"/>
            <w:vAlign w:val="bottom"/>
            <w:gridSpan w:val="2"/>
            <w:shd w:val="clear" w:color="auto" w:fill="CCEEFF"/>
          </w:tcPr>
          <w:p>
            <w:pPr>
              <w:ind w:left="240"/>
              <w:spacing w:after="0" w:line="124" w:lineRule="exact"/>
              <w:rPr>
                <w:sz w:val="20"/>
                <w:szCs w:val="20"/>
                <w:color w:val="auto"/>
              </w:rPr>
            </w:pPr>
            <w:r>
              <w:rPr>
                <w:rFonts w:ascii="Times New Roman" w:cs="Times New Roman" w:eastAsia="Times New Roman" w:hAnsi="Times New Roman"/>
                <w:sz w:val="12"/>
                <w:szCs w:val="12"/>
                <w:color w:val="auto"/>
              </w:rPr>
              <w:t>Total NAV Held by Investor A</w:t>
            </w:r>
          </w:p>
        </w:tc>
        <w:tc>
          <w:tcPr>
            <w:tcW w:w="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gridSpan w:val="2"/>
            <w:shd w:val="clear" w:color="auto" w:fill="CCEEFF"/>
          </w:tcPr>
          <w:p>
            <w:pPr>
              <w:ind w:left="34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shd w:val="clear" w:color="auto" w:fill="CCEEFF"/>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rPr>
              <w:t>4,988</w:t>
            </w:r>
          </w:p>
        </w:tc>
        <w:tc>
          <w:tcPr>
            <w:tcW w:w="580" w:type="dxa"/>
            <w:vAlign w:val="bottom"/>
            <w:gridSpan w:val="2"/>
            <w:shd w:val="clear" w:color="auto" w:fill="CCEEFF"/>
          </w:tcPr>
          <w:p>
            <w:pPr>
              <w:ind w:left="18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14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rPr>
              <w:t>9,909</w:t>
            </w:r>
          </w:p>
        </w:tc>
        <w:tc>
          <w:tcPr>
            <w:tcW w:w="660" w:type="dxa"/>
            <w:vAlign w:val="bottom"/>
            <w:gridSpan w:val="2"/>
            <w:shd w:val="clear" w:color="auto" w:fill="CCEEFF"/>
          </w:tcPr>
          <w:p>
            <w:pPr>
              <w:ind w:left="18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shd w:val="clear" w:color="auto" w:fill="CCEEFF"/>
          </w:tcPr>
          <w:p>
            <w:pPr>
              <w:jc w:val="right"/>
              <w:ind w:right="280"/>
              <w:spacing w:after="0" w:line="124" w:lineRule="exact"/>
              <w:rPr>
                <w:sz w:val="20"/>
                <w:szCs w:val="20"/>
                <w:color w:val="auto"/>
              </w:rPr>
            </w:pPr>
            <w:r>
              <w:rPr>
                <w:rFonts w:ascii="Times New Roman" w:cs="Times New Roman" w:eastAsia="Times New Roman" w:hAnsi="Times New Roman"/>
                <w:sz w:val="12"/>
                <w:szCs w:val="12"/>
                <w:color w:val="auto"/>
              </w:rPr>
              <w:t>19,333</w:t>
            </w:r>
          </w:p>
        </w:tc>
        <w:tc>
          <w:tcPr>
            <w:tcW w:w="520" w:type="dxa"/>
            <w:vAlign w:val="bottom"/>
            <w:gridSpan w:val="2"/>
            <w:shd w:val="clear" w:color="auto" w:fill="CCEEFF"/>
          </w:tcPr>
          <w:p>
            <w:pPr>
              <w:ind w:left="18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3"/>
        </w:trPr>
        <w:tc>
          <w:tcPr>
            <w:tcW w:w="340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2"/>
                <w:szCs w:val="12"/>
                <w:color w:val="auto"/>
              </w:rPr>
              <w:t>Total Investment by Investor A (At Price to Public)</w:t>
            </w:r>
          </w:p>
        </w:tc>
        <w:tc>
          <w:tcPr>
            <w:tcW w:w="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gridSpan w:val="2"/>
          </w:tcPr>
          <w:p>
            <w:pPr>
              <w:ind w:left="34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rPr>
              <w:t>5,000</w:t>
            </w:r>
          </w:p>
        </w:tc>
        <w:tc>
          <w:tcPr>
            <w:tcW w:w="580" w:type="dxa"/>
            <w:vAlign w:val="bottom"/>
            <w:gridSpan w:val="2"/>
          </w:tcPr>
          <w:p>
            <w:pPr>
              <w:ind w:left="18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1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rPr>
              <w:t>9,474</w:t>
            </w:r>
          </w:p>
        </w:tc>
        <w:tc>
          <w:tcPr>
            <w:tcW w:w="660" w:type="dxa"/>
            <w:vAlign w:val="bottom"/>
            <w:gridSpan w:val="2"/>
          </w:tcPr>
          <w:p>
            <w:pPr>
              <w:ind w:left="18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jc w:val="right"/>
              <w:ind w:right="280"/>
              <w:spacing w:after="0" w:line="124" w:lineRule="exact"/>
              <w:rPr>
                <w:sz w:val="20"/>
                <w:szCs w:val="20"/>
                <w:color w:val="auto"/>
              </w:rPr>
            </w:pPr>
            <w:r>
              <w:rPr>
                <w:rFonts w:ascii="Times New Roman" w:cs="Times New Roman" w:eastAsia="Times New Roman" w:hAnsi="Times New Roman"/>
                <w:sz w:val="12"/>
                <w:szCs w:val="12"/>
                <w:color w:val="auto"/>
              </w:rPr>
              <w:t>16,842</w:t>
            </w:r>
          </w:p>
        </w:tc>
        <w:tc>
          <w:tcPr>
            <w:tcW w:w="520" w:type="dxa"/>
            <w:vAlign w:val="bottom"/>
            <w:gridSpan w:val="2"/>
          </w:tcPr>
          <w:p>
            <w:pPr>
              <w:ind w:left="18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10"/>
        </w:trPr>
        <w:tc>
          <w:tcPr>
            <w:tcW w:w="3400" w:type="dxa"/>
            <w:vAlign w:val="bottom"/>
            <w:gridSpan w:val="2"/>
            <w:shd w:val="clear" w:color="auto" w:fill="CCEEFF"/>
          </w:tcPr>
          <w:p>
            <w:pPr>
              <w:ind w:left="240"/>
              <w:spacing w:after="0" w:line="110" w:lineRule="exact"/>
              <w:rPr>
                <w:sz w:val="20"/>
                <w:szCs w:val="20"/>
                <w:color w:val="auto"/>
              </w:rPr>
            </w:pPr>
            <w:r>
              <w:rPr>
                <w:rFonts w:ascii="Times New Roman" w:cs="Times New Roman" w:eastAsia="Times New Roman" w:hAnsi="Times New Roman"/>
                <w:sz w:val="12"/>
                <w:szCs w:val="12"/>
                <w:color w:val="auto"/>
              </w:rPr>
              <w:t>Total (Dilution) Accretion to Investor A (Total NAV Less Total</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3400" w:type="dxa"/>
            <w:vAlign w:val="bottom"/>
            <w:gridSpan w:val="2"/>
            <w:shd w:val="clear" w:color="auto" w:fill="CCEEFF"/>
          </w:tcPr>
          <w:p>
            <w:pPr>
              <w:ind w:left="340"/>
              <w:spacing w:after="0" w:line="136" w:lineRule="exact"/>
              <w:rPr>
                <w:sz w:val="20"/>
                <w:szCs w:val="20"/>
                <w:color w:val="auto"/>
              </w:rPr>
            </w:pPr>
            <w:r>
              <w:rPr>
                <w:rFonts w:ascii="Times New Roman" w:cs="Times New Roman" w:eastAsia="Times New Roman" w:hAnsi="Times New Roman"/>
                <w:sz w:val="12"/>
                <w:szCs w:val="12"/>
                <w:color w:val="auto"/>
              </w:rPr>
              <w:t>Investment)</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340"/>
              <w:spacing w:after="0" w:line="136"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shd w:val="clear" w:color="auto" w:fill="CCEEFF"/>
          </w:tcPr>
          <w:p>
            <w:pPr>
              <w:jc w:val="right"/>
              <w:ind w:right="160"/>
              <w:spacing w:after="0" w:line="136" w:lineRule="exact"/>
              <w:rPr>
                <w:sz w:val="20"/>
                <w:szCs w:val="20"/>
                <w:color w:val="auto"/>
              </w:rPr>
            </w:pPr>
            <w:r>
              <w:rPr>
                <w:rFonts w:ascii="Times New Roman" w:cs="Times New Roman" w:eastAsia="Times New Roman" w:hAnsi="Times New Roman"/>
                <w:sz w:val="12"/>
                <w:szCs w:val="12"/>
                <w:color w:val="auto"/>
              </w:rPr>
              <w:t>(12)</w:t>
            </w:r>
          </w:p>
        </w:tc>
        <w:tc>
          <w:tcPr>
            <w:tcW w:w="580" w:type="dxa"/>
            <w:vAlign w:val="bottom"/>
            <w:gridSpan w:val="2"/>
            <w:shd w:val="clear" w:color="auto" w:fill="CCEEFF"/>
          </w:tcPr>
          <w:p>
            <w:pPr>
              <w:ind w:left="180"/>
              <w:spacing w:after="0" w:line="136" w:lineRule="exact"/>
              <w:rPr>
                <w:sz w:val="20"/>
                <w:szCs w:val="20"/>
                <w:color w:val="auto"/>
              </w:rPr>
            </w:pPr>
            <w:r>
              <w:rPr>
                <w:rFonts w:ascii="Times New Roman" w:cs="Times New Roman" w:eastAsia="Times New Roman" w:hAnsi="Times New Roman"/>
                <w:sz w:val="12"/>
                <w:szCs w:val="12"/>
                <w:color w:val="auto"/>
              </w:rPr>
              <w:t>— </w:t>
            </w:r>
          </w:p>
        </w:tc>
        <w:tc>
          <w:tcPr>
            <w:tcW w:w="1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200"/>
              <w:spacing w:after="0" w:line="136" w:lineRule="exact"/>
              <w:rPr>
                <w:sz w:val="20"/>
                <w:szCs w:val="20"/>
                <w:color w:val="auto"/>
              </w:rPr>
            </w:pPr>
            <w:r>
              <w:rPr>
                <w:rFonts w:ascii="Times New Roman" w:cs="Times New Roman" w:eastAsia="Times New Roman" w:hAnsi="Times New Roman"/>
                <w:sz w:val="12"/>
                <w:szCs w:val="12"/>
                <w:color w:val="auto"/>
              </w:rPr>
              <w:t>435</w:t>
            </w:r>
          </w:p>
        </w:tc>
        <w:tc>
          <w:tcPr>
            <w:tcW w:w="660" w:type="dxa"/>
            <w:vAlign w:val="bottom"/>
            <w:gridSpan w:val="2"/>
            <w:shd w:val="clear" w:color="auto" w:fill="CCEEFF"/>
          </w:tcPr>
          <w:p>
            <w:pPr>
              <w:ind w:left="180"/>
              <w:spacing w:after="0" w:line="136"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shd w:val="clear" w:color="auto" w:fill="CCEEFF"/>
          </w:tcPr>
          <w:p>
            <w:pPr>
              <w:jc w:val="right"/>
              <w:ind w:right="280"/>
              <w:spacing w:after="0" w:line="136" w:lineRule="exact"/>
              <w:rPr>
                <w:sz w:val="20"/>
                <w:szCs w:val="20"/>
                <w:color w:val="auto"/>
              </w:rPr>
            </w:pPr>
            <w:r>
              <w:rPr>
                <w:rFonts w:ascii="Times New Roman" w:cs="Times New Roman" w:eastAsia="Times New Roman" w:hAnsi="Times New Roman"/>
                <w:sz w:val="12"/>
                <w:szCs w:val="12"/>
                <w:color w:val="auto"/>
              </w:rPr>
              <w:t>2,491</w:t>
            </w:r>
          </w:p>
        </w:tc>
        <w:tc>
          <w:tcPr>
            <w:tcW w:w="520" w:type="dxa"/>
            <w:vAlign w:val="bottom"/>
            <w:gridSpan w:val="2"/>
            <w:shd w:val="clear" w:color="auto" w:fill="CCEEFF"/>
          </w:tcPr>
          <w:p>
            <w:pPr>
              <w:ind w:left="180"/>
              <w:spacing w:after="0" w:line="136"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3"/>
        </w:trPr>
        <w:tc>
          <w:tcPr>
            <w:tcW w:w="340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Per Share Amounts</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40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NAV per Share Held by Investor A</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ind w:left="34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shd w:val="clear" w:color="auto" w:fill="CCEEFF"/>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rPr>
              <w:t>9.98</w:t>
            </w:r>
          </w:p>
        </w:tc>
        <w:tc>
          <w:tcPr>
            <w:tcW w:w="580" w:type="dxa"/>
            <w:vAlign w:val="bottom"/>
            <w:gridSpan w:val="2"/>
            <w:shd w:val="clear" w:color="auto" w:fill="CCEEFF"/>
          </w:tcPr>
          <w:p>
            <w:pPr>
              <w:ind w:left="18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14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rPr>
              <w:t>9.91</w:t>
            </w:r>
          </w:p>
        </w:tc>
        <w:tc>
          <w:tcPr>
            <w:tcW w:w="660" w:type="dxa"/>
            <w:vAlign w:val="bottom"/>
            <w:gridSpan w:val="2"/>
            <w:shd w:val="clear" w:color="auto" w:fill="CCEEFF"/>
          </w:tcPr>
          <w:p>
            <w:pPr>
              <w:ind w:left="18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shd w:val="clear" w:color="auto" w:fill="CCEEFF"/>
          </w:tcPr>
          <w:p>
            <w:pPr>
              <w:jc w:val="right"/>
              <w:ind w:right="280"/>
              <w:spacing w:after="0" w:line="124" w:lineRule="exact"/>
              <w:rPr>
                <w:sz w:val="20"/>
                <w:szCs w:val="20"/>
                <w:color w:val="auto"/>
              </w:rPr>
            </w:pPr>
            <w:r>
              <w:rPr>
                <w:rFonts w:ascii="Times New Roman" w:cs="Times New Roman" w:eastAsia="Times New Roman" w:hAnsi="Times New Roman"/>
                <w:sz w:val="12"/>
                <w:szCs w:val="12"/>
                <w:color w:val="auto"/>
              </w:rPr>
              <w:t>9.67</w:t>
            </w:r>
          </w:p>
        </w:tc>
        <w:tc>
          <w:tcPr>
            <w:tcW w:w="520" w:type="dxa"/>
            <w:vAlign w:val="bottom"/>
            <w:gridSpan w:val="2"/>
            <w:shd w:val="clear" w:color="auto" w:fill="CCEEFF"/>
          </w:tcPr>
          <w:p>
            <w:pPr>
              <w:ind w:left="18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3"/>
        </w:trPr>
        <w:tc>
          <w:tcPr>
            <w:tcW w:w="340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2"/>
                <w:szCs w:val="12"/>
                <w:color w:val="auto"/>
              </w:rPr>
              <w:t>Investment per Share Held by Investor A</w:t>
            </w:r>
          </w:p>
        </w:tc>
        <w:tc>
          <w:tcPr>
            <w:tcW w:w="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gridSpan w:val="2"/>
          </w:tcPr>
          <w:p>
            <w:pPr>
              <w:ind w:left="34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rPr>
              <w:t>10.00</w:t>
            </w:r>
          </w:p>
        </w:tc>
        <w:tc>
          <w:tcPr>
            <w:tcW w:w="580" w:type="dxa"/>
            <w:vAlign w:val="bottom"/>
            <w:gridSpan w:val="2"/>
          </w:tcPr>
          <w:p>
            <w:pPr>
              <w:ind w:left="18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1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rPr>
              <w:t>9.47</w:t>
            </w:r>
          </w:p>
        </w:tc>
        <w:tc>
          <w:tcPr>
            <w:tcW w:w="660" w:type="dxa"/>
            <w:vAlign w:val="bottom"/>
            <w:gridSpan w:val="2"/>
          </w:tcPr>
          <w:p>
            <w:pPr>
              <w:ind w:left="18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jc w:val="right"/>
              <w:ind w:right="280"/>
              <w:spacing w:after="0" w:line="124" w:lineRule="exact"/>
              <w:rPr>
                <w:sz w:val="20"/>
                <w:szCs w:val="20"/>
                <w:color w:val="auto"/>
              </w:rPr>
            </w:pPr>
            <w:r>
              <w:rPr>
                <w:rFonts w:ascii="Times New Roman" w:cs="Times New Roman" w:eastAsia="Times New Roman" w:hAnsi="Times New Roman"/>
                <w:sz w:val="12"/>
                <w:szCs w:val="12"/>
                <w:color w:val="auto"/>
              </w:rPr>
              <w:t>8.42</w:t>
            </w:r>
          </w:p>
        </w:tc>
        <w:tc>
          <w:tcPr>
            <w:tcW w:w="520" w:type="dxa"/>
            <w:vAlign w:val="bottom"/>
            <w:gridSpan w:val="2"/>
          </w:tcPr>
          <w:p>
            <w:pPr>
              <w:ind w:left="180"/>
              <w:spacing w:after="0" w:line="124"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10"/>
        </w:trPr>
        <w:tc>
          <w:tcPr>
            <w:tcW w:w="3400" w:type="dxa"/>
            <w:vAlign w:val="bottom"/>
            <w:gridSpan w:val="2"/>
            <w:shd w:val="clear" w:color="auto" w:fill="CCEEFF"/>
          </w:tcPr>
          <w:p>
            <w:pPr>
              <w:ind w:left="240"/>
              <w:spacing w:after="0" w:line="110" w:lineRule="exact"/>
              <w:rPr>
                <w:sz w:val="20"/>
                <w:szCs w:val="20"/>
                <w:color w:val="auto"/>
              </w:rPr>
            </w:pPr>
            <w:r>
              <w:rPr>
                <w:rFonts w:ascii="Times New Roman" w:cs="Times New Roman" w:eastAsia="Times New Roman" w:hAnsi="Times New Roman"/>
                <w:sz w:val="12"/>
                <w:szCs w:val="12"/>
                <w:color w:val="auto"/>
              </w:rPr>
              <w:t>(Dilution) Accretion per Share Held by Investor A (NAV per</w:t>
            </w: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3400" w:type="dxa"/>
            <w:vAlign w:val="bottom"/>
            <w:gridSpan w:val="2"/>
            <w:shd w:val="clear" w:color="auto" w:fill="CCEEFF"/>
          </w:tcPr>
          <w:p>
            <w:pPr>
              <w:ind w:left="340"/>
              <w:spacing w:after="0" w:line="136" w:lineRule="exact"/>
              <w:rPr>
                <w:sz w:val="20"/>
                <w:szCs w:val="20"/>
                <w:color w:val="auto"/>
              </w:rPr>
            </w:pPr>
            <w:r>
              <w:rPr>
                <w:rFonts w:ascii="Times New Roman" w:cs="Times New Roman" w:eastAsia="Times New Roman" w:hAnsi="Times New Roman"/>
                <w:sz w:val="12"/>
                <w:szCs w:val="12"/>
                <w:color w:val="auto"/>
              </w:rPr>
              <w:t>Share Less Investment per Share)</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340"/>
              <w:spacing w:after="0" w:line="136"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shd w:val="clear" w:color="auto" w:fill="CCEEFF"/>
          </w:tcPr>
          <w:p>
            <w:pPr>
              <w:jc w:val="right"/>
              <w:ind w:right="160"/>
              <w:spacing w:after="0" w:line="136" w:lineRule="exact"/>
              <w:rPr>
                <w:sz w:val="20"/>
                <w:szCs w:val="20"/>
                <w:color w:val="auto"/>
              </w:rPr>
            </w:pPr>
            <w:r>
              <w:rPr>
                <w:rFonts w:ascii="Times New Roman" w:cs="Times New Roman" w:eastAsia="Times New Roman" w:hAnsi="Times New Roman"/>
                <w:sz w:val="12"/>
                <w:szCs w:val="12"/>
                <w:color w:val="auto"/>
              </w:rPr>
              <w:t>(0.02)</w:t>
            </w:r>
          </w:p>
        </w:tc>
        <w:tc>
          <w:tcPr>
            <w:tcW w:w="580" w:type="dxa"/>
            <w:vAlign w:val="bottom"/>
            <w:gridSpan w:val="2"/>
            <w:shd w:val="clear" w:color="auto" w:fill="CCEEFF"/>
          </w:tcPr>
          <w:p>
            <w:pPr>
              <w:ind w:left="180"/>
              <w:spacing w:after="0" w:line="136" w:lineRule="exact"/>
              <w:rPr>
                <w:sz w:val="20"/>
                <w:szCs w:val="20"/>
                <w:color w:val="auto"/>
              </w:rPr>
            </w:pPr>
            <w:r>
              <w:rPr>
                <w:rFonts w:ascii="Times New Roman" w:cs="Times New Roman" w:eastAsia="Times New Roman" w:hAnsi="Times New Roman"/>
                <w:sz w:val="12"/>
                <w:szCs w:val="12"/>
                <w:color w:val="auto"/>
              </w:rPr>
              <w:t>— </w:t>
            </w:r>
          </w:p>
        </w:tc>
        <w:tc>
          <w:tcPr>
            <w:tcW w:w="1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200"/>
              <w:spacing w:after="0" w:line="136" w:lineRule="exact"/>
              <w:rPr>
                <w:sz w:val="20"/>
                <w:szCs w:val="20"/>
                <w:color w:val="auto"/>
              </w:rPr>
            </w:pPr>
            <w:r>
              <w:rPr>
                <w:rFonts w:ascii="Times New Roman" w:cs="Times New Roman" w:eastAsia="Times New Roman" w:hAnsi="Times New Roman"/>
                <w:sz w:val="12"/>
                <w:szCs w:val="12"/>
                <w:color w:val="auto"/>
              </w:rPr>
              <w:t>0.44</w:t>
            </w:r>
          </w:p>
        </w:tc>
        <w:tc>
          <w:tcPr>
            <w:tcW w:w="660" w:type="dxa"/>
            <w:vAlign w:val="bottom"/>
            <w:gridSpan w:val="2"/>
            <w:shd w:val="clear" w:color="auto" w:fill="CCEEFF"/>
          </w:tcPr>
          <w:p>
            <w:pPr>
              <w:ind w:left="180"/>
              <w:spacing w:after="0" w:line="136"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shd w:val="clear" w:color="auto" w:fill="CCEEFF"/>
          </w:tcPr>
          <w:p>
            <w:pPr>
              <w:jc w:val="right"/>
              <w:ind w:right="280"/>
              <w:spacing w:after="0" w:line="136" w:lineRule="exact"/>
              <w:rPr>
                <w:sz w:val="20"/>
                <w:szCs w:val="20"/>
                <w:color w:val="auto"/>
              </w:rPr>
            </w:pPr>
            <w:r>
              <w:rPr>
                <w:rFonts w:ascii="Times New Roman" w:cs="Times New Roman" w:eastAsia="Times New Roman" w:hAnsi="Times New Roman"/>
                <w:sz w:val="12"/>
                <w:szCs w:val="12"/>
                <w:color w:val="auto"/>
              </w:rPr>
              <w:t>1.25</w:t>
            </w:r>
          </w:p>
        </w:tc>
        <w:tc>
          <w:tcPr>
            <w:tcW w:w="520" w:type="dxa"/>
            <w:vAlign w:val="bottom"/>
            <w:gridSpan w:val="2"/>
            <w:shd w:val="clear" w:color="auto" w:fill="CCEEFF"/>
          </w:tcPr>
          <w:p>
            <w:pPr>
              <w:ind w:left="180"/>
              <w:spacing w:after="0" w:line="136"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10"/>
        </w:trPr>
        <w:tc>
          <w:tcPr>
            <w:tcW w:w="3400" w:type="dxa"/>
            <w:vAlign w:val="bottom"/>
            <w:gridSpan w:val="2"/>
          </w:tcPr>
          <w:p>
            <w:pPr>
              <w:ind w:left="240"/>
              <w:spacing w:after="0" w:line="110" w:lineRule="exact"/>
              <w:rPr>
                <w:sz w:val="20"/>
                <w:szCs w:val="20"/>
                <w:color w:val="auto"/>
              </w:rPr>
            </w:pPr>
            <w:r>
              <w:rPr>
                <w:rFonts w:ascii="Times New Roman" w:cs="Times New Roman" w:eastAsia="Times New Roman" w:hAnsi="Times New Roman"/>
                <w:sz w:val="12"/>
                <w:szCs w:val="12"/>
                <w:color w:val="auto"/>
                <w:w w:val="99"/>
              </w:rPr>
              <w:t>Percentage (Dilution) Accretion to Investor A (Dilution per Share</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34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Divided by Investment per Share)</w:t>
            </w:r>
          </w:p>
        </w:tc>
        <w:tc>
          <w:tcPr>
            <w:tcW w:w="80" w:type="dxa"/>
            <w:vAlign w:val="bottom"/>
          </w:tcPr>
          <w:p>
            <w:pPr>
              <w:spacing w:after="0"/>
              <w:rPr>
                <w:sz w:val="13"/>
                <w:szCs w:val="13"/>
                <w:color w:val="auto"/>
              </w:rPr>
            </w:pP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(0.24)%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4.60%</w:t>
            </w:r>
          </w:p>
        </w:tc>
        <w:tc>
          <w:tcPr>
            <w:tcW w:w="60" w:type="dxa"/>
            <w:vAlign w:val="bottom"/>
          </w:tcPr>
          <w:p>
            <w:pPr>
              <w:spacing w:after="0"/>
              <w:rPr>
                <w:sz w:val="13"/>
                <w:szCs w:val="13"/>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14.79%</w:t>
            </w:r>
          </w:p>
        </w:tc>
        <w:tc>
          <w:tcPr>
            <w:tcW w:w="0" w:type="dxa"/>
            <w:vAlign w:val="bottom"/>
          </w:tcPr>
          <w:p>
            <w:pPr>
              <w:spacing w:after="0"/>
              <w:rPr>
                <w:sz w:val="1"/>
                <w:szCs w:val="1"/>
                <w:color w:val="auto"/>
              </w:rPr>
            </w:pPr>
          </w:p>
        </w:tc>
      </w:tr>
    </w:tbl>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9019"/>
          </w:cols>
          <w:pgMar w:left="1440" w:top="256" w:right="1440"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203440" cy="45085"/>
                    </a:xfrm>
                    <a:prstGeom prst="rect">
                      <a:avLst/>
                    </a:prstGeom>
                    <a:noFill/>
                  </pic:spPr>
                </pic:pic>
              </a:graphicData>
            </a:graphic>
          </wp:anchor>
        </w:drawing>
        <w:t>DIVIDEND REINVESTMENT PLAN</w:t>
      </w:r>
    </w:p>
    <w:p>
      <w:pPr>
        <w:spacing w:after="0" w:line="171" w:lineRule="exact"/>
        <w:rPr>
          <w:sz w:val="20"/>
          <w:szCs w:val="20"/>
          <w:color w:val="auto"/>
        </w:rPr>
      </w:pPr>
    </w:p>
    <w:p>
      <w:pPr>
        <w:ind w:left="320" w:right="439" w:firstLine="335"/>
        <w:spacing w:after="0" w:line="252" w:lineRule="auto"/>
        <w:rPr>
          <w:sz w:val="20"/>
          <w:szCs w:val="20"/>
          <w:color w:val="auto"/>
        </w:rPr>
      </w:pPr>
      <w:r>
        <w:rPr>
          <w:rFonts w:ascii="Times New Roman" w:cs="Times New Roman" w:eastAsia="Times New Roman" w:hAnsi="Times New Roman"/>
          <w:sz w:val="14"/>
          <w:szCs w:val="14"/>
          <w:color w:val="auto"/>
        </w:rPr>
        <w:t>We have adopted a dividend reinvestment plan that provides for reinvestment of our distributions on behalf of our stockholders, unless a stockholder elects to receive cash as provided below.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w:t>
      </w:r>
    </w:p>
    <w:p>
      <w:pPr>
        <w:spacing w:after="0" w:line="145" w:lineRule="exact"/>
        <w:rPr>
          <w:sz w:val="20"/>
          <w:szCs w:val="20"/>
          <w:color w:val="auto"/>
        </w:rPr>
      </w:pPr>
    </w:p>
    <w:p>
      <w:pPr>
        <w:ind w:left="320" w:right="399" w:firstLine="335"/>
        <w:spacing w:after="0" w:line="270" w:lineRule="auto"/>
        <w:rPr>
          <w:sz w:val="20"/>
          <w:szCs w:val="20"/>
          <w:color w:val="auto"/>
        </w:rPr>
      </w:pPr>
      <w:r>
        <w:rPr>
          <w:rFonts w:ascii="Times New Roman" w:cs="Times New Roman" w:eastAsia="Times New Roman" w:hAnsi="Times New Roman"/>
          <w:sz w:val="13"/>
          <w:szCs w:val="13"/>
          <w:color w:val="auto"/>
        </w:rPr>
        <w:t>No action is required on the part of a registered stockholder to have their cash distribution reinvested in shares of our common stock. A registered stockholder may elect to receive an entire distribution in cash by notifying Equiniti Trust Company, LLC, the plan administrator and our transfer agent and registrar, in writing so that such notice is received by the plan administrator no later than three days prior to the payment date for distributions to stockholders. The plan administrator will set up an account for shares acquired through the plan for each stockholder who has not elected to receive distributions in cash and hold such shares in non-certificated form. Upon request by a stockholder participating in the plan, received in writing not less than three days prior to the payment date, the plan administrator will, instead of crediting shares to and/or carrying shares in the participant’s account, issue a certificate registered in the participant’s name for the number of whole shares of our common stock and a check for any fractional share.</w:t>
      </w:r>
    </w:p>
    <w:p>
      <w:pPr>
        <w:spacing w:after="0" w:line="136" w:lineRule="exact"/>
        <w:rPr>
          <w:sz w:val="20"/>
          <w:szCs w:val="20"/>
          <w:color w:val="auto"/>
        </w:rPr>
      </w:pPr>
    </w:p>
    <w:p>
      <w:pPr>
        <w:ind w:left="320" w:right="339" w:firstLine="335"/>
        <w:spacing w:after="0" w:line="266" w:lineRule="auto"/>
        <w:rPr>
          <w:sz w:val="20"/>
          <w:szCs w:val="20"/>
          <w:color w:val="auto"/>
        </w:rPr>
      </w:pPr>
      <w:r>
        <w:rPr>
          <w:rFonts w:ascii="Times New Roman" w:cs="Times New Roman" w:eastAsia="Times New Roman" w:hAnsi="Times New Roman"/>
          <w:sz w:val="14"/>
          <w:szCs w:val="14"/>
          <w:color w:val="auto"/>
        </w:rPr>
        <w:t>Those stockholders whose shares are held by a broker or other financial intermediary may receive distributions in cash by notifying their broker or other financial intermediary of their election.</w:t>
      </w:r>
    </w:p>
    <w:p>
      <w:pPr>
        <w:spacing w:after="0" w:line="136" w:lineRule="exact"/>
        <w:rPr>
          <w:sz w:val="20"/>
          <w:szCs w:val="20"/>
          <w:color w:val="auto"/>
        </w:rPr>
      </w:pPr>
    </w:p>
    <w:p>
      <w:pPr>
        <w:ind w:left="320" w:right="379" w:firstLine="335"/>
        <w:spacing w:after="0" w:line="247" w:lineRule="auto"/>
        <w:rPr>
          <w:sz w:val="20"/>
          <w:szCs w:val="20"/>
          <w:color w:val="auto"/>
        </w:rPr>
      </w:pPr>
      <w:r>
        <w:rPr>
          <w:rFonts w:ascii="Times New Roman" w:cs="Times New Roman" w:eastAsia="Times New Roman" w:hAnsi="Times New Roman"/>
          <w:sz w:val="14"/>
          <w:szCs w:val="14"/>
          <w:color w:val="auto"/>
        </w:rPr>
        <w:t>We intend to use primarily newly issued shares to implement the plan, so long as our shares are trading at or above net asset value. If our shares are trading below net asset value, we intend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fixed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distribution cannot be established until the value per share at which additional shares will be issued has been determined and elections of our stockholders have been tabulated.</w:t>
      </w:r>
    </w:p>
    <w:p>
      <w:pPr>
        <w:spacing w:after="0" w:line="152" w:lineRule="exact"/>
        <w:rPr>
          <w:sz w:val="20"/>
          <w:szCs w:val="20"/>
          <w:color w:val="auto"/>
        </w:rPr>
      </w:pPr>
    </w:p>
    <w:p>
      <w:pPr>
        <w:jc w:val="both"/>
        <w:ind w:left="320" w:right="339" w:firstLine="335"/>
        <w:spacing w:after="0" w:line="252" w:lineRule="auto"/>
        <w:rPr>
          <w:sz w:val="20"/>
          <w:szCs w:val="20"/>
          <w:color w:val="auto"/>
        </w:rPr>
      </w:pPr>
      <w:r>
        <w:rPr>
          <w:rFonts w:ascii="Times New Roman" w:cs="Times New Roman" w:eastAsia="Times New Roman" w:hAnsi="Times New Roman"/>
          <w:sz w:val="14"/>
          <w:szCs w:val="14"/>
          <w:color w:val="auto"/>
        </w:rPr>
        <w:t>There will be no brokerage charges or other charges to stockholders who participate in the plan.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 from the proceeds.</w:t>
      </w:r>
    </w:p>
    <w:p>
      <w:pPr>
        <w:spacing w:after="0" w:line="145" w:lineRule="exact"/>
        <w:rPr>
          <w:sz w:val="20"/>
          <w:szCs w:val="20"/>
          <w:color w:val="auto"/>
        </w:rPr>
      </w:pPr>
    </w:p>
    <w:p>
      <w:pPr>
        <w:ind w:left="320" w:right="359" w:firstLine="335"/>
        <w:spacing w:after="0" w:line="249" w:lineRule="auto"/>
        <w:rPr>
          <w:sz w:val="20"/>
          <w:szCs w:val="20"/>
          <w:color w:val="auto"/>
        </w:rPr>
      </w:pPr>
      <w:r>
        <w:rPr>
          <w:rFonts w:ascii="Times New Roman" w:cs="Times New Roman" w:eastAsia="Times New Roman" w:hAnsi="Times New Roman"/>
          <w:sz w:val="14"/>
          <w:szCs w:val="14"/>
          <w:color w:val="auto"/>
        </w:rPr>
        <w:t>Stockholders who receive distributions in the form of stock are subject to the same U.S. federal, state and local tax consequences as are stockholders who elect to receive their distributions in cash; however, since their cash distributions will be reinvested, such stockholders will not receive cash with which to pay any applicable taxes on reinvested distributions. A stockholder’s adjusted tax basis for determining gain or loss upon the sale of stock received in a distribution from us will be equal to the total dollar amount of the distribution payable to the stockholder. Any stock received in a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ind w:left="320" w:right="459" w:firstLine="335"/>
        <w:spacing w:after="0" w:line="258" w:lineRule="auto"/>
        <w:rPr>
          <w:sz w:val="20"/>
          <w:szCs w:val="20"/>
          <w:color w:val="auto"/>
        </w:rPr>
      </w:pPr>
      <w:r>
        <w:rPr>
          <w:rFonts w:ascii="Times New Roman" w:cs="Times New Roman" w:eastAsia="Times New Roman" w:hAnsi="Times New Roman"/>
          <w:sz w:val="14"/>
          <w:szCs w:val="14"/>
          <w:color w:val="auto"/>
        </w:rPr>
        <w:t xml:space="preserve">Participants may terminate their accounts under the plan by notifying the plan administrator via its website at </w:t>
      </w:r>
      <w:r>
        <w:rPr>
          <w:rFonts w:ascii="Times New Roman" w:cs="Times New Roman" w:eastAsia="Times New Roman" w:hAnsi="Times New Roman"/>
          <w:sz w:val="14"/>
          <w:szCs w:val="14"/>
          <w:i w:val="1"/>
          <w:iCs w:val="1"/>
          <w:color w:val="auto"/>
        </w:rPr>
        <w:t>www.amstock.com</w:t>
      </w:r>
      <w:r>
        <w:rPr>
          <w:rFonts w:ascii="Times New Roman" w:cs="Times New Roman" w:eastAsia="Times New Roman" w:hAnsi="Times New Roman"/>
          <w:sz w:val="14"/>
          <w:szCs w:val="14"/>
          <w:color w:val="auto"/>
        </w:rPr>
        <w:t xml:space="preserve"> or by filling out the transaction request form located at bottom of their statement and sending it to Equiniti Trust Company, LLC, Post Office Box 922, Wall Street Station, New York, New York 10269-0560 or by calling the plan administrator’s Interactive Voice Response System at 1-877-573-4005.</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9019"/>
          </w:cols>
          <w:pgMar w:left="1440" w:top="256" w:right="1440" w:bottom="1440" w:gutter="0" w:footer="0" w:header="0"/>
        </w:sectPr>
      </w:pPr>
    </w:p>
    <w:bookmarkStart w:id="48" w:name="page49"/>
    <w:bookmarkEnd w:id="48"/>
    <w:p>
      <w:pPr>
        <w:ind w:left="320" w:right="339" w:firstLine="335"/>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203440" cy="45085"/>
                    </a:xfrm>
                    <a:prstGeom prst="rect">
                      <a:avLst/>
                    </a:prstGeom>
                    <a:noFill/>
                  </pic:spPr>
                </pic:pic>
              </a:graphicData>
            </a:graphic>
          </wp:anchor>
        </w:drawing>
        <w:t>The plan may be terminated by us upon notice in writing mailed to each participant at least 30 days prior to any record date for the payment of any distribution by us. All correspondence concerning the plan should be directed to the plan administrator by mail or phone at the address and phone number noted above.</w:t>
      </w:r>
    </w:p>
    <w:p>
      <w:pPr>
        <w:spacing w:after="0" w:line="143" w:lineRule="exact"/>
        <w:rPr>
          <w:sz w:val="20"/>
          <w:szCs w:val="20"/>
          <w:color w:val="auto"/>
        </w:rPr>
      </w:pPr>
    </w:p>
    <w:p>
      <w:pPr>
        <w:ind w:left="320" w:right="499" w:firstLine="335"/>
        <w:spacing w:after="0" w:line="266" w:lineRule="auto"/>
        <w:rPr>
          <w:sz w:val="20"/>
          <w:szCs w:val="20"/>
          <w:color w:val="auto"/>
        </w:rPr>
      </w:pPr>
      <w:r>
        <w:rPr>
          <w:rFonts w:ascii="Times New Roman" w:cs="Times New Roman" w:eastAsia="Times New Roman" w:hAnsi="Times New Roman"/>
          <w:sz w:val="14"/>
          <w:szCs w:val="14"/>
          <w:color w:val="auto"/>
        </w:rPr>
        <w:t>If you withdraw or the plan is terminated, you will receive the number of whole shares in your account under the plan and a cash adjustment for any fractional shares in your account.</w:t>
      </w:r>
    </w:p>
    <w:p>
      <w:pPr>
        <w:spacing w:after="0" w:line="136" w:lineRule="exact"/>
        <w:rPr>
          <w:sz w:val="20"/>
          <w:szCs w:val="20"/>
          <w:color w:val="auto"/>
        </w:rPr>
      </w:pPr>
    </w:p>
    <w:p>
      <w:pPr>
        <w:ind w:left="320" w:right="439" w:firstLine="335"/>
        <w:spacing w:after="0" w:line="266" w:lineRule="auto"/>
        <w:rPr>
          <w:sz w:val="20"/>
          <w:szCs w:val="20"/>
          <w:color w:val="auto"/>
        </w:rPr>
      </w:pPr>
      <w:r>
        <w:rPr>
          <w:rFonts w:ascii="Times New Roman" w:cs="Times New Roman" w:eastAsia="Times New Roman" w:hAnsi="Times New Roman"/>
          <w:sz w:val="14"/>
          <w:szCs w:val="14"/>
          <w:color w:val="auto"/>
        </w:rPr>
        <w:t>If you hold your common stock with a brokerage firm that does not participate in the plan, you will not be able to participate in the plan, and any distribution reinvestment may be effected on different terms than those described above. Consult your financial advisor for more information.</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9019"/>
          </w:cols>
          <w:pgMar w:left="1440" w:top="260" w:right="1440"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203440" cy="45085"/>
                    </a:xfrm>
                    <a:prstGeom prst="rect">
                      <a:avLst/>
                    </a:prstGeom>
                    <a:noFill/>
                  </pic:spPr>
                </pic:pic>
              </a:graphicData>
            </a:graphic>
          </wp:anchor>
        </w:drawing>
        <w:t>CERTAIN U.S. FEDERAL INCOME TAX CONSIDERATIONS</w:t>
      </w:r>
    </w:p>
    <w:p>
      <w:pPr>
        <w:spacing w:after="0" w:line="171" w:lineRule="exact"/>
        <w:rPr>
          <w:sz w:val="20"/>
          <w:szCs w:val="20"/>
          <w:color w:val="auto"/>
        </w:rPr>
      </w:pPr>
    </w:p>
    <w:p>
      <w:pPr>
        <w:ind w:left="320" w:right="359" w:firstLine="335"/>
        <w:spacing w:after="0" w:line="267" w:lineRule="auto"/>
        <w:rPr>
          <w:sz w:val="20"/>
          <w:szCs w:val="20"/>
          <w:color w:val="auto"/>
        </w:rPr>
      </w:pPr>
      <w:r>
        <w:rPr>
          <w:rFonts w:ascii="Times New Roman" w:cs="Times New Roman" w:eastAsia="Times New Roman" w:hAnsi="Times New Roman"/>
          <w:sz w:val="13"/>
          <w:szCs w:val="13"/>
          <w:color w:val="auto"/>
        </w:rPr>
        <w:t>The following discussion is a general summary of certain U.S. federal income tax considerations applicable to us and to an investment in shares of our common stock. This summary does not purport to be a complete description of the income tax considerations applicable to us or to investors in such an investment.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financial institutions,</w:t>
      </w:r>
    </w:p>
    <w:p>
      <w:pPr>
        <w:spacing w:after="0" w:line="1" w:lineRule="exact"/>
        <w:rPr>
          <w:sz w:val="20"/>
          <w:szCs w:val="20"/>
          <w:color w:val="auto"/>
        </w:rPr>
      </w:pPr>
    </w:p>
    <w:p>
      <w:pPr>
        <w:ind w:left="320" w:right="339"/>
        <w:spacing w:after="0" w:line="245" w:lineRule="auto"/>
        <w:rPr>
          <w:sz w:val="20"/>
          <w:szCs w:val="20"/>
          <w:color w:val="auto"/>
        </w:rPr>
      </w:pPr>
      <w:r>
        <w:rPr>
          <w:rFonts w:ascii="Times New Roman" w:cs="Times New Roman" w:eastAsia="Times New Roman" w:hAnsi="Times New Roman"/>
          <w:sz w:val="14"/>
          <w:szCs w:val="14"/>
          <w:color w:val="auto"/>
        </w:rPr>
        <w:t>U.S. stockholders (as defined below) whose functional currency is not the U.S. dollar, persons who mark-to-market our shares, persons who hold our shares as part of a “straddle,” “hedge” or “conversion” transaction, certain former citizens and long-term residents of the United States, regulated investment companies, real estate investment trusts, personal holding companies, persons required to accelerate the recognition of gross income as a result of such income being recognized on an applicable financial statement, and persons who acquire an interest in the Company in connection with the performance of services. Such persons should consult with their own tax advisers as to the U.S. federal income tax consequences of an investment in our common stock, which may differ substantially from those described herein.</w:t>
      </w:r>
    </w:p>
    <w:p>
      <w:pPr>
        <w:spacing w:after="0" w:line="151" w:lineRule="exact"/>
        <w:rPr>
          <w:sz w:val="20"/>
          <w:szCs w:val="20"/>
          <w:color w:val="auto"/>
        </w:rPr>
      </w:pPr>
    </w:p>
    <w:p>
      <w:pPr>
        <w:ind w:left="320" w:right="359" w:firstLine="335"/>
        <w:spacing w:after="0" w:line="268" w:lineRule="auto"/>
        <w:rPr>
          <w:sz w:val="20"/>
          <w:szCs w:val="20"/>
          <w:color w:val="auto"/>
        </w:rPr>
      </w:pPr>
      <w:r>
        <w:rPr>
          <w:rFonts w:ascii="Times New Roman" w:cs="Times New Roman" w:eastAsia="Times New Roman" w:hAnsi="Times New Roman"/>
          <w:sz w:val="13"/>
          <w:szCs w:val="13"/>
          <w:color w:val="auto"/>
        </w:rPr>
        <w:t>This summary assumes that investors hold shares of our common stock as capital assets (within the meaning of the Code). The discussion is based upon the Code, U.S. Department of Treasury regulations, (“Treasury Regulations”), and administrative and judicial interpretations, each as of the date of this prospectus and all of which are subject to change, possibly retroactively, which could affect the continuing validity of this discussion. We have not sought and do not intend to seek any ruling from the Internal Revenue Service, or the IRS, regarding any offer and sale of our securities under this prospectus. Prospective investors should be aware that, although we intend to adopt positions, we believe are in accord with current interpretations of the U.S. federal income tax laws, the IRS may not agree with the tax positions taken by us and that, if challenged by the IRS, our tax positions might not be sustained by the courts. This summary does not discuss any aspects of U.S. estate or gift tax or foreign, state or local tax. It does not discuss the special treatment under U.S. federal income tax laws that could result if we invested in tax-exempt securities or certain other investment assets. Tax counsel has not rendered any legal opinion regarding any tax consequences relating to us or our stockholders. Stockholders are urged to consult their own tax advisors to determine the U.S. federal, state, local and foreign tax consequences to them of investing in our shares.</w:t>
      </w:r>
    </w:p>
    <w:p>
      <w:pPr>
        <w:spacing w:after="0" w:line="136" w:lineRule="exact"/>
        <w:rPr>
          <w:sz w:val="20"/>
          <w:szCs w:val="20"/>
          <w:color w:val="auto"/>
        </w:rPr>
      </w:pPr>
    </w:p>
    <w:p>
      <w:pPr>
        <w:ind w:left="320" w:right="459" w:firstLine="335"/>
        <w:spacing w:after="0" w:line="266" w:lineRule="auto"/>
        <w:rPr>
          <w:sz w:val="20"/>
          <w:szCs w:val="20"/>
          <w:color w:val="auto"/>
        </w:rPr>
      </w:pPr>
      <w:r>
        <w:rPr>
          <w:rFonts w:ascii="Times New Roman" w:cs="Times New Roman" w:eastAsia="Times New Roman" w:hAnsi="Times New Roman"/>
          <w:sz w:val="14"/>
          <w:szCs w:val="14"/>
          <w:color w:val="auto"/>
        </w:rPr>
        <w:t>For purposes of our discussion, a “U.S. stockholder” means a beneficial owner of shares of our common stock that is for U.S. federal income tax purposes:</w:t>
      </w:r>
    </w:p>
    <w:p>
      <w:pPr>
        <w:spacing w:after="0" w:line="64" w:lineRule="exact"/>
        <w:rPr>
          <w:sz w:val="20"/>
          <w:szCs w:val="20"/>
          <w:color w:val="auto"/>
        </w:rPr>
      </w:pPr>
    </w:p>
    <w:p>
      <w:pPr>
        <w:ind w:left="1060" w:hanging="331"/>
        <w:spacing w:after="0"/>
        <w:tabs>
          <w:tab w:leader="none" w:pos="10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citizen or individual resident of the United States;</w:t>
      </w:r>
    </w:p>
    <w:p>
      <w:pPr>
        <w:spacing w:after="0" w:line="95" w:lineRule="exact"/>
        <w:rPr>
          <w:rFonts w:ascii="Times New Roman" w:cs="Times New Roman" w:eastAsia="Times New Roman" w:hAnsi="Times New Roman"/>
          <w:sz w:val="14"/>
          <w:szCs w:val="14"/>
          <w:color w:val="auto"/>
        </w:rPr>
      </w:pPr>
    </w:p>
    <w:p>
      <w:pPr>
        <w:ind w:left="1060" w:right="419" w:hanging="331"/>
        <w:spacing w:after="0" w:line="266" w:lineRule="auto"/>
        <w:tabs>
          <w:tab w:leader="none" w:pos="10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other entity treated as a corporation, created or organized in or under the laws of the United States or any state thereof or the District of Columbia;</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taxation regardless of its source; or</w:t>
      </w:r>
    </w:p>
    <w:p>
      <w:pPr>
        <w:spacing w:after="0" w:line="95" w:lineRule="exact"/>
        <w:rPr>
          <w:rFonts w:ascii="Times New Roman" w:cs="Times New Roman" w:eastAsia="Times New Roman" w:hAnsi="Times New Roman"/>
          <w:sz w:val="14"/>
          <w:szCs w:val="14"/>
          <w:color w:val="auto"/>
        </w:rPr>
      </w:pPr>
    </w:p>
    <w:p>
      <w:pPr>
        <w:jc w:val="both"/>
        <w:ind w:left="1060" w:right="519" w:hanging="331"/>
        <w:spacing w:after="0" w:line="255" w:lineRule="auto"/>
        <w:tabs>
          <w:tab w:leader="none" w:pos="10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if (1) a U.S. court is able to exercise primary supervision over the administration of such trust and one or more U.S. persons have the authority to control all substantial decisions of the trust or (2) it has a valid election in place to be treated as a domestic trust for U.S. federal income tax purposes.</w:t>
      </w:r>
    </w:p>
    <w:p>
      <w:pPr>
        <w:spacing w:after="0" w:line="143" w:lineRule="exact"/>
        <w:rPr>
          <w:sz w:val="20"/>
          <w:szCs w:val="20"/>
          <w:color w:val="auto"/>
        </w:rPr>
      </w:pPr>
    </w:p>
    <w:p>
      <w:pPr>
        <w:ind w:left="320" w:right="1179" w:firstLine="335"/>
        <w:spacing w:after="0" w:line="305" w:lineRule="auto"/>
        <w:rPr>
          <w:sz w:val="20"/>
          <w:szCs w:val="20"/>
          <w:color w:val="auto"/>
        </w:rPr>
      </w:pPr>
      <w:r>
        <w:rPr>
          <w:rFonts w:ascii="Times New Roman" w:cs="Times New Roman" w:eastAsia="Times New Roman" w:hAnsi="Times New Roman"/>
          <w:sz w:val="13"/>
          <w:szCs w:val="13"/>
          <w:color w:val="auto"/>
        </w:rPr>
        <w:t>For purposes of our discussion, a “Non-U.S. stockholder” means a beneficial owner of shares of our common stock that is neither a U.S. stockholder nor a partnership (including an entity or arrangement treated as a partnership for U.S. federal income tax purposes).</w:t>
      </w:r>
    </w:p>
    <w:p>
      <w:pPr>
        <w:spacing w:after="0" w:line="112" w:lineRule="exact"/>
        <w:rPr>
          <w:sz w:val="20"/>
          <w:szCs w:val="20"/>
          <w:color w:val="auto"/>
        </w:rPr>
      </w:pPr>
    </w:p>
    <w:p>
      <w:pPr>
        <w:ind w:left="320" w:right="599" w:firstLine="335"/>
        <w:spacing w:after="0" w:line="255" w:lineRule="auto"/>
        <w:rPr>
          <w:sz w:val="20"/>
          <w:szCs w:val="20"/>
          <w:color w:val="auto"/>
        </w:rPr>
      </w:pPr>
      <w:r>
        <w:rPr>
          <w:rFonts w:ascii="Times New Roman" w:cs="Times New Roman" w:eastAsia="Times New Roman" w:hAnsi="Times New Roman"/>
          <w:sz w:val="14"/>
          <w:szCs w:val="14"/>
          <w:color w:val="auto"/>
        </w:rPr>
        <w:t>If a partnership (including an entity or arrangement treated as a partnership for U.S. federal income tax purposes) holds shares of our common stock, the tax treatment of a partner or member of the partnership will generally depend upon the status of the partner and the activities of the partnership. Each partner in a partnership</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9019"/>
          </w:cols>
          <w:pgMar w:left="1440" w:top="256" w:right="1440" w:bottom="1440" w:gutter="0" w:footer="0" w:header="0"/>
        </w:sectPr>
      </w:pPr>
    </w:p>
    <w:bookmarkStart w:id="50" w:name="page51"/>
    <w:bookmarkEnd w:id="50"/>
    <w:p>
      <w:pPr>
        <w:ind w:left="320" w:right="87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203440" cy="45085"/>
                    </a:xfrm>
                    <a:prstGeom prst="rect">
                      <a:avLst/>
                    </a:prstGeom>
                    <a:noFill/>
                  </pic:spPr>
                </pic:pic>
              </a:graphicData>
            </a:graphic>
          </wp:anchor>
        </w:drawing>
        <w:t>that is considering acquiring shares of our common stock should consult his, her or its tax advisors with respect to the purchase, ownership and disposition of shares of our common stock.</w:t>
      </w:r>
    </w:p>
    <w:p>
      <w:pPr>
        <w:spacing w:after="0" w:line="136" w:lineRule="exact"/>
        <w:rPr>
          <w:sz w:val="20"/>
          <w:szCs w:val="20"/>
          <w:color w:val="auto"/>
        </w:rPr>
      </w:pPr>
    </w:p>
    <w:p>
      <w:pPr>
        <w:ind w:left="320" w:right="339" w:firstLine="335"/>
        <w:spacing w:after="0" w:line="252" w:lineRule="auto"/>
        <w:rPr>
          <w:sz w:val="20"/>
          <w:szCs w:val="20"/>
          <w:color w:val="auto"/>
        </w:rPr>
      </w:pPr>
      <w:r>
        <w:rPr>
          <w:rFonts w:ascii="Times New Roman" w:cs="Times New Roman" w:eastAsia="Times New Roman" w:hAnsi="Times New Roman"/>
          <w:sz w:val="14"/>
          <w:szCs w:val="14"/>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non-U.S. tax laws, eligibility for the benefits of any applicable tax treaty and the effect of any possible changes in the tax laws.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Taxation in Connection with Holding Securities other than our Common Stock</w:t>
      </w:r>
    </w:p>
    <w:p>
      <w:pPr>
        <w:spacing w:after="0" w:line="89" w:lineRule="exact"/>
        <w:rPr>
          <w:sz w:val="20"/>
          <w:szCs w:val="20"/>
          <w:color w:val="auto"/>
        </w:rPr>
      </w:pPr>
    </w:p>
    <w:p>
      <w:pPr>
        <w:ind w:left="320" w:right="359" w:firstLine="335"/>
        <w:spacing w:after="0" w:line="252" w:lineRule="auto"/>
        <w:rPr>
          <w:sz w:val="20"/>
          <w:szCs w:val="20"/>
          <w:color w:val="auto"/>
        </w:rPr>
      </w:pPr>
      <w:r>
        <w:rPr>
          <w:rFonts w:ascii="Times New Roman" w:cs="Times New Roman" w:eastAsia="Times New Roman" w:hAnsi="Times New Roman"/>
          <w:sz w:val="14"/>
          <w:szCs w:val="14"/>
          <w:color w:val="auto"/>
        </w:rPr>
        <w:t>We intend to describe in any prospectus supplement related to the offering of preferred stock, subscription rights, debt securities, or warrants to purchase our common stock, preferred stock or debt securities, the U.S. federal income tax considerations applicable to such securities as will be sold by us pursuant to that prospectus supplement, including the taxation of any debt securities that will be sold at an original issue discount, and the tax treatment of sales, exchanges or retirements of our debt securities.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Election to be Taxed as a RIC</w:t>
      </w:r>
    </w:p>
    <w:p>
      <w:pPr>
        <w:spacing w:after="0" w:line="89" w:lineRule="exact"/>
        <w:rPr>
          <w:sz w:val="20"/>
          <w:szCs w:val="20"/>
          <w:color w:val="auto"/>
        </w:rPr>
      </w:pPr>
    </w:p>
    <w:p>
      <w:pPr>
        <w:ind w:left="320" w:right="339" w:firstLine="335"/>
        <w:spacing w:after="0" w:line="246" w:lineRule="auto"/>
        <w:rPr>
          <w:sz w:val="20"/>
          <w:szCs w:val="20"/>
          <w:color w:val="auto"/>
        </w:rPr>
      </w:pPr>
      <w:r>
        <w:rPr>
          <w:rFonts w:ascii="Times New Roman" w:cs="Times New Roman" w:eastAsia="Times New Roman" w:hAnsi="Times New Roman"/>
          <w:sz w:val="14"/>
          <w:szCs w:val="14"/>
          <w:color w:val="auto"/>
        </w:rPr>
        <w:t>We have elected and intend to qualify annually to be treated as a RIC under Subchapter M of the Code. However, no assurance can be given that we will be able to maintain our RIC tax treatment. As a RIC, we generally will not be subject to U.S. federal income tax on any net ordinary income or capital gain net income that we timely distribute to our stockholders as dividends. To maintain our tax status as a RIC, we must, among other things, meet certain source-of-income and asset diversification requirements (as described below). In addition, in order to maintain our tax treatment as a RIC, we generally must distribute to our stockholders, for each taxable year, at least 90% of our “investment company taxable income,” which is generally our net ordinary income plus the excess, if any, of realized net short-term capital gain over realized net long-term capital loss, or the Annual Distribution Requirement. Depending on the level of taxable income earned in a tax year, we may choose to carry forward taxable income in excess of current year distributions into the next tax year and pay a nondeductible 4% U.S. federal excise tax on such income. In such case, we must distribute any such carryover taxable income through a distribution declared prior to filing the final tax return for the year in which we generated such taxable income. Even if we maintain our status as a RIC, we generally will be subject to U.S. federal income tax imposed at corporate rates on our undistributed taxable income and could be subject to U.S. federal excise, state, local and foreign taxes.</w:t>
      </w:r>
    </w:p>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Taxation as a RIC</w:t>
      </w:r>
    </w:p>
    <w:p>
      <w:pPr>
        <w:spacing w:after="0" w:line="89" w:lineRule="exact"/>
        <w:rPr>
          <w:sz w:val="20"/>
          <w:szCs w:val="20"/>
          <w:color w:val="auto"/>
        </w:rPr>
      </w:pPr>
    </w:p>
    <w:p>
      <w:pPr>
        <w:ind w:left="320" w:right="379" w:firstLine="335"/>
        <w:spacing w:after="0" w:line="252" w:lineRule="auto"/>
        <w:rPr>
          <w:sz w:val="20"/>
          <w:szCs w:val="20"/>
          <w:color w:val="auto"/>
        </w:rPr>
      </w:pPr>
      <w:r>
        <w:rPr>
          <w:rFonts w:ascii="Times New Roman" w:cs="Times New Roman" w:eastAsia="Times New Roman" w:hAnsi="Times New Roman"/>
          <w:sz w:val="14"/>
          <w:szCs w:val="14"/>
          <w:color w:val="auto"/>
        </w:rPr>
        <w:t>Provided that we maintain our status as a RIC and satisfy the Annual Distribution Requirement, we will not be subject to U.S. federal income tax on the portion of our investment company taxable income and net capital gain (which is defined as net long-term capital gain in excess of net short-term capital loss) that we timely distribute (or are deemed to distribute) to stockholders as dividends. We will be subject to U.S. federal income tax imposed at corporate rates on any income or capital gain not distributed (or deemed distributed) to our stockholders.</w:t>
      </w:r>
    </w:p>
    <w:p>
      <w:pPr>
        <w:spacing w:after="0" w:line="145" w:lineRule="exact"/>
        <w:rPr>
          <w:sz w:val="20"/>
          <w:szCs w:val="20"/>
          <w:color w:val="auto"/>
        </w:rPr>
      </w:pPr>
    </w:p>
    <w:p>
      <w:pPr>
        <w:ind w:left="320" w:right="379" w:firstLine="335"/>
        <w:spacing w:after="0" w:line="252" w:lineRule="auto"/>
        <w:rPr>
          <w:sz w:val="20"/>
          <w:szCs w:val="20"/>
          <w:color w:val="auto"/>
        </w:rPr>
      </w:pPr>
      <w:r>
        <w:rPr>
          <w:rFonts w:ascii="Times New Roman" w:cs="Times New Roman" w:eastAsia="Times New Roman" w:hAnsi="Times New Roman"/>
          <w:sz w:val="14"/>
          <w:szCs w:val="14"/>
          <w:color w:val="auto"/>
        </w:rPr>
        <w:t>We will be subject to a nondeductible 4% U.S. federal excise tax on certain undistributed income unless we distribute in a timely manner an amount at least equal to the sum of (1) 98% of our investment company taxable income for each calendar year, (2) 98.2% of our capital gain net income for the one-year period ending October 31 in that calendar year and (3) any net ordinary income and net capital gains that we recognized in preceding years, but were not distributed during such years, and on which we paid no U.S. federal income tax.</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In order to maintain our status as a RIC for U.S. federal income tax purposes, we must, among other things:</w:t>
      </w:r>
    </w:p>
    <w:p>
      <w:pPr>
        <w:spacing w:after="0" w:line="95" w:lineRule="exact"/>
        <w:rPr>
          <w:sz w:val="20"/>
          <w:szCs w:val="20"/>
          <w:color w:val="auto"/>
        </w:rPr>
      </w:pPr>
    </w:p>
    <w:p>
      <w:pPr>
        <w:ind w:left="1060" w:right="519" w:hanging="331"/>
        <w:spacing w:after="0" w:line="266" w:lineRule="auto"/>
        <w:tabs>
          <w:tab w:leader="none" w:pos="10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qualify as a BDC or be registered as a management investment company under the 1940 Act at all times during each taxable year;</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9019"/>
          </w:cols>
          <w:pgMar w:left="1440" w:top="260" w:right="1440" w:bottom="1440" w:gutter="0" w:footer="0" w:header="0"/>
        </w:sectPr>
      </w:pPr>
    </w:p>
    <w:bookmarkStart w:id="51" w:name="page52"/>
    <w:bookmarkEnd w:id="51"/>
    <w:p>
      <w:pPr>
        <w:ind w:left="1060" w:right="379" w:hanging="331"/>
        <w:spacing w:after="0" w:line="252" w:lineRule="auto"/>
        <w:tabs>
          <w:tab w:leader="none" w:pos="10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203440" cy="45085"/>
                    </a:xfrm>
                    <a:prstGeom prst="rect">
                      <a:avLst/>
                    </a:prstGeom>
                    <a:noFill/>
                  </pic:spPr>
                </pic:pic>
              </a:graphicData>
            </a:graphic>
          </wp:anchor>
        </w:drawing>
        <w:t>derive in each taxable year at least 90% of our gross income from dividends, interest, payments with respect to certain securities loans, gains from the sale or other disposition of stock or other securities or foreign currencies, other income derived with respect to our business of investing in such stock, securities or foreign currencies and net income derived from an interest in a “qualified publicly traded partnership” (as defined in Subchapter M of the Code), or the 90% Income Test;</w:t>
      </w:r>
    </w:p>
    <w:p>
      <w:pPr>
        <w:spacing w:after="0" w:line="72"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satisfy the Annual Distribution Requirement;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diversify our holdings so that at the end of each quarter of the taxable year:</w:t>
      </w:r>
    </w:p>
    <w:p>
      <w:pPr>
        <w:spacing w:after="0" w:line="95" w:lineRule="exact"/>
        <w:rPr>
          <w:rFonts w:ascii="Times New Roman" w:cs="Times New Roman" w:eastAsia="Times New Roman" w:hAnsi="Times New Roman"/>
          <w:sz w:val="14"/>
          <w:szCs w:val="14"/>
          <w:color w:val="auto"/>
        </w:rPr>
      </w:pPr>
    </w:p>
    <w:p>
      <w:pPr>
        <w:ind w:left="1400" w:right="419" w:hanging="250"/>
        <w:spacing w:after="0" w:line="252" w:lineRule="auto"/>
        <w:tabs>
          <w:tab w:leader="none" w:pos="140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(which for these purposes includes the equity securities of a “qualified publicly traded partnership”); and</w:t>
      </w:r>
    </w:p>
    <w:p>
      <w:pPr>
        <w:spacing w:after="0" w:line="72" w:lineRule="exact"/>
        <w:rPr>
          <w:rFonts w:ascii="Times New Roman" w:cs="Times New Roman" w:eastAsia="Times New Roman" w:hAnsi="Times New Roman"/>
          <w:sz w:val="14"/>
          <w:szCs w:val="14"/>
          <w:color w:val="auto"/>
        </w:rPr>
      </w:pPr>
    </w:p>
    <w:p>
      <w:pPr>
        <w:ind w:left="1400" w:right="559" w:hanging="250"/>
        <w:spacing w:after="0" w:line="252" w:lineRule="auto"/>
        <w:tabs>
          <w:tab w:leader="none" w:pos="140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more than 25% of the value of our assets is invested in (i) the securities, other than U.S. government securities or securities of other RICs, of one issuer (ii) the securities, other than securities of other RICs, of two or more issuers that are controlled, as determined under applicable tax rules, by us and that are engaged in the same or similar or related trades or businesses or (iii) the securities of one or more “qualified publicly traded partnerships,” or the Diversification Tests.</w:t>
      </w:r>
    </w:p>
    <w:p>
      <w:pPr>
        <w:spacing w:after="0" w:line="145" w:lineRule="exact"/>
        <w:rPr>
          <w:sz w:val="20"/>
          <w:szCs w:val="20"/>
          <w:color w:val="auto"/>
        </w:rPr>
      </w:pPr>
    </w:p>
    <w:p>
      <w:pPr>
        <w:ind w:left="320" w:right="359" w:firstLine="335"/>
        <w:spacing w:after="0" w:line="249" w:lineRule="auto"/>
        <w:rPr>
          <w:sz w:val="20"/>
          <w:szCs w:val="20"/>
          <w:color w:val="auto"/>
        </w:rPr>
      </w:pPr>
      <w:r>
        <w:rPr>
          <w:rFonts w:ascii="Times New Roman" w:cs="Times New Roman" w:eastAsia="Times New Roman" w:hAnsi="Times New Roman"/>
          <w:sz w:val="14"/>
          <w:szCs w:val="14"/>
          <w:color w:val="auto"/>
        </w:rPr>
        <w:t>To the extent that we invest in entities treated as partnerships for U.S. federal income tax purposes (other than a “qualified publicly traded partnership”), we generally must include our allocable share of the items of gross income derived by the partnerships for purposes of the 90% Income Test, and the income that is derived from a partnership (other than, a “qualified publicly traded partnership”) will be treated as qualifying income for purposes of the 90% Income Test only to the extent that such income is attributable to items of income of the partnership which would be qualifying income if realized by us directly. In addition, we generally must take into account our proportionate share of the assets held by partnerships (other than a “qualified publicly traded partnership”) in which we are a partner for purposes of the Diversification Tests.</w:t>
      </w:r>
    </w:p>
    <w:p>
      <w:pPr>
        <w:spacing w:after="0" w:line="147" w:lineRule="exact"/>
        <w:rPr>
          <w:sz w:val="20"/>
          <w:szCs w:val="20"/>
          <w:color w:val="auto"/>
        </w:rPr>
      </w:pPr>
    </w:p>
    <w:p>
      <w:pPr>
        <w:ind w:left="320" w:right="499" w:firstLine="335"/>
        <w:spacing w:after="0" w:line="252" w:lineRule="auto"/>
        <w:rPr>
          <w:sz w:val="20"/>
          <w:szCs w:val="20"/>
          <w:color w:val="auto"/>
        </w:rPr>
      </w:pPr>
      <w:r>
        <w:rPr>
          <w:rFonts w:ascii="Times New Roman" w:cs="Times New Roman" w:eastAsia="Times New Roman" w:hAnsi="Times New Roman"/>
          <w:sz w:val="14"/>
          <w:szCs w:val="14"/>
          <w:color w:val="auto"/>
        </w:rPr>
        <w:t>In order to meet the 90% Income Test, we have established several special purpose corporations, and in the future may establish additional such corporations, to hold assets from which we do not anticipate earning dividends, interest or other qualifying income under the 90% Income Test (the “Taxable Subsidiaries”). Any investments held through the Taxable Subsidiaries are generally subject to U.S. federal income tax imposed at corporate rates, and therefore we can expect to achieve a reduced after-tax yield on such investments.</w:t>
      </w:r>
    </w:p>
    <w:p>
      <w:pPr>
        <w:spacing w:after="0" w:line="145" w:lineRule="exact"/>
        <w:rPr>
          <w:sz w:val="20"/>
          <w:szCs w:val="20"/>
          <w:color w:val="auto"/>
        </w:rPr>
      </w:pPr>
    </w:p>
    <w:p>
      <w:pPr>
        <w:ind w:left="320" w:right="499" w:firstLine="335"/>
        <w:spacing w:after="0" w:line="271" w:lineRule="auto"/>
        <w:rPr>
          <w:sz w:val="20"/>
          <w:szCs w:val="20"/>
          <w:color w:val="auto"/>
        </w:rPr>
      </w:pPr>
      <w:r>
        <w:rPr>
          <w:rFonts w:ascii="Times New Roman" w:cs="Times New Roman" w:eastAsia="Times New Roman" w:hAnsi="Times New Roman"/>
          <w:sz w:val="13"/>
          <w:szCs w:val="13"/>
          <w:color w:val="auto"/>
        </w:rPr>
        <w:t>We may be required to recognize taxable income in circumstances in which we do not receive a corresponding payment in cash. For example, if we hold debt instruments that are treated under applicable tax rules as having OID or debt instruments with PIK interest, we must include in income each year a portion of the OID that accrues over the life of the instrument and PIK interest, regardless of whether cash representing such income is received by us in the same taxable year. We may also have to include in income other amounts that we have not yet received in cash, such as deferred loan origination fees that are paid after origination of the loan or are paid in non-cash compensation such as warrants or stock. We anticipate that a portion of our income may constitute OID or other income required to be included in taxable income prior to our receipt of cash.</w:t>
      </w:r>
    </w:p>
    <w:p>
      <w:pPr>
        <w:spacing w:after="0" w:line="136" w:lineRule="exact"/>
        <w:rPr>
          <w:sz w:val="20"/>
          <w:szCs w:val="20"/>
          <w:color w:val="auto"/>
        </w:rPr>
      </w:pPr>
    </w:p>
    <w:p>
      <w:pPr>
        <w:ind w:left="320" w:right="419" w:firstLine="335"/>
        <w:spacing w:after="0" w:line="249" w:lineRule="auto"/>
        <w:rPr>
          <w:sz w:val="20"/>
          <w:szCs w:val="20"/>
          <w:color w:val="auto"/>
        </w:rPr>
      </w:pPr>
      <w:r>
        <w:rPr>
          <w:rFonts w:ascii="Times New Roman" w:cs="Times New Roman" w:eastAsia="Times New Roman" w:hAnsi="Times New Roman"/>
          <w:sz w:val="14"/>
          <w:szCs w:val="14"/>
          <w:color w:val="auto"/>
        </w:rPr>
        <w:t>Because any OID or other amounts accrued will be included in our investment company taxable income for the year of the accrual, we may be required to make a distribution to our stockholders in order to satisfy the Annual Distribution Requirement, even though we will not have received any corresponding cash amount. As a result, we may have difficulty meeting the Annual Distribution Requirement. We may have to sell some of our investments at times and/or at prices we would not consider advantageous, raise additional debt or equity capital or forgo new investment opportunities for this purpose. If we are not able to obtain cash from other sources, we may fail to qualify for RIC tax treatment and thus become subject to U.S. federal income tax.</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9019"/>
          </w:cols>
          <w:pgMar w:left="1440" w:top="260" w:right="1440" w:bottom="1440" w:gutter="0" w:footer="0" w:header="0"/>
        </w:sectPr>
      </w:pPr>
    </w:p>
    <w:bookmarkStart w:id="52" w:name="page53"/>
    <w:bookmarkEnd w:id="52"/>
    <w:p>
      <w:pPr>
        <w:ind w:left="320" w:right="479" w:firstLine="335"/>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203440" cy="45085"/>
                    </a:xfrm>
                    <a:prstGeom prst="rect">
                      <a:avLst/>
                    </a:prstGeom>
                    <a:noFill/>
                  </pic:spPr>
                </pic:pic>
              </a:graphicData>
            </a:graphic>
          </wp:anchor>
        </w:drawing>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36" w:lineRule="exact"/>
        <w:rPr>
          <w:sz w:val="20"/>
          <w:szCs w:val="20"/>
          <w:color w:val="auto"/>
        </w:rPr>
      </w:pPr>
    </w:p>
    <w:p>
      <w:pPr>
        <w:ind w:left="320" w:right="339" w:firstLine="335"/>
        <w:spacing w:after="0" w:line="248" w:lineRule="auto"/>
        <w:rPr>
          <w:sz w:val="20"/>
          <w:szCs w:val="20"/>
          <w:color w:val="auto"/>
        </w:rPr>
      </w:pPr>
      <w:r>
        <w:rPr>
          <w:rFonts w:ascii="Times New Roman" w:cs="Times New Roman" w:eastAsia="Times New Roman" w:hAnsi="Times New Roman"/>
          <w:sz w:val="14"/>
          <w:szCs w:val="14"/>
          <w:color w:val="auto"/>
        </w:rPr>
        <w:t>Investments by us in non-U.S. securities may be subject to non-U.S. income, withholding and other taxes withheld at the source. In this regard, withholding tax rates in countries with which the United States does not have a tax treaty may be 35% or more. The United States has entered into tax treaties with many foreign countries that may entitle us to a reduced rate of tax or exemption from tax on this related income and gains. The effective rate of foreign tax cannot be determined at this time since the amount of our assets to be invested within various countries is not now known. Therefore, our yield on any such securities may be reduced by such non-U.S. taxes. Stockholders will generally not be entitled to claim a credit or deduction with respect to non-U.S. taxes paid by us because we do not expect to satisfy the requirements necessary to pass through to our stockholders their share of the foreign taxes paid by us.</w:t>
      </w:r>
    </w:p>
    <w:p>
      <w:pPr>
        <w:spacing w:after="0" w:line="149" w:lineRule="exact"/>
        <w:rPr>
          <w:sz w:val="20"/>
          <w:szCs w:val="20"/>
          <w:color w:val="auto"/>
        </w:rPr>
      </w:pPr>
    </w:p>
    <w:p>
      <w:pPr>
        <w:ind w:left="320" w:right="379" w:firstLine="335"/>
        <w:spacing w:after="0" w:line="247" w:lineRule="auto"/>
        <w:rPr>
          <w:sz w:val="20"/>
          <w:szCs w:val="20"/>
          <w:color w:val="auto"/>
        </w:rPr>
      </w:pPr>
      <w:r>
        <w:rPr>
          <w:rFonts w:ascii="Times New Roman" w:cs="Times New Roman" w:eastAsia="Times New Roman" w:hAnsi="Times New Roman"/>
          <w:sz w:val="14"/>
          <w:szCs w:val="14"/>
          <w:color w:val="auto"/>
        </w:rPr>
        <w:t>Although we do not presently expect to do so, we are authorized to borrow funds and to sell assets in order to satisfy the Annual Distribution Requirement and the 4% U.S. federal excise tax. However, under the 1940 Act, we are not permitted to make distributions to our stockholders while our debt obligations and other senior securities are outstanding unless certain “asset coverage” tests are met. See “Regulation — Qualifying Assets” and “Regulation — Senior Securities.” If we are prohibited from making distributions, we may fail to qualify for tax treatment as a RIC and become subject to U.S. federal income tax. Moreover, our ability to dispose of assets to satisfy the Annual Distribution Requirement and to reduce our U.S. federal income and excise tax liabilities may be limited by (1) the illiquid nature of our portfolio and/or (2) other requirements relating to our status as a RIC, including the Diversification Tests. If we dispose of assets in order to meet the Annual Distribution Requirement or to avoid U.S. federal income tax imposed at corporate rates or the 4% U.S. federal excise tax, we may make such dispositions at times that, from an investment standpoint, are not advantageous.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A RIC is limited in its ability to deduct expenses in excess of its “investment company taxable income.” If our expenses in a given year exceed</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investment company taxable income, we would experience a net operating loss for that year. As a RIC, we are not allowed to carry forward or carry</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back a net operating loss for purposes of computing our investment company taxable income in other taxable years. In addition, expenses can be used</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only to offset investment company taxable income, not net capital gain. A RIC may not use any net capital losses (that is, realized capital losses in</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excess of realized capital gains) to offset the RIC’s investment company taxable income, but U.S. federal income tax law generally permits a RIC to</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carry forward its capital losses. Due to these limits on the deductibility of expenses, over the course of one or more taxable years we may have, for</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U.S. federal income tax purposes, aggregate taxable income that we are required to distribute and that is taxable to our shareholders, even if such income</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is greater than the aggregate net income we actually earned during those years. Such required distributions may be made from our cash assets or by</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liquidation of investments, if necessary. We may realize gains or losses from such liquidations. In the event we realize net capital gains from such</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transactions, a shareholder may receive a larger capital gain distribution than we would have received in the absence of such transactions.</w:t>
      </w:r>
    </w:p>
    <w:p>
      <w:pPr>
        <w:spacing w:after="0" w:line="1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Certain of our investment practices may be subject to special and complex U.S. federal income tax provisions that may, among other things,</w:t>
      </w:r>
    </w:p>
    <w:p>
      <w:pPr>
        <w:spacing w:after="0" w:line="15" w:lineRule="exact"/>
        <w:rPr>
          <w:sz w:val="20"/>
          <w:szCs w:val="20"/>
          <w:color w:val="auto"/>
        </w:rPr>
      </w:pPr>
    </w:p>
    <w:p>
      <w:pPr>
        <w:ind w:left="320" w:right="379" w:hanging="1"/>
        <w:spacing w:after="0" w:line="245" w:lineRule="auto"/>
        <w:tabs>
          <w:tab w:leader="none" w:pos="483"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disallow, suspend or otherwise limit the allowance of certain losses or deductions, (ii) convert lower taxed long-term capital gain and qualified dividend income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stock or securities is deemed to occur, (vi) adversely alter the characterization of certain complex financial transactions, and (vii) produce income that will not be qualifying income for purposes of the 90% Income Test. We will monitor our transactions and may make certain tax elections and may be required to borrow money or dispose of securities in order to mitigate the effect of these provisions.</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9019"/>
          </w:cols>
          <w:pgMar w:left="1440" w:top="260" w:right="1440" w:bottom="1440" w:gutter="0" w:footer="0" w:header="0"/>
        </w:sectPr>
      </w:pPr>
    </w:p>
    <w:bookmarkStart w:id="53" w:name="page54"/>
    <w:bookmarkEnd w:id="53"/>
    <w:p>
      <w:pPr>
        <w:ind w:left="320" w:right="359" w:firstLine="335"/>
        <w:spacing w:after="0" w:line="24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203440" cy="45085"/>
                    </a:xfrm>
                    <a:prstGeom prst="rect">
                      <a:avLst/>
                    </a:prstGeom>
                    <a:noFill/>
                  </pic:spPr>
                </pic:pic>
              </a:graphicData>
            </a:graphic>
          </wp:anchor>
        </w:drawing>
        <w:t>A “publicly offered regulated investment company” is a RIC whose shares are either (i) continuously offered pursuant to a public offering within the meaning of Section 4 of the Securities Act, (ii) regularly traded on an established securities market or (iii) held by at least 500 persons at all times during the taxable year. If we qualify as a publicly offered regulated investment company, we may make distributions that are payable in cash or shares of our stock at the election of each stockholder. In accordance with Treasury regulations and published guidance issued by the Internal Revenue Service, a publicly offered RIC may treat distributions of its own stock as counting towards its RIC distribution requirements if each stockholder may elect to receive his, her, or its entire distribution in either cash or stock of the RIC, subject to a limitation that the aggregate amount of cash to be distributed to all stockholders must be at least 20% of the aggregate distribution. If too many stockholders elect to receive cash, the cash available for distribution must be allocated among the stockholders electing to receive cash (with the balance of the distribution paid in stock). If we decide to make any distributions that are payable in part in shares of our stock, U.S. stockholders receiving such distributions will be required to include the full amount of the distribution (whether received in cash, shares of our stock, or a combination thereof) as ordinary income (or as long-term capital gain to the extent such distribution is properly reported as a capital gain dividend) to the extent of our current and accumulated earnings and profits. As a result, a U.S. stockholder may be required to pay tax with respect to such distributions in excess of any cash received. If a U.S. stockholder sells the stock it receives in order to pay this tax, the sales proceeds may be less than the amount included in income with respect to the distribution, depending on the market price of our stock at the time of the sale. Furthermore, with respect to Non-U.S. stockholders, we may be required to withhold U.S. federal tax with respect to such distributions, including in respect of all or a portion of such distributions that are payable in stock. In addition, if a significant number of our stockholders determine to sell shares of our stock in order to pay taxes owed on such distributions, it may put downward pressure on the trading price of shares of our stock.</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Failure To Obtain RIC Tax Treatment</w:t>
      </w:r>
    </w:p>
    <w:p>
      <w:pPr>
        <w:spacing w:after="0" w:line="89" w:lineRule="exact"/>
        <w:rPr>
          <w:sz w:val="20"/>
          <w:szCs w:val="20"/>
          <w:color w:val="auto"/>
        </w:rPr>
      </w:pPr>
    </w:p>
    <w:p>
      <w:pPr>
        <w:ind w:left="320" w:right="479" w:firstLine="335"/>
        <w:spacing w:after="0" w:line="268" w:lineRule="auto"/>
        <w:rPr>
          <w:sz w:val="20"/>
          <w:szCs w:val="20"/>
          <w:color w:val="auto"/>
        </w:rPr>
      </w:pPr>
      <w:r>
        <w:rPr>
          <w:rFonts w:ascii="Times New Roman" w:cs="Times New Roman" w:eastAsia="Times New Roman" w:hAnsi="Times New Roman"/>
          <w:sz w:val="13"/>
          <w:szCs w:val="13"/>
          <w:color w:val="auto"/>
        </w:rPr>
        <w:t>If we were unable to maintain our tax treatment as a RIC, and certain cure provisions are not applicable, we would be subject to U.S. federal income tax on all of our taxable income (including our net capital gains) imposed at corporate rates. We would not be able to deduct distributions to stockholders, nor would distributions be compulsory. Distributions, including distributions of net long-term capital gain, would generally be taxable to our stockholders as ordinary dividend income to the extent of our current and accumulated earnings and profits. Subject to certain holding period and other limitations under Subchapter M of the Code, corporate distributees would be eligible for the dividends-received deduction; non-corporate stockholders would generally be able to treat such dividends as “qualified dividend income,” which is subject to reduced rates of U.S. federal income tax. To the extent the amount of a distribution exceeded our current and accumulated earnings and profits, such excess would be treated as a return of capital to the extent of the stockholder’s adjusted tax basis, and to the extent the amount of a distribution exceeded both our current and accumulated earnings and profits and the stockholder’s adjusted tax basis, any excess would be treated as a capital gain.</w:t>
      </w:r>
    </w:p>
    <w:p>
      <w:pPr>
        <w:spacing w:after="0" w:line="139" w:lineRule="exact"/>
        <w:rPr>
          <w:sz w:val="20"/>
          <w:szCs w:val="20"/>
          <w:color w:val="auto"/>
        </w:rPr>
      </w:pPr>
    </w:p>
    <w:p>
      <w:pPr>
        <w:ind w:left="320" w:right="359" w:firstLine="335"/>
        <w:spacing w:after="0" w:line="249" w:lineRule="auto"/>
        <w:rPr>
          <w:sz w:val="20"/>
          <w:szCs w:val="20"/>
          <w:color w:val="auto"/>
        </w:rPr>
      </w:pPr>
      <w:r>
        <w:rPr>
          <w:rFonts w:ascii="Times New Roman" w:cs="Times New Roman" w:eastAsia="Times New Roman" w:hAnsi="Times New Roman"/>
          <w:sz w:val="14"/>
          <w:szCs w:val="14"/>
          <w:color w:val="auto"/>
        </w:rPr>
        <w:t>In order to requalify as a RIC, in addition to the other requirements discussed above, we would be required to satisfy the RIC qualification requirements for that year and distribute all of our previously undistributed earnings attributable to the period we failed to qualify as a RIC by the end of the first year that we intend to requalify as a RIC. If we fail to qualify as a RIC for two or more taxable years, to qualify as a RIC in a subsequent year we may be subject to U.S. federal income tax imposed at corporate rates on any net built-in gains with respect to certain of our assets (i.e., the excess of the aggregate gains, including items of income, over aggregate losses that would have been realized with respect to such assets if we had been liquidated) that we elect to recognize on requalification or when recognized over the next five years.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Taxation of U.S. Stockholders</w:t>
      </w:r>
    </w:p>
    <w:p>
      <w:pPr>
        <w:spacing w:after="0" w:line="89" w:lineRule="exact"/>
        <w:rPr>
          <w:sz w:val="20"/>
          <w:szCs w:val="20"/>
          <w:color w:val="auto"/>
        </w:rPr>
      </w:pPr>
    </w:p>
    <w:p>
      <w:pPr>
        <w:ind w:left="320" w:right="739" w:firstLine="335"/>
        <w:spacing w:after="0" w:line="255" w:lineRule="auto"/>
        <w:rPr>
          <w:sz w:val="20"/>
          <w:szCs w:val="20"/>
          <w:color w:val="auto"/>
        </w:rPr>
      </w:pPr>
      <w:r>
        <w:rPr>
          <w:rFonts w:ascii="Times New Roman" w:cs="Times New Roman" w:eastAsia="Times New Roman" w:hAnsi="Times New Roman"/>
          <w:sz w:val="14"/>
          <w:szCs w:val="14"/>
          <w:color w:val="auto"/>
        </w:rPr>
        <w:t>Whether an investment in shares of our common stock is appropriate for a U.S. stockholder will depend upon that person’s particular circumstances. An investment in shares of our common stock by a U.S. stockholder may have adverse tax consequences. The following summary generally describes certain U.S. federal income tax</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9019"/>
          </w:cols>
          <w:pgMar w:left="1440" w:top="260" w:right="1440" w:bottom="1440" w:gutter="0" w:footer="0" w:header="0"/>
        </w:sectPr>
      </w:pPr>
    </w:p>
    <w:bookmarkStart w:id="54" w:name="page55"/>
    <w:bookmarkEnd w:id="54"/>
    <w:p>
      <w:pPr>
        <w:ind w:left="320" w:right="37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203440" cy="45085"/>
                    </a:xfrm>
                    <a:prstGeom prst="rect">
                      <a:avLst/>
                    </a:prstGeom>
                    <a:noFill/>
                  </pic:spPr>
                </pic:pic>
              </a:graphicData>
            </a:graphic>
          </wp:anchor>
        </w:drawing>
        <w:t>consequences of an investment in shares of our common stock by taxable U.S. stockholders. Prospective investors should consult their own tax advisors before making an investment in our common stock.</w:t>
      </w:r>
    </w:p>
    <w:p>
      <w:pPr>
        <w:spacing w:after="0" w:line="136" w:lineRule="exact"/>
        <w:rPr>
          <w:sz w:val="20"/>
          <w:szCs w:val="20"/>
          <w:color w:val="auto"/>
        </w:rPr>
      </w:pPr>
    </w:p>
    <w:p>
      <w:pPr>
        <w:ind w:left="320" w:right="359" w:firstLine="335"/>
        <w:spacing w:after="0" w:line="265" w:lineRule="auto"/>
        <w:rPr>
          <w:sz w:val="20"/>
          <w:szCs w:val="20"/>
          <w:color w:val="auto"/>
        </w:rPr>
      </w:pPr>
      <w:r>
        <w:rPr>
          <w:rFonts w:ascii="Times New Roman" w:cs="Times New Roman" w:eastAsia="Times New Roman" w:hAnsi="Times New Roman"/>
          <w:sz w:val="13"/>
          <w:szCs w:val="13"/>
          <w:color w:val="auto"/>
        </w:rPr>
        <w:t>Distributions by us generally are taxable to U.S. stockholders as ordinary income or capital gain. Distributions of our “investment company taxable income” (which is, generally, our ordinary income excluding net capital gain) will be taxable as ordinary income to U.S. stockholders to the extent of our current or accumulated earnings and profits, whether paid in cash or reinvested in additional common stock. To the extent such distributions paid by us to noncorporate U.S. stockholders (including individuals) are attributable to dividends from U.S. corporations and certain qualified foreign corporations, such distributions generally will be eligible for taxation at rates applicable to “qualifying dividends” (at a maximum tax rate of 20%) provided that we properly report such distribution as “qualified dividend income” in a written statement furnished to our stockholders and certain holding period and other requirements are satisfied. In this regard, it is not anticipated that a significant portion of distributions paid by us will be attributable to qualifying dividends; therefore, our distributions generally will not qualify for the preferential rates applicable to qualified dividend income. Distributions of our net capital gain (which is generally our net long-term capital gain in excess of net short-term capital loss) properly designated by us as “capital gain dividends” will be taxable to a U.S. stockholder as long-term capital gain (at a maximum rate of 20% in the case of individuals, trusts or estates), regardless of the U.S. stockholder’s holding period for his, her or its common stock and regardless of whether paid in cash or reinvested in additional common stock. Distributions in excess of our current and accumulated earnings and profits first will reduce a</w:t>
      </w:r>
    </w:p>
    <w:p>
      <w:pPr>
        <w:spacing w:after="0" w:line="1" w:lineRule="exact"/>
        <w:rPr>
          <w:sz w:val="20"/>
          <w:szCs w:val="20"/>
          <w:color w:val="auto"/>
        </w:rPr>
      </w:pPr>
    </w:p>
    <w:p>
      <w:pPr>
        <w:ind w:left="320" w:right="459"/>
        <w:spacing w:after="0" w:line="249" w:lineRule="auto"/>
        <w:rPr>
          <w:sz w:val="20"/>
          <w:szCs w:val="20"/>
          <w:color w:val="auto"/>
        </w:rPr>
      </w:pPr>
      <w:r>
        <w:rPr>
          <w:rFonts w:ascii="Times New Roman" w:cs="Times New Roman" w:eastAsia="Times New Roman" w:hAnsi="Times New Roman"/>
          <w:sz w:val="14"/>
          <w:szCs w:val="14"/>
          <w:color w:val="auto"/>
        </w:rPr>
        <w:t>U.S. stockholder’s adjusted tax basis in such stockholder’s common stock and, after the adjusted basis is reduced to zero, will constitute capital gain to such U.S. stockholder.</w:t>
      </w:r>
    </w:p>
    <w:p>
      <w:pPr>
        <w:spacing w:after="0" w:line="147" w:lineRule="exact"/>
        <w:rPr>
          <w:sz w:val="20"/>
          <w:szCs w:val="20"/>
          <w:color w:val="auto"/>
        </w:rPr>
      </w:pPr>
    </w:p>
    <w:p>
      <w:pPr>
        <w:ind w:left="320" w:right="499" w:firstLine="335"/>
        <w:spacing w:after="0" w:line="267" w:lineRule="auto"/>
        <w:rPr>
          <w:sz w:val="20"/>
          <w:szCs w:val="20"/>
          <w:color w:val="auto"/>
        </w:rPr>
      </w:pPr>
      <w:r>
        <w:rPr>
          <w:rFonts w:ascii="Times New Roman" w:cs="Times New Roman" w:eastAsia="Times New Roman" w:hAnsi="Times New Roman"/>
          <w:sz w:val="13"/>
          <w:szCs w:val="13"/>
          <w:color w:val="auto"/>
        </w:rPr>
        <w:t>In order to satisfy the Annual Distribution Requirement we intend to distribute any long-term capital gain at least annually; however, we may in the future decide to retain some or all of our long-term capital gain, but designate the retained amount as a “deemed distribution.” In that case, among other consequences, we will pay tax on the retained amount, each U.S. stockholder will be required to include his, her or its proportionate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w:t>
      </w:r>
    </w:p>
    <w:p>
      <w:pPr>
        <w:spacing w:after="0" w:line="1" w:lineRule="exact"/>
        <w:rPr>
          <w:sz w:val="20"/>
          <w:szCs w:val="20"/>
          <w:color w:val="auto"/>
        </w:rPr>
      </w:pPr>
    </w:p>
    <w:p>
      <w:pPr>
        <w:ind w:left="320" w:right="419"/>
        <w:spacing w:after="0" w:line="245" w:lineRule="auto"/>
        <w:rPr>
          <w:sz w:val="20"/>
          <w:szCs w:val="20"/>
          <w:color w:val="auto"/>
        </w:rPr>
      </w:pPr>
      <w:r>
        <w:rPr>
          <w:rFonts w:ascii="Times New Roman" w:cs="Times New Roman" w:eastAsia="Times New Roman" w:hAnsi="Times New Roman"/>
          <w:sz w:val="14"/>
          <w:szCs w:val="14"/>
          <w:color w:val="auto"/>
        </w:rPr>
        <w:t>U.S. stockholder’s adjusted tax basis for his, her or its common stock. Since we expect to pay tax on any retained capital gain at our regular corporate tax rate, and since that rate is in excess of the maximum rate currently payable by individuals on net capital gain, the amount of tax that individual stockholders will be treated as having paid and for which they will receive a credit will exceed the tax they owe on the retained net capital gain. Such excess generally may be claimed as a credit against the U.S. stockholder’s other U.S. federal income tax obligations or may be refunded to the extent it exceeds a stockholder’s liability for U.S. federal income tax. In order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51" w:lineRule="exact"/>
        <w:rPr>
          <w:sz w:val="20"/>
          <w:szCs w:val="20"/>
          <w:color w:val="auto"/>
        </w:rPr>
      </w:pPr>
    </w:p>
    <w:p>
      <w:pPr>
        <w:ind w:left="320" w:right="379" w:firstLine="335"/>
        <w:spacing w:after="0" w:line="249" w:lineRule="auto"/>
        <w:rPr>
          <w:sz w:val="20"/>
          <w:szCs w:val="20"/>
          <w:color w:val="auto"/>
        </w:rPr>
      </w:pPr>
      <w:r>
        <w:rPr>
          <w:rFonts w:ascii="Times New Roman" w:cs="Times New Roman" w:eastAsia="Times New Roman" w:hAnsi="Times New Roman"/>
          <w:sz w:val="14"/>
          <w:szCs w:val="14"/>
          <w:color w:val="auto"/>
        </w:rPr>
        <w:t>For purposes of determining (1) whether the Annual Distribution Requirement is satisfied for any year and (2) the amount of capital gain dividends paid for that year, we may, under certain circumstances, elect to treat a dividend that is paid during the following taxable year as if it had been paid during the taxable year in question. If we make such an election, the U.S. stockholder will still be treated as receiving the dividend in the taxable year in which the distribution is made. However, any dividend declared by us in October, November or December of any calendar year, payable to stockholders of record on a specified date in any such month and actually paid during January of the following year, will be treated as if it had been received by our U.S. stockholders on December 31 of the year in which the dividend was declared.</w:t>
      </w:r>
    </w:p>
    <w:p>
      <w:pPr>
        <w:spacing w:after="0" w:line="147" w:lineRule="exact"/>
        <w:rPr>
          <w:sz w:val="20"/>
          <w:szCs w:val="20"/>
          <w:color w:val="auto"/>
        </w:rPr>
      </w:pPr>
    </w:p>
    <w:p>
      <w:pPr>
        <w:ind w:left="320" w:right="459" w:firstLine="335"/>
        <w:spacing w:after="0" w:line="266" w:lineRule="auto"/>
        <w:rPr>
          <w:sz w:val="20"/>
          <w:szCs w:val="20"/>
          <w:color w:val="auto"/>
        </w:rPr>
      </w:pPr>
      <w:r>
        <w:rPr>
          <w:rFonts w:ascii="Times New Roman" w:cs="Times New Roman" w:eastAsia="Times New Roman" w:hAnsi="Times New Roman"/>
          <w:sz w:val="14"/>
          <w:szCs w:val="14"/>
          <w:color w:val="auto"/>
        </w:rPr>
        <w:t>If an investor purchases shares of our common stock shortly before the record date of a distribution, the price of the shares will include the value of the distribution, and the investor will be subject to tax on the distribution even though it represents a return of his, her or its investment.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9019"/>
          </w:cols>
          <w:pgMar w:left="1440" w:top="260" w:right="1440" w:bottom="1440" w:gutter="0" w:footer="0" w:header="0"/>
        </w:sectPr>
      </w:pPr>
    </w:p>
    <w:bookmarkStart w:id="55" w:name="page56"/>
    <w:bookmarkEnd w:id="55"/>
    <w:p>
      <w:pPr>
        <w:ind w:left="320" w:right="419" w:firstLine="335"/>
        <w:spacing w:after="0" w:line="26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203440" cy="45085"/>
                    </a:xfrm>
                    <a:prstGeom prst="rect">
                      <a:avLst/>
                    </a:prstGeom>
                    <a:noFill/>
                  </pic:spPr>
                </pic:pic>
              </a:graphicData>
            </a:graphic>
          </wp:anchor>
        </w:drawing>
        <w:t>A U.S. stockholder generally will recognize taxable gain or loss if the stockholder sells or otherwise disposes of his, her or its shares of our common stock. The amount of gain or loss will be measured by the difference between such stockholder’s adjusted tax basis in the common stock sold and the amount of the proceeds received in exchange. Any gain arising from such sale or disposition generally will be treated as long-term capital gain or loss if the stockholder has held his, her or its shares for more than one year. Otherwise, it will be classified as short-term capital gain or loss. However, any capital loss arising from the sale or disposition of shares of our common stock held for six months or less will be treated as long-term capital loss to the extent of the amount of capital gain dividends received, or undistributed capital gain deemed received, with respect to such shares. In addition, all or a portion of any loss recognized upon a disposition of shares of our common stock may be disallowed if other substantially identical shares are purchased (whether through reinvestment of distributions or otherwise) within a 61-day period beginning 30 days before and ending 30 days after the date that the shares are disposed. The ability to otherwise deduct capital loss may be subject to other limitations under the Code.</w:t>
      </w:r>
    </w:p>
    <w:p>
      <w:pPr>
        <w:spacing w:after="0" w:line="139"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In general, noncorporate U.S. stockholders, including individuals, trusts and estates, are subject to U.S. federal income tax (at a maximum rate of 20%) on their net capital gain, or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U.S. federal income tax on net capital gain at the maximum 21% rate also applied to ordinary income. Noncorporate stockholders with net capital loss for a year (which we define as capital loss in excess of capital gain) generally may deduct up to $3,000 of such losses against their ordinary income each year; any net capital loss of a noncorporate stockholder in excess of $3,000 generally may be carried forward and used in subsequent years as provided in the Code. Corporate stockholders generally may not deduct any net capital loss for a year, but may carry forward such losses for five years.</w:t>
      </w:r>
    </w:p>
    <w:p>
      <w:pPr>
        <w:spacing w:after="0" w:line="152" w:lineRule="exact"/>
        <w:rPr>
          <w:sz w:val="20"/>
          <w:szCs w:val="20"/>
          <w:color w:val="auto"/>
        </w:rPr>
      </w:pPr>
    </w:p>
    <w:p>
      <w:pPr>
        <w:ind w:left="320" w:right="379" w:firstLine="335"/>
        <w:spacing w:after="0" w:line="266" w:lineRule="auto"/>
        <w:rPr>
          <w:sz w:val="20"/>
          <w:szCs w:val="20"/>
          <w:color w:val="auto"/>
        </w:rPr>
      </w:pPr>
      <w:r>
        <w:rPr>
          <w:rFonts w:ascii="Times New Roman" w:cs="Times New Roman" w:eastAsia="Times New Roman" w:hAnsi="Times New Roman"/>
          <w:sz w:val="14"/>
          <w:szCs w:val="14"/>
          <w:color w:val="auto"/>
        </w:rPr>
        <w:t>Certain U.S. stockholders who are individuals, estates or trusts generally will be subject to a 3.8% surtax on their “net investment income,” which generally includes, among other things, dividends on, and capital gain from the sale or other disposition of shares, of our common stock.</w:t>
      </w:r>
    </w:p>
    <w:p>
      <w:pPr>
        <w:spacing w:after="0" w:line="136" w:lineRule="exact"/>
        <w:rPr>
          <w:sz w:val="20"/>
          <w:szCs w:val="20"/>
          <w:color w:val="auto"/>
        </w:rPr>
      </w:pPr>
    </w:p>
    <w:p>
      <w:pPr>
        <w:ind w:left="320" w:right="399" w:firstLine="335"/>
        <w:spacing w:after="0" w:line="252" w:lineRule="auto"/>
        <w:rPr>
          <w:sz w:val="20"/>
          <w:szCs w:val="20"/>
          <w:color w:val="auto"/>
        </w:rPr>
      </w:pPr>
      <w:r>
        <w:rPr>
          <w:rFonts w:ascii="Times New Roman" w:cs="Times New Roman" w:eastAsia="Times New Roman" w:hAnsi="Times New Roman"/>
          <w:sz w:val="14"/>
          <w:szCs w:val="14"/>
          <w:color w:val="auto"/>
        </w:rPr>
        <w:t>If we are not a publicly offered RIC for any period, a noncorporate stockholder’s pro rata portion of our affected expenses, including our management fees, will be treated as an additional distribution to the stockholder, and these fees and expenses will be treated as miscellaneous itemized deductions of such U.S. stockholder. Miscellaneous itemized deductions generally are not deductible by a U.S. stockholder that is an individual, trust or estate.</w:t>
      </w:r>
    </w:p>
    <w:p>
      <w:pPr>
        <w:spacing w:after="0" w:line="145" w:lineRule="exact"/>
        <w:rPr>
          <w:sz w:val="20"/>
          <w:szCs w:val="20"/>
          <w:color w:val="auto"/>
        </w:rPr>
      </w:pPr>
    </w:p>
    <w:p>
      <w:pPr>
        <w:ind w:left="320" w:right="359" w:firstLine="335"/>
        <w:spacing w:after="0" w:line="250" w:lineRule="auto"/>
        <w:rPr>
          <w:sz w:val="20"/>
          <w:szCs w:val="20"/>
          <w:color w:val="auto"/>
        </w:rPr>
      </w:pPr>
      <w:r>
        <w:rPr>
          <w:rFonts w:ascii="Times New Roman" w:cs="Times New Roman" w:eastAsia="Times New Roman" w:hAnsi="Times New Roman"/>
          <w:sz w:val="14"/>
          <w:szCs w:val="14"/>
          <w:color w:val="auto"/>
        </w:rPr>
        <w:t>We will send to each of our U.S. stockholders, as promptly as possible after the end of each calendar year, a written statement detailing, on a per share and per distribution basis, the amounts includible in such U.S. stockholder’s taxable income for such year as ordinary income and as long-term capital gain. In addition, the U.S. federal income tax status of each year’s distributions generally will be reported to the IRS (including the amount of dividends, if any, eligible for the current 20% maximum rate). Distributions may also be subject to additional state, local and foreign taxes depending on a U.S. stockholder’s particular situation.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We may be required to withhold U.S. federal income tax, or backup withholding, from all taxable distributions to any noncorporate</w:t>
      </w:r>
    </w:p>
    <w:p>
      <w:pPr>
        <w:spacing w:after="0" w:line="15" w:lineRule="exact"/>
        <w:rPr>
          <w:sz w:val="20"/>
          <w:szCs w:val="20"/>
          <w:color w:val="auto"/>
        </w:rPr>
      </w:pPr>
    </w:p>
    <w:p>
      <w:pPr>
        <w:jc w:val="both"/>
        <w:ind w:left="320" w:right="519"/>
        <w:spacing w:after="0" w:line="245" w:lineRule="auto"/>
        <w:rPr>
          <w:sz w:val="20"/>
          <w:szCs w:val="20"/>
          <w:color w:val="auto"/>
        </w:rPr>
      </w:pPr>
      <w:r>
        <w:rPr>
          <w:rFonts w:ascii="Times New Roman" w:cs="Times New Roman" w:eastAsia="Times New Roman" w:hAnsi="Times New Roman"/>
          <w:sz w:val="14"/>
          <w:szCs w:val="14"/>
          <w:color w:val="auto"/>
        </w:rPr>
        <w:t>U.S. stockholder (1) who fails to furnish us with a correct taxpayer identification number or a certificate that such stockholder is exempt from backup withholding or (2) with respect to whom the IRS notifies us that such stockholder has failed to properly report certain interest and dividend income to the IRS and to respond to notices to that effect. An individual’s taxpayer identification number is generally his or her social security number. Backup withholding tax is not an additional tax, and any amount withheld may be refunded or credited against the U.S. stockholder’s U.S. federal income tax liability, provided that proper information is timely provided to the IRS.</w:t>
      </w:r>
    </w:p>
    <w:p>
      <w:pPr>
        <w:spacing w:after="0" w:line="151" w:lineRule="exact"/>
        <w:rPr>
          <w:sz w:val="20"/>
          <w:szCs w:val="20"/>
          <w:color w:val="auto"/>
        </w:rPr>
      </w:pPr>
    </w:p>
    <w:p>
      <w:pPr>
        <w:ind w:left="320" w:right="879" w:firstLine="335"/>
        <w:spacing w:after="0" w:line="266" w:lineRule="auto"/>
        <w:rPr>
          <w:sz w:val="20"/>
          <w:szCs w:val="20"/>
          <w:color w:val="auto"/>
        </w:rPr>
      </w:pPr>
      <w:r>
        <w:rPr>
          <w:rFonts w:ascii="Times New Roman" w:cs="Times New Roman" w:eastAsia="Times New Roman" w:hAnsi="Times New Roman"/>
          <w:sz w:val="14"/>
          <w:szCs w:val="14"/>
          <w:color w:val="auto"/>
        </w:rPr>
        <w:t>Under applicable Treasury Regulations, if a stockholder recognizes a loss with respect to shares of our stock of $2 million or more for an individual, S corporation, trust, or a partnership with at least one noncorporate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9019"/>
          </w:cols>
          <w:pgMar w:left="1440" w:top="260" w:right="1440" w:bottom="1440" w:gutter="0" w:footer="0" w:header="0"/>
        </w:sectPr>
      </w:pPr>
    </w:p>
    <w:bookmarkStart w:id="56" w:name="page57"/>
    <w:bookmarkEnd w:id="56"/>
    <w:p>
      <w:pPr>
        <w:ind w:left="320" w:right="339"/>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203440" cy="45085"/>
                    </a:xfrm>
                    <a:prstGeom prst="rect">
                      <a:avLst/>
                    </a:prstGeom>
                    <a:noFill/>
                  </pic:spPr>
                </pic:pic>
              </a:graphicData>
            </a:graphic>
          </wp:anchor>
        </w:drawing>
        <w:t>partner or $10 million or more for a stockholder that is either a corporation or a partnership with only corporate partners in any single taxable year (or a greater loss over a combination of years), the stockholder must comply with the appropriate disclosure requirements. Direct stockholders of portfolio securities in many cases are excepted from this reporting requirement, but under current guidance, stockholders of a RIC are not excepted. Future guidance may extend the current exception from this reporting requirement to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Stockholders should consult their own tax advisors to determine the applicability of these regulations in light of their individual circumstances.</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Taxation of Non-U.S. Stockholders</w:t>
      </w:r>
    </w:p>
    <w:p>
      <w:pPr>
        <w:spacing w:after="0" w:line="89" w:lineRule="exact"/>
        <w:rPr>
          <w:sz w:val="20"/>
          <w:szCs w:val="20"/>
          <w:color w:val="auto"/>
        </w:rPr>
      </w:pPr>
    </w:p>
    <w:p>
      <w:pPr>
        <w:ind w:left="320" w:right="399" w:firstLine="335"/>
        <w:spacing w:after="0" w:line="255" w:lineRule="auto"/>
        <w:rPr>
          <w:sz w:val="20"/>
          <w:szCs w:val="20"/>
          <w:color w:val="auto"/>
        </w:rPr>
      </w:pPr>
      <w:r>
        <w:rPr>
          <w:rFonts w:ascii="Times New Roman" w:cs="Times New Roman" w:eastAsia="Times New Roman" w:hAnsi="Times New Roman"/>
          <w:sz w:val="14"/>
          <w:szCs w:val="14"/>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3" w:lineRule="exact"/>
        <w:rPr>
          <w:sz w:val="20"/>
          <w:szCs w:val="20"/>
          <w:color w:val="auto"/>
        </w:rPr>
      </w:pPr>
    </w:p>
    <w:p>
      <w:pPr>
        <w:ind w:left="320" w:right="339" w:firstLine="335"/>
        <w:spacing w:after="0" w:line="267" w:lineRule="auto"/>
        <w:rPr>
          <w:sz w:val="20"/>
          <w:szCs w:val="20"/>
          <w:color w:val="auto"/>
        </w:rPr>
      </w:pPr>
      <w:r>
        <w:rPr>
          <w:rFonts w:ascii="Times New Roman" w:cs="Times New Roman" w:eastAsia="Times New Roman" w:hAnsi="Times New Roman"/>
          <w:sz w:val="13"/>
          <w:szCs w:val="13"/>
          <w:color w:val="auto"/>
        </w:rPr>
        <w:t>Subject to the discussions below concerning backup withholding and FATCA (defined below), distributions of our “investment company taxable income” to Non-U.S. stockholders (including interest income and realized net short-term capital gains in excess of realized long-term capital losses) will be subject to U.S. withholding tax imposed at a rate of 30% (or lower rate provided by an applicable treaty) to the extent of our current and accumulated earnings and profits unless an applicable exception applies. However, no withholding is required with respect to certain distributions if (i) the distributions are properly reported as “interest-related dividends” or “short-term capital gain dividends,” (ii) the distributions are derived from sources specified in the Code for such dividends and (iii) certain other requirements are satisfied. No assurance can be provided as to whether any of our distributions will be reported as eligible for this exemption. If the distributions are effectively connected with the conduct of a trade or business in the United States (a “U.S. trade or business”) by the Non-U.S. stockholder (and if an income tax treaty applies, such distributions are attributable to a permanent establishment maintained by the Non-U.S. stockholder within the United States), we will not be required to withhold U.S. federal tax if the Non-U.S. stockholder complies with applicable certification and disclosure requirements. (Special certification requirements apply to a Non-U.S. stockholder that is a foreign partnership or a foreign trust, and such entities are urged to consult their own tax advisers.)</w:t>
      </w:r>
    </w:p>
    <w:p>
      <w:pPr>
        <w:spacing w:after="0" w:line="140" w:lineRule="exact"/>
        <w:rPr>
          <w:sz w:val="20"/>
          <w:szCs w:val="20"/>
          <w:color w:val="auto"/>
        </w:rPr>
      </w:pPr>
    </w:p>
    <w:p>
      <w:pPr>
        <w:ind w:left="320" w:right="359" w:firstLine="335"/>
        <w:spacing w:after="0" w:line="252" w:lineRule="auto"/>
        <w:rPr>
          <w:sz w:val="20"/>
          <w:szCs w:val="20"/>
          <w:color w:val="auto"/>
        </w:rPr>
      </w:pPr>
      <w:r>
        <w:rPr>
          <w:rFonts w:ascii="Times New Roman" w:cs="Times New Roman" w:eastAsia="Times New Roman" w:hAnsi="Times New Roman"/>
          <w:sz w:val="14"/>
          <w:szCs w:val="14"/>
          <w:color w:val="auto"/>
        </w:rPr>
        <w:t>Actual or deemed distributions of our net capital gain to a Non-U.S. stockholder, and gain realized by a Non-U.S. stockholder upon the sale or other disposition of our common stock, that are not effectively connected with a U.S. trade or business carried on by the Non-U.S. stockholder (and if an income tax treaty applies, such distributions or gains are attributable to a permanent establishment maintained by the Non-U.S. stockholder within the United States), will generally not be subject to U.S. federal income tax.</w:t>
      </w:r>
    </w:p>
    <w:p>
      <w:pPr>
        <w:spacing w:after="0" w:line="145"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Under our reinvestment of dividends policy, if a Non-U.S. stockholder owns shares of our common stock registered in its own name, the Non-U.S. stockholder will have all cash distributions automatically reinvested in additional shares of our common stock unless it opts out of the reinvestment of dividends. If the distribution is a distribution of our investment company taxable income, is not designated by us as a short-term capital gains dividend or interest-related dividend and it is not effectively connected with a U.S. trade or business of the Non-U.S. stockholder (or, if required by an applicable income tax treaty, is not attributable to a U.S. permanent establishment maintained by the Non-U.S. stockholder within the United States), the amount distributed (to the extent of our current or accumulated earnings and profits) will be subject to withholding of U.S. federal income tax imposed at a rate of 30% (or lower rate provided by an applicable treaty) and only the net after-tax amount will be reinvested in our common stock. The Non-U.S. stockholder will have an adjusted tax basis in the additional common stock purchased through the reinvestment equal to the amount reinvested. The additional shares will have a new holding period commencing on the day following the day on which the shares are credited to the Non-U.S. stockholder’s account.</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9019"/>
          </w:cols>
          <w:pgMar w:left="1440" w:top="260" w:right="1440" w:bottom="1440" w:gutter="0" w:footer="0" w:header="0"/>
        </w:sectPr>
      </w:pPr>
    </w:p>
    <w:bookmarkStart w:id="57" w:name="page58"/>
    <w:bookmarkEnd w:id="57"/>
    <w:p>
      <w:pPr>
        <w:jc w:val="both"/>
        <w:ind w:left="320" w:right="339" w:firstLine="335"/>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203440" cy="45085"/>
                    </a:xfrm>
                    <a:prstGeom prst="rect">
                      <a:avLst/>
                    </a:prstGeom>
                    <a:noFill/>
                  </pic:spPr>
                </pic:pic>
              </a:graphicData>
            </a:graphic>
          </wp:anchor>
        </w:drawing>
        <w:t>The tax consequences to Non-U.S. stockholders that are individuals that are present in the U.S. for 183 days or more during a taxable year may be different from those described herein. Non-U.S. stockholders are urged to consult their tax advisers with respect to the procedure for claiming the benefit of a lower treaty rate and the applicability of foreign taxes.</w:t>
      </w:r>
    </w:p>
    <w:p>
      <w:pPr>
        <w:spacing w:after="0" w:line="143" w:lineRule="exact"/>
        <w:rPr>
          <w:sz w:val="20"/>
          <w:szCs w:val="20"/>
          <w:color w:val="auto"/>
        </w:rPr>
      </w:pPr>
    </w:p>
    <w:p>
      <w:pPr>
        <w:ind w:left="320" w:right="339" w:firstLine="335"/>
        <w:spacing w:after="0" w:line="269" w:lineRule="auto"/>
        <w:rPr>
          <w:sz w:val="20"/>
          <w:szCs w:val="20"/>
          <w:color w:val="auto"/>
        </w:rPr>
      </w:pPr>
      <w:r>
        <w:rPr>
          <w:rFonts w:ascii="Times New Roman" w:cs="Times New Roman" w:eastAsia="Times New Roman" w:hAnsi="Times New Roman"/>
          <w:sz w:val="13"/>
          <w:szCs w:val="13"/>
          <w:color w:val="auto"/>
        </w:rPr>
        <w:t>If we distribute our net capital gain in the form of deemed rather than actual distributions (which we may do in the future), a Non-U.S. stockholder will be entitled to a U.S. federal income tax credit or tax refund equal to the stockholder’s allocable share of the tax we pay on the capital gain deemed to have been distributed. In order to obtain the refund, the Non-U.S. stockholder must obtain a U.S. taxpayer identification number and file a</w:t>
      </w:r>
    </w:p>
    <w:p>
      <w:pPr>
        <w:spacing w:after="0" w:line="1" w:lineRule="exact"/>
        <w:rPr>
          <w:sz w:val="20"/>
          <w:szCs w:val="20"/>
          <w:color w:val="auto"/>
        </w:rPr>
      </w:pPr>
    </w:p>
    <w:p>
      <w:pPr>
        <w:ind w:left="320" w:right="339"/>
        <w:spacing w:after="0" w:line="249" w:lineRule="auto"/>
        <w:rPr>
          <w:sz w:val="20"/>
          <w:szCs w:val="20"/>
          <w:color w:val="auto"/>
        </w:rPr>
      </w:pPr>
      <w:r>
        <w:rPr>
          <w:rFonts w:ascii="Times New Roman" w:cs="Times New Roman" w:eastAsia="Times New Roman" w:hAnsi="Times New Roman"/>
          <w:sz w:val="14"/>
          <w:szCs w:val="14"/>
          <w:color w:val="auto"/>
        </w:rPr>
        <w:t>U.S. federal income tax return even if the Non-U.S. stockholder would not otherwise be required to obtain a U.S. taxpayer identification number or file a U.S. federal income tax return. Accordingly, investment in the shares may not be appropriate for a Non-U.S. stockholder.</w:t>
      </w:r>
    </w:p>
    <w:p>
      <w:pPr>
        <w:spacing w:after="0" w:line="147" w:lineRule="exact"/>
        <w:rPr>
          <w:sz w:val="20"/>
          <w:szCs w:val="20"/>
          <w:color w:val="auto"/>
        </w:rPr>
      </w:pPr>
    </w:p>
    <w:p>
      <w:pPr>
        <w:ind w:left="320" w:right="339" w:firstLine="335"/>
        <w:spacing w:after="0" w:line="269" w:lineRule="auto"/>
        <w:rPr>
          <w:sz w:val="20"/>
          <w:szCs w:val="20"/>
          <w:color w:val="auto"/>
        </w:rPr>
      </w:pPr>
      <w:r>
        <w:rPr>
          <w:rFonts w:ascii="Times New Roman" w:cs="Times New Roman" w:eastAsia="Times New Roman" w:hAnsi="Times New Roman"/>
          <w:sz w:val="13"/>
          <w:szCs w:val="13"/>
          <w:color w:val="auto"/>
        </w:rPr>
        <w:t>Distributions of our “investment company taxable income” and net capital gain (including deemed distributions) to Non-U.S. stockholders, and gain realized by Non-U.S. stockholders upon the sale of our common stock that is “effectively connected” with a U.S. trade or business carried on by the Non-U.S. stockholder (or if an income tax treaty applies, attributable to a “permanent establishment” in the United States), will be subject to</w:t>
      </w:r>
    </w:p>
    <w:p>
      <w:pPr>
        <w:spacing w:after="0" w:line="1" w:lineRule="exact"/>
        <w:rPr>
          <w:sz w:val="20"/>
          <w:szCs w:val="20"/>
          <w:color w:val="auto"/>
        </w:rPr>
      </w:pPr>
    </w:p>
    <w:p>
      <w:pPr>
        <w:jc w:val="both"/>
        <w:ind w:left="320" w:right="519"/>
        <w:spacing w:after="0" w:line="247" w:lineRule="auto"/>
        <w:rPr>
          <w:sz w:val="20"/>
          <w:szCs w:val="20"/>
          <w:color w:val="auto"/>
        </w:rPr>
      </w:pPr>
      <w:r>
        <w:rPr>
          <w:rFonts w:ascii="Times New Roman" w:cs="Times New Roman" w:eastAsia="Times New Roman" w:hAnsi="Times New Roman"/>
          <w:sz w:val="14"/>
          <w:szCs w:val="14"/>
          <w:color w:val="auto"/>
        </w:rPr>
        <w:t>U.S. federal income tax at the graduated rates applicable to U.S. citizens, residents and domestic corporations. Corporate Non-U.S. stockholders may also be subject to an additional branch profits tax at a rate of 30% imposed by the Code (or lower rate provided by an applicable treaty). Accordingly, investment in the shares may not be appropriate for certain Non-U.S. stockholders.</w:t>
      </w:r>
    </w:p>
    <w:p>
      <w:pPr>
        <w:spacing w:after="0" w:line="148" w:lineRule="exact"/>
        <w:rPr>
          <w:sz w:val="20"/>
          <w:szCs w:val="20"/>
          <w:color w:val="auto"/>
        </w:rPr>
      </w:pPr>
    </w:p>
    <w:p>
      <w:pPr>
        <w:ind w:left="320" w:right="459" w:firstLine="335"/>
        <w:spacing w:after="0" w:line="255" w:lineRule="auto"/>
        <w:rPr>
          <w:sz w:val="20"/>
          <w:szCs w:val="20"/>
          <w:color w:val="auto"/>
        </w:rPr>
      </w:pPr>
      <w:r>
        <w:rPr>
          <w:rFonts w:ascii="Times New Roman" w:cs="Times New Roman" w:eastAsia="Times New Roman" w:hAnsi="Times New Roman"/>
          <w:sz w:val="14"/>
          <w:szCs w:val="14"/>
          <w:color w:val="auto"/>
        </w:rPr>
        <w:t>The tax consequences to a Non-U.S. stockholder entitled to claim the benefits of an applicable tax treaty may differ from those described herein. Non-U.S. stockholders are advised to consult their own tax advisers with respect to the particular tax consequences to them of an investment in our shares.</w:t>
      </w:r>
    </w:p>
    <w:p>
      <w:pPr>
        <w:spacing w:after="0" w:line="143" w:lineRule="exact"/>
        <w:rPr>
          <w:sz w:val="20"/>
          <w:szCs w:val="20"/>
          <w:color w:val="auto"/>
        </w:rPr>
      </w:pPr>
    </w:p>
    <w:p>
      <w:pPr>
        <w:ind w:left="320" w:right="359" w:firstLine="335"/>
        <w:spacing w:after="0" w:line="247" w:lineRule="auto"/>
        <w:rPr>
          <w:sz w:val="20"/>
          <w:szCs w:val="20"/>
          <w:color w:val="auto"/>
        </w:rPr>
      </w:pPr>
      <w:r>
        <w:rPr>
          <w:rFonts w:ascii="Times New Roman" w:cs="Times New Roman" w:eastAsia="Times New Roman" w:hAnsi="Times New Roman"/>
          <w:sz w:val="14"/>
          <w:szCs w:val="14"/>
          <w:color w:val="auto"/>
        </w:rPr>
        <w:t>We must generally report to our documented Non-U.S. stockholders and the IRS the amount of dividends paid during each calendar year and the amount of any tax withheld. Information reporting requirements may apply even if no withholding was required because the distributions were effectively connected with the Non-U.S. stockholder’s conduct of a U.S. trade or business or withholding was reduced or eliminated by an applicable income tax treaty. This information also may be made available under a specific treaty or agreement with the tax authorities in the country in which the Non-U.S. stockholder resides or is established. Under U.S. federal income tax law, interest, dividends and other reportable payments may, under certain circumstances, be subject to “backup withholding” at the then applicable rate (currently 24%). Backup withholding, however, generally will not apply to distributions to a Non-U.S. stockholder, provided the Non-U.S. stockholder furnishes to us the required certification as to its non-U.S. status, such as by providing a valid IRS Form W-8BEN or IRS Form W-8BEN-E, or certain other requirements are met. Backup withholding is not an additional tax but can be credited against a Non-U.S. stockholder’s U.S. federal income tax, and may be refunded to the extent it results in an overpayment of tax and the appropriate information is timely supplied to the IRS.</w:t>
      </w:r>
    </w:p>
    <w:p>
      <w:pPr>
        <w:spacing w:after="0" w:line="149" w:lineRule="exact"/>
        <w:rPr>
          <w:sz w:val="20"/>
          <w:szCs w:val="20"/>
          <w:color w:val="auto"/>
        </w:rPr>
      </w:pPr>
    </w:p>
    <w:p>
      <w:pPr>
        <w:ind w:left="320" w:right="699" w:firstLine="335"/>
        <w:spacing w:after="0" w:line="266" w:lineRule="auto"/>
        <w:rPr>
          <w:sz w:val="20"/>
          <w:szCs w:val="20"/>
          <w:color w:val="auto"/>
        </w:rPr>
      </w:pPr>
      <w:r>
        <w:rPr>
          <w:rFonts w:ascii="Times New Roman" w:cs="Times New Roman" w:eastAsia="Times New Roman" w:hAnsi="Times New Roman"/>
          <w:sz w:val="14"/>
          <w:szCs w:val="14"/>
          <w:color w:val="auto"/>
        </w:rPr>
        <w:t>Non-U.S. persons should consult their own tax advisors with respect to the U.S. federal income tax and withholding tax, and state, local and foreign tax consequences of an investment in the shares.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Foreign Account Tax Compliance Act</w:t>
      </w:r>
    </w:p>
    <w:p>
      <w:pPr>
        <w:spacing w:after="0" w:line="89" w:lineRule="exact"/>
        <w:rPr>
          <w:sz w:val="20"/>
          <w:szCs w:val="20"/>
          <w:color w:val="auto"/>
        </w:rPr>
      </w:pPr>
    </w:p>
    <w:p>
      <w:pPr>
        <w:ind w:left="320" w:right="439" w:firstLine="335"/>
        <w:spacing w:after="0" w:line="249" w:lineRule="auto"/>
        <w:rPr>
          <w:sz w:val="20"/>
          <w:szCs w:val="20"/>
          <w:color w:val="auto"/>
        </w:rPr>
      </w:pPr>
      <w:r>
        <w:rPr>
          <w:rFonts w:ascii="Times New Roman" w:cs="Times New Roman" w:eastAsia="Times New Roman" w:hAnsi="Times New Roman"/>
          <w:sz w:val="14"/>
          <w:szCs w:val="14"/>
          <w:color w:val="auto"/>
        </w:rPr>
        <w:t>Legislation commonly referred to as the “Foreign Account Tax Compliance Act,” or “FATCA,” generally imposes a 30% withholding tax on payments of certain types of income to foreign financial institutions (“FFIs”) unless such FFIs either (i) enter into an agreement with the U.S. Treasury to report certain required information with respect to accounts held by certain specified U.S. persons (or held by foreign entities that have certain specified U.S. persons as substantial owners) or (ii) reside in a jurisdiction that has entered into an intergovernmental agreement (“IGA”) with the United States to collect and share such information and are in compliance with the terms of such IGA and any enabling legislation or regulations. The types of income subject</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9019"/>
          </w:cols>
          <w:pgMar w:left="1440" w:top="260" w:right="1440" w:bottom="1440" w:gutter="0" w:footer="0" w:header="0"/>
        </w:sectPr>
      </w:pPr>
    </w:p>
    <w:bookmarkStart w:id="58" w:name="page59"/>
    <w:bookmarkEnd w:id="58"/>
    <w:p>
      <w:pPr>
        <w:ind w:left="320" w:right="359"/>
        <w:spacing w:after="0" w:line="24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203440" cy="45085"/>
                    </a:xfrm>
                    <a:prstGeom prst="rect">
                      <a:avLst/>
                    </a:prstGeom>
                    <a:noFill/>
                  </pic:spPr>
                </pic:pic>
              </a:graphicData>
            </a:graphic>
          </wp:anchor>
        </w:drawing>
        <w:t>to the tax include U.S. source interest and dividends. While the Code would also require withholding on payments of the gross proceeds from the sale of any property that could produce U.S. source interest or dividends, the U.S. Treasury Department has indicated its intent to eliminate this requirement in subsequent proposed regulations, which state that taxpayers may rely on the proposed regulations until final regulations are issued. The information required to be reported includes the identity and taxpayer identification number of each account holder that is a specified U.S. person and certain financial information associated with the holder’s account. In addition, subject to certain exceptions, FATCA also imposes a 30% withholding on certain payments to certain foreign entities that are not FFIs unless the foreign entity certifies that it does not have a greater than 10% U.S. owner that is a specified U.S. person or provides the withholding agent with identifying information on each greater than 10% U.S. owner that is a specified U.S. person. Depending on the status of a Non-U.S. stockholder and the status of the intermediaries through which they hold their shares, Non-U.S. stockholder could be subject to this 30% withholding tax with respect to distributions on their common stock. Under certain circumstances, a non-U.S. stockholder might be eligible for refunds or credits of such taxes.</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Possible Legislative or Other Actions Affecting Tax Considerations</w:t>
      </w:r>
    </w:p>
    <w:p>
      <w:pPr>
        <w:spacing w:after="0" w:line="89" w:lineRule="exact"/>
        <w:rPr>
          <w:sz w:val="20"/>
          <w:szCs w:val="20"/>
          <w:color w:val="auto"/>
        </w:rPr>
      </w:pPr>
    </w:p>
    <w:p>
      <w:pPr>
        <w:ind w:left="320" w:right="459" w:firstLine="335"/>
        <w:spacing w:after="0" w:line="250" w:lineRule="auto"/>
        <w:rPr>
          <w:sz w:val="20"/>
          <w:szCs w:val="20"/>
          <w:color w:val="auto"/>
        </w:rPr>
      </w:pPr>
      <w:r>
        <w:rPr>
          <w:rFonts w:ascii="Times New Roman" w:cs="Times New Roman" w:eastAsia="Times New Roman" w:hAnsi="Times New Roman"/>
          <w:sz w:val="14"/>
          <w:szCs w:val="14"/>
          <w:color w:val="auto"/>
        </w:rPr>
        <w:t>Prospective investors should recognize that the present U.S. federal income tax treatment of an investment in our stock may be modified by legislative, judicial or administrative action at any time, and that any such action may affect investments and commitments previously made. The rules dealing with U.S. federal income taxation are constantly under review by persons involved in the legislative process any by the IRS and the</w:t>
      </w:r>
    </w:p>
    <w:p>
      <w:pPr>
        <w:spacing w:after="0" w:line="1" w:lineRule="exact"/>
        <w:rPr>
          <w:sz w:val="20"/>
          <w:szCs w:val="20"/>
          <w:color w:val="auto"/>
        </w:rPr>
      </w:pPr>
    </w:p>
    <w:p>
      <w:pPr>
        <w:ind w:left="320" w:right="759"/>
        <w:spacing w:after="0" w:line="247" w:lineRule="auto"/>
        <w:rPr>
          <w:sz w:val="20"/>
          <w:szCs w:val="20"/>
          <w:color w:val="auto"/>
        </w:rPr>
      </w:pPr>
      <w:r>
        <w:rPr>
          <w:rFonts w:ascii="Times New Roman" w:cs="Times New Roman" w:eastAsia="Times New Roman" w:hAnsi="Times New Roman"/>
          <w:sz w:val="14"/>
          <w:szCs w:val="14"/>
          <w:color w:val="auto"/>
        </w:rPr>
        <w:t>U.S. Treasury Department, resulting in revisions of regulations and revised interpretations of established concepts as well as statutory changes. Revisions in U.S. federal tax laws and interpretations thereof could adversely affect the tax consequences of an investment in our stock. See Risk Related to Our Business and Structure – Recent tax legislation could have a negative effect on the Company.</w:t>
      </w:r>
    </w:p>
    <w:p>
      <w:pPr>
        <w:spacing w:after="0" w:line="148" w:lineRule="exact"/>
        <w:rPr>
          <w:sz w:val="20"/>
          <w:szCs w:val="20"/>
          <w:color w:val="auto"/>
        </w:rPr>
      </w:pPr>
    </w:p>
    <w:p>
      <w:pPr>
        <w:ind w:left="320" w:right="619" w:firstLine="335"/>
        <w:spacing w:after="0" w:line="266" w:lineRule="auto"/>
        <w:rPr>
          <w:sz w:val="20"/>
          <w:szCs w:val="20"/>
          <w:color w:val="auto"/>
        </w:rPr>
      </w:pPr>
      <w:r>
        <w:rPr>
          <w:rFonts w:ascii="Times New Roman" w:cs="Times New Roman" w:eastAsia="Times New Roman" w:hAnsi="Times New Roman"/>
          <w:sz w:val="14"/>
          <w:szCs w:val="14"/>
          <w:color w:val="auto"/>
        </w:rPr>
        <w:t>The discussion set forth herein does not constitute tax advice, and potential investors should consult their own tax advisors concerning the tax considerations relevant to their particular situation.</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9019"/>
          </w:cols>
          <w:pgMar w:left="1440" w:top="260" w:right="1440"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203440" cy="45085"/>
                    </a:xfrm>
                    <a:prstGeom prst="rect">
                      <a:avLst/>
                    </a:prstGeom>
                    <a:noFill/>
                  </pic:spPr>
                </pic:pic>
              </a:graphicData>
            </a:graphic>
          </wp:anchor>
        </w:drawing>
        <w:t>DESCRIPTION OF OUR CAPITAL STOCK</w:t>
      </w:r>
    </w:p>
    <w:p>
      <w:pPr>
        <w:spacing w:after="0" w:line="171" w:lineRule="exact"/>
        <w:rPr>
          <w:sz w:val="20"/>
          <w:szCs w:val="20"/>
          <w:color w:val="auto"/>
        </w:rPr>
      </w:pPr>
    </w:p>
    <w:p>
      <w:pPr>
        <w:jc w:val="both"/>
        <w:ind w:left="320" w:right="459" w:firstLine="335"/>
        <w:spacing w:after="0" w:line="255" w:lineRule="auto"/>
        <w:rPr>
          <w:sz w:val="20"/>
          <w:szCs w:val="20"/>
          <w:color w:val="auto"/>
        </w:rPr>
      </w:pPr>
      <w:r>
        <w:rPr>
          <w:rFonts w:ascii="Times New Roman" w:cs="Times New Roman" w:eastAsia="Times New Roman" w:hAnsi="Times New Roman"/>
          <w:sz w:val="14"/>
          <w:szCs w:val="14"/>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Capital Stock</w:t>
      </w:r>
    </w:p>
    <w:p>
      <w:pPr>
        <w:spacing w:after="0" w:line="89" w:lineRule="exact"/>
        <w:rPr>
          <w:sz w:val="20"/>
          <w:szCs w:val="20"/>
          <w:color w:val="auto"/>
        </w:rPr>
      </w:pPr>
    </w:p>
    <w:p>
      <w:pPr>
        <w:ind w:left="320" w:right="439" w:firstLine="335"/>
        <w:spacing w:after="0" w:line="252" w:lineRule="auto"/>
        <w:rPr>
          <w:sz w:val="20"/>
          <w:szCs w:val="20"/>
          <w:color w:val="auto"/>
        </w:rPr>
      </w:pPr>
      <w:r>
        <w:rPr>
          <w:rFonts w:ascii="Times New Roman" w:cs="Times New Roman" w:eastAsia="Times New Roman" w:hAnsi="Times New Roman"/>
          <w:sz w:val="14"/>
          <w:szCs w:val="14"/>
          <w:color w:val="auto"/>
        </w:rPr>
        <w:t>Our authorized capital stock consists of 100,000,000 shares of common stock, par value $0.001 per share, of which 37,954,364 were outstanding as of February 25, 2026. Our common stock trades on the Nasdaq Global Select Market under the ticker symbol “FDUS.” There are no outstanding options or warrants to purchase our stock. No stock has been authorized for issuance under any equity compensation plan. Under Maryland law, our stockholders generally are not personally liable for our debts or obligations.</w:t>
      </w:r>
    </w:p>
    <w:p>
      <w:pPr>
        <w:spacing w:after="0" w:line="145" w:lineRule="exact"/>
        <w:rPr>
          <w:sz w:val="20"/>
          <w:szCs w:val="20"/>
          <w:color w:val="auto"/>
        </w:rPr>
      </w:pPr>
    </w:p>
    <w:p>
      <w:pPr>
        <w:ind w:left="320" w:right="419" w:firstLine="335"/>
        <w:spacing w:after="0" w:line="252" w:lineRule="auto"/>
        <w:rPr>
          <w:sz w:val="20"/>
          <w:szCs w:val="20"/>
          <w:color w:val="auto"/>
        </w:rPr>
      </w:pPr>
      <w:r>
        <w:rPr>
          <w:rFonts w:ascii="Times New Roman" w:cs="Times New Roman" w:eastAsia="Times New Roman" w:hAnsi="Times New Roman"/>
          <w:sz w:val="14"/>
          <w:szCs w:val="14"/>
          <w:color w:val="auto"/>
        </w:rPr>
        <w:t>Under our charter, our board of directors is authorized to classify and reclassify any unissued shares of stock into other classes or series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89"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All shares of our common stock have equal rights as to earnings, assets, voting, and distributions and, when they are issued, will be duly authorized, validly issued, fully paid and nonassessable. Distributions may be paid to the holders of our common stock if, as and when authorized by our board of directors and declared by us out of assets legally available therefor. Shares of our common stock have no preemptive, conversion or redemption rights and are freely transferable, except where their transfer is restricted by federal and state securities laws or by contract. 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Long-Term Debt</w:t>
      </w:r>
    </w:p>
    <w:p>
      <w:pPr>
        <w:spacing w:after="0" w:line="89" w:lineRule="exact"/>
        <w:rPr>
          <w:sz w:val="20"/>
          <w:szCs w:val="20"/>
          <w:color w:val="auto"/>
        </w:rPr>
      </w:pPr>
    </w:p>
    <w:p>
      <w:pPr>
        <w:jc w:val="both"/>
        <w:ind w:left="320" w:right="359" w:firstLine="335"/>
        <w:spacing w:after="0" w:line="255" w:lineRule="auto"/>
        <w:rPr>
          <w:sz w:val="20"/>
          <w:szCs w:val="20"/>
          <w:color w:val="auto"/>
        </w:rPr>
      </w:pPr>
      <w:r>
        <w:rPr>
          <w:rFonts w:ascii="Times New Roman" w:cs="Times New Roman" w:eastAsia="Times New Roman" w:hAnsi="Times New Roman"/>
          <w:sz w:val="14"/>
          <w:szCs w:val="14"/>
          <w:color w:val="auto"/>
        </w:rPr>
        <w:t>The SBA debentures issued by the SBIC Funds have fixed interest rates that approximate prevailing 10-year Treasury Note rates plus a spread and have a maturity of ten years with interest payable semi-annually. The principal amount of the SBA debentures is not required to be paid before maturity but may be pre-paid at any time. As of December 31, 2025, the SBIC Funds had $237.5 million of outstanding SBA debentures.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Credit Facility</w:t>
      </w:r>
    </w:p>
    <w:p>
      <w:pPr>
        <w:spacing w:after="0" w:line="89" w:lineRule="exact"/>
        <w:rPr>
          <w:sz w:val="20"/>
          <w:szCs w:val="20"/>
          <w:color w:val="auto"/>
        </w:rPr>
      </w:pPr>
    </w:p>
    <w:p>
      <w:pPr>
        <w:ind w:left="320" w:right="399" w:firstLine="335"/>
        <w:spacing w:after="0" w:line="250" w:lineRule="auto"/>
        <w:rPr>
          <w:sz w:val="20"/>
          <w:szCs w:val="20"/>
          <w:color w:val="auto"/>
        </w:rPr>
      </w:pPr>
      <w:r>
        <w:rPr>
          <w:rFonts w:ascii="Times New Roman" w:cs="Times New Roman" w:eastAsia="Times New Roman" w:hAnsi="Times New Roman"/>
          <w:sz w:val="14"/>
          <w:szCs w:val="14"/>
          <w:color w:val="auto"/>
        </w:rPr>
        <w:t>On October 16, 2025, we entered into a credit and security agreement (the “SPV Credit Agreement”) relating to a special purpose vehicle credit facility (the “SPV Credit Facility”) by and among FIC Funding, LLC (the “SPV”), as borrower, us, as servicer and equityholder, ING, as administrative agent (the “Administrative Agent”) and lead arranger, Western Alliance Trust Company, N.A., as custodian, collateral agent, and collateral administrator, and the lenders from time to time parties thereto. The SPV Credit Facility is secured primarily by a pledge of 100% of the equity interest in the SPV held by the Company and the SPV’s assets, which consist of</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9019"/>
          </w:cols>
          <w:pgMar w:left="1440" w:top="256" w:right="1440" w:bottom="1440" w:gutter="0" w:footer="0" w:header="0"/>
        </w:sectPr>
      </w:pPr>
    </w:p>
    <w:bookmarkStart w:id="60" w:name="page61"/>
    <w:bookmarkEnd w:id="60"/>
    <w:p>
      <w:pPr>
        <w:ind w:left="320" w:right="339"/>
        <w:spacing w:after="0" w:line="26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203440" cy="45085"/>
                    </a:xfrm>
                    <a:prstGeom prst="rect">
                      <a:avLst/>
                    </a:prstGeom>
                    <a:noFill/>
                  </pic:spPr>
                </pic:pic>
              </a:graphicData>
            </a:graphic>
          </wp:anchor>
        </w:drawing>
        <w:t>certain bank loans or securities. The SPV Credit Facility provides for $175.0 million of initial commitments, and has an accordion feature that allows for an increase of the total commitments to up to $250.0 million, subject to certain conditions (including the consent of the Administrative Agent). On December 22, 2025, the total commitments available under the SPV Credit Facility was increased from $175.0 million to $225.0 million pursuant to the accordion feature. The SPV Credit Facility has a reinvestment period until October 16, 2029 and matures on October 16, 2030. The advances under the SPV Credit Facility bear interest, subject to our election, on a per annum basis equal to one-month Term SOFR plus 0.11448% and an applicable margin ranging from 2.500% to 2.675%. The SPV pays a commitment fee that varies depending on the size of the unused portion of the SPV Credit Facility:</w:t>
      </w:r>
    </w:p>
    <w:p>
      <w:pPr>
        <w:spacing w:after="0" w:line="2" w:lineRule="exact"/>
        <w:rPr>
          <w:sz w:val="20"/>
          <w:szCs w:val="20"/>
          <w:color w:val="auto"/>
        </w:rPr>
      </w:pPr>
    </w:p>
    <w:p>
      <w:pPr>
        <w:ind w:left="320" w:right="479" w:hanging="1"/>
        <w:spacing w:after="0" w:line="263" w:lineRule="auto"/>
        <w:tabs>
          <w:tab w:leader="none" w:pos="514"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utilized portion of the aggregate commitments as of the close of business on such day is less than 35% of the aggregate commitments (the “Minimum Utilization Amount”), the commitment fee will equal the sum of (a) the then applicable margin multiplied by (i) the Minimum Utilization Amount minus (ii) the aggregate outstanding principal balance of the advances on such day and (b) 0.50% multiplied by 65% of the commitments and</w:t>
      </w:r>
    </w:p>
    <w:p>
      <w:pPr>
        <w:ind w:left="320" w:right="599" w:hanging="1"/>
        <w:spacing w:after="0" w:line="249" w:lineRule="auto"/>
        <w:tabs>
          <w:tab w:leader="none" w:pos="51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utilized portion of the aggregate commitments is greater than or equal to the Minimum Utilization Amount, the commitment fee will equal 0.50% multiplied by the unused amount of the commitments.</w:t>
      </w:r>
    </w:p>
    <w:p>
      <w:pPr>
        <w:spacing w:after="0" w:line="147" w:lineRule="exact"/>
        <w:rPr>
          <w:sz w:val="20"/>
          <w:szCs w:val="20"/>
          <w:color w:val="auto"/>
        </w:rPr>
      </w:pPr>
    </w:p>
    <w:p>
      <w:pPr>
        <w:ind w:left="320" w:right="539" w:firstLine="335"/>
        <w:spacing w:after="0" w:line="250" w:lineRule="auto"/>
        <w:rPr>
          <w:sz w:val="20"/>
          <w:szCs w:val="20"/>
          <w:color w:val="auto"/>
        </w:rPr>
      </w:pPr>
      <w:r>
        <w:rPr>
          <w:rFonts w:ascii="Times New Roman" w:cs="Times New Roman" w:eastAsia="Times New Roman" w:hAnsi="Times New Roman"/>
          <w:sz w:val="14"/>
          <w:szCs w:val="14"/>
          <w:color w:val="auto"/>
        </w:rPr>
        <w:t>Amounts available to borrow under the SPV Credit Facility are subject to a minimum borrowing/collateral base that applies an advance rate to certain investments held by the SPV. We are subject to limitations with respect to the investments securing the SPV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 As of December 31, 2025, the remaining available borrowing base on the SPV Credit Facility was $102.2 million.</w:t>
      </w:r>
    </w:p>
    <w:p>
      <w:pPr>
        <w:spacing w:after="0" w:line="146" w:lineRule="exact"/>
        <w:rPr>
          <w:sz w:val="20"/>
          <w:szCs w:val="20"/>
          <w:color w:val="auto"/>
        </w:rPr>
      </w:pPr>
    </w:p>
    <w:p>
      <w:pPr>
        <w:ind w:left="320" w:right="399" w:firstLine="335"/>
        <w:spacing w:after="0" w:line="255" w:lineRule="auto"/>
        <w:rPr>
          <w:sz w:val="20"/>
          <w:szCs w:val="20"/>
          <w:color w:val="auto"/>
        </w:rPr>
      </w:pPr>
      <w:r>
        <w:rPr>
          <w:rFonts w:ascii="Times New Roman" w:cs="Times New Roman" w:eastAsia="Times New Roman" w:hAnsi="Times New Roman"/>
          <w:sz w:val="14"/>
          <w:szCs w:val="14"/>
          <w:color w:val="auto"/>
        </w:rPr>
        <w:t>We have made customary representations and warranties and we are required to comply with various covenants, reporting requirements and other customary requirements. These covenants are subject to important limitations and exceptions that are described in the documents governing the SPV Credit Facility. As of December 31, 2025, we were in compliance in all material respects with the terms of the SPV Credit Agreement.</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Outstanding Securities</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following table shows our outstanding classes of securities as of December 31, 2025:</w:t>
      </w:r>
    </w:p>
    <w:p>
      <w:pPr>
        <w:spacing w:after="0" w:line="168" w:lineRule="exact"/>
        <w:rPr>
          <w:sz w:val="20"/>
          <w:szCs w:val="20"/>
          <w:color w:val="auto"/>
        </w:rPr>
      </w:pPr>
    </w:p>
    <w:tbl>
      <w:tblPr>
        <w:tblLayout w:type="fixed"/>
        <w:tblInd w:w="1000" w:type="dxa"/>
        <w:tblCellMar>
          <w:top w:w="0" w:type="dxa"/>
          <w:left w:w="0" w:type="dxa"/>
          <w:bottom w:w="0" w:type="dxa"/>
          <w:right w:w="0" w:type="dxa"/>
        </w:tblCellMar>
      </w:tblPr>
      <w:tr>
        <w:trPr>
          <w:trHeight w:val="126"/>
        </w:trPr>
        <w:tc>
          <w:tcPr>
            <w:tcW w:w="76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w w:val="97"/>
              </w:rPr>
              <w:t>(c) Amount</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 Amount</w:t>
            </w:r>
          </w:p>
        </w:tc>
        <w:tc>
          <w:tcPr>
            <w:tcW w:w="0" w:type="dxa"/>
            <w:vAlign w:val="bottom"/>
          </w:tcPr>
          <w:p>
            <w:pPr>
              <w:spacing w:after="0"/>
              <w:rPr>
                <w:sz w:val="1"/>
                <w:szCs w:val="1"/>
                <w:color w:val="auto"/>
              </w:rPr>
            </w:pPr>
          </w:p>
        </w:tc>
      </w:tr>
      <w:tr>
        <w:trPr>
          <w:trHeight w:val="113"/>
        </w:trPr>
        <w:tc>
          <w:tcPr>
            <w:tcW w:w="7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gridSpan w:val="2"/>
          </w:tcPr>
          <w:p>
            <w:pPr>
              <w:jc w:val="center"/>
              <w:ind w:right="420"/>
              <w:spacing w:after="0" w:line="113" w:lineRule="exact"/>
              <w:rPr>
                <w:sz w:val="20"/>
                <w:szCs w:val="20"/>
                <w:color w:val="auto"/>
              </w:rPr>
            </w:pPr>
            <w:r>
              <w:rPr>
                <w:rFonts w:ascii="Times New Roman" w:cs="Times New Roman" w:eastAsia="Times New Roman" w:hAnsi="Times New Roman"/>
                <w:sz w:val="11"/>
                <w:szCs w:val="11"/>
                <w:b w:val="1"/>
                <w:bCs w:val="1"/>
                <w:color w:val="auto"/>
                <w:w w:val="97"/>
              </w:rPr>
              <w:t>Held by</w:t>
            </w:r>
          </w:p>
        </w:tc>
        <w:tc>
          <w:tcPr>
            <w:tcW w:w="84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8"/>
              </w:rPr>
              <w:t>Outstanding</w:t>
            </w:r>
          </w:p>
        </w:tc>
        <w:tc>
          <w:tcPr>
            <w:tcW w:w="0" w:type="dxa"/>
            <w:vAlign w:val="bottom"/>
          </w:tcPr>
          <w:p>
            <w:pPr>
              <w:spacing w:after="0"/>
              <w:rPr>
                <w:sz w:val="1"/>
                <w:szCs w:val="1"/>
                <w:color w:val="auto"/>
              </w:rPr>
            </w:pPr>
          </w:p>
        </w:tc>
      </w:tr>
      <w:tr>
        <w:trPr>
          <w:trHeight w:val="113"/>
        </w:trPr>
        <w:tc>
          <w:tcPr>
            <w:tcW w:w="7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8"/>
              </w:rPr>
              <w:t>(b) Amount</w:t>
            </w:r>
          </w:p>
        </w:tc>
        <w:tc>
          <w:tcPr>
            <w:tcW w:w="940" w:type="dxa"/>
            <w:vAlign w:val="bottom"/>
            <w:gridSpan w:val="2"/>
          </w:tcPr>
          <w:p>
            <w:pPr>
              <w:jc w:val="center"/>
              <w:ind w:right="420"/>
              <w:spacing w:after="0" w:line="113" w:lineRule="exact"/>
              <w:rPr>
                <w:sz w:val="20"/>
                <w:szCs w:val="20"/>
                <w:color w:val="auto"/>
              </w:rPr>
            </w:pPr>
            <w:r>
              <w:rPr>
                <w:rFonts w:ascii="Times New Roman" w:cs="Times New Roman" w:eastAsia="Times New Roman" w:hAnsi="Times New Roman"/>
                <w:sz w:val="11"/>
                <w:szCs w:val="11"/>
                <w:b w:val="1"/>
                <w:bCs w:val="1"/>
                <w:color w:val="auto"/>
              </w:rPr>
              <w:t>us or</w:t>
            </w:r>
          </w:p>
        </w:tc>
        <w:tc>
          <w:tcPr>
            <w:tcW w:w="84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8"/>
              </w:rPr>
              <w:t>Exclusive of</w:t>
            </w:r>
          </w:p>
        </w:tc>
        <w:tc>
          <w:tcPr>
            <w:tcW w:w="0" w:type="dxa"/>
            <w:vAlign w:val="bottom"/>
          </w:tcPr>
          <w:p>
            <w:pPr>
              <w:spacing w:after="0"/>
              <w:rPr>
                <w:sz w:val="1"/>
                <w:szCs w:val="1"/>
                <w:color w:val="auto"/>
              </w:rPr>
            </w:pPr>
          </w:p>
        </w:tc>
      </w:tr>
      <w:tr>
        <w:trPr>
          <w:trHeight w:val="113"/>
        </w:trPr>
        <w:tc>
          <w:tcPr>
            <w:tcW w:w="7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5"/>
              </w:rPr>
              <w:t>(a) Title of Class</w:t>
            </w:r>
          </w:p>
        </w:tc>
        <w:tc>
          <w:tcPr>
            <w:tcW w:w="3240" w:type="dxa"/>
            <w:vAlign w:val="bottom"/>
            <w:vMerge w:val="restart"/>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gridSpan w:val="2"/>
          </w:tcPr>
          <w:p>
            <w:pPr>
              <w:jc w:val="center"/>
              <w:ind w:right="420"/>
              <w:spacing w:after="0" w:line="113" w:lineRule="exact"/>
              <w:rPr>
                <w:sz w:val="20"/>
                <w:szCs w:val="20"/>
                <w:color w:val="auto"/>
              </w:rPr>
            </w:pPr>
            <w:r>
              <w:rPr>
                <w:rFonts w:ascii="Times New Roman" w:cs="Times New Roman" w:eastAsia="Times New Roman" w:hAnsi="Times New Roman"/>
                <w:sz w:val="11"/>
                <w:szCs w:val="11"/>
                <w:b w:val="1"/>
                <w:bCs w:val="1"/>
                <w:color w:val="auto"/>
                <w:w w:val="98"/>
              </w:rPr>
              <w:t>for Our</w:t>
            </w:r>
          </w:p>
        </w:tc>
        <w:tc>
          <w:tcPr>
            <w:tcW w:w="84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8"/>
              </w:rPr>
              <w:t>Amounts</w:t>
            </w:r>
          </w:p>
        </w:tc>
        <w:tc>
          <w:tcPr>
            <w:tcW w:w="0" w:type="dxa"/>
            <w:vAlign w:val="bottom"/>
          </w:tcPr>
          <w:p>
            <w:pPr>
              <w:spacing w:after="0"/>
              <w:rPr>
                <w:sz w:val="1"/>
                <w:szCs w:val="1"/>
                <w:color w:val="auto"/>
              </w:rPr>
            </w:pPr>
          </w:p>
        </w:tc>
      </w:tr>
      <w:tr>
        <w:trPr>
          <w:trHeight w:val="142"/>
        </w:trPr>
        <w:tc>
          <w:tcPr>
            <w:tcW w:w="760" w:type="dxa"/>
            <w:vAlign w:val="bottom"/>
            <w:tcBorders>
              <w:bottom w:val="single" w:sz="8" w:color="auto"/>
            </w:tcBorders>
            <w:vMerge w:val="continue"/>
          </w:tcPr>
          <w:p>
            <w:pPr>
              <w:spacing w:after="0"/>
              <w:rPr>
                <w:sz w:val="12"/>
                <w:szCs w:val="12"/>
                <w:color w:val="auto"/>
              </w:rPr>
            </w:pPr>
          </w:p>
        </w:tc>
        <w:tc>
          <w:tcPr>
            <w:tcW w:w="3240" w:type="dxa"/>
            <w:vAlign w:val="bottom"/>
            <w:vMerge w:val="continue"/>
          </w:tcPr>
          <w:p>
            <w:pPr>
              <w:spacing w:after="0"/>
              <w:rPr>
                <w:sz w:val="12"/>
                <w:szCs w:val="12"/>
                <w:color w:val="auto"/>
              </w:rPr>
            </w:pPr>
          </w:p>
        </w:tc>
        <w:tc>
          <w:tcPr>
            <w:tcW w:w="124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rPr>
              <w:t>Authorized</w:t>
            </w:r>
          </w:p>
        </w:tc>
        <w:tc>
          <w:tcPr>
            <w:tcW w:w="940" w:type="dxa"/>
            <w:vAlign w:val="bottom"/>
            <w:gridSpan w:val="2"/>
          </w:tcPr>
          <w:p>
            <w:pPr>
              <w:jc w:val="center"/>
              <w:ind w:right="4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Account</w:t>
            </w: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Shown Under (c)</w:t>
            </w:r>
          </w:p>
        </w:tc>
        <w:tc>
          <w:tcPr>
            <w:tcW w:w="0" w:type="dxa"/>
            <w:vAlign w:val="bottom"/>
          </w:tcPr>
          <w:p>
            <w:pPr>
              <w:spacing w:after="0"/>
              <w:rPr>
                <w:sz w:val="1"/>
                <w:szCs w:val="1"/>
                <w:color w:val="auto"/>
              </w:rPr>
            </w:pPr>
          </w:p>
        </w:tc>
      </w:tr>
      <w:tr>
        <w:trPr>
          <w:trHeight w:val="145"/>
        </w:trPr>
        <w:tc>
          <w:tcPr>
            <w:tcW w:w="4000" w:type="dxa"/>
            <w:vAlign w:val="bottom"/>
            <w:tcBorders>
              <w:top w:val="single" w:sz="8" w:color="CCEEFF"/>
            </w:tcBorders>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Common Stock</w:t>
            </w:r>
          </w:p>
        </w:tc>
        <w:tc>
          <w:tcPr>
            <w:tcW w:w="960" w:type="dxa"/>
            <w:vAlign w:val="bottom"/>
            <w:tcBorders>
              <w:top w:val="single" w:sz="8" w:color="auto"/>
            </w:tcBorders>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7"/>
              </w:rPr>
              <w:t>100,000,000</w:t>
            </w:r>
          </w:p>
        </w:tc>
        <w:tc>
          <w:tcPr>
            <w:tcW w:w="2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70,540</w:t>
            </w:r>
          </w:p>
        </w:tc>
        <w:tc>
          <w:tcPr>
            <w:tcW w:w="4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8"/>
              </w:rPr>
              <w:t>37,954,364</w:t>
            </w:r>
          </w:p>
        </w:tc>
        <w:tc>
          <w:tcPr>
            <w:tcW w:w="0" w:type="dxa"/>
            <w:vAlign w:val="bottom"/>
          </w:tcPr>
          <w:p>
            <w:pPr>
              <w:spacing w:after="0"/>
              <w:rPr>
                <w:sz w:val="1"/>
                <w:szCs w:val="1"/>
                <w:color w:val="auto"/>
              </w:rPr>
            </w:pPr>
          </w:p>
        </w:tc>
      </w:tr>
      <w:tr>
        <w:trPr>
          <w:trHeight w:val="164"/>
        </w:trPr>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SBA Debentures</w:t>
            </w:r>
          </w:p>
        </w:tc>
        <w:tc>
          <w:tcPr>
            <w:tcW w:w="1240" w:type="dxa"/>
            <w:vAlign w:val="bottom"/>
            <w:gridSpan w:val="2"/>
          </w:tcPr>
          <w:p>
            <w:pPr>
              <w:jc w:val="center"/>
              <w:ind w:right="280"/>
              <w:spacing w:after="0" w:line="164" w:lineRule="exact"/>
              <w:rPr>
                <w:sz w:val="20"/>
                <w:szCs w:val="20"/>
                <w:color w:val="auto"/>
              </w:rPr>
            </w:pPr>
            <w:r>
              <w:rPr>
                <w:rFonts w:ascii="Times New Roman" w:cs="Times New Roman" w:eastAsia="Times New Roman" w:hAnsi="Times New Roman"/>
                <w:sz w:val="14"/>
                <w:szCs w:val="14"/>
                <w:color w:val="auto"/>
                <w:w w:val="92"/>
              </w:rPr>
              <w:t xml:space="preserve">$321.5 million </w:t>
            </w:r>
            <w:r>
              <w:rPr>
                <w:rFonts w:ascii="Times New Roman" w:cs="Times New Roman" w:eastAsia="Times New Roman" w:hAnsi="Times New Roman"/>
                <w:sz w:val="17"/>
                <w:szCs w:val="17"/>
                <w:color w:val="auto"/>
                <w:w w:val="92"/>
                <w:vertAlign w:val="superscript"/>
              </w:rPr>
              <w:t>(1)</w:t>
            </w: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$237.5 million</w:t>
            </w:r>
          </w:p>
        </w:tc>
        <w:tc>
          <w:tcPr>
            <w:tcW w:w="0" w:type="dxa"/>
            <w:vAlign w:val="bottom"/>
          </w:tcPr>
          <w:p>
            <w:pPr>
              <w:spacing w:after="0"/>
              <w:rPr>
                <w:sz w:val="1"/>
                <w:szCs w:val="1"/>
                <w:color w:val="auto"/>
              </w:rPr>
            </w:pPr>
          </w:p>
        </w:tc>
      </w:tr>
      <w:tr>
        <w:trPr>
          <w:trHeight w:val="164"/>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Credit Facility</w:t>
            </w:r>
          </w:p>
        </w:tc>
        <w:tc>
          <w:tcPr>
            <w:tcW w:w="12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w w:val="96"/>
              </w:rPr>
              <w:t>$225.0 million</w:t>
            </w:r>
          </w:p>
        </w:tc>
        <w:tc>
          <w:tcPr>
            <w:tcW w:w="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$83.9 million</w:t>
            </w:r>
          </w:p>
        </w:tc>
        <w:tc>
          <w:tcPr>
            <w:tcW w:w="0" w:type="dxa"/>
            <w:vAlign w:val="bottom"/>
          </w:tcPr>
          <w:p>
            <w:pPr>
              <w:spacing w:after="0"/>
              <w:rPr>
                <w:sz w:val="1"/>
                <w:szCs w:val="1"/>
                <w:color w:val="auto"/>
              </w:rPr>
            </w:pPr>
          </w:p>
        </w:tc>
      </w:tr>
      <w:tr>
        <w:trPr>
          <w:trHeight w:val="176"/>
        </w:trPr>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Notes</w:t>
            </w: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6"/>
              </w:rPr>
              <w:t>$325.0 million</w:t>
            </w: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$325.0 million</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640" w:right="339" w:hanging="321"/>
        <w:spacing w:after="0" w:line="228" w:lineRule="auto"/>
        <w:tabs>
          <w:tab w:leader="none" w:pos="640" w:val="left"/>
        </w:tabs>
        <w:numPr>
          <w:ilvl w:val="0"/>
          <w:numId w:val="2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For more information regarding our limitations as to SBA debenture issuances, see “Regulation — Small Business Administration Regulations” in our most recent Annual Report on Form 10-K.</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Limitation on Liability of Directors and Officers; Indemnification and Advance of Expenses</w:t>
      </w:r>
    </w:p>
    <w:p>
      <w:pPr>
        <w:spacing w:after="0" w:line="89" w:lineRule="exact"/>
        <w:rPr>
          <w:sz w:val="20"/>
          <w:szCs w:val="20"/>
          <w:color w:val="auto"/>
        </w:rPr>
      </w:pPr>
    </w:p>
    <w:p>
      <w:pPr>
        <w:ind w:left="320" w:right="379" w:firstLine="335"/>
        <w:spacing w:after="0" w:line="250" w:lineRule="auto"/>
        <w:rPr>
          <w:sz w:val="20"/>
          <w:szCs w:val="20"/>
          <w:color w:val="auto"/>
        </w:rPr>
      </w:pPr>
      <w:r>
        <w:rPr>
          <w:rFonts w:ascii="Times New Roman" w:cs="Times New Roman" w:eastAsia="Times New Roman" w:hAnsi="Times New Roman"/>
          <w:sz w:val="14"/>
          <w:szCs w:val="14"/>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9019"/>
          </w:cols>
          <w:pgMar w:left="1440" w:top="260" w:right="1440" w:bottom="1440" w:gutter="0" w:footer="0" w:header="0"/>
        </w:sectPr>
      </w:pPr>
    </w:p>
    <w:bookmarkStart w:id="61" w:name="page62"/>
    <w:bookmarkEnd w:id="61"/>
    <w:p>
      <w:pPr>
        <w:ind w:left="320" w:right="419" w:firstLine="335"/>
        <w:spacing w:after="0" w:line="26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203440" cy="45085"/>
                    </a:xfrm>
                    <a:prstGeom prst="rect">
                      <a:avLst/>
                    </a:prstGeom>
                    <a:noFill/>
                  </pic:spPr>
                </pic:pic>
              </a:graphicData>
            </a:graphic>
          </wp:anchor>
        </w:drawing>
        <w:t>Our charter authorizes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 Our bylaws obligate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42" w:lineRule="exact"/>
        <w:rPr>
          <w:sz w:val="20"/>
          <w:szCs w:val="20"/>
          <w:color w:val="auto"/>
        </w:rPr>
      </w:pPr>
    </w:p>
    <w:p>
      <w:pPr>
        <w:ind w:left="320" w:right="339" w:firstLine="335"/>
        <w:spacing w:after="0" w:line="246" w:lineRule="auto"/>
        <w:rPr>
          <w:sz w:val="20"/>
          <w:szCs w:val="20"/>
          <w:color w:val="auto"/>
        </w:rPr>
      </w:pPr>
      <w:r>
        <w:rPr>
          <w:rFonts w:ascii="Times New Roman" w:cs="Times New Roman" w:eastAsia="Times New Roman" w:hAnsi="Times New Roman"/>
          <w:sz w:val="14"/>
          <w:szCs w:val="14"/>
          <w:color w:val="auto"/>
        </w:rPr>
        <w:t>Maryland law requires a corporation (unless its charter provides otherwise, which our charter does not) to indemnify a director or officer who has been successful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in advance of final disposition of a proceeding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52" w:lineRule="exact"/>
        <w:rPr>
          <w:sz w:val="20"/>
          <w:szCs w:val="20"/>
          <w:color w:val="auto"/>
        </w:rPr>
      </w:pPr>
    </w:p>
    <w:p>
      <w:pPr>
        <w:ind w:left="320" w:right="839" w:firstLine="335"/>
        <w:spacing w:after="0" w:line="266" w:lineRule="auto"/>
        <w:rPr>
          <w:sz w:val="20"/>
          <w:szCs w:val="20"/>
          <w:color w:val="auto"/>
        </w:rPr>
      </w:pPr>
      <w:r>
        <w:rPr>
          <w:rFonts w:ascii="Times New Roman" w:cs="Times New Roman" w:eastAsia="Times New Roman" w:hAnsi="Times New Roman"/>
          <w:sz w:val="14"/>
          <w:szCs w:val="14"/>
          <w:color w:val="auto"/>
        </w:rPr>
        <w:t>We have entered into indemnification agreements with our directors. The indemnification agreements provide our directors the maximum indemnification permitted under Maryland law and the 1940 Act.</w:t>
      </w:r>
    </w:p>
    <w:p>
      <w:pPr>
        <w:spacing w:after="0" w:line="136" w:lineRule="exact"/>
        <w:rPr>
          <w:sz w:val="20"/>
          <w:szCs w:val="20"/>
          <w:color w:val="auto"/>
        </w:rPr>
      </w:pPr>
    </w:p>
    <w:p>
      <w:pPr>
        <w:ind w:left="320" w:right="559" w:firstLine="335"/>
        <w:spacing w:after="0" w:line="266" w:lineRule="auto"/>
        <w:rPr>
          <w:sz w:val="20"/>
          <w:szCs w:val="20"/>
          <w:color w:val="auto"/>
        </w:rPr>
      </w:pPr>
      <w:r>
        <w:rPr>
          <w:rFonts w:ascii="Times New Roman" w:cs="Times New Roman" w:eastAsia="Times New Roman" w:hAnsi="Times New Roman"/>
          <w:sz w:val="14"/>
          <w:szCs w:val="14"/>
          <w:color w:val="auto"/>
        </w:rPr>
        <w:t>We have purchased directors’ and officers’ insurance policies covering our directors and officers and us for any acts and omissions committed, attempted or allegedly committed by any director or officer during the policy period. The policy is subject to customary exclusions.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Certain Provisions of the Maryland General Corporation Law and Our Charter and Bylaws</w:t>
      </w:r>
    </w:p>
    <w:p>
      <w:pPr>
        <w:spacing w:after="0" w:line="89" w:lineRule="exact"/>
        <w:rPr>
          <w:sz w:val="20"/>
          <w:szCs w:val="20"/>
          <w:color w:val="auto"/>
        </w:rPr>
      </w:pPr>
    </w:p>
    <w:p>
      <w:pPr>
        <w:ind w:left="320" w:right="359" w:firstLine="335"/>
        <w:spacing w:after="0" w:line="255" w:lineRule="auto"/>
        <w:rPr>
          <w:sz w:val="20"/>
          <w:szCs w:val="20"/>
          <w:color w:val="auto"/>
        </w:rPr>
      </w:pPr>
      <w:r>
        <w:rPr>
          <w:rFonts w:ascii="Times New Roman" w:cs="Times New Roman" w:eastAsia="Times New Roman" w:hAnsi="Times New Roman"/>
          <w:sz w:val="14"/>
          <w:szCs w:val="14"/>
          <w:color w:val="auto"/>
        </w:rPr>
        <w:t>The Maryland General Corporation Law and our charter and bylaws contain provisions that could make it more difficult for a potential acquiror to acquire us by means of a tender offer, proxy contest or otherwise. These provisions are expected to discourage certain coercive takeover practices and inadequate takeover bids and to</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9019"/>
          </w:cols>
          <w:pgMar w:left="1440" w:top="260" w:right="1440" w:bottom="1440" w:gutter="0" w:footer="0" w:header="0"/>
        </w:sectPr>
      </w:pPr>
    </w:p>
    <w:bookmarkStart w:id="62" w:name="page63"/>
    <w:bookmarkEnd w:id="62"/>
    <w:p>
      <w:pPr>
        <w:ind w:left="320" w:right="33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203440" cy="45085"/>
                    </a:xfrm>
                    <a:prstGeom prst="rect">
                      <a:avLst/>
                    </a:prstGeom>
                    <a:noFill/>
                  </pic:spPr>
                </pic:pic>
              </a:graphicData>
            </a:graphic>
          </wp:anchor>
        </w:drawing>
        <w:t>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Classified Board of Directors</w:t>
      </w:r>
    </w:p>
    <w:p>
      <w:pPr>
        <w:spacing w:after="0" w:line="89" w:lineRule="exact"/>
        <w:rPr>
          <w:sz w:val="20"/>
          <w:szCs w:val="20"/>
          <w:color w:val="auto"/>
        </w:rPr>
      </w:pPr>
    </w:p>
    <w:p>
      <w:pPr>
        <w:ind w:left="320" w:right="419" w:firstLine="335"/>
        <w:spacing w:after="0" w:line="249" w:lineRule="auto"/>
        <w:rPr>
          <w:sz w:val="20"/>
          <w:szCs w:val="20"/>
          <w:color w:val="auto"/>
        </w:rPr>
      </w:pPr>
      <w:r>
        <w:rPr>
          <w:rFonts w:ascii="Times New Roman" w:cs="Times New Roman" w:eastAsia="Times New Roman" w:hAnsi="Times New Roman"/>
          <w:sz w:val="14"/>
          <w:szCs w:val="14"/>
          <w:color w:val="auto"/>
        </w:rPr>
        <w:t>Our board of directors is divided into three classes of directors serving staggered three-year terms. The terms of the first, second and third classes expire in 2027, 2028 and 2026, respectively, and in each case, those directors will serve until their successors are elected and qualify.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Election of Directors</w:t>
      </w:r>
    </w:p>
    <w:p>
      <w:pPr>
        <w:spacing w:after="0" w:line="89" w:lineRule="exact"/>
        <w:rPr>
          <w:sz w:val="20"/>
          <w:szCs w:val="20"/>
          <w:color w:val="auto"/>
        </w:rPr>
      </w:pPr>
    </w:p>
    <w:p>
      <w:pPr>
        <w:ind w:left="320" w:right="379" w:firstLine="335"/>
        <w:spacing w:after="0" w:line="255" w:lineRule="auto"/>
        <w:rPr>
          <w:sz w:val="20"/>
          <w:szCs w:val="20"/>
          <w:color w:val="auto"/>
        </w:rPr>
      </w:pPr>
      <w:r>
        <w:rPr>
          <w:rFonts w:ascii="Times New Roman" w:cs="Times New Roman" w:eastAsia="Times New Roman" w:hAnsi="Times New Roman"/>
          <w:sz w:val="14"/>
          <w:szCs w:val="14"/>
          <w:color w:val="auto"/>
        </w:rPr>
        <w:t>Our charter and bylaws provide that the affirmative vote of the holders of a plurality of the outstanding shares of stock entitled to vote in the election of directors cast at a meeting of stockholders duly called and at which a quorum is present is required to elect a director. Pursuant to our bylaws our board of directors may amend the bylaws to alter the vote required to elect directors.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Number of Directors; Vacancies; Removal</w:t>
      </w:r>
    </w:p>
    <w:p>
      <w:pPr>
        <w:spacing w:after="0" w:line="89" w:lineRule="exact"/>
        <w:rPr>
          <w:sz w:val="20"/>
          <w:szCs w:val="20"/>
          <w:color w:val="auto"/>
        </w:rPr>
      </w:pPr>
    </w:p>
    <w:p>
      <w:pPr>
        <w:ind w:left="320" w:right="339" w:firstLine="335"/>
        <w:spacing w:after="0" w:line="248" w:lineRule="auto"/>
        <w:rPr>
          <w:sz w:val="20"/>
          <w:szCs w:val="20"/>
          <w:color w:val="auto"/>
        </w:rPr>
      </w:pPr>
      <w:r>
        <w:rPr>
          <w:rFonts w:ascii="Times New Roman" w:cs="Times New Roman" w:eastAsia="Times New Roman" w:hAnsi="Times New Roman"/>
          <w:sz w:val="14"/>
          <w:szCs w:val="14"/>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one nor more than eight.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49" w:lineRule="exact"/>
        <w:rPr>
          <w:sz w:val="20"/>
          <w:szCs w:val="20"/>
          <w:color w:val="auto"/>
        </w:rPr>
      </w:pPr>
    </w:p>
    <w:p>
      <w:pPr>
        <w:ind w:left="320" w:right="639" w:firstLine="335"/>
        <w:spacing w:after="0" w:line="266" w:lineRule="auto"/>
        <w:rPr>
          <w:sz w:val="20"/>
          <w:szCs w:val="20"/>
          <w:color w:val="auto"/>
        </w:rPr>
      </w:pPr>
      <w:r>
        <w:rPr>
          <w:rFonts w:ascii="Times New Roman" w:cs="Times New Roman" w:eastAsia="Times New Roman" w:hAnsi="Times New Roman"/>
          <w:sz w:val="14"/>
          <w:szCs w:val="14"/>
          <w:color w:val="auto"/>
        </w:rPr>
        <w:t>Our charter provides that a director may be removed only for cause, as defined in our charter, and then only by the affirmative vote of at least two-thirds of the votes entitled to be cast in the election of directors.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Action by Stockholders</w:t>
      </w:r>
    </w:p>
    <w:p>
      <w:pPr>
        <w:spacing w:after="0" w:line="89" w:lineRule="exact"/>
        <w:rPr>
          <w:sz w:val="20"/>
          <w:szCs w:val="20"/>
          <w:color w:val="auto"/>
        </w:rPr>
      </w:pPr>
    </w:p>
    <w:p>
      <w:pPr>
        <w:ind w:left="320" w:right="379" w:firstLine="335"/>
        <w:spacing w:after="0" w:line="252" w:lineRule="auto"/>
        <w:rPr>
          <w:sz w:val="20"/>
          <w:szCs w:val="20"/>
          <w:color w:val="auto"/>
        </w:rPr>
      </w:pPr>
      <w:r>
        <w:rPr>
          <w:rFonts w:ascii="Times New Roman" w:cs="Times New Roman" w:eastAsia="Times New Roman" w:hAnsi="Times New Roman"/>
          <w:sz w:val="14"/>
          <w:szCs w:val="14"/>
          <w:color w:val="auto"/>
        </w:rPr>
        <w:t>Under the Maryland General Corporation Law, stockholder action can be taken only at an annual or special meeting of stockholders or (unless the charter provides for stockholder action by less than unanimous written consent, which our charter does not) by unanimous written consent in lieu of a meeting.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Advance Notice Provisions for Stockholder Nominations and Stockholder Proposals</w:t>
      </w:r>
    </w:p>
    <w:p>
      <w:pPr>
        <w:spacing w:after="0" w:line="89" w:lineRule="exact"/>
        <w:rPr>
          <w:sz w:val="20"/>
          <w:szCs w:val="20"/>
          <w:color w:val="auto"/>
        </w:rPr>
      </w:pPr>
    </w:p>
    <w:p>
      <w:pPr>
        <w:ind w:left="320" w:right="359" w:firstLine="335"/>
        <w:spacing w:after="0" w:line="252" w:lineRule="auto"/>
        <w:rPr>
          <w:sz w:val="20"/>
          <w:szCs w:val="20"/>
          <w:color w:val="auto"/>
        </w:rPr>
      </w:pPr>
      <w:r>
        <w:rPr>
          <w:rFonts w:ascii="Times New Roman" w:cs="Times New Roman" w:eastAsia="Times New Roman" w:hAnsi="Times New Roman"/>
          <w:sz w:val="14"/>
          <w:szCs w:val="14"/>
          <w:color w:val="auto"/>
        </w:rPr>
        <w:t>Our bylaws provide that with respect to an annual meeting of stockholders, nominations of persons for election to the board of directors and the proposal of business to be considered by stockholders may be made only (a) pursuant to our notice of the meeting, (b) by the board of directors or (c) by a stockholder who was a stockholder of record both at the time of giving notice and at the time of the annual meeting and who is entitled to vote at the meeting and who has complied with the advance notice procedures of our bylaws. With respect to</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9019"/>
          </w:cols>
          <w:pgMar w:left="1440" w:top="260" w:right="1440" w:bottom="1440" w:gutter="0" w:footer="0" w:header="0"/>
        </w:sectPr>
      </w:pPr>
    </w:p>
    <w:bookmarkStart w:id="63" w:name="page64"/>
    <w:bookmarkEnd w:id="63"/>
    <w:p>
      <w:pPr>
        <w:ind w:left="320" w:right="499"/>
        <w:spacing w:after="0" w:line="27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203440" cy="45085"/>
                    </a:xfrm>
                    <a:prstGeom prst="rect">
                      <a:avLst/>
                    </a:prstGeom>
                    <a:noFill/>
                  </pic:spPr>
                </pic:pic>
              </a:graphicData>
            </a:graphic>
          </wp:anchor>
        </w:drawing>
        <w:t>special meetings of stockholders, only the business specified in our notice of the meeting may be brought before the meeting. Nominations of persons for election to the board of directors at a special meeting may be made only (a) pursuant to our notice of the meeting, (b) by the board of directors or</w:t>
      </w:r>
    </w:p>
    <w:p>
      <w:pPr>
        <w:spacing w:after="0" w:line="1" w:lineRule="exact"/>
        <w:rPr>
          <w:sz w:val="20"/>
          <w:szCs w:val="20"/>
          <w:color w:val="auto"/>
        </w:rPr>
      </w:pPr>
    </w:p>
    <w:p>
      <w:pPr>
        <w:ind w:left="320" w:right="379" w:hanging="1"/>
        <w:spacing w:after="0" w:line="247" w:lineRule="auto"/>
        <w:tabs>
          <w:tab w:leader="none" w:pos="50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provided that the board of directors has determined that directors will be elected at the meeting, by a stockholder who was a stockholder of record both at the time of giving notice and at the time of the annual meeting and who is entitled to vote at the meeting and who has complied with the advance notice provisions of our bylaws.</w:t>
      </w:r>
    </w:p>
    <w:p>
      <w:pPr>
        <w:spacing w:after="0" w:line="148" w:lineRule="exact"/>
        <w:rPr>
          <w:sz w:val="20"/>
          <w:szCs w:val="20"/>
          <w:color w:val="auto"/>
        </w:rPr>
      </w:pPr>
    </w:p>
    <w:p>
      <w:pPr>
        <w:ind w:left="320" w:right="359" w:firstLine="335"/>
        <w:spacing w:after="0" w:line="247" w:lineRule="auto"/>
        <w:rPr>
          <w:sz w:val="20"/>
          <w:szCs w:val="20"/>
          <w:color w:val="auto"/>
        </w:rPr>
      </w:pPr>
      <w:r>
        <w:rPr>
          <w:rFonts w:ascii="Times New Roman" w:cs="Times New Roman" w:eastAsia="Times New Roman" w:hAnsi="Times New Roman"/>
          <w:sz w:val="14"/>
          <w:szCs w:val="14"/>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(a) precluding a contest for the election of directors or the consideration of stockholder proposals if proper procedures are not followed and (b)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Calling of Special Meetings of Stockholders</w:t>
      </w:r>
    </w:p>
    <w:p>
      <w:pPr>
        <w:spacing w:after="0" w:line="89" w:lineRule="exact"/>
        <w:rPr>
          <w:sz w:val="20"/>
          <w:szCs w:val="20"/>
          <w:color w:val="auto"/>
        </w:rPr>
      </w:pPr>
    </w:p>
    <w:p>
      <w:pPr>
        <w:ind w:left="320" w:right="499" w:firstLine="335"/>
        <w:spacing w:after="0" w:line="252" w:lineRule="auto"/>
        <w:rPr>
          <w:sz w:val="20"/>
          <w:szCs w:val="20"/>
          <w:color w:val="auto"/>
        </w:rPr>
      </w:pPr>
      <w:r>
        <w:rPr>
          <w:rFonts w:ascii="Times New Roman" w:cs="Times New Roman" w:eastAsia="Times New Roman" w:hAnsi="Times New Roman"/>
          <w:sz w:val="14"/>
          <w:szCs w:val="14"/>
          <w:color w:val="auto"/>
        </w:rPr>
        <w:t>Our bylaws provide that special meetings of stockholders may be called by the chairman of our board of directors, our President or our board of directors. Additionally, our bylaws provide that, subject to the satisfaction of certain procedural and informational requirements by the stockholders requesting the special meeting, a special meeting of stockholders will be called by the secretary of the corporation upon the written request of stockholders entitled to cast not less than a majority of all the votes entitled to be cast at such meeting.</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Approval of Extraordinary Corporate Action; Amendment of Charter and Bylaws</w:t>
      </w:r>
    </w:p>
    <w:p>
      <w:pPr>
        <w:spacing w:after="0" w:line="89" w:lineRule="exact"/>
        <w:rPr>
          <w:sz w:val="20"/>
          <w:szCs w:val="20"/>
          <w:color w:val="auto"/>
        </w:rPr>
      </w:pPr>
    </w:p>
    <w:p>
      <w:pPr>
        <w:ind w:left="320" w:right="399" w:firstLine="335"/>
        <w:spacing w:after="0" w:line="246" w:lineRule="auto"/>
        <w:rPr>
          <w:sz w:val="20"/>
          <w:szCs w:val="20"/>
          <w:color w:val="auto"/>
        </w:rPr>
      </w:pPr>
      <w:r>
        <w:rPr>
          <w:rFonts w:ascii="Times New Roman" w:cs="Times New Roman" w:eastAsia="Times New Roman" w:hAnsi="Times New Roman"/>
          <w:sz w:val="14"/>
          <w:szCs w:val="14"/>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provides that certain charter amendments, any proposal for our conversion, whether by charter amendment, merger or otherwise, from a closed-end company to an open-end company and any proposal for our liquidation or dissolution requires the approval of the stockholders entitled to cast at least 80.0% of the votes entitled to be cast on such matter. However, if such amendment or proposal is approved by a majority of our continuing directors (in addition to approval by our board of directors), such amendment or proposal may be approved by a majority of the votes entitled to be cast on such a matter. The “continuing directors” are defined in our charter as (a) our current directors, (b) those directors whose nomination for election by the stockholders or whose election by the directors to fill vacancies is approved by a majority of our current directors then on the board of directors or (c) any successor directors whose nomination for election by the stockholders or whose election by the directors to fill vacancies is approved by a majority of the continuing directors or the successor continuing directors then in office.</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Our charter and bylaws provide that the board of directors has the exclusive power to make, alter, amend or repeal any provision of our bylaws.</w:t>
      </w:r>
    </w:p>
    <w:p>
      <w:pPr>
        <w:spacing w:after="0" w:line="2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No Appraisal Rights</w:t>
      </w:r>
    </w:p>
    <w:p>
      <w:pPr>
        <w:spacing w:after="0" w:line="89" w:lineRule="exact"/>
        <w:rPr>
          <w:sz w:val="20"/>
          <w:szCs w:val="20"/>
          <w:color w:val="auto"/>
        </w:rPr>
      </w:pPr>
    </w:p>
    <w:p>
      <w:pPr>
        <w:jc w:val="both"/>
        <w:ind w:left="320" w:right="459" w:firstLine="335"/>
        <w:spacing w:after="0" w:line="255" w:lineRule="auto"/>
        <w:rPr>
          <w:sz w:val="20"/>
          <w:szCs w:val="20"/>
          <w:color w:val="auto"/>
        </w:rPr>
      </w:pPr>
      <w:r>
        <w:rPr>
          <w:rFonts w:ascii="Times New Roman" w:cs="Times New Roman" w:eastAsia="Times New Roman" w:hAnsi="Times New Roman"/>
          <w:sz w:val="14"/>
          <w:szCs w:val="14"/>
          <w:color w:val="auto"/>
        </w:rPr>
        <w:t>Except with respect to appraisal rights arising in connection with the Control Share Act discussed below, as permitted by the Maryland General Corporation Law, our charter provides that stockholders will not be entitled to exercise appraisal rights unless a majority of the board of directors shall determine such rights apply.</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9019"/>
          </w:cols>
          <w:pgMar w:left="1440" w:top="260" w:right="1440" w:bottom="1440" w:gutter="0" w:footer="0" w:header="0"/>
        </w:sectPr>
      </w:pPr>
    </w:p>
    <w:bookmarkStart w:id="64" w:name="page65"/>
    <w:bookmarkEnd w:id="64"/>
    <w:p>
      <w:pPr>
        <w:ind w:left="3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203440" cy="45085"/>
                    </a:xfrm>
                    <a:prstGeom prst="rect">
                      <a:avLst/>
                    </a:prstGeom>
                    <a:noFill/>
                  </pic:spPr>
                </pic:pic>
              </a:graphicData>
            </a:graphic>
          </wp:anchor>
        </w:drawing>
        <w:t>Control Share Acquisitions</w:t>
      </w:r>
    </w:p>
    <w:p>
      <w:pPr>
        <w:spacing w:after="0" w:line="89" w:lineRule="exact"/>
        <w:rPr>
          <w:sz w:val="20"/>
          <w:szCs w:val="20"/>
          <w:color w:val="auto"/>
        </w:rPr>
      </w:pPr>
    </w:p>
    <w:p>
      <w:pPr>
        <w:ind w:left="320" w:right="359" w:firstLine="335"/>
        <w:spacing w:after="0" w:line="249" w:lineRule="auto"/>
        <w:rPr>
          <w:sz w:val="20"/>
          <w:szCs w:val="20"/>
          <w:color w:val="auto"/>
        </w:rPr>
      </w:pPr>
      <w:r>
        <w:rPr>
          <w:rFonts w:ascii="Times New Roman" w:cs="Times New Roman" w:eastAsia="Times New Roman" w:hAnsi="Times New Roman"/>
          <w:sz w:val="14"/>
          <w:szCs w:val="14"/>
          <w:color w:val="auto"/>
        </w:rPr>
        <w:t>The Maryland General Corporation Law provides that control shares of a Maryland corporation acquired in a control share acquisition have no voting rights except to the extent approved by a vote of two-thirds of the votes entitled to be cast on the matter (the “Control Share Act”). Shares owned by the acquiror, by officers or by directors who are employees of the corporation are excluded from shares entitled to vote on the matter. Control shares are voting shares of stock which, if aggregated with all other shares of stock owned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w:t>
      </w:r>
    </w:p>
    <w:p>
      <w:pPr>
        <w:spacing w:after="0" w:line="75" w:lineRule="exact"/>
        <w:rPr>
          <w:sz w:val="20"/>
          <w:szCs w:val="20"/>
          <w:color w:val="auto"/>
        </w:rPr>
      </w:pPr>
    </w:p>
    <w:p>
      <w:pPr>
        <w:ind w:left="1060" w:hanging="331"/>
        <w:spacing w:after="0"/>
        <w:tabs>
          <w:tab w:leader="none" w:pos="10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one-tenth or more but less than one-third;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one-third or more but less than a majority; or</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majority or more of all voting power.</w:t>
      </w:r>
    </w:p>
    <w:p>
      <w:pPr>
        <w:spacing w:after="0" w:line="167" w:lineRule="exact"/>
        <w:rPr>
          <w:sz w:val="20"/>
          <w:szCs w:val="20"/>
          <w:color w:val="auto"/>
        </w:rPr>
      </w:pPr>
    </w:p>
    <w:p>
      <w:pPr>
        <w:jc w:val="both"/>
        <w:ind w:left="320" w:right="419" w:firstLine="335"/>
        <w:spacing w:after="0" w:line="255" w:lineRule="auto"/>
        <w:rPr>
          <w:sz w:val="20"/>
          <w:szCs w:val="20"/>
          <w:color w:val="auto"/>
        </w:rPr>
      </w:pPr>
      <w:r>
        <w:rPr>
          <w:rFonts w:ascii="Times New Roman" w:cs="Times New Roman" w:eastAsia="Times New Roman" w:hAnsi="Times New Roman"/>
          <w:sz w:val="14"/>
          <w:szCs w:val="14"/>
          <w:color w:val="auto"/>
        </w:rPr>
        <w:t>The requisite stockholder approval must be obtained each time an acquiror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43" w:lineRule="exact"/>
        <w:rPr>
          <w:sz w:val="20"/>
          <w:szCs w:val="20"/>
          <w:color w:val="auto"/>
        </w:rPr>
      </w:pPr>
    </w:p>
    <w:p>
      <w:pPr>
        <w:ind w:left="320" w:right="539" w:firstLine="335"/>
        <w:spacing w:after="0" w:line="252" w:lineRule="auto"/>
        <w:rPr>
          <w:sz w:val="20"/>
          <w:szCs w:val="20"/>
          <w:color w:val="auto"/>
        </w:rPr>
      </w:pPr>
      <w:r>
        <w:rPr>
          <w:rFonts w:ascii="Times New Roman" w:cs="Times New Roman" w:eastAsia="Times New Roman" w:hAnsi="Times New Roman"/>
          <w:sz w:val="14"/>
          <w:szCs w:val="14"/>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45" w:lineRule="exact"/>
        <w:rPr>
          <w:sz w:val="20"/>
          <w:szCs w:val="20"/>
          <w:color w:val="auto"/>
        </w:rPr>
      </w:pPr>
    </w:p>
    <w:p>
      <w:pPr>
        <w:ind w:left="320" w:right="359" w:firstLine="335"/>
        <w:spacing w:after="0" w:line="247" w:lineRule="auto"/>
        <w:rPr>
          <w:sz w:val="20"/>
          <w:szCs w:val="20"/>
          <w:color w:val="auto"/>
        </w:rPr>
      </w:pPr>
      <w:r>
        <w:rPr>
          <w:rFonts w:ascii="Times New Roman" w:cs="Times New Roman" w:eastAsia="Times New Roman" w:hAnsi="Times New Roman"/>
          <w:sz w:val="14"/>
          <w:szCs w:val="14"/>
          <w:color w:val="auto"/>
        </w:rPr>
        <w:t>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acquiror or of any meeting of stockholders at which the voting rights of the shares are considered and not approved. If voting rights for control shares are approved at a stockholders meeting and the acquiror becomes entitled to vote a majority of the shares entitled to vote, all other stockholders may exercise appraisal rights. The fair value of the shares as determined for purposes of appraisal rights may not be less than the highest price per share paid by the acquiror in the control share acquisition.</w:t>
      </w:r>
    </w:p>
    <w:p>
      <w:pPr>
        <w:spacing w:after="0" w:line="152" w:lineRule="exact"/>
        <w:rPr>
          <w:sz w:val="20"/>
          <w:szCs w:val="20"/>
          <w:color w:val="auto"/>
        </w:rPr>
      </w:pPr>
    </w:p>
    <w:p>
      <w:pPr>
        <w:ind w:left="320" w:right="379" w:firstLine="335"/>
        <w:spacing w:after="0" w:line="249" w:lineRule="auto"/>
        <w:rPr>
          <w:sz w:val="20"/>
          <w:szCs w:val="20"/>
          <w:color w:val="auto"/>
        </w:rPr>
      </w:pPr>
      <w:r>
        <w:rPr>
          <w:rFonts w:ascii="Times New Roman" w:cs="Times New Roman" w:eastAsia="Times New Roman" w:hAnsi="Times New Roman"/>
          <w:sz w:val="14"/>
          <w:szCs w:val="14"/>
          <w:color w:val="auto"/>
        </w:rPr>
        <w:t>The Control Share Act does not apply (a) to shares acquired in a merger, consolidation or share exchange if the corporation is a party to the transaction or (b) to acquisitions approved or exempted by the charter or bylaws of the corporation. Our bylaws contain a provision exempting from the Control Share Act any and all acquisitions by any person of our shares of stock. There can be no assurance that such provision will not be amended or eliminated at any time in the future. However, we will amend our bylaws to be subject to the Control Share Act only if the board of directors determines that it would be in our best interests and if the SEC staff does not object to our determination that our being subject to the Control Share Act does not conflict with the 1940 Act.</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Business Combinations</w:t>
      </w:r>
    </w:p>
    <w:p>
      <w:pPr>
        <w:spacing w:after="0" w:line="89" w:lineRule="exact"/>
        <w:rPr>
          <w:sz w:val="20"/>
          <w:szCs w:val="20"/>
          <w:color w:val="auto"/>
        </w:rPr>
      </w:pPr>
    </w:p>
    <w:p>
      <w:pPr>
        <w:ind w:left="320" w:right="359" w:firstLine="335"/>
        <w:spacing w:after="0" w:line="255" w:lineRule="auto"/>
        <w:rPr>
          <w:sz w:val="20"/>
          <w:szCs w:val="20"/>
          <w:color w:val="auto"/>
        </w:rPr>
      </w:pPr>
      <w:r>
        <w:rPr>
          <w:rFonts w:ascii="Times New Roman" w:cs="Times New Roman" w:eastAsia="Times New Roman" w:hAnsi="Times New Roman"/>
          <w:sz w:val="14"/>
          <w:szCs w:val="14"/>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 “Business Combination Act”). These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9019"/>
          </w:cols>
          <w:pgMar w:left="1440" w:top="256" w:right="1440" w:bottom="1440" w:gutter="0" w:footer="0" w:header="0"/>
        </w:sectPr>
      </w:pPr>
    </w:p>
    <w:bookmarkStart w:id="65" w:name="page66"/>
    <w:bookmarkEnd w:id="65"/>
    <w:p>
      <w:pPr>
        <w:ind w:left="320" w:right="67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203440" cy="45085"/>
                    </a:xfrm>
                    <a:prstGeom prst="rect">
                      <a:avLst/>
                    </a:prstGeom>
                    <a:noFill/>
                  </pic:spPr>
                </pic:pic>
              </a:graphicData>
            </a:graphic>
          </wp:anchor>
        </w:drawing>
        <w:t>business combinations include a merger, consolidation, share exchange or, in circumstances specified in the statute, an asset transfer or issuance or reclassification of equity securities. An interested stockholder is defined as:</w:t>
      </w:r>
    </w:p>
    <w:p>
      <w:pPr>
        <w:spacing w:after="0" w:line="64" w:lineRule="exact"/>
        <w:rPr>
          <w:sz w:val="20"/>
          <w:szCs w:val="20"/>
          <w:color w:val="auto"/>
        </w:rPr>
      </w:pPr>
    </w:p>
    <w:p>
      <w:pPr>
        <w:ind w:left="1060" w:hanging="331"/>
        <w:spacing w:after="0"/>
        <w:tabs>
          <w:tab w:leader="none" w:pos="10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who beneficially owns 10.0% or more of the voting power of the corporation’s outstanding voting stock; or</w:t>
      </w:r>
    </w:p>
    <w:p>
      <w:pPr>
        <w:spacing w:after="0" w:line="95" w:lineRule="exact"/>
        <w:rPr>
          <w:rFonts w:ascii="Times New Roman" w:cs="Times New Roman" w:eastAsia="Times New Roman" w:hAnsi="Times New Roman"/>
          <w:sz w:val="14"/>
          <w:szCs w:val="14"/>
          <w:color w:val="auto"/>
        </w:rPr>
      </w:pPr>
    </w:p>
    <w:p>
      <w:pPr>
        <w:ind w:left="1060" w:right="659" w:hanging="331"/>
        <w:spacing w:after="0" w:line="266" w:lineRule="auto"/>
        <w:tabs>
          <w:tab w:leader="none" w:pos="10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affiliate or associate of the corporation who, at any time within the two-year period prior to the date in question, was the beneficial owner of 10.0% or more of the voting power of the then outstanding voting stock of the corporation.</w:t>
      </w:r>
    </w:p>
    <w:p>
      <w:pPr>
        <w:spacing w:after="0" w:line="136" w:lineRule="exact"/>
        <w:rPr>
          <w:sz w:val="20"/>
          <w:szCs w:val="20"/>
          <w:color w:val="auto"/>
        </w:rPr>
      </w:pPr>
    </w:p>
    <w:p>
      <w:pPr>
        <w:ind w:left="320" w:right="419" w:firstLine="335"/>
        <w:spacing w:after="0" w:line="255" w:lineRule="auto"/>
        <w:rPr>
          <w:sz w:val="20"/>
          <w:szCs w:val="20"/>
          <w:color w:val="auto"/>
        </w:rPr>
      </w:pPr>
      <w:r>
        <w:rPr>
          <w:rFonts w:ascii="Times New Roman" w:cs="Times New Roman" w:eastAsia="Times New Roman" w:hAnsi="Times New Roman"/>
          <w:sz w:val="14"/>
          <w:szCs w:val="14"/>
          <w:color w:val="auto"/>
        </w:rPr>
        <w:t>A person is not an interested stockholder under this statute if the board of directors approved in advance the transaction by which the stockholder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43" w:lineRule="exact"/>
        <w:rPr>
          <w:sz w:val="20"/>
          <w:szCs w:val="20"/>
          <w:color w:val="auto"/>
        </w:rPr>
      </w:pPr>
    </w:p>
    <w:p>
      <w:pPr>
        <w:ind w:left="320" w:right="659" w:firstLine="335"/>
        <w:spacing w:after="0" w:line="266" w:lineRule="auto"/>
        <w:rPr>
          <w:sz w:val="20"/>
          <w:szCs w:val="20"/>
          <w:color w:val="auto"/>
        </w:rPr>
      </w:pPr>
      <w:r>
        <w:rPr>
          <w:rFonts w:ascii="Times New Roman" w:cs="Times New Roman" w:eastAsia="Times New Roman" w:hAnsi="Times New Roman"/>
          <w:sz w:val="14"/>
          <w:szCs w:val="14"/>
          <w:color w:val="auto"/>
        </w:rPr>
        <w:t>After the five-year prohibition, any business combination between the Maryland corporation and an interested stockholder generally must be recommended by the board of directors of the corporation and approved by the affirmative vote of at least:</w:t>
      </w:r>
    </w:p>
    <w:p>
      <w:pPr>
        <w:spacing w:after="0" w:line="64" w:lineRule="exact"/>
        <w:rPr>
          <w:sz w:val="20"/>
          <w:szCs w:val="20"/>
          <w:color w:val="auto"/>
        </w:rPr>
      </w:pPr>
    </w:p>
    <w:p>
      <w:pPr>
        <w:ind w:left="1060" w:hanging="331"/>
        <w:spacing w:after="0"/>
        <w:tabs>
          <w:tab w:leader="none" w:pos="10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80.0% of the votes entitled to be cast by holders of outstanding shares of voting stock of the corporation; and</w:t>
      </w:r>
    </w:p>
    <w:p>
      <w:pPr>
        <w:spacing w:after="0" w:line="95" w:lineRule="exact"/>
        <w:rPr>
          <w:rFonts w:ascii="Times New Roman" w:cs="Times New Roman" w:eastAsia="Times New Roman" w:hAnsi="Times New Roman"/>
          <w:sz w:val="14"/>
          <w:szCs w:val="14"/>
          <w:color w:val="auto"/>
        </w:rPr>
      </w:pPr>
    </w:p>
    <w:p>
      <w:pPr>
        <w:ind w:left="1060" w:right="419" w:hanging="331"/>
        <w:spacing w:after="0" w:line="255" w:lineRule="auto"/>
        <w:tabs>
          <w:tab w:leader="none" w:pos="10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43" w:lineRule="exact"/>
        <w:rPr>
          <w:sz w:val="20"/>
          <w:szCs w:val="20"/>
          <w:color w:val="auto"/>
        </w:rPr>
      </w:pPr>
    </w:p>
    <w:p>
      <w:pPr>
        <w:ind w:left="320" w:right="399" w:firstLine="335"/>
        <w:spacing w:after="0" w:line="305" w:lineRule="auto"/>
        <w:rPr>
          <w:sz w:val="20"/>
          <w:szCs w:val="20"/>
          <w:color w:val="auto"/>
        </w:rPr>
      </w:pPr>
      <w:r>
        <w:rPr>
          <w:rFonts w:ascii="Times New Roman" w:cs="Times New Roman" w:eastAsia="Times New Roman" w:hAnsi="Times New Roman"/>
          <w:sz w:val="13"/>
          <w:szCs w:val="13"/>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12"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subject to the provisions of the 1940 Act,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may be altered or repealed in whole or in part at any time; however, our board of directors will adopt resolutions so as to make us subject to the provisions of the Business Combination Act only if the board of directors determines that it would be in our best interests and if the SEC staff does not object to our determination that our being subject to the Business Combination Act does not conflict with the 1940 Act. If this resolution is repealed, or the board of directors does not otherwise approve a business combination, the statute may discourage others from trying to acquire control of us and increase the difficulty of consummating any offer.</w:t>
      </w: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Conflict with 1940 Act</w:t>
      </w:r>
    </w:p>
    <w:p>
      <w:pPr>
        <w:spacing w:after="0" w:line="89" w:lineRule="exact"/>
        <w:rPr>
          <w:sz w:val="20"/>
          <w:szCs w:val="20"/>
          <w:color w:val="auto"/>
        </w:rPr>
      </w:pPr>
    </w:p>
    <w:p>
      <w:pPr>
        <w:jc w:val="both"/>
        <w:ind w:left="320" w:right="399" w:firstLine="335"/>
        <w:spacing w:after="0" w:line="255" w:lineRule="auto"/>
        <w:rPr>
          <w:sz w:val="20"/>
          <w:szCs w:val="20"/>
          <w:color w:val="auto"/>
        </w:rPr>
      </w:pPr>
      <w:r>
        <w:rPr>
          <w:rFonts w:ascii="Times New Roman" w:cs="Times New Roman" w:eastAsia="Times New Roman" w:hAnsi="Times New Roman"/>
          <w:sz w:val="14"/>
          <w:szCs w:val="14"/>
          <w:color w:val="auto"/>
        </w:rPr>
        <w:t>Our bylaws provide that, if and to the extent that any provision of the Maryland General Corporation Law, including the Control Share Act (if we amend our bylaws to be subject to such Act) and the Business Combination Act, or any provision of our charter or bylaws conflicts with any provision of the 1940 Act, the applicable provision of the 1940 Act will control.</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9019"/>
          </w:cols>
          <w:pgMar w:left="1440" w:top="260" w:right="1440"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203440" cy="45085"/>
                    </a:xfrm>
                    <a:prstGeom prst="rect">
                      <a:avLst/>
                    </a:prstGeom>
                    <a:noFill/>
                  </pic:spPr>
                </pic:pic>
              </a:graphicData>
            </a:graphic>
          </wp:anchor>
        </w:drawing>
        <w:t>DESCRIPTION OF OUR PREFERRED STOCK</w:t>
      </w:r>
    </w:p>
    <w:p>
      <w:pPr>
        <w:spacing w:after="0" w:line="171" w:lineRule="exact"/>
        <w:rPr>
          <w:sz w:val="20"/>
          <w:szCs w:val="20"/>
          <w:color w:val="auto"/>
        </w:rPr>
      </w:pPr>
    </w:p>
    <w:p>
      <w:pPr>
        <w:ind w:left="320" w:right="379" w:firstLine="335"/>
        <w:spacing w:after="0" w:line="248" w:lineRule="auto"/>
        <w:rPr>
          <w:sz w:val="20"/>
          <w:szCs w:val="20"/>
          <w:color w:val="auto"/>
        </w:rPr>
      </w:pPr>
      <w:r>
        <w:rPr>
          <w:rFonts w:ascii="Times New Roman" w:cs="Times New Roman" w:eastAsia="Times New Roman" w:hAnsi="Times New Roman"/>
          <w:sz w:val="14"/>
          <w:szCs w:val="14"/>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and conditions of redemption for each class or series. Thus, our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 Maryland law and any other limitations imposed by law.</w:t>
      </w:r>
    </w:p>
    <w:p>
      <w:pPr>
        <w:spacing w:after="0" w:line="149" w:lineRule="exact"/>
        <w:rPr>
          <w:sz w:val="20"/>
          <w:szCs w:val="20"/>
          <w:color w:val="auto"/>
        </w:rPr>
      </w:pPr>
    </w:p>
    <w:p>
      <w:pPr>
        <w:ind w:left="320" w:right="459" w:firstLine="335"/>
        <w:spacing w:after="0" w:line="266" w:lineRule="auto"/>
        <w:rPr>
          <w:sz w:val="20"/>
          <w:szCs w:val="20"/>
          <w:color w:val="auto"/>
        </w:rPr>
      </w:pPr>
      <w:r>
        <w:rPr>
          <w:rFonts w:ascii="Times New Roman" w:cs="Times New Roman" w:eastAsia="Times New Roman" w:hAnsi="Times New Roman"/>
          <w:sz w:val="14"/>
          <w:szCs w:val="14"/>
          <w:color w:val="auto"/>
        </w:rPr>
        <w:t>The following is a general description of the terms of the preferred stock we may issue from time to time. Particular terms of any preferred stock we offer will be described in the prospectus supplement relating to such preferred stock.</w:t>
      </w:r>
    </w:p>
    <w:p>
      <w:pPr>
        <w:spacing w:after="0" w:line="136" w:lineRule="exact"/>
        <w:rPr>
          <w:sz w:val="20"/>
          <w:szCs w:val="20"/>
          <w:color w:val="auto"/>
        </w:rPr>
      </w:pPr>
    </w:p>
    <w:p>
      <w:pPr>
        <w:ind w:left="320" w:right="599" w:firstLine="335"/>
        <w:spacing w:after="0" w:line="266" w:lineRule="auto"/>
        <w:rPr>
          <w:sz w:val="20"/>
          <w:szCs w:val="20"/>
          <w:color w:val="auto"/>
        </w:rPr>
      </w:pPr>
      <w:r>
        <w:rPr>
          <w:rFonts w:ascii="Times New Roman" w:cs="Times New Roman" w:eastAsia="Times New Roman" w:hAnsi="Times New Roman"/>
          <w:sz w:val="14"/>
          <w:szCs w:val="14"/>
          <w:color w:val="auto"/>
        </w:rPr>
        <w:t>If we issue preferred stock, it will pay dividends to the holders of the preferred stock at either a fixed rate or a rate that will be reset frequently based on short-term interest rates, as described in a prospectus supplement accompanying each preferred share offering.</w:t>
      </w:r>
    </w:p>
    <w:p>
      <w:pPr>
        <w:spacing w:after="0" w:line="136" w:lineRule="exact"/>
        <w:rPr>
          <w:sz w:val="20"/>
          <w:szCs w:val="20"/>
          <w:color w:val="auto"/>
        </w:rPr>
      </w:pPr>
    </w:p>
    <w:p>
      <w:pPr>
        <w:ind w:left="320" w:right="359" w:firstLine="335"/>
        <w:spacing w:after="0" w:line="246" w:lineRule="auto"/>
        <w:rPr>
          <w:sz w:val="20"/>
          <w:szCs w:val="20"/>
          <w:color w:val="auto"/>
        </w:rPr>
      </w:pPr>
      <w:r>
        <w:rPr>
          <w:rFonts w:ascii="Times New Roman" w:cs="Times New Roman" w:eastAsia="Times New Roman" w:hAnsi="Times New Roman"/>
          <w:sz w:val="14"/>
          <w:szCs w:val="14"/>
          <w:color w:val="auto"/>
        </w:rPr>
        <w:t>Subject to the election described below, the 1940 Act requires, among other things, that (1) immediately after issuance and before any distribution is made with respect to our common stock and before any purchase of common stock is made, such preferred stock, together with all other senior securities, must not exceed an amount equal to 50.0%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Further, the 1940 Act requires that any distributions we make on preferred stock be cumulative. We believe that the availability for issuance of preferred stock will provide us with increased flexibility in structuring future financings and acquisitions. Notwithstanding the foregoing, we are currently allowed to borrow amounts such that our asset coverage, as calculated pursuant to the 1940 Act, equals at least 150% after such borrowing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we are able to borrow up to two dollars for every dollar we have in assets less all liabilities and indebtedness not represented by senior securities issued by us).</w:t>
      </w:r>
    </w:p>
    <w:p>
      <w:pPr>
        <w:spacing w:after="0" w:line="154" w:lineRule="exact"/>
        <w:rPr>
          <w:sz w:val="20"/>
          <w:szCs w:val="20"/>
          <w:color w:val="auto"/>
        </w:rPr>
      </w:pPr>
    </w:p>
    <w:p>
      <w:pPr>
        <w:ind w:left="320" w:right="559" w:firstLine="335"/>
        <w:spacing w:after="0" w:line="266" w:lineRule="auto"/>
        <w:rPr>
          <w:sz w:val="20"/>
          <w:szCs w:val="20"/>
          <w:color w:val="auto"/>
        </w:rPr>
      </w:pPr>
      <w:r>
        <w:rPr>
          <w:rFonts w:ascii="Times New Roman" w:cs="Times New Roman" w:eastAsia="Times New Roman" w:hAnsi="Times New Roman"/>
          <w:sz w:val="14"/>
          <w:szCs w:val="14"/>
          <w:color w:val="auto"/>
        </w:rPr>
        <w:t>For any series of preferred stock that we may issue, our board of directors will determine and the prospectus supplement relating to such series will describe:</w:t>
      </w:r>
    </w:p>
    <w:p>
      <w:pPr>
        <w:spacing w:after="0" w:line="64" w:lineRule="exact"/>
        <w:rPr>
          <w:sz w:val="20"/>
          <w:szCs w:val="20"/>
          <w:color w:val="auto"/>
        </w:rPr>
      </w:pPr>
    </w:p>
    <w:p>
      <w:pPr>
        <w:ind w:left="1060" w:hanging="331"/>
        <w:spacing w:after="0"/>
        <w:tabs>
          <w:tab w:leader="none" w:pos="10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number of shares of such series;</w:t>
      </w:r>
    </w:p>
    <w:p>
      <w:pPr>
        <w:spacing w:after="0" w:line="95" w:lineRule="exact"/>
        <w:rPr>
          <w:rFonts w:ascii="Times New Roman" w:cs="Times New Roman" w:eastAsia="Times New Roman" w:hAnsi="Times New Roman"/>
          <w:sz w:val="14"/>
          <w:szCs w:val="14"/>
          <w:color w:val="auto"/>
        </w:rPr>
      </w:pPr>
    </w:p>
    <w:p>
      <w:pPr>
        <w:ind w:left="1060" w:right="419" w:hanging="331"/>
        <w:spacing w:after="0" w:line="266" w:lineRule="auto"/>
        <w:tabs>
          <w:tab w:leader="none" w:pos="10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and time at which, and the preferences and conditions under which, any distributions will be paid on shares of such series, as well as whether such distributions are participating or non-participating;</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relating to convertibility or exchangeability of the shares of such series;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and preferences, if any, of holders of shares of such series upon our liquidation, dissolution or winding up of our affairs;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voting powers, if any, of the holders of shares of such series;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relating to the redemption of the shares of such series;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limitations on our ability to pay distributions on, or acquire or redeem, other securities while shares of such series are outstanding;</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9019"/>
          </w:cols>
          <w:pgMar w:left="1440" w:top="256" w:right="1440" w:bottom="1440" w:gutter="0" w:footer="0" w:header="0"/>
        </w:sectPr>
      </w:pPr>
    </w:p>
    <w:bookmarkStart w:id="67" w:name="page68"/>
    <w:bookmarkEnd w:id="67"/>
    <w:p>
      <w:pPr>
        <w:ind w:left="1060" w:hanging="331"/>
        <w:spacing w:after="0"/>
        <w:tabs>
          <w:tab w:leader="none" w:pos="10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203440" cy="45085"/>
                    </a:xfrm>
                    <a:prstGeom prst="rect">
                      <a:avLst/>
                    </a:prstGeom>
                    <a:noFill/>
                  </pic:spPr>
                </pic:pic>
              </a:graphicData>
            </a:graphic>
          </wp:anchor>
        </w:drawing>
        <w:t>any conditions or restrictions on our ability to issue additional shares of such series or other securities;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certain U.S. federal income tax considerations; and</w:t>
      </w:r>
    </w:p>
    <w:p>
      <w:pPr>
        <w:spacing w:after="0" w:line="95" w:lineRule="exact"/>
        <w:rPr>
          <w:rFonts w:ascii="Times New Roman" w:cs="Times New Roman" w:eastAsia="Times New Roman" w:hAnsi="Times New Roman"/>
          <w:sz w:val="14"/>
          <w:szCs w:val="14"/>
          <w:color w:val="auto"/>
        </w:rPr>
      </w:pPr>
    </w:p>
    <w:p>
      <w:pPr>
        <w:ind w:left="1060" w:right="919" w:hanging="331"/>
        <w:spacing w:after="0" w:line="266" w:lineRule="auto"/>
        <w:tabs>
          <w:tab w:leader="none" w:pos="10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relative powers, preferences and participating, optional or special rights of shares of such series, and the qualifications, limitations or restrictions thereof.</w:t>
      </w:r>
    </w:p>
    <w:p>
      <w:pPr>
        <w:spacing w:after="0" w:line="136" w:lineRule="exact"/>
        <w:rPr>
          <w:sz w:val="20"/>
          <w:szCs w:val="20"/>
          <w:color w:val="auto"/>
        </w:rPr>
      </w:pPr>
    </w:p>
    <w:p>
      <w:pPr>
        <w:ind w:left="320" w:right="479" w:firstLine="335"/>
        <w:spacing w:after="0" w:line="248" w:lineRule="auto"/>
        <w:rPr>
          <w:sz w:val="20"/>
          <w:szCs w:val="20"/>
          <w:color w:val="auto"/>
        </w:rPr>
      </w:pPr>
      <w:r>
        <w:rPr>
          <w:rFonts w:ascii="Times New Roman" w:cs="Times New Roman" w:eastAsia="Times New Roman" w:hAnsi="Times New Roman"/>
          <w:sz w:val="14"/>
          <w:szCs w:val="14"/>
          <w:color w:val="auto"/>
        </w:rPr>
        <w:t>The preferred stock may be either fixed rate preferred stock or variable rate preferred stock, which is sometimes referred to as “auction rate” preferred stock. 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distributions, if any, thereon will be cumulative. If we issue shares of preferred stock, holders of such preferred stock will be entitled to receive cash distributions at an annual rate that will be fixed or will vary for the successive distribution periods for each series. In general, the distribution periods for fixed rate preferred stock can range from quarterly to weekly and are subject to extension. The distribution rate to be variable and determined for each distribution period.</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9019"/>
          </w:cols>
          <w:pgMar w:left="1440" w:top="260" w:right="1440"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203440" cy="45085"/>
                    </a:xfrm>
                    <a:prstGeom prst="rect">
                      <a:avLst/>
                    </a:prstGeom>
                    <a:noFill/>
                  </pic:spPr>
                </pic:pic>
              </a:graphicData>
            </a:graphic>
          </wp:anchor>
        </w:drawing>
        <w:t>DESCRIPTION OF OUR SUBSCRIPTION RIGHTS</w:t>
      </w:r>
    </w:p>
    <w:p>
      <w:pPr>
        <w:spacing w:after="0" w:line="171" w:lineRule="exact"/>
        <w:rPr>
          <w:sz w:val="20"/>
          <w:szCs w:val="20"/>
          <w:color w:val="auto"/>
        </w:rPr>
      </w:pPr>
    </w:p>
    <w:p>
      <w:pPr>
        <w:ind w:left="320" w:right="359" w:firstLine="335"/>
        <w:spacing w:after="0" w:line="246" w:lineRule="auto"/>
        <w:rPr>
          <w:sz w:val="20"/>
          <w:szCs w:val="20"/>
          <w:color w:val="auto"/>
        </w:rPr>
      </w:pPr>
      <w:r>
        <w:rPr>
          <w:rFonts w:ascii="Times New Roman" w:cs="Times New Roman" w:eastAsia="Times New Roman" w:hAnsi="Times New Roman"/>
          <w:sz w:val="14"/>
          <w:szCs w:val="14"/>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 Our common stockholders will indirectly bear the expenses of such subscription rights offerings, regardless of whether our common stockholders exercise any subscription rights.</w:t>
      </w:r>
    </w:p>
    <w:p>
      <w:pPr>
        <w:spacing w:after="0" w:line="154" w:lineRule="exact"/>
        <w:rPr>
          <w:sz w:val="20"/>
          <w:szCs w:val="20"/>
          <w:color w:val="auto"/>
        </w:rPr>
      </w:pPr>
    </w:p>
    <w:p>
      <w:pPr>
        <w:ind w:left="320" w:right="719" w:firstLine="335"/>
        <w:spacing w:after="0" w:line="266" w:lineRule="auto"/>
        <w:rPr>
          <w:sz w:val="20"/>
          <w:szCs w:val="20"/>
          <w:color w:val="auto"/>
        </w:rPr>
      </w:pPr>
      <w:r>
        <w:rPr>
          <w:rFonts w:ascii="Times New Roman" w:cs="Times New Roman" w:eastAsia="Times New Roman" w:hAnsi="Times New Roman"/>
          <w:sz w:val="14"/>
          <w:szCs w:val="14"/>
          <w:color w:val="auto"/>
        </w:rPr>
        <w:t>The applicable prospectus supplement would describe the following terms of subscription rights in respect of which this prospectus is being delivered:</w:t>
      </w:r>
    </w:p>
    <w:p>
      <w:pPr>
        <w:spacing w:after="0" w:line="64" w:lineRule="exact"/>
        <w:rPr>
          <w:sz w:val="20"/>
          <w:szCs w:val="20"/>
          <w:color w:val="auto"/>
        </w:rPr>
      </w:pPr>
    </w:p>
    <w:p>
      <w:pPr>
        <w:ind w:left="1060" w:hanging="331"/>
        <w:spacing w:after="0"/>
        <w:tabs>
          <w:tab w:leader="none" w:pos="10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such subscription rights;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or a formula for the determination of the exercise price for such subscription rights;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or a formula for the determination of the number of such subscription rights issued to each stockholder;</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such subscription rights are transferable;</w:t>
      </w:r>
    </w:p>
    <w:p>
      <w:pPr>
        <w:spacing w:after="0" w:line="95" w:lineRule="exact"/>
        <w:rPr>
          <w:rFonts w:ascii="Times New Roman" w:cs="Times New Roman" w:eastAsia="Times New Roman" w:hAnsi="Times New Roman"/>
          <w:sz w:val="14"/>
          <w:szCs w:val="14"/>
          <w:color w:val="auto"/>
        </w:rPr>
      </w:pPr>
    </w:p>
    <w:p>
      <w:pPr>
        <w:ind w:left="1060" w:right="359" w:hanging="331"/>
        <w:spacing w:after="0" w:line="266" w:lineRule="auto"/>
        <w:tabs>
          <w:tab w:leader="none" w:pos="10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the material U.S. federal income tax considerations applicable to the issuance or exercise of such subscription rights;</w:t>
      </w:r>
    </w:p>
    <w:p>
      <w:pPr>
        <w:spacing w:after="0" w:line="63" w:lineRule="exact"/>
        <w:rPr>
          <w:rFonts w:ascii="Times New Roman" w:cs="Times New Roman" w:eastAsia="Times New Roman" w:hAnsi="Times New Roman"/>
          <w:sz w:val="14"/>
          <w:szCs w:val="14"/>
          <w:color w:val="auto"/>
        </w:rPr>
      </w:pPr>
    </w:p>
    <w:p>
      <w:pPr>
        <w:ind w:left="1060" w:right="359" w:hanging="331"/>
        <w:spacing w:after="0" w:line="266" w:lineRule="auto"/>
        <w:tabs>
          <w:tab w:leader="none" w:pos="10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such subscription rights would commence, and the date on which such rights shall expire (subject to any extension);</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such subscription rights include an over-subscription privilege with respect to unsubscribed securities;</w:t>
      </w:r>
    </w:p>
    <w:p>
      <w:pPr>
        <w:spacing w:after="0" w:line="95" w:lineRule="exact"/>
        <w:rPr>
          <w:rFonts w:ascii="Times New Roman" w:cs="Times New Roman" w:eastAsia="Times New Roman" w:hAnsi="Times New Roman"/>
          <w:sz w:val="14"/>
          <w:szCs w:val="14"/>
          <w:color w:val="auto"/>
        </w:rPr>
      </w:pPr>
    </w:p>
    <w:p>
      <w:pPr>
        <w:ind w:left="1060" w:right="439" w:hanging="331"/>
        <w:spacing w:after="0" w:line="266" w:lineRule="auto"/>
        <w:tabs>
          <w:tab w:leader="none" w:pos="10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material terms of any standby underwriting or other purchase arrangement that we may enter into in connection with the subscription rights offering; and</w:t>
      </w:r>
    </w:p>
    <w:p>
      <w:pPr>
        <w:spacing w:after="0" w:line="63" w:lineRule="exact"/>
        <w:rPr>
          <w:rFonts w:ascii="Times New Roman" w:cs="Times New Roman" w:eastAsia="Times New Roman" w:hAnsi="Times New Roman"/>
          <w:sz w:val="14"/>
          <w:szCs w:val="14"/>
          <w:color w:val="auto"/>
        </w:rPr>
      </w:pPr>
    </w:p>
    <w:p>
      <w:pPr>
        <w:ind w:left="1060" w:right="699" w:hanging="331"/>
        <w:spacing w:after="0" w:line="266" w:lineRule="auto"/>
        <w:tabs>
          <w:tab w:leader="none" w:pos="10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such subscription rights, including terms, procedures and limitations relating to the exchange and exercise of such subscription rights.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Exercise of Subscription Rights</w:t>
      </w:r>
    </w:p>
    <w:p>
      <w:pPr>
        <w:spacing w:after="0" w:line="89" w:lineRule="exact"/>
        <w:rPr>
          <w:sz w:val="20"/>
          <w:szCs w:val="20"/>
          <w:color w:val="auto"/>
        </w:rPr>
      </w:pPr>
    </w:p>
    <w:p>
      <w:pPr>
        <w:ind w:left="320" w:right="439" w:firstLine="335"/>
        <w:spacing w:after="0" w:line="250" w:lineRule="auto"/>
        <w:rPr>
          <w:sz w:val="20"/>
          <w:szCs w:val="20"/>
          <w:color w:val="auto"/>
        </w:rPr>
      </w:pPr>
      <w:r>
        <w:rPr>
          <w:rFonts w:ascii="Times New Roman" w:cs="Times New Roman" w:eastAsia="Times New Roman" w:hAnsi="Times New Roman"/>
          <w:sz w:val="14"/>
          <w:szCs w:val="14"/>
          <w:color w:val="auto"/>
        </w:rPr>
        <w:t>Each subscription right would entitle the holder of the subscription right to purchase for cash such amount of shares of common stock or other securities at such exercise price as shall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 We have not previously completed such an offering of subscription rights.</w:t>
      </w:r>
    </w:p>
    <w:p>
      <w:pPr>
        <w:spacing w:after="0" w:line="146" w:lineRule="exact"/>
        <w:rPr>
          <w:sz w:val="20"/>
          <w:szCs w:val="20"/>
          <w:color w:val="auto"/>
        </w:rPr>
      </w:pPr>
    </w:p>
    <w:p>
      <w:pPr>
        <w:ind w:left="320" w:right="459" w:firstLine="335"/>
        <w:spacing w:after="0" w:line="266" w:lineRule="auto"/>
        <w:rPr>
          <w:sz w:val="20"/>
          <w:szCs w:val="20"/>
          <w:color w:val="auto"/>
        </w:rPr>
      </w:pPr>
      <w:r>
        <w:rPr>
          <w:rFonts w:ascii="Times New Roman" w:cs="Times New Roman" w:eastAsia="Times New Roman" w:hAnsi="Times New Roman"/>
          <w:sz w:val="14"/>
          <w:szCs w:val="14"/>
          <w:color w:val="auto"/>
        </w:rPr>
        <w:t>Subscription rights may be exercised as set forth in the prospectus supplement relating to the subscription rights offered thereby. Upon receipt of payment and the subscription rights certificate properly completed and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9019"/>
          </w:cols>
          <w:pgMar w:left="1440" w:top="256" w:right="1440" w:bottom="1440" w:gutter="0" w:footer="0" w:header="0"/>
        </w:sectPr>
      </w:pPr>
    </w:p>
    <w:bookmarkStart w:id="69" w:name="page70"/>
    <w:bookmarkEnd w:id="69"/>
    <w:p>
      <w:pPr>
        <w:ind w:left="320" w:right="35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203440" cy="45085"/>
                    </a:xfrm>
                    <a:prstGeom prst="rect">
                      <a:avLst/>
                    </a:prstGeom>
                    <a:noFill/>
                  </pic:spPr>
                </pic:pic>
              </a:graphicData>
            </a:graphic>
          </wp:anchor>
        </w:drawing>
        <w:t>duly executed at the corporate trust office of the subscription rights agent or any other office indicated in the prospectus supplement, we will forward, as soon as practicable, the shares of common stock or other securities purchasable upon such exercise. To the extent permissible under applicable law,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Dilutive Effects</w:t>
      </w:r>
    </w:p>
    <w:p>
      <w:pPr>
        <w:spacing w:after="0" w:line="89"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Any stockholder who chooses not to participate in a rights offering should expect to own a smaller interest in the Company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9019"/>
          </w:cols>
          <w:pgMar w:left="1440" w:top="260" w:right="1440"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203440" cy="45085"/>
                    </a:xfrm>
                    <a:prstGeom prst="rect">
                      <a:avLst/>
                    </a:prstGeom>
                    <a:noFill/>
                  </pic:spPr>
                </pic:pic>
              </a:graphicData>
            </a:graphic>
          </wp:anchor>
        </w:drawing>
        <w:t>DESCRIPTION OF OUR DEBT SECURITIES</w:t>
      </w:r>
    </w:p>
    <w:p>
      <w:pPr>
        <w:spacing w:after="0" w:line="171" w:lineRule="exact"/>
        <w:rPr>
          <w:sz w:val="20"/>
          <w:szCs w:val="20"/>
          <w:color w:val="auto"/>
        </w:rPr>
      </w:pPr>
    </w:p>
    <w:p>
      <w:pPr>
        <w:ind w:left="320" w:right="419" w:firstLine="335"/>
        <w:spacing w:after="0" w:line="252" w:lineRule="auto"/>
        <w:rPr>
          <w:sz w:val="20"/>
          <w:szCs w:val="20"/>
          <w:color w:val="auto"/>
        </w:rPr>
      </w:pPr>
      <w:r>
        <w:rPr>
          <w:rFonts w:ascii="Times New Roman" w:cs="Times New Roman" w:eastAsia="Times New Roman" w:hAnsi="Times New Roman"/>
          <w:sz w:val="14"/>
          <w:szCs w:val="14"/>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45" w:lineRule="exact"/>
        <w:rPr>
          <w:sz w:val="20"/>
          <w:szCs w:val="20"/>
          <w:color w:val="auto"/>
        </w:rPr>
      </w:pPr>
    </w:p>
    <w:p>
      <w:pPr>
        <w:ind w:left="320" w:right="339" w:firstLine="335"/>
        <w:spacing w:after="0" w:line="274" w:lineRule="auto"/>
        <w:rPr>
          <w:sz w:val="20"/>
          <w:szCs w:val="20"/>
          <w:color w:val="auto"/>
        </w:rPr>
      </w:pPr>
      <w:r>
        <w:rPr>
          <w:rFonts w:ascii="Times New Roman" w:cs="Times New Roman" w:eastAsia="Times New Roman" w:hAnsi="Times New Roman"/>
          <w:sz w:val="13"/>
          <w:szCs w:val="13"/>
          <w:color w:val="auto"/>
        </w:rPr>
        <w:t>As required by federal law for all bonds and notes of companies that are publicly offered, the debt securities are governed by a document called an “indenture.” An indenture is a contract between us and the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 Events of Default — Remedies if an Event of Default Occurs.” Second, the trustee performs certain administrative duties for us with respect to our debt securities.</w:t>
      </w:r>
    </w:p>
    <w:p>
      <w:pPr>
        <w:spacing w:after="0" w:line="131" w:lineRule="exact"/>
        <w:rPr>
          <w:sz w:val="20"/>
          <w:szCs w:val="20"/>
          <w:color w:val="auto"/>
        </w:rPr>
      </w:pPr>
    </w:p>
    <w:p>
      <w:pPr>
        <w:ind w:left="320" w:right="499" w:firstLine="335"/>
        <w:spacing w:after="0" w:line="274" w:lineRule="auto"/>
        <w:rPr>
          <w:sz w:val="20"/>
          <w:szCs w:val="20"/>
          <w:color w:val="auto"/>
        </w:rPr>
      </w:pPr>
      <w:r>
        <w:rPr>
          <w:rFonts w:ascii="Times New Roman" w:cs="Times New Roman" w:eastAsia="Times New Roman" w:hAnsi="Times New Roman"/>
          <w:sz w:val="13"/>
          <w:szCs w:val="13"/>
          <w:color w:val="auto"/>
        </w:rPr>
        <w:t>This section includes a description of the material provisions of the indenture. Because this section is a summary, however, it does not describe every aspect of the debt securities and the indenture. We urge you to read the indenture because it, and not this description, defines your rights as a holder of debt securities. A copy of the form of indenture is attached, or incorporated by reference, as an exhibit to the registration statement of which this prospectus is a part. We will file a supplemental indenture with the SEC in connection with any debt offering, at which time the supplemental indenture would be publicly available. See “Available Information” for information on how to obtain a copy of the indenture.</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The prospectus supplement, which will accompany this prospectus, will describe the particular series of debt securities being offered by including:</w:t>
      </w:r>
    </w:p>
    <w:p>
      <w:pPr>
        <w:spacing w:after="0" w:line="107" w:lineRule="exact"/>
        <w:rPr>
          <w:sz w:val="20"/>
          <w:szCs w:val="20"/>
          <w:color w:val="auto"/>
        </w:rPr>
      </w:pPr>
    </w:p>
    <w:p>
      <w:pPr>
        <w:ind w:left="1060" w:hanging="331"/>
        <w:spacing w:after="0"/>
        <w:tabs>
          <w:tab w:leader="none" w:pos="10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or title of the series of debt securities;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principal amount of the series of debt securities;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 of the principal amount at which the series of debt securities will be offered;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principal will be payable;</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(which may be either fixed or variable) and/or the method of determining such rate or rates of interest, if any;</w:t>
      </w:r>
    </w:p>
    <w:p>
      <w:pPr>
        <w:spacing w:after="0" w:line="95" w:lineRule="exact"/>
        <w:rPr>
          <w:rFonts w:ascii="Times New Roman" w:cs="Times New Roman" w:eastAsia="Times New Roman" w:hAnsi="Times New Roman"/>
          <w:sz w:val="14"/>
          <w:szCs w:val="14"/>
          <w:color w:val="auto"/>
        </w:rPr>
      </w:pPr>
    </w:p>
    <w:p>
      <w:pPr>
        <w:ind w:left="1060" w:right="459" w:hanging="331"/>
        <w:spacing w:after="0" w:line="266" w:lineRule="auto"/>
        <w:tabs>
          <w:tab w:leader="none" w:pos="10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from which any interest will accrue, or the method of determining such date or dates, and the date or dates on which any interest will be payable;</w:t>
      </w:r>
    </w:p>
    <w:p>
      <w:pPr>
        <w:spacing w:after="0" w:line="63" w:lineRule="exact"/>
        <w:rPr>
          <w:rFonts w:ascii="Times New Roman" w:cs="Times New Roman" w:eastAsia="Times New Roman" w:hAnsi="Times New Roman"/>
          <w:sz w:val="14"/>
          <w:szCs w:val="14"/>
          <w:color w:val="auto"/>
        </w:rPr>
      </w:pPr>
    </w:p>
    <w:p>
      <w:pPr>
        <w:ind w:left="1060" w:right="599" w:hanging="331"/>
        <w:spacing w:after="0" w:line="266" w:lineRule="auto"/>
        <w:tabs>
          <w:tab w:leader="none" w:pos="10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any interest may be paid by issuing additional securities of the same series in lieu of cash (and the terms upon which any such interest may be paid by issuing additional securities);</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for redemption, extension or early repayment, if any;</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currencies in which the series of debt securities are issued and payable;</w:t>
      </w:r>
    </w:p>
    <w:p>
      <w:pPr>
        <w:spacing w:after="0" w:line="95" w:lineRule="exact"/>
        <w:rPr>
          <w:rFonts w:ascii="Times New Roman" w:cs="Times New Roman" w:eastAsia="Times New Roman" w:hAnsi="Times New Roman"/>
          <w:sz w:val="14"/>
          <w:szCs w:val="14"/>
          <w:color w:val="auto"/>
        </w:rPr>
      </w:pPr>
    </w:p>
    <w:p>
      <w:pPr>
        <w:ind w:left="1060" w:right="339" w:hanging="331"/>
        <w:spacing w:after="0" w:line="255" w:lineRule="auto"/>
        <w:tabs>
          <w:tab w:leader="none" w:pos="10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71" w:lineRule="exact"/>
        <w:rPr>
          <w:rFonts w:ascii="Times New Roman" w:cs="Times New Roman" w:eastAsia="Times New Roman" w:hAnsi="Times New Roman"/>
          <w:sz w:val="14"/>
          <w:szCs w:val="14"/>
          <w:color w:val="auto"/>
        </w:rPr>
      </w:pPr>
    </w:p>
    <w:p>
      <w:pPr>
        <w:ind w:left="1060" w:right="379" w:hanging="331"/>
        <w:spacing w:after="0" w:line="266" w:lineRule="auto"/>
        <w:tabs>
          <w:tab w:leader="none" w:pos="10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if any, other than or in addition to the Borough of Manhattan in the City of New York, of payment, transfer, conversion and/or exchange of the debt securities;</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the offered debt securities will be issued (if other than $1,000 and any integral multiple thereof);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9019"/>
          </w:cols>
          <w:pgMar w:left="1440" w:top="256" w:right="1440" w:bottom="1440" w:gutter="0" w:footer="0" w:header="0"/>
        </w:sectPr>
      </w:pPr>
    </w:p>
    <w:bookmarkStart w:id="71" w:name="page72"/>
    <w:bookmarkEnd w:id="71"/>
    <w:p>
      <w:pPr>
        <w:ind w:left="1060" w:hanging="331"/>
        <w:spacing w:after="0"/>
        <w:tabs>
          <w:tab w:leader="none" w:pos="10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203440" cy="45085"/>
                    </a:xfrm>
                    <a:prstGeom prst="rect">
                      <a:avLst/>
                    </a:prstGeom>
                    <a:noFill/>
                  </pic:spPr>
                </pic:pic>
              </a:graphicData>
            </a:graphic>
          </wp:anchor>
        </w:drawing>
        <w:t>the provision for any sinking fund;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restrictive covenants;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Events of Default (as defined in “Events of Default” below);</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series of debt securities are issuable in certificated form;</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defeasance or covenant defeasance;</w:t>
      </w:r>
    </w:p>
    <w:p>
      <w:pPr>
        <w:spacing w:after="0" w:line="95" w:lineRule="exact"/>
        <w:rPr>
          <w:rFonts w:ascii="Times New Roman" w:cs="Times New Roman" w:eastAsia="Times New Roman" w:hAnsi="Times New Roman"/>
          <w:sz w:val="14"/>
          <w:szCs w:val="14"/>
          <w:color w:val="auto"/>
        </w:rPr>
      </w:pPr>
    </w:p>
    <w:p>
      <w:pPr>
        <w:ind w:left="1060" w:right="439" w:hanging="331"/>
        <w:spacing w:after="0" w:line="266" w:lineRule="auto"/>
        <w:tabs>
          <w:tab w:leader="none" w:pos="10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special U.S. federal income tax implications, including, if applicable, U.S. federal income tax considerations relating to original issue discount;</w:t>
      </w:r>
    </w:p>
    <w:p>
      <w:pPr>
        <w:spacing w:after="0" w:line="63" w:lineRule="exact"/>
        <w:rPr>
          <w:rFonts w:ascii="Times New Roman" w:cs="Times New Roman" w:eastAsia="Times New Roman" w:hAnsi="Times New Roman"/>
          <w:sz w:val="14"/>
          <w:szCs w:val="14"/>
          <w:color w:val="auto"/>
        </w:rPr>
      </w:pPr>
    </w:p>
    <w:p>
      <w:pPr>
        <w:ind w:left="1060" w:right="359" w:hanging="331"/>
        <w:spacing w:after="0" w:line="266" w:lineRule="auto"/>
        <w:tabs>
          <w:tab w:leader="none" w:pos="10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convertibility or exchangeability of the debt securities into or for any other securities;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subject to subordination and the terms of such subordination;</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secured and the terms of any security interest;</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listing, if any, on a securities exchange;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w:t>
      </w:r>
    </w:p>
    <w:p>
      <w:pPr>
        <w:spacing w:after="0" w:line="167" w:lineRule="exact"/>
        <w:rPr>
          <w:sz w:val="20"/>
          <w:szCs w:val="20"/>
          <w:color w:val="auto"/>
        </w:rPr>
      </w:pPr>
    </w:p>
    <w:p>
      <w:pPr>
        <w:ind w:left="320" w:right="459" w:firstLine="335"/>
        <w:spacing w:after="0" w:line="266" w:lineRule="auto"/>
        <w:rPr>
          <w:sz w:val="20"/>
          <w:szCs w:val="20"/>
          <w:color w:val="auto"/>
        </w:rPr>
      </w:pPr>
      <w:r>
        <w:rPr>
          <w:rFonts w:ascii="Times New Roman" w:cs="Times New Roman" w:eastAsia="Times New Roman" w:hAnsi="Times New Roman"/>
          <w:sz w:val="14"/>
          <w:szCs w:val="14"/>
          <w:color w:val="auto"/>
        </w:rPr>
        <w:t>The debt securities may be secured or unsecured obligations. Unless the prospectus supplement states otherwise, principal (and premium, if any) and interest, if any, will be paid by us in immediately available funds.</w:t>
      </w:r>
    </w:p>
    <w:p>
      <w:pPr>
        <w:spacing w:after="0" w:line="136" w:lineRule="exact"/>
        <w:rPr>
          <w:sz w:val="20"/>
          <w:szCs w:val="20"/>
          <w:color w:val="auto"/>
        </w:rPr>
      </w:pPr>
    </w:p>
    <w:p>
      <w:pPr>
        <w:ind w:left="320" w:right="419" w:firstLine="335"/>
        <w:spacing w:after="0" w:line="250" w:lineRule="auto"/>
        <w:rPr>
          <w:sz w:val="20"/>
          <w:szCs w:val="20"/>
          <w:color w:val="auto"/>
        </w:rPr>
      </w:pPr>
      <w:r>
        <w:rPr>
          <w:rFonts w:ascii="Times New Roman" w:cs="Times New Roman" w:eastAsia="Times New Roman" w:hAnsi="Times New Roman"/>
          <w:sz w:val="14"/>
          <w:szCs w:val="14"/>
          <w:color w:val="auto"/>
        </w:rPr>
        <w:t>Under the provisions of the 1940 Act, we, as a BDC, pursuant to the approval of our board of directors, are permitted to issue debt only in amounts such that our asset coverage, as defined in the 1940 Act, equals at least 150% after each issuance of debt, but giving effect to any exemptive relief granted to us by the SEC. For a discussion of the legislation that took effect that allows us to incur additional leverage, see “Risk Factors —Risks Relating to Our Business and Structure — Effective April 29, 2020, our asset coverage requirement was reduced from 200% to 150%, which could increase the risk of investment in the Company” in Part I, Item 1A of our most recent Annual Report on Form 10-K.</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71" w:lineRule="exact"/>
        <w:rPr>
          <w:sz w:val="20"/>
          <w:szCs w:val="20"/>
          <w:color w:val="auto"/>
        </w:rPr>
      </w:pPr>
    </w:p>
    <w:p>
      <w:pPr>
        <w:jc w:val="both"/>
        <w:ind w:left="320" w:right="439" w:firstLine="335"/>
        <w:spacing w:after="0" w:line="255" w:lineRule="auto"/>
        <w:rPr>
          <w:sz w:val="20"/>
          <w:szCs w:val="20"/>
          <w:color w:val="auto"/>
        </w:rPr>
      </w:pPr>
      <w:r>
        <w:rPr>
          <w:rFonts w:ascii="Times New Roman" w:cs="Times New Roman" w:eastAsia="Times New Roman" w:hAnsi="Times New Roman"/>
          <w:sz w:val="14"/>
          <w:szCs w:val="14"/>
          <w:color w:val="auto"/>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43" w:lineRule="exact"/>
        <w:rPr>
          <w:sz w:val="20"/>
          <w:szCs w:val="20"/>
          <w:color w:val="auto"/>
        </w:rPr>
      </w:pPr>
    </w:p>
    <w:p>
      <w:pPr>
        <w:ind w:left="320" w:right="779" w:firstLine="335"/>
        <w:spacing w:after="0" w:line="266" w:lineRule="auto"/>
        <w:rPr>
          <w:sz w:val="20"/>
          <w:szCs w:val="20"/>
          <w:color w:val="auto"/>
        </w:rPr>
      </w:pPr>
      <w:r>
        <w:rPr>
          <w:rFonts w:ascii="Times New Roman" w:cs="Times New Roman" w:eastAsia="Times New Roman" w:hAnsi="Times New Roman"/>
          <w:sz w:val="14"/>
          <w:szCs w:val="14"/>
          <w:color w:val="auto"/>
        </w:rPr>
        <w:t>For purposes of this prospectus, any reference to the payment of principal of, or premium or interest, if any, on, debt securities will include additional amounts if required by the terms of the debt securities.</w:t>
      </w:r>
    </w:p>
    <w:p>
      <w:pPr>
        <w:spacing w:after="0" w:line="136" w:lineRule="exact"/>
        <w:rPr>
          <w:sz w:val="20"/>
          <w:szCs w:val="20"/>
          <w:color w:val="auto"/>
        </w:rPr>
      </w:pPr>
    </w:p>
    <w:p>
      <w:pPr>
        <w:jc w:val="both"/>
        <w:ind w:left="320" w:right="699" w:firstLine="335"/>
        <w:spacing w:after="0" w:line="269" w:lineRule="auto"/>
        <w:rPr>
          <w:sz w:val="20"/>
          <w:szCs w:val="20"/>
          <w:color w:val="auto"/>
        </w:rPr>
      </w:pPr>
      <w:r>
        <w:rPr>
          <w:rFonts w:ascii="Times New Roman" w:cs="Times New Roman" w:eastAsia="Times New Roman" w:hAnsi="Times New Roman"/>
          <w:sz w:val="13"/>
          <w:szCs w:val="13"/>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w:t>
      </w:r>
    </w:p>
    <w:p>
      <w:pPr>
        <w:spacing w:after="0" w:line="1" w:lineRule="exact"/>
        <w:rPr>
          <w:sz w:val="20"/>
          <w:szCs w:val="20"/>
          <w:color w:val="auto"/>
        </w:rPr>
      </w:pPr>
    </w:p>
    <w:p>
      <w:pPr>
        <w:ind w:left="320" w:right="379"/>
        <w:spacing w:after="0" w:line="245" w:lineRule="auto"/>
        <w:rPr>
          <w:sz w:val="20"/>
          <w:szCs w:val="20"/>
          <w:color w:val="auto"/>
        </w:rPr>
      </w:pPr>
      <w:r>
        <w:rPr>
          <w:rFonts w:ascii="Times New Roman" w:cs="Times New Roman" w:eastAsia="Times New Roman" w:hAnsi="Times New Roman"/>
          <w:sz w:val="14"/>
          <w:szCs w:val="14"/>
          <w:color w:val="auto"/>
        </w:rPr>
        <w:t>“—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9019"/>
          </w:cols>
          <w:pgMar w:left="1440" w:top="260" w:right="1440" w:bottom="1440" w:gutter="0" w:footer="0" w:header="0"/>
        </w:sectPr>
      </w:pPr>
    </w:p>
    <w:bookmarkStart w:id="72" w:name="page73"/>
    <w:bookmarkEnd w:id="72"/>
    <w:p>
      <w:pPr>
        <w:ind w:left="320" w:right="579" w:firstLine="335"/>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203440" cy="45085"/>
                    </a:xfrm>
                    <a:prstGeom prst="rect">
                      <a:avLst/>
                    </a:prstGeom>
                    <a:noFill/>
                  </pic:spPr>
                </pic:pic>
              </a:graphicData>
            </a:graphic>
          </wp:anchor>
        </w:drawing>
        <w:t>Except as described under “— Events of Default” and “— Merger or Consolidation” below, the indenture does not contain any provisions that give you protection in the event we issue a large amount of debt or we are acquired by another entity.</w:t>
      </w:r>
    </w:p>
    <w:p>
      <w:pPr>
        <w:spacing w:after="0" w:line="136" w:lineRule="exact"/>
        <w:rPr>
          <w:sz w:val="20"/>
          <w:szCs w:val="20"/>
          <w:color w:val="auto"/>
        </w:rPr>
      </w:pPr>
    </w:p>
    <w:p>
      <w:pPr>
        <w:ind w:left="320" w:right="359" w:firstLine="335"/>
        <w:spacing w:after="0" w:line="255" w:lineRule="auto"/>
        <w:rPr>
          <w:sz w:val="20"/>
          <w:szCs w:val="20"/>
          <w:color w:val="auto"/>
        </w:rPr>
      </w:pPr>
      <w:r>
        <w:rPr>
          <w:rFonts w:ascii="Times New Roman" w:cs="Times New Roman" w:eastAsia="Times New Roman" w:hAnsi="Times New Roman"/>
          <w:sz w:val="14"/>
          <w:szCs w:val="14"/>
          <w:color w:val="auto"/>
        </w:rPr>
        <w:t>We refer you to the prospectus supplement for information with respect to any deletions from, modifications of or additions to the Events of Default or our covenants, as applicable, that are described below, including any addition of a covenant or other provision providing event risk protection or similar protection.</w:t>
      </w:r>
    </w:p>
    <w:p>
      <w:pPr>
        <w:spacing w:after="0" w:line="143" w:lineRule="exact"/>
        <w:rPr>
          <w:sz w:val="20"/>
          <w:szCs w:val="20"/>
          <w:color w:val="auto"/>
        </w:rPr>
      </w:pPr>
    </w:p>
    <w:p>
      <w:pPr>
        <w:ind w:left="320" w:right="419" w:firstLine="335"/>
        <w:spacing w:after="0" w:line="255" w:lineRule="auto"/>
        <w:rPr>
          <w:sz w:val="20"/>
          <w:szCs w:val="20"/>
          <w:color w:val="auto"/>
        </w:rPr>
      </w:pPr>
      <w:r>
        <w:rPr>
          <w:rFonts w:ascii="Times New Roman" w:cs="Times New Roman" w:eastAsia="Times New Roman" w:hAnsi="Times New Roman"/>
          <w:sz w:val="14"/>
          <w:szCs w:val="14"/>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Conversion and Exchange</w:t>
      </w:r>
    </w:p>
    <w:p>
      <w:pPr>
        <w:spacing w:after="0" w:line="89" w:lineRule="exact"/>
        <w:rPr>
          <w:sz w:val="20"/>
          <w:szCs w:val="20"/>
          <w:color w:val="auto"/>
        </w:rPr>
      </w:pPr>
    </w:p>
    <w:p>
      <w:pPr>
        <w:ind w:left="320" w:right="359" w:firstLine="335"/>
        <w:spacing w:after="0" w:line="271" w:lineRule="auto"/>
        <w:rPr>
          <w:sz w:val="20"/>
          <w:szCs w:val="20"/>
          <w:color w:val="auto"/>
        </w:rPr>
      </w:pPr>
      <w:r>
        <w:rPr>
          <w:rFonts w:ascii="Times New Roman" w:cs="Times New Roman" w:eastAsia="Times New Roman" w:hAnsi="Times New Roman"/>
          <w:sz w:val="13"/>
          <w:szCs w:val="13"/>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Issuance of Securities in Registered Form</w:t>
      </w:r>
    </w:p>
    <w:p>
      <w:pPr>
        <w:spacing w:after="0" w:line="89" w:lineRule="exact"/>
        <w:rPr>
          <w:sz w:val="20"/>
          <w:szCs w:val="20"/>
          <w:color w:val="auto"/>
        </w:rPr>
      </w:pPr>
    </w:p>
    <w:p>
      <w:pPr>
        <w:ind w:left="320" w:right="339" w:firstLine="335"/>
        <w:spacing w:after="0" w:line="255" w:lineRule="auto"/>
        <w:rPr>
          <w:sz w:val="20"/>
          <w:szCs w:val="20"/>
          <w:color w:val="auto"/>
        </w:rPr>
      </w:pPr>
      <w:r>
        <w:rPr>
          <w:rFonts w:ascii="Times New Roman" w:cs="Times New Roman" w:eastAsia="Times New Roman" w:hAnsi="Times New Roman"/>
          <w:sz w:val="14"/>
          <w:szCs w:val="14"/>
          <w:color w:val="auto"/>
        </w:rPr>
        <w:t>We may issue the debt securities in registered form, in which case we may issue them either in book-entry form only or in “certificated” form. Debt securities issued in book-entry form will be represented by global securities. We expect that we will usually issue debt securities in book-entry only form represented by global securities.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Book-Entry Holders</w:t>
      </w:r>
    </w:p>
    <w:p>
      <w:pPr>
        <w:spacing w:after="0" w:line="89" w:lineRule="exact"/>
        <w:rPr>
          <w:sz w:val="20"/>
          <w:szCs w:val="20"/>
          <w:color w:val="auto"/>
        </w:rPr>
      </w:pPr>
    </w:p>
    <w:p>
      <w:pPr>
        <w:ind w:left="320" w:right="379" w:firstLine="335"/>
        <w:spacing w:after="0" w:line="252" w:lineRule="auto"/>
        <w:rPr>
          <w:sz w:val="20"/>
          <w:szCs w:val="20"/>
          <w:color w:val="auto"/>
        </w:rPr>
      </w:pPr>
      <w:r>
        <w:rPr>
          <w:rFonts w:ascii="Times New Roman" w:cs="Times New Roman" w:eastAsia="Times New Roman" w:hAnsi="Times New Roman"/>
          <w:sz w:val="14"/>
          <w:szCs w:val="14"/>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45" w:lineRule="exact"/>
        <w:rPr>
          <w:sz w:val="20"/>
          <w:szCs w:val="20"/>
          <w:color w:val="auto"/>
        </w:rPr>
      </w:pPr>
    </w:p>
    <w:p>
      <w:pPr>
        <w:ind w:left="320" w:right="339" w:firstLine="335"/>
        <w:spacing w:after="0" w:line="250" w:lineRule="auto"/>
        <w:rPr>
          <w:sz w:val="20"/>
          <w:szCs w:val="20"/>
          <w:color w:val="auto"/>
        </w:rPr>
      </w:pPr>
      <w:r>
        <w:rPr>
          <w:rFonts w:ascii="Times New Roman" w:cs="Times New Roman" w:eastAsia="Times New Roman" w:hAnsi="Times New Roman"/>
          <w:sz w:val="14"/>
          <w:szCs w:val="14"/>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46" w:lineRule="exact"/>
        <w:rPr>
          <w:sz w:val="20"/>
          <w:szCs w:val="20"/>
          <w:color w:val="auto"/>
        </w:rPr>
      </w:pPr>
    </w:p>
    <w:p>
      <w:pPr>
        <w:jc w:val="both"/>
        <w:ind w:left="320" w:right="359" w:firstLine="335"/>
        <w:spacing w:after="0" w:line="255" w:lineRule="auto"/>
        <w:rPr>
          <w:sz w:val="20"/>
          <w:szCs w:val="20"/>
          <w:color w:val="auto"/>
        </w:rPr>
      </w:pPr>
      <w:r>
        <w:rPr>
          <w:rFonts w:ascii="Times New Roman" w:cs="Times New Roman" w:eastAsia="Times New Roman" w:hAnsi="Times New Roman"/>
          <w:sz w:val="14"/>
          <w:szCs w:val="14"/>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9019"/>
          </w:cols>
          <w:pgMar w:left="1440" w:top="260" w:right="1440" w:bottom="1440" w:gutter="0" w:footer="0" w:header="0"/>
        </w:sectPr>
      </w:pPr>
    </w:p>
    <w:bookmarkStart w:id="73" w:name="page74"/>
    <w:bookmarkEnd w:id="73"/>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203440" cy="45085"/>
                    </a:xfrm>
                    <a:prstGeom prst="rect">
                      <a:avLst/>
                    </a:prstGeom>
                    <a:noFill/>
                  </pic:spPr>
                </pic:pic>
              </a:graphicData>
            </a:graphic>
          </wp:anchor>
        </w:drawing>
        <w:t>Street Name Holders</w:t>
      </w:r>
    </w:p>
    <w:p>
      <w:pPr>
        <w:spacing w:after="0" w:line="89" w:lineRule="exact"/>
        <w:rPr>
          <w:sz w:val="20"/>
          <w:szCs w:val="20"/>
          <w:color w:val="auto"/>
        </w:rPr>
      </w:pPr>
    </w:p>
    <w:p>
      <w:pPr>
        <w:ind w:left="320" w:right="419" w:firstLine="335"/>
        <w:spacing w:after="0" w:line="252" w:lineRule="auto"/>
        <w:rPr>
          <w:sz w:val="20"/>
          <w:szCs w:val="20"/>
          <w:color w:val="auto"/>
        </w:rPr>
      </w:pPr>
      <w:r>
        <w:rPr>
          <w:rFonts w:ascii="Times New Roman" w:cs="Times New Roman" w:eastAsia="Times New Roman" w:hAnsi="Times New Roman"/>
          <w:sz w:val="14"/>
          <w:szCs w:val="14"/>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would hold a beneficial interest in those debt securities through the account he or she maintains at that institution.</w:t>
      </w:r>
    </w:p>
    <w:p>
      <w:pPr>
        <w:spacing w:after="0" w:line="145" w:lineRule="exact"/>
        <w:rPr>
          <w:sz w:val="20"/>
          <w:szCs w:val="20"/>
          <w:color w:val="auto"/>
        </w:rPr>
      </w:pPr>
    </w:p>
    <w:p>
      <w:pPr>
        <w:ind w:left="320" w:right="399" w:firstLine="335"/>
        <w:spacing w:after="0" w:line="250" w:lineRule="auto"/>
        <w:rPr>
          <w:sz w:val="20"/>
          <w:szCs w:val="20"/>
          <w:color w:val="auto"/>
        </w:rPr>
      </w:pPr>
      <w:r>
        <w:rPr>
          <w:rFonts w:ascii="Times New Roman" w:cs="Times New Roman" w:eastAsia="Times New Roman" w:hAnsi="Times New Roman"/>
          <w:sz w:val="14"/>
          <w:szCs w:val="14"/>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Legal Holders</w:t>
      </w:r>
    </w:p>
    <w:p>
      <w:pPr>
        <w:spacing w:after="0" w:line="89" w:lineRule="exact"/>
        <w:rPr>
          <w:sz w:val="20"/>
          <w:szCs w:val="20"/>
          <w:color w:val="auto"/>
        </w:rPr>
      </w:pPr>
    </w:p>
    <w:p>
      <w:pPr>
        <w:ind w:left="320" w:right="399" w:firstLine="335"/>
        <w:spacing w:after="0" w:line="252" w:lineRule="auto"/>
        <w:rPr>
          <w:sz w:val="20"/>
          <w:szCs w:val="20"/>
          <w:color w:val="auto"/>
        </w:rPr>
      </w:pPr>
      <w:r>
        <w:rPr>
          <w:rFonts w:ascii="Times New Roman" w:cs="Times New Roman" w:eastAsia="Times New Roman" w:hAnsi="Times New Roman"/>
          <w:sz w:val="14"/>
          <w:szCs w:val="14"/>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5" w:lineRule="exact"/>
        <w:rPr>
          <w:sz w:val="20"/>
          <w:szCs w:val="20"/>
          <w:color w:val="auto"/>
        </w:rPr>
      </w:pPr>
    </w:p>
    <w:p>
      <w:pPr>
        <w:ind w:left="320" w:right="399" w:firstLine="335"/>
        <w:spacing w:after="0" w:line="250" w:lineRule="auto"/>
        <w:rPr>
          <w:sz w:val="20"/>
          <w:szCs w:val="20"/>
          <w:color w:val="auto"/>
        </w:rPr>
      </w:pPr>
      <w:r>
        <w:rPr>
          <w:rFonts w:ascii="Times New Roman" w:cs="Times New Roman" w:eastAsia="Times New Roman" w:hAnsi="Times New Roman"/>
          <w:sz w:val="14"/>
          <w:szCs w:val="14"/>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46" w:lineRule="exact"/>
        <w:rPr>
          <w:sz w:val="20"/>
          <w:szCs w:val="20"/>
          <w:color w:val="auto"/>
        </w:rPr>
      </w:pPr>
    </w:p>
    <w:p>
      <w:pPr>
        <w:jc w:val="both"/>
        <w:ind w:left="320" w:right="339" w:firstLine="335"/>
        <w:spacing w:after="0" w:line="255" w:lineRule="auto"/>
        <w:rPr>
          <w:sz w:val="20"/>
          <w:szCs w:val="20"/>
          <w:color w:val="auto"/>
        </w:rPr>
      </w:pPr>
      <w:r>
        <w:rPr>
          <w:rFonts w:ascii="Times New Roman" w:cs="Times New Roman" w:eastAsia="Times New Roman" w:hAnsi="Times New Roman"/>
          <w:sz w:val="14"/>
          <w:szCs w:val="14"/>
          <w:color w:val="auto"/>
        </w:rPr>
        <w:t>When we refer to you in this Description of Our Debt Securities,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Special Considerations for Indirect Holders</w:t>
      </w:r>
    </w:p>
    <w:p>
      <w:pPr>
        <w:spacing w:after="0" w:line="89" w:lineRule="exact"/>
        <w:rPr>
          <w:sz w:val="20"/>
          <w:szCs w:val="20"/>
          <w:color w:val="auto"/>
        </w:rPr>
      </w:pPr>
    </w:p>
    <w:p>
      <w:pPr>
        <w:ind w:left="320" w:right="459" w:firstLine="335"/>
        <w:spacing w:after="0" w:line="266" w:lineRule="auto"/>
        <w:rPr>
          <w:sz w:val="20"/>
          <w:szCs w:val="20"/>
          <w:color w:val="auto"/>
        </w:rPr>
      </w:pPr>
      <w:r>
        <w:rPr>
          <w:rFonts w:ascii="Times New Roman" w:cs="Times New Roman" w:eastAsia="Times New Roman" w:hAnsi="Times New Roman"/>
          <w:sz w:val="14"/>
          <w:szCs w:val="14"/>
          <w:color w:val="auto"/>
        </w:rPr>
        <w:t>If you hold debt securities through a bank, broker or other financial institution, either in book-entry form or in street name, we urge you to check with that institution to find out:</w:t>
      </w:r>
    </w:p>
    <w:p>
      <w:pPr>
        <w:spacing w:after="0" w:line="64" w:lineRule="exact"/>
        <w:rPr>
          <w:sz w:val="20"/>
          <w:szCs w:val="20"/>
          <w:color w:val="auto"/>
        </w:rPr>
      </w:pPr>
    </w:p>
    <w:p>
      <w:pPr>
        <w:ind w:left="1060" w:hanging="331"/>
        <w:spacing w:after="0"/>
        <w:tabs>
          <w:tab w:leader="none" w:pos="10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handles securities payments and notices;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it imposes fees or charges;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would handle a request for the holders’ consent, if ever required;</w:t>
      </w:r>
    </w:p>
    <w:p>
      <w:pPr>
        <w:spacing w:after="0" w:line="95" w:lineRule="exact"/>
        <w:rPr>
          <w:rFonts w:ascii="Times New Roman" w:cs="Times New Roman" w:eastAsia="Times New Roman" w:hAnsi="Times New Roman"/>
          <w:sz w:val="14"/>
          <w:szCs w:val="14"/>
          <w:color w:val="auto"/>
        </w:rPr>
      </w:pPr>
    </w:p>
    <w:p>
      <w:pPr>
        <w:ind w:left="1060" w:right="459" w:hanging="331"/>
        <w:spacing w:after="0" w:line="266" w:lineRule="auto"/>
        <w:tabs>
          <w:tab w:leader="none" w:pos="10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how you can instruct it to send you debt securities registered in your own name so you can be a holder, if that is permitted in the future for a particular series of debt securities;</w:t>
      </w:r>
    </w:p>
    <w:p>
      <w:pPr>
        <w:spacing w:after="0" w:line="63" w:lineRule="exact"/>
        <w:rPr>
          <w:rFonts w:ascii="Times New Roman" w:cs="Times New Roman" w:eastAsia="Times New Roman" w:hAnsi="Times New Roman"/>
          <w:sz w:val="14"/>
          <w:szCs w:val="14"/>
          <w:color w:val="auto"/>
        </w:rPr>
      </w:pPr>
    </w:p>
    <w:p>
      <w:pPr>
        <w:ind w:left="1060" w:right="439" w:hanging="331"/>
        <w:spacing w:after="0" w:line="266" w:lineRule="auto"/>
        <w:tabs>
          <w:tab w:leader="none" w:pos="10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would exercise rights under the debt securities if there were a default or other event triggering the need for holders to act to protect their interests; and</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are in book-entry form, how the depositary’s rules and procedures will affect these matters.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9019"/>
          </w:cols>
          <w:pgMar w:left="1440" w:top="256" w:right="1440" w:bottom="1440" w:gutter="0" w:footer="0" w:header="0"/>
        </w:sectPr>
      </w:pPr>
    </w:p>
    <w:bookmarkStart w:id="74" w:name="page75"/>
    <w:bookmarkEnd w:id="74"/>
    <w:p>
      <w:pPr>
        <w:ind w:left="3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203440" cy="45085"/>
                    </a:xfrm>
                    <a:prstGeom prst="rect">
                      <a:avLst/>
                    </a:prstGeom>
                    <a:noFill/>
                  </pic:spPr>
                </pic:pic>
              </a:graphicData>
            </a:graphic>
          </wp:anchor>
        </w:drawing>
        <w:t>Global Securities</w:t>
      </w:r>
    </w:p>
    <w:p>
      <w:pPr>
        <w:spacing w:after="0" w:line="89" w:lineRule="exact"/>
        <w:rPr>
          <w:sz w:val="20"/>
          <w:szCs w:val="20"/>
          <w:color w:val="auto"/>
        </w:rPr>
      </w:pPr>
    </w:p>
    <w:p>
      <w:pPr>
        <w:ind w:left="320" w:right="339" w:firstLine="335"/>
        <w:spacing w:after="0" w:line="266" w:lineRule="auto"/>
        <w:rPr>
          <w:sz w:val="20"/>
          <w:szCs w:val="20"/>
          <w:color w:val="auto"/>
        </w:rPr>
      </w:pPr>
      <w:r>
        <w:rPr>
          <w:rFonts w:ascii="Times New Roman" w:cs="Times New Roman" w:eastAsia="Times New Roman" w:hAnsi="Times New Roman"/>
          <w:sz w:val="14"/>
          <w:szCs w:val="14"/>
          <w:color w:val="auto"/>
        </w:rPr>
        <w:t>As noted above, we usually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36" w:lineRule="exact"/>
        <w:rPr>
          <w:sz w:val="20"/>
          <w:szCs w:val="20"/>
          <w:color w:val="auto"/>
        </w:rPr>
      </w:pPr>
    </w:p>
    <w:p>
      <w:pPr>
        <w:ind w:left="320" w:right="439" w:firstLine="335"/>
        <w:spacing w:after="0" w:line="252" w:lineRule="auto"/>
        <w:rPr>
          <w:sz w:val="20"/>
          <w:szCs w:val="20"/>
          <w:color w:val="auto"/>
        </w:rPr>
      </w:pPr>
      <w:r>
        <w:rPr>
          <w:rFonts w:ascii="Times New Roman" w:cs="Times New Roman" w:eastAsia="Times New Roman" w:hAnsi="Times New Roman"/>
          <w:sz w:val="14"/>
          <w:szCs w:val="14"/>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5" w:lineRule="exact"/>
        <w:rPr>
          <w:sz w:val="20"/>
          <w:szCs w:val="20"/>
          <w:color w:val="auto"/>
        </w:rPr>
      </w:pPr>
    </w:p>
    <w:p>
      <w:pPr>
        <w:ind w:left="320" w:right="359" w:firstLine="335"/>
        <w:spacing w:after="0" w:line="271" w:lineRule="auto"/>
        <w:rPr>
          <w:sz w:val="20"/>
          <w:szCs w:val="20"/>
          <w:color w:val="auto"/>
        </w:rPr>
      </w:pPr>
      <w:r>
        <w:rPr>
          <w:rFonts w:ascii="Times New Roman" w:cs="Times New Roman" w:eastAsia="Times New Roman" w:hAnsi="Times New Roman"/>
          <w:sz w:val="13"/>
          <w:szCs w:val="13"/>
          <w:color w:val="auto"/>
        </w:rPr>
        <w:t>A global security may not be transferred to or registered in the name of anyone other than the depositary or its nominee, unless special termination situations arise. We describe those situations below under “— Termination of a Global Security.”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Special Considerations for Global Securities</w:t>
      </w:r>
    </w:p>
    <w:p>
      <w:pPr>
        <w:spacing w:after="0" w:line="89" w:lineRule="exact"/>
        <w:rPr>
          <w:sz w:val="20"/>
          <w:szCs w:val="20"/>
          <w:color w:val="auto"/>
        </w:rPr>
      </w:pPr>
    </w:p>
    <w:p>
      <w:pPr>
        <w:jc w:val="both"/>
        <w:ind w:left="320" w:right="479" w:firstLine="335"/>
        <w:spacing w:after="0" w:line="255" w:lineRule="auto"/>
        <w:rPr>
          <w:sz w:val="20"/>
          <w:szCs w:val="20"/>
          <w:color w:val="auto"/>
        </w:rPr>
      </w:pPr>
      <w:r>
        <w:rPr>
          <w:rFonts w:ascii="Times New Roman" w:cs="Times New Roman" w:eastAsia="Times New Roman" w:hAnsi="Times New Roman"/>
          <w:sz w:val="14"/>
          <w:szCs w:val="14"/>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If debt securities are issued only in the form of a global security, an investor should be aware of the following:</w:t>
      </w:r>
    </w:p>
    <w:p>
      <w:pPr>
        <w:spacing w:after="0" w:line="95" w:lineRule="exact"/>
        <w:rPr>
          <w:sz w:val="20"/>
          <w:szCs w:val="20"/>
          <w:color w:val="auto"/>
        </w:rPr>
      </w:pPr>
    </w:p>
    <w:p>
      <w:pPr>
        <w:ind w:left="1060" w:right="539" w:hanging="331"/>
        <w:spacing w:after="0" w:line="266" w:lineRule="auto"/>
        <w:tabs>
          <w:tab w:leader="none" w:pos="10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cannot cause the debt securities to be registered in his or her name and cannot obtain certificates for his or her interest in the debt securities, except in the special situations we describe below;</w:t>
      </w:r>
    </w:p>
    <w:p>
      <w:pPr>
        <w:spacing w:after="0" w:line="63" w:lineRule="exact"/>
        <w:rPr>
          <w:rFonts w:ascii="Times New Roman" w:cs="Times New Roman" w:eastAsia="Times New Roman" w:hAnsi="Times New Roman"/>
          <w:sz w:val="14"/>
          <w:szCs w:val="14"/>
          <w:color w:val="auto"/>
        </w:rPr>
      </w:pPr>
    </w:p>
    <w:p>
      <w:pPr>
        <w:ind w:left="1060" w:right="419" w:hanging="331"/>
        <w:spacing w:after="0" w:line="305" w:lineRule="auto"/>
        <w:tabs>
          <w:tab w:leader="none" w:pos="106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investor will be an indirect holder and must look to his or her own bank or broker for payments on the debt securities and protection of his or her legal rights relating to the debt securities, as we describe under “— Issuance of Securities in Registered Form” above;</w:t>
      </w:r>
    </w:p>
    <w:p>
      <w:pPr>
        <w:spacing w:after="0" w:line="40" w:lineRule="exact"/>
        <w:rPr>
          <w:rFonts w:ascii="Times New Roman" w:cs="Times New Roman" w:eastAsia="Times New Roman" w:hAnsi="Times New Roman"/>
          <w:sz w:val="13"/>
          <w:szCs w:val="13"/>
          <w:color w:val="auto"/>
        </w:rPr>
      </w:pPr>
    </w:p>
    <w:p>
      <w:pPr>
        <w:ind w:left="1060" w:right="499" w:hanging="331"/>
        <w:spacing w:after="0" w:line="266" w:lineRule="auto"/>
        <w:tabs>
          <w:tab w:leader="none" w:pos="10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may not be able to sell interests in the debt securities to some insurance companies and other institutions that are required by law to own their securities in non-book-entry form;</w:t>
      </w:r>
    </w:p>
    <w:p>
      <w:pPr>
        <w:spacing w:after="0" w:line="63" w:lineRule="exact"/>
        <w:rPr>
          <w:rFonts w:ascii="Times New Roman" w:cs="Times New Roman" w:eastAsia="Times New Roman" w:hAnsi="Times New Roman"/>
          <w:sz w:val="14"/>
          <w:szCs w:val="14"/>
          <w:color w:val="auto"/>
        </w:rPr>
      </w:pPr>
    </w:p>
    <w:p>
      <w:pPr>
        <w:ind w:left="1060" w:right="719" w:hanging="331"/>
        <w:spacing w:after="0" w:line="266" w:lineRule="auto"/>
        <w:tabs>
          <w:tab w:leader="none" w:pos="10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63" w:lineRule="exact"/>
        <w:rPr>
          <w:rFonts w:ascii="Times New Roman" w:cs="Times New Roman" w:eastAsia="Times New Roman" w:hAnsi="Times New Roman"/>
          <w:sz w:val="14"/>
          <w:szCs w:val="14"/>
          <w:color w:val="auto"/>
        </w:rPr>
      </w:pPr>
    </w:p>
    <w:p>
      <w:pPr>
        <w:jc w:val="both"/>
        <w:ind w:left="1060" w:right="379" w:hanging="331"/>
        <w:spacing w:after="0" w:line="255" w:lineRule="auto"/>
        <w:tabs>
          <w:tab w:leader="none" w:pos="10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71" w:lineRule="exact"/>
        <w:rPr>
          <w:rFonts w:ascii="Times New Roman" w:cs="Times New Roman" w:eastAsia="Times New Roman" w:hAnsi="Times New Roman"/>
          <w:sz w:val="14"/>
          <w:szCs w:val="14"/>
          <w:color w:val="auto"/>
        </w:rPr>
      </w:pPr>
    </w:p>
    <w:p>
      <w:pPr>
        <w:ind w:left="1060" w:right="459" w:hanging="331"/>
        <w:spacing w:after="0" w:line="266" w:lineRule="auto"/>
        <w:tabs>
          <w:tab w:leader="none" w:pos="10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redeem less than all the debt securities of a particular series being redeemed, DTC’s practice is to determine by lot the amount to be redeemed from each of its participants holding that series;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9019"/>
          </w:cols>
          <w:pgMar w:left="1440" w:top="256" w:right="1440" w:bottom="1440" w:gutter="0" w:footer="0" w:header="0"/>
        </w:sectPr>
      </w:pPr>
    </w:p>
    <w:bookmarkStart w:id="75" w:name="page76"/>
    <w:bookmarkEnd w:id="75"/>
    <w:p>
      <w:pPr>
        <w:jc w:val="both"/>
        <w:ind w:left="1060" w:right="699" w:hanging="331"/>
        <w:spacing w:after="0" w:line="255" w:lineRule="auto"/>
        <w:tabs>
          <w:tab w:leader="none" w:pos="10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203440" cy="45085"/>
                    </a:xfrm>
                    <a:prstGeom prst="rect">
                      <a:avLst/>
                    </a:prstGeom>
                    <a:noFill/>
                  </pic:spPr>
                </pic:pic>
              </a:graphicData>
            </a:graphic>
          </wp:anchor>
        </w:drawing>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71" w:lineRule="exact"/>
        <w:rPr>
          <w:rFonts w:ascii="Times New Roman" w:cs="Times New Roman" w:eastAsia="Times New Roman" w:hAnsi="Times New Roman"/>
          <w:sz w:val="14"/>
          <w:szCs w:val="14"/>
          <w:color w:val="auto"/>
        </w:rPr>
      </w:pPr>
    </w:p>
    <w:p>
      <w:pPr>
        <w:ind w:left="1060" w:right="459" w:hanging="331"/>
        <w:spacing w:after="0" w:line="255" w:lineRule="auto"/>
        <w:tabs>
          <w:tab w:leader="none" w:pos="10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71" w:lineRule="exact"/>
        <w:rPr>
          <w:rFonts w:ascii="Times New Roman" w:cs="Times New Roman" w:eastAsia="Times New Roman" w:hAnsi="Times New Roman"/>
          <w:sz w:val="14"/>
          <w:szCs w:val="14"/>
          <w:color w:val="auto"/>
        </w:rPr>
      </w:pPr>
    </w:p>
    <w:p>
      <w:pPr>
        <w:ind w:left="1060" w:right="419" w:hanging="331"/>
        <w:spacing w:after="0" w:line="252" w:lineRule="auto"/>
        <w:tabs>
          <w:tab w:leader="none" w:pos="10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Termination of a Global Security</w:t>
      </w:r>
    </w:p>
    <w:p>
      <w:pPr>
        <w:spacing w:after="0" w:line="89" w:lineRule="exact"/>
        <w:rPr>
          <w:sz w:val="20"/>
          <w:szCs w:val="20"/>
          <w:color w:val="auto"/>
        </w:rPr>
      </w:pPr>
    </w:p>
    <w:p>
      <w:pPr>
        <w:ind w:left="320" w:right="399" w:firstLine="335"/>
        <w:spacing w:after="0" w:line="277" w:lineRule="auto"/>
        <w:rPr>
          <w:sz w:val="20"/>
          <w:szCs w:val="20"/>
          <w:color w:val="auto"/>
        </w:rPr>
      </w:pPr>
      <w:r>
        <w:rPr>
          <w:rFonts w:ascii="Times New Roman" w:cs="Times New Roman" w:eastAsia="Times New Roman" w:hAnsi="Times New Roman"/>
          <w:sz w:val="13"/>
          <w:szCs w:val="13"/>
          <w:color w:val="auto"/>
        </w:rPr>
        <w:t>If a global security is terminated for any reason,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legal holders and street name investors under “— Issuance of Securities in Registered Form” above.</w:t>
      </w:r>
    </w:p>
    <w:p>
      <w:pPr>
        <w:spacing w:after="0" w:line="131" w:lineRule="exact"/>
        <w:rPr>
          <w:sz w:val="20"/>
          <w:szCs w:val="20"/>
          <w:color w:val="auto"/>
        </w:rPr>
      </w:pPr>
    </w:p>
    <w:p>
      <w:pPr>
        <w:ind w:left="320" w:right="419" w:firstLine="335"/>
        <w:spacing w:after="0" w:line="252" w:lineRule="auto"/>
        <w:rPr>
          <w:sz w:val="20"/>
          <w:szCs w:val="20"/>
          <w:color w:val="auto"/>
        </w:rPr>
      </w:pPr>
      <w:r>
        <w:rPr>
          <w:rFonts w:ascii="Times New Roman" w:cs="Times New Roman" w:eastAsia="Times New Roman" w:hAnsi="Times New Roman"/>
          <w:sz w:val="14"/>
          <w:szCs w:val="14"/>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investors in whose names the debt securities represented by the global security will be registered and, therefore, who will be the holders of those debt securities.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Payment and Paying Agents</w:t>
      </w:r>
    </w:p>
    <w:p>
      <w:pPr>
        <w:spacing w:after="0" w:line="89" w:lineRule="exact"/>
        <w:rPr>
          <w:sz w:val="20"/>
          <w:szCs w:val="20"/>
          <w:color w:val="auto"/>
        </w:rPr>
      </w:pPr>
    </w:p>
    <w:p>
      <w:pPr>
        <w:ind w:left="320" w:right="399" w:firstLine="335"/>
        <w:spacing w:after="0" w:line="249" w:lineRule="auto"/>
        <w:rPr>
          <w:sz w:val="20"/>
          <w:szCs w:val="20"/>
          <w:color w:val="auto"/>
        </w:rPr>
      </w:pPr>
      <w:r>
        <w:rPr>
          <w:rFonts w:ascii="Times New Roman" w:cs="Times New Roman" w:eastAsia="Times New Roman" w:hAnsi="Times New Roman"/>
          <w:sz w:val="14"/>
          <w:szCs w:val="14"/>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Payments on Global Securities</w:t>
      </w:r>
    </w:p>
    <w:p>
      <w:pPr>
        <w:spacing w:after="0" w:line="89" w:lineRule="exact"/>
        <w:rPr>
          <w:sz w:val="20"/>
          <w:szCs w:val="20"/>
          <w:color w:val="auto"/>
        </w:rPr>
      </w:pPr>
    </w:p>
    <w:p>
      <w:pPr>
        <w:ind w:left="320" w:right="639" w:firstLine="335"/>
        <w:spacing w:after="0" w:line="252" w:lineRule="auto"/>
        <w:rPr>
          <w:sz w:val="20"/>
          <w:szCs w:val="20"/>
          <w:color w:val="auto"/>
        </w:rPr>
      </w:pPr>
      <w:r>
        <w:rPr>
          <w:rFonts w:ascii="Times New Roman" w:cs="Times New Roman" w:eastAsia="Times New Roman" w:hAnsi="Times New Roman"/>
          <w:sz w:val="14"/>
          <w:szCs w:val="14"/>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 Special Considerations for Global Securities.”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Payments on Certificated Securities</w:t>
      </w:r>
    </w:p>
    <w:p>
      <w:pPr>
        <w:spacing w:after="0" w:line="89" w:lineRule="exact"/>
        <w:rPr>
          <w:sz w:val="20"/>
          <w:szCs w:val="20"/>
          <w:color w:val="auto"/>
        </w:rPr>
      </w:pPr>
    </w:p>
    <w:p>
      <w:pPr>
        <w:ind w:left="320" w:right="359" w:firstLine="335"/>
        <w:spacing w:after="0" w:line="255" w:lineRule="auto"/>
        <w:rPr>
          <w:sz w:val="20"/>
          <w:szCs w:val="20"/>
          <w:color w:val="auto"/>
        </w:rPr>
      </w:pPr>
      <w:r>
        <w:rPr>
          <w:rFonts w:ascii="Times New Roman" w:cs="Times New Roman" w:eastAsia="Times New Roman" w:hAnsi="Times New Roman"/>
          <w:sz w:val="14"/>
          <w:szCs w:val="14"/>
          <w:color w:val="auto"/>
        </w:rPr>
        <w:t>We will make payments on a certificated debt security as follows. We will pay interest that is due on an interest payment date to the holder of debt securities as shown on the trustee’s records as of the close of business on the regular record date at our office and/or at other offices that may be specified in the prospectus supplement.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9019"/>
          </w:cols>
          <w:pgMar w:left="1440" w:top="260" w:right="1440" w:bottom="1440" w:gutter="0" w:footer="0" w:header="0"/>
        </w:sectPr>
      </w:pPr>
    </w:p>
    <w:bookmarkStart w:id="76" w:name="page77"/>
    <w:bookmarkEnd w:id="76"/>
    <w:p>
      <w:pPr>
        <w:ind w:left="320" w:right="39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203440" cy="45085"/>
                    </a:xfrm>
                    <a:prstGeom prst="rect">
                      <a:avLst/>
                    </a:prstGeom>
                    <a:noFill/>
                  </pic:spPr>
                </pic:pic>
              </a:graphicData>
            </a:graphic>
          </wp:anchor>
        </w:drawing>
        <w:t>We will make all payments of principal and premium, if any, by check at the office of the applicable trustee and/or at other offices that may be specified in the prospectus supplement or in a notice to holders against surrender of the debt security.</w:t>
      </w:r>
    </w:p>
    <w:p>
      <w:pPr>
        <w:spacing w:after="0" w:line="136" w:lineRule="exact"/>
        <w:rPr>
          <w:sz w:val="20"/>
          <w:szCs w:val="20"/>
          <w:color w:val="auto"/>
        </w:rPr>
      </w:pPr>
    </w:p>
    <w:p>
      <w:pPr>
        <w:ind w:left="320" w:right="359" w:firstLine="335"/>
        <w:spacing w:after="0" w:line="255" w:lineRule="auto"/>
        <w:rPr>
          <w:sz w:val="20"/>
          <w:szCs w:val="20"/>
          <w:color w:val="auto"/>
        </w:rPr>
      </w:pPr>
      <w:r>
        <w:rPr>
          <w:rFonts w:ascii="Times New Roman" w:cs="Times New Roman" w:eastAsia="Times New Roman" w:hAnsi="Times New Roman"/>
          <w:sz w:val="14"/>
          <w:szCs w:val="14"/>
          <w:color w:val="auto"/>
        </w:rPr>
        <w:t>Alternatively, at our option, we may pay any cash interest that becomes due on the debt security by mailing a check to the holder at his, her or its address shown on the trustee’s records as of the close of business on the regular record date or by transfer to an account at a bank in the United States, in either case, on the due date.</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Payment When Offices Are Closed</w:t>
      </w:r>
    </w:p>
    <w:p>
      <w:pPr>
        <w:spacing w:after="0" w:line="89" w:lineRule="exact"/>
        <w:rPr>
          <w:sz w:val="20"/>
          <w:szCs w:val="20"/>
          <w:color w:val="auto"/>
        </w:rPr>
      </w:pPr>
    </w:p>
    <w:p>
      <w:pPr>
        <w:ind w:left="320" w:right="579" w:firstLine="335"/>
        <w:spacing w:after="0" w:line="252" w:lineRule="auto"/>
        <w:rPr>
          <w:sz w:val="20"/>
          <w:szCs w:val="20"/>
          <w:color w:val="auto"/>
        </w:rPr>
      </w:pPr>
      <w:r>
        <w:rPr>
          <w:rFonts w:ascii="Times New Roman" w:cs="Times New Roman" w:eastAsia="Times New Roman" w:hAnsi="Times New Roman"/>
          <w:sz w:val="14"/>
          <w:szCs w:val="14"/>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45" w:lineRule="exact"/>
        <w:rPr>
          <w:sz w:val="20"/>
          <w:szCs w:val="20"/>
          <w:color w:val="auto"/>
        </w:rPr>
      </w:pPr>
    </w:p>
    <w:p>
      <w:pPr>
        <w:ind w:left="320" w:right="699" w:firstLine="335"/>
        <w:spacing w:after="0" w:line="266" w:lineRule="auto"/>
        <w:rPr>
          <w:sz w:val="20"/>
          <w:szCs w:val="20"/>
          <w:color w:val="auto"/>
        </w:rPr>
      </w:pPr>
      <w:r>
        <w:rPr>
          <w:rFonts w:ascii="Times New Roman" w:cs="Times New Roman" w:eastAsia="Times New Roman" w:hAnsi="Times New Roman"/>
          <w:sz w:val="14"/>
          <w:szCs w:val="14"/>
          <w:color w:val="auto"/>
        </w:rPr>
        <w:t>Book-entry and other indirect holders should consult their banks or brokers for information on how they will receive payments on their debt securities.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89" w:lineRule="exact"/>
        <w:rPr>
          <w:sz w:val="20"/>
          <w:szCs w:val="20"/>
          <w:color w:val="auto"/>
        </w:rPr>
      </w:pPr>
    </w:p>
    <w:p>
      <w:pPr>
        <w:ind w:left="320" w:right="839" w:firstLine="335"/>
        <w:spacing w:after="0" w:line="266" w:lineRule="auto"/>
        <w:rPr>
          <w:sz w:val="20"/>
          <w:szCs w:val="20"/>
          <w:color w:val="auto"/>
        </w:rPr>
      </w:pPr>
      <w:r>
        <w:rPr>
          <w:rFonts w:ascii="Times New Roman" w:cs="Times New Roman" w:eastAsia="Times New Roman" w:hAnsi="Times New Roman"/>
          <w:sz w:val="14"/>
          <w:szCs w:val="14"/>
          <w:color w:val="auto"/>
        </w:rPr>
        <w:t>You will have rights if an Event of Default occurs in respect of the debt securities of your series and is not cured, as described later in this subsection.</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term “Event of Default” in respect of the debt securities of your series means any of the following:</w:t>
      </w:r>
    </w:p>
    <w:p>
      <w:pPr>
        <w:spacing w:after="0" w:line="95" w:lineRule="exact"/>
        <w:rPr>
          <w:sz w:val="20"/>
          <w:szCs w:val="20"/>
          <w:color w:val="auto"/>
        </w:rPr>
      </w:pPr>
    </w:p>
    <w:p>
      <w:pPr>
        <w:ind w:left="1060" w:hanging="331"/>
        <w:spacing w:after="0"/>
        <w:tabs>
          <w:tab w:leader="none" w:pos="10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pay the principal of, or any premium on, a debt security of the series within five days of its due date;</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pay interest on a debt security of the series when due, and such default is not cured within 30 days;</w:t>
      </w:r>
    </w:p>
    <w:p>
      <w:pPr>
        <w:spacing w:after="0" w:line="95" w:lineRule="exact"/>
        <w:rPr>
          <w:rFonts w:ascii="Times New Roman" w:cs="Times New Roman" w:eastAsia="Times New Roman" w:hAnsi="Times New Roman"/>
          <w:sz w:val="14"/>
          <w:szCs w:val="14"/>
          <w:color w:val="auto"/>
        </w:rPr>
      </w:pPr>
    </w:p>
    <w:p>
      <w:pPr>
        <w:ind w:left="1060" w:right="339" w:hanging="331"/>
        <w:spacing w:after="0" w:line="255" w:lineRule="auto"/>
        <w:tabs>
          <w:tab w:leader="none" w:pos="10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the debt securities of the series);</w:t>
      </w:r>
    </w:p>
    <w:p>
      <w:pPr>
        <w:spacing w:after="0" w:line="71" w:lineRule="exact"/>
        <w:rPr>
          <w:rFonts w:ascii="Times New Roman" w:cs="Times New Roman" w:eastAsia="Times New Roman" w:hAnsi="Times New Roman"/>
          <w:sz w:val="14"/>
          <w:szCs w:val="14"/>
          <w:color w:val="auto"/>
        </w:rPr>
      </w:pPr>
    </w:p>
    <w:p>
      <w:pPr>
        <w:ind w:left="1060" w:right="379" w:hanging="331"/>
        <w:spacing w:after="0" w:line="266" w:lineRule="auto"/>
        <w:tabs>
          <w:tab w:leader="none" w:pos="10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file for bankruptcy or certain other events of bankruptcy, insolvency or reorganization occur and remain undischarged or unstayed for a period of 90 days;</w:t>
      </w:r>
    </w:p>
    <w:p>
      <w:pPr>
        <w:spacing w:after="0" w:line="63" w:lineRule="exact"/>
        <w:rPr>
          <w:rFonts w:ascii="Times New Roman" w:cs="Times New Roman" w:eastAsia="Times New Roman" w:hAnsi="Times New Roman"/>
          <w:sz w:val="14"/>
          <w:szCs w:val="14"/>
          <w:color w:val="auto"/>
        </w:rPr>
      </w:pPr>
    </w:p>
    <w:p>
      <w:pPr>
        <w:ind w:left="1060" w:right="559" w:hanging="331"/>
        <w:spacing w:after="0" w:line="305" w:lineRule="auto"/>
        <w:tabs>
          <w:tab w:leader="none" w:pos="106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series of debt securities has an asset coverage, as such term is defined in the 1940 Act, of less than 100% on the last business day of each of twenty-four consecutive calendar months, after giving effect to any exemptive relief granted to the Company by the SEC; or</w:t>
      </w:r>
    </w:p>
    <w:p>
      <w:pPr>
        <w:spacing w:after="0" w:line="40" w:lineRule="exact"/>
        <w:rPr>
          <w:rFonts w:ascii="Times New Roman" w:cs="Times New Roman" w:eastAsia="Times New Roman" w:hAnsi="Times New Roman"/>
          <w:sz w:val="13"/>
          <w:szCs w:val="13"/>
          <w:color w:val="auto"/>
        </w:rPr>
      </w:pPr>
    </w:p>
    <w:p>
      <w:pPr>
        <w:ind w:left="1060" w:hanging="331"/>
        <w:spacing w:after="0"/>
        <w:tabs>
          <w:tab w:leader="none" w:pos="10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in respect of debt securities of the series described in the prospectus supplement occurs.</w:t>
      </w:r>
    </w:p>
    <w:p>
      <w:pPr>
        <w:spacing w:after="0" w:line="167" w:lineRule="exact"/>
        <w:rPr>
          <w:sz w:val="20"/>
          <w:szCs w:val="20"/>
          <w:color w:val="auto"/>
        </w:rPr>
      </w:pPr>
    </w:p>
    <w:p>
      <w:pPr>
        <w:ind w:left="320" w:right="359" w:firstLine="335"/>
        <w:spacing w:after="0" w:line="252" w:lineRule="auto"/>
        <w:rPr>
          <w:sz w:val="20"/>
          <w:szCs w:val="20"/>
          <w:color w:val="auto"/>
        </w:rPr>
      </w:pPr>
      <w:r>
        <w:rPr>
          <w:rFonts w:ascii="Times New Roman" w:cs="Times New Roman" w:eastAsia="Times New Roman" w:hAnsi="Times New Roman"/>
          <w:sz w:val="14"/>
          <w:szCs w:val="14"/>
          <w:color w:val="auto"/>
        </w:rPr>
        <w:t>An Event of Default for a particular series of debt securities does not necessarily constitute an Event of Default for any other series of debt securities issued under the same or any other indenture. The trustee may withhold notice to the holders of the debt securities of any default, except in the payment of principal, premium, interest, or sinking or purchase fund installment, if it in good faith considers the withholding of notice to be in the interest of the holders.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Remedies if an Event of Default Occurs</w:t>
      </w:r>
    </w:p>
    <w:p>
      <w:pPr>
        <w:spacing w:after="0" w:line="89" w:lineRule="exact"/>
        <w:rPr>
          <w:sz w:val="20"/>
          <w:szCs w:val="20"/>
          <w:color w:val="auto"/>
        </w:rPr>
      </w:pPr>
    </w:p>
    <w:p>
      <w:pPr>
        <w:ind w:left="320" w:right="499" w:firstLine="335"/>
        <w:spacing w:after="0" w:line="266" w:lineRule="auto"/>
        <w:rPr>
          <w:sz w:val="20"/>
          <w:szCs w:val="20"/>
          <w:color w:val="auto"/>
        </w:rPr>
      </w:pPr>
      <w:r>
        <w:rPr>
          <w:rFonts w:ascii="Times New Roman" w:cs="Times New Roman" w:eastAsia="Times New Roman" w:hAnsi="Times New Roman"/>
          <w:sz w:val="14"/>
          <w:szCs w:val="14"/>
          <w:color w:val="auto"/>
        </w:rPr>
        <w:t>If an Event of Default has occurred and is continuing, the trustee or the holders of not less than 25% in principal amount of the outstanding debt securities of the affected series may (and the trustee shall at the request</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9019"/>
          </w:cols>
          <w:pgMar w:left="1440" w:top="260" w:right="1440" w:bottom="1440" w:gutter="0" w:footer="0" w:header="0"/>
        </w:sectPr>
      </w:pPr>
    </w:p>
    <w:bookmarkStart w:id="77" w:name="page78"/>
    <w:bookmarkEnd w:id="77"/>
    <w:p>
      <w:pPr>
        <w:ind w:left="320" w:right="45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203440" cy="45085"/>
                    </a:xfrm>
                    <a:prstGeom prst="rect">
                      <a:avLst/>
                    </a:prstGeom>
                    <a:noFill/>
                  </pic:spPr>
                </pic:pic>
              </a:graphicData>
            </a:graphic>
          </wp:anchor>
        </w:drawing>
        <w:t>of such holders)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outstanding debt securities of the affected series if (1) we have deposited with the trustee all amounts due and owing with respect to the securities (other than principal that has become due solely by reason of such acceleration) and certain other amounts, and (2) any other Events of Default have been cured or waived.</w:t>
      </w:r>
    </w:p>
    <w:p>
      <w:pPr>
        <w:spacing w:after="0" w:line="146" w:lineRule="exact"/>
        <w:rPr>
          <w:sz w:val="20"/>
          <w:szCs w:val="20"/>
          <w:color w:val="auto"/>
        </w:rPr>
      </w:pPr>
    </w:p>
    <w:p>
      <w:pPr>
        <w:jc w:val="both"/>
        <w:ind w:left="320" w:right="399" w:firstLine="335"/>
        <w:spacing w:after="0" w:line="250" w:lineRule="auto"/>
        <w:rPr>
          <w:sz w:val="20"/>
          <w:szCs w:val="20"/>
          <w:color w:val="auto"/>
        </w:rPr>
      </w:pPr>
      <w:r>
        <w:rPr>
          <w:rFonts w:ascii="Times New Roman" w:cs="Times New Roman" w:eastAsia="Times New Roman" w:hAnsi="Times New Roman"/>
          <w:sz w:val="14"/>
          <w:szCs w:val="14"/>
          <w:color w:val="auto"/>
        </w:rPr>
        <w:t>The trustee is not required to take any action under the indenture at the request of any holders unless the holders offer the trustee protection from expenses and liability reasonably satisfactory to it (called an “indemnity”). If indemnity reasonably satisfactory to the trustee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46" w:lineRule="exact"/>
        <w:rPr>
          <w:sz w:val="20"/>
          <w:szCs w:val="20"/>
          <w:color w:val="auto"/>
        </w:rPr>
      </w:pPr>
    </w:p>
    <w:p>
      <w:pPr>
        <w:jc w:val="both"/>
        <w:ind w:left="320" w:right="399" w:firstLine="335"/>
        <w:spacing w:after="0" w:line="266" w:lineRule="auto"/>
        <w:rPr>
          <w:sz w:val="20"/>
          <w:szCs w:val="20"/>
          <w:color w:val="auto"/>
        </w:rPr>
      </w:pPr>
      <w:r>
        <w:rPr>
          <w:rFonts w:ascii="Times New Roman" w:cs="Times New Roman" w:eastAsia="Times New Roman" w:hAnsi="Times New Roman"/>
          <w:sz w:val="14"/>
          <w:szCs w:val="14"/>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64" w:lineRule="exact"/>
        <w:rPr>
          <w:sz w:val="20"/>
          <w:szCs w:val="20"/>
          <w:color w:val="auto"/>
        </w:rPr>
      </w:pPr>
    </w:p>
    <w:p>
      <w:pPr>
        <w:ind w:left="1060" w:right="679" w:hanging="331"/>
        <w:spacing w:after="0" w:line="266" w:lineRule="auto"/>
        <w:tabs>
          <w:tab w:leader="none" w:pos="10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must give the trustee written notice that an Event of Default with respect to the relevant debt securities has occurred and remains uncured;</w:t>
      </w:r>
    </w:p>
    <w:p>
      <w:pPr>
        <w:spacing w:after="0" w:line="63" w:lineRule="exact"/>
        <w:rPr>
          <w:rFonts w:ascii="Times New Roman" w:cs="Times New Roman" w:eastAsia="Times New Roman" w:hAnsi="Times New Roman"/>
          <w:sz w:val="14"/>
          <w:szCs w:val="14"/>
          <w:color w:val="auto"/>
        </w:rPr>
      </w:pPr>
    </w:p>
    <w:p>
      <w:pPr>
        <w:ind w:left="1060" w:right="359" w:hanging="331"/>
        <w:spacing w:after="0" w:line="255" w:lineRule="auto"/>
        <w:tabs>
          <w:tab w:leader="none" w:pos="10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principal amount of all outstanding debt securities of the relevant series must make a written request that the trustee take action because of the default and must offer the trustee indemnity, security or both reasonably satisfactory to it against the cost, expenses, and other liabilities of taking that action;</w:t>
      </w:r>
    </w:p>
    <w:p>
      <w:pPr>
        <w:spacing w:after="0" w:line="71"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must not have taken action for 60 days after receipt of the above notice and offer of indemnity and/or security; and</w:t>
      </w:r>
    </w:p>
    <w:p>
      <w:pPr>
        <w:spacing w:after="0" w:line="95" w:lineRule="exact"/>
        <w:rPr>
          <w:rFonts w:ascii="Times New Roman" w:cs="Times New Roman" w:eastAsia="Times New Roman" w:hAnsi="Times New Roman"/>
          <w:sz w:val="14"/>
          <w:szCs w:val="14"/>
          <w:color w:val="auto"/>
        </w:rPr>
      </w:pPr>
    </w:p>
    <w:p>
      <w:pPr>
        <w:ind w:left="1060" w:right="579" w:hanging="331"/>
        <w:spacing w:after="0" w:line="266" w:lineRule="auto"/>
        <w:tabs>
          <w:tab w:leader="none" w:pos="10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 majority in principal amount of the outstanding debt securities of that series must not have given the trustee a direction inconsistent with the above notice during that 60-day period.</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However, you are entitled at any time to bring a lawsuit for the payment of money due on your debt securities on or after the due date.</w:t>
      </w:r>
    </w:p>
    <w:p>
      <w:pPr>
        <w:spacing w:after="0" w:line="163" w:lineRule="exact"/>
        <w:rPr>
          <w:sz w:val="20"/>
          <w:szCs w:val="20"/>
          <w:color w:val="auto"/>
        </w:rPr>
      </w:pPr>
    </w:p>
    <w:p>
      <w:pPr>
        <w:ind w:left="320" w:right="339" w:firstLine="335"/>
        <w:spacing w:after="0" w:line="272" w:lineRule="auto"/>
        <w:rPr>
          <w:sz w:val="20"/>
          <w:szCs w:val="20"/>
          <w:color w:val="auto"/>
        </w:rPr>
      </w:pPr>
      <w:r>
        <w:rPr>
          <w:rFonts w:ascii="Times New Roman" w:cs="Times New Roman" w:eastAsia="Times New Roman" w:hAnsi="Times New Roman"/>
          <w:sz w:val="14"/>
          <w:szCs w:val="14"/>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31" w:lineRule="exact"/>
        <w:rPr>
          <w:sz w:val="20"/>
          <w:szCs w:val="20"/>
          <w:color w:val="auto"/>
        </w:rPr>
      </w:pPr>
    </w:p>
    <w:p>
      <w:pPr>
        <w:ind w:left="320" w:right="599" w:firstLine="335"/>
        <w:spacing w:after="0" w:line="266" w:lineRule="auto"/>
        <w:rPr>
          <w:sz w:val="20"/>
          <w:szCs w:val="20"/>
          <w:color w:val="auto"/>
        </w:rPr>
      </w:pPr>
      <w:r>
        <w:rPr>
          <w:rFonts w:ascii="Times New Roman" w:cs="Times New Roman" w:eastAsia="Times New Roman" w:hAnsi="Times New Roman"/>
          <w:sz w:val="14"/>
          <w:szCs w:val="14"/>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Waiver of Default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Holders of a majority in principal amount of the outstanding debt securities of the affected series may waive any past defaults other than a default:</w:t>
      </w:r>
    </w:p>
    <w:p>
      <w:pPr>
        <w:spacing w:after="0" w:line="107" w:lineRule="exact"/>
        <w:rPr>
          <w:sz w:val="20"/>
          <w:szCs w:val="20"/>
          <w:color w:val="auto"/>
        </w:rPr>
      </w:pPr>
    </w:p>
    <w:p>
      <w:pPr>
        <w:ind w:left="1060" w:hanging="331"/>
        <w:spacing w:after="0"/>
        <w:tabs>
          <w:tab w:leader="none" w:pos="10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payment of principal or interest; or</w:t>
      </w:r>
    </w:p>
    <w:p>
      <w:pPr>
        <w:spacing w:after="0" w:line="95" w:lineRule="exact"/>
        <w:rPr>
          <w:rFonts w:ascii="Times New Roman" w:cs="Times New Roman" w:eastAsia="Times New Roman" w:hAnsi="Times New Roman"/>
          <w:sz w:val="14"/>
          <w:szCs w:val="14"/>
          <w:color w:val="auto"/>
        </w:rPr>
      </w:pPr>
    </w:p>
    <w:p>
      <w:pPr>
        <w:ind w:left="4400" w:right="2719" w:hanging="3671"/>
        <w:spacing w:after="0" w:line="435" w:lineRule="auto"/>
        <w:tabs>
          <w:tab w:leader="none" w:pos="1067"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respect of a covenant that cannot be modified or amended without the consent of each holder. -75-</w:t>
      </w:r>
    </w:p>
    <w:p>
      <w:pPr>
        <w:sectPr>
          <w:pgSz w:w="11900" w:h="16838" w:orient="portrait"/>
          <w:cols w:equalWidth="0" w:num="1">
            <w:col w:w="9019"/>
          </w:cols>
          <w:pgMar w:left="1440" w:top="260" w:right="1440" w:bottom="1440" w:gutter="0" w:footer="0" w:header="0"/>
        </w:sectPr>
      </w:pPr>
    </w:p>
    <w:bookmarkStart w:id="78" w:name="page79"/>
    <w:bookmarkEnd w:id="78"/>
    <w:p>
      <w:pPr>
        <w:ind w:left="3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203440" cy="45085"/>
                    </a:xfrm>
                    <a:prstGeom prst="rect">
                      <a:avLst/>
                    </a:prstGeom>
                    <a:noFill/>
                  </pic:spPr>
                </pic:pic>
              </a:graphicData>
            </a:graphic>
          </wp:anchor>
        </w:drawing>
        <w:t>Merger or Consolidation</w:t>
      </w:r>
    </w:p>
    <w:p>
      <w:pPr>
        <w:spacing w:after="0" w:line="89" w:lineRule="exact"/>
        <w:rPr>
          <w:sz w:val="20"/>
          <w:szCs w:val="20"/>
          <w:color w:val="auto"/>
        </w:rPr>
      </w:pPr>
    </w:p>
    <w:p>
      <w:pPr>
        <w:ind w:left="320" w:right="739" w:firstLine="335"/>
        <w:spacing w:after="0" w:line="305" w:lineRule="auto"/>
        <w:rPr>
          <w:sz w:val="20"/>
          <w:szCs w:val="20"/>
          <w:color w:val="auto"/>
        </w:rPr>
      </w:pPr>
      <w:r>
        <w:rPr>
          <w:rFonts w:ascii="Times New Roman" w:cs="Times New Roman" w:eastAsia="Times New Roman" w:hAnsi="Times New Roman"/>
          <w:sz w:val="13"/>
          <w:szCs w:val="13"/>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41" w:lineRule="exact"/>
        <w:rPr>
          <w:sz w:val="20"/>
          <w:szCs w:val="20"/>
          <w:color w:val="auto"/>
        </w:rPr>
      </w:pPr>
    </w:p>
    <w:p>
      <w:pPr>
        <w:ind w:left="1060" w:right="499" w:hanging="331"/>
        <w:spacing w:after="0" w:line="266" w:lineRule="auto"/>
        <w:tabs>
          <w:tab w:leader="none" w:pos="10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we merge out of existence or convey or transfer our assets substantially as an entirety, the resulting entity must agree to be legally responsible for our obligations under the debt securities;</w:t>
      </w:r>
    </w:p>
    <w:p>
      <w:pPr>
        <w:spacing w:after="0" w:line="63" w:lineRule="exact"/>
        <w:rPr>
          <w:rFonts w:ascii="Times New Roman" w:cs="Times New Roman" w:eastAsia="Times New Roman" w:hAnsi="Times New Roman"/>
          <w:sz w:val="14"/>
          <w:szCs w:val="14"/>
          <w:color w:val="auto"/>
        </w:rPr>
      </w:pPr>
    </w:p>
    <w:p>
      <w:pPr>
        <w:ind w:left="1060" w:right="339" w:hanging="331"/>
        <w:spacing w:after="0" w:line="277" w:lineRule="auto"/>
        <w:tabs>
          <w:tab w:leader="none" w:pos="106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merger or sale of assets must not cause a default on the debt securities and we must not already be in default (unless the merger or sale would cure the default). For purposes of this no-default test, a default would include an Event of Default that has occurred and has not been cured, as described under “Events of Default” above. A default for this purpose would also include any event that would be an Event of Default if the requirements for giving us a notice of default or our default having to exist for a specific period of time were disregarded;</w:t>
      </w:r>
    </w:p>
    <w:p>
      <w:pPr>
        <w:spacing w:after="0" w:line="58" w:lineRule="exact"/>
        <w:rPr>
          <w:rFonts w:ascii="Times New Roman" w:cs="Times New Roman" w:eastAsia="Times New Roman" w:hAnsi="Times New Roman"/>
          <w:sz w:val="13"/>
          <w:szCs w:val="13"/>
          <w:color w:val="auto"/>
        </w:rPr>
      </w:pPr>
    </w:p>
    <w:p>
      <w:pPr>
        <w:ind w:left="1060" w:hanging="331"/>
        <w:spacing w:after="0"/>
        <w:tabs>
          <w:tab w:leader="none" w:pos="10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certain certificates and documents to the trustee;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satisfy any other requirements specified in the prospectus supplement relating to a particular series of debt securities.</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Modification or Waiver</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There are three types of changes we can make to the indenture and the debt securities issued thereunder.</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Changes Requiring Your Approval</w:t>
      </w:r>
    </w:p>
    <w:p>
      <w:pPr>
        <w:spacing w:after="0" w:line="89" w:lineRule="exact"/>
        <w:rPr>
          <w:sz w:val="20"/>
          <w:szCs w:val="20"/>
          <w:color w:val="auto"/>
        </w:rPr>
      </w:pPr>
    </w:p>
    <w:p>
      <w:pPr>
        <w:ind w:left="320" w:right="779" w:firstLine="335"/>
        <w:spacing w:after="0" w:line="266" w:lineRule="auto"/>
        <w:rPr>
          <w:sz w:val="20"/>
          <w:szCs w:val="20"/>
          <w:color w:val="auto"/>
        </w:rPr>
      </w:pPr>
      <w:r>
        <w:rPr>
          <w:rFonts w:ascii="Times New Roman" w:cs="Times New Roman" w:eastAsia="Times New Roman" w:hAnsi="Times New Roman"/>
          <w:sz w:val="14"/>
          <w:szCs w:val="14"/>
          <w:color w:val="auto"/>
        </w:rPr>
        <w:t>First, there are changes that we cannot make to your debt securities without your specific approval. The following is a list of those types of changes:</w:t>
      </w:r>
    </w:p>
    <w:p>
      <w:pPr>
        <w:spacing w:after="0" w:line="64" w:lineRule="exact"/>
        <w:rPr>
          <w:sz w:val="20"/>
          <w:szCs w:val="20"/>
          <w:color w:val="auto"/>
        </w:rPr>
      </w:pPr>
    </w:p>
    <w:p>
      <w:pPr>
        <w:ind w:left="1060" w:hanging="331"/>
        <w:spacing w:after="0"/>
        <w:tabs>
          <w:tab w:leader="none" w:pos="10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stated maturity of the principal of or interest on a debt security or the terms of any sinking fund with respect to any security;</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any amounts due on a debt security;</w:t>
      </w:r>
    </w:p>
    <w:p>
      <w:pPr>
        <w:spacing w:after="0" w:line="95" w:lineRule="exact"/>
        <w:rPr>
          <w:rFonts w:ascii="Times New Roman" w:cs="Times New Roman" w:eastAsia="Times New Roman" w:hAnsi="Times New Roman"/>
          <w:sz w:val="14"/>
          <w:szCs w:val="14"/>
          <w:color w:val="auto"/>
        </w:rPr>
      </w:pPr>
    </w:p>
    <w:p>
      <w:pPr>
        <w:ind w:left="1060" w:right="659" w:hanging="331"/>
        <w:spacing w:after="0" w:line="266" w:lineRule="auto"/>
        <w:tabs>
          <w:tab w:leader="none" w:pos="10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principal payable upon acceleration of the maturity of an original issue discount or indexed security following a default or upon the redemption thereof or the amount thereof provable in a bankruptcy proceeding;</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adversely affect any right of repayment at the holder’s option;</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place or currency of payment on a debt security (except as otherwise described in the prospectus or prospectus supplement);</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your right to sue for payment;</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adversely affect any right to convert or exchange a debt security in accordance with its terms;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the subordination provisions in the indenture in a manner that is adverse to outstanding holders of the debt securities;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of holders of debt securities whose consent is needed to modify or amend the indenture;</w:t>
      </w:r>
    </w:p>
    <w:p>
      <w:pPr>
        <w:spacing w:after="0" w:line="95" w:lineRule="exact"/>
        <w:rPr>
          <w:rFonts w:ascii="Times New Roman" w:cs="Times New Roman" w:eastAsia="Times New Roman" w:hAnsi="Times New Roman"/>
          <w:sz w:val="14"/>
          <w:szCs w:val="14"/>
          <w:color w:val="auto"/>
        </w:rPr>
      </w:pPr>
    </w:p>
    <w:p>
      <w:pPr>
        <w:ind w:left="1060" w:right="339" w:hanging="331"/>
        <w:spacing w:after="0" w:line="266" w:lineRule="auto"/>
        <w:tabs>
          <w:tab w:leader="none" w:pos="10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of holders of debt securities whose consent is needed to waive compliance with certain provisions of the indenture or to waive certain defaults;</w:t>
      </w:r>
    </w:p>
    <w:p>
      <w:pPr>
        <w:spacing w:after="0" w:line="63" w:lineRule="exact"/>
        <w:rPr>
          <w:rFonts w:ascii="Times New Roman" w:cs="Times New Roman" w:eastAsia="Times New Roman" w:hAnsi="Times New Roman"/>
          <w:sz w:val="14"/>
          <w:szCs w:val="14"/>
          <w:color w:val="auto"/>
        </w:rPr>
      </w:pPr>
    </w:p>
    <w:p>
      <w:pPr>
        <w:ind w:left="1060" w:right="359" w:hanging="331"/>
        <w:spacing w:after="0" w:line="266" w:lineRule="auto"/>
        <w:tabs>
          <w:tab w:leader="none" w:pos="10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any other aspect of the provisions of the indenture dealing with supplemental indentures with the consent of holders, waiver of past defaults, changes to the quorum or voting requirements or the waiver of certain covenants; and</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any obligation we have to pay additional amounts.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9019"/>
          </w:cols>
          <w:pgMar w:left="1440" w:top="256" w:right="1440" w:bottom="1440" w:gutter="0" w:footer="0" w:header="0"/>
        </w:sectPr>
      </w:pPr>
    </w:p>
    <w:bookmarkStart w:id="79" w:name="page80"/>
    <w:bookmarkEnd w:id="79"/>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203440" cy="45085"/>
                    </a:xfrm>
                    <a:prstGeom prst="rect">
                      <a:avLst/>
                    </a:prstGeom>
                    <a:noFill/>
                  </pic:spPr>
                </pic:pic>
              </a:graphicData>
            </a:graphic>
          </wp:anchor>
        </w:drawing>
        <w:t>Changes Not Requiring Approval</w:t>
      </w:r>
    </w:p>
    <w:p>
      <w:pPr>
        <w:spacing w:after="0" w:line="89" w:lineRule="exact"/>
        <w:rPr>
          <w:sz w:val="20"/>
          <w:szCs w:val="20"/>
          <w:color w:val="auto"/>
        </w:rPr>
      </w:pPr>
    </w:p>
    <w:p>
      <w:pPr>
        <w:jc w:val="both"/>
        <w:ind w:left="320" w:right="499" w:firstLine="335"/>
        <w:spacing w:after="0" w:line="252" w:lineRule="auto"/>
        <w:rPr>
          <w:sz w:val="20"/>
          <w:szCs w:val="20"/>
          <w:color w:val="auto"/>
        </w:rPr>
      </w:pPr>
      <w:r>
        <w:rPr>
          <w:rFonts w:ascii="Times New Roman" w:cs="Times New Roman" w:eastAsia="Times New Roman" w:hAnsi="Times New Roman"/>
          <w:sz w:val="14"/>
          <w:szCs w:val="14"/>
          <w:color w:val="auto"/>
        </w:rPr>
        <w:t>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Changes Requiring Majority Approval</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Any other change to the indenture and the debt securities would require the following approval:</w:t>
      </w:r>
    </w:p>
    <w:p>
      <w:pPr>
        <w:spacing w:after="0" w:line="95" w:lineRule="exact"/>
        <w:rPr>
          <w:sz w:val="20"/>
          <w:szCs w:val="20"/>
          <w:color w:val="auto"/>
        </w:rPr>
      </w:pPr>
    </w:p>
    <w:p>
      <w:pPr>
        <w:ind w:left="1060" w:right="459" w:hanging="331"/>
        <w:spacing w:after="0" w:line="266" w:lineRule="auto"/>
        <w:tabs>
          <w:tab w:leader="none" w:pos="10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change affects only one series of debt securities, it must be approved by the holders of a majority in principal amount of that series; and</w:t>
      </w:r>
    </w:p>
    <w:p>
      <w:pPr>
        <w:spacing w:after="0" w:line="63" w:lineRule="exact"/>
        <w:rPr>
          <w:rFonts w:ascii="Times New Roman" w:cs="Times New Roman" w:eastAsia="Times New Roman" w:hAnsi="Times New Roman"/>
          <w:sz w:val="14"/>
          <w:szCs w:val="14"/>
          <w:color w:val="auto"/>
        </w:rPr>
      </w:pPr>
    </w:p>
    <w:p>
      <w:pPr>
        <w:ind w:left="1060" w:right="339" w:hanging="331"/>
        <w:spacing w:after="0" w:line="305" w:lineRule="auto"/>
        <w:tabs>
          <w:tab w:leader="none" w:pos="106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In each case, the required approval must be given by written consent.</w:t>
      </w:r>
    </w:p>
    <w:p>
      <w:pPr>
        <w:spacing w:after="0" w:line="167" w:lineRule="exact"/>
        <w:rPr>
          <w:sz w:val="20"/>
          <w:szCs w:val="20"/>
          <w:color w:val="auto"/>
        </w:rPr>
      </w:pPr>
    </w:p>
    <w:p>
      <w:pPr>
        <w:ind w:left="320" w:right="339" w:firstLine="335"/>
        <w:spacing w:after="0" w:line="255" w:lineRule="auto"/>
        <w:rPr>
          <w:sz w:val="20"/>
          <w:szCs w:val="20"/>
          <w:color w:val="auto"/>
        </w:rPr>
      </w:pPr>
      <w:r>
        <w:rPr>
          <w:rFonts w:ascii="Times New Roman" w:cs="Times New Roman" w:eastAsia="Times New Roman" w:hAnsi="Times New Roman"/>
          <w:sz w:val="14"/>
          <w:szCs w:val="14"/>
          <w:color w:val="auto"/>
        </w:rPr>
        <w:t>The holders of a majority in principal amount of a series of debt securities issued under the indenture, voting together as one class for this purpose, may waive our compliance with some of our covenants applicable to that series of debt securities. However, we cannot obtain a waiver of a payment default or of any of the matters covered by the bullet points included above under “— Changes Requiring Your Approval.”</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Further Details Concerning Voting</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When taking a vote, we will use the following rules to decide how much principal to attribute to a debt security:</w:t>
      </w:r>
    </w:p>
    <w:p>
      <w:pPr>
        <w:spacing w:after="0" w:line="95" w:lineRule="exact"/>
        <w:rPr>
          <w:sz w:val="20"/>
          <w:szCs w:val="20"/>
          <w:color w:val="auto"/>
        </w:rPr>
      </w:pPr>
    </w:p>
    <w:p>
      <w:pPr>
        <w:ind w:left="1060" w:right="439" w:hanging="331"/>
        <w:spacing w:after="0" w:line="266" w:lineRule="auto"/>
        <w:tabs>
          <w:tab w:leader="none" w:pos="10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original issue discount securities, we will use the principal amount that would be due and payable on the voting date if the maturity of these debt securities were accelerated to that date because of a default;</w:t>
      </w:r>
    </w:p>
    <w:p>
      <w:pPr>
        <w:spacing w:after="0" w:line="63" w:lineRule="exact"/>
        <w:rPr>
          <w:rFonts w:ascii="Times New Roman" w:cs="Times New Roman" w:eastAsia="Times New Roman" w:hAnsi="Times New Roman"/>
          <w:sz w:val="14"/>
          <w:szCs w:val="14"/>
          <w:color w:val="auto"/>
        </w:rPr>
      </w:pPr>
    </w:p>
    <w:p>
      <w:pPr>
        <w:ind w:left="1060" w:right="679" w:hanging="331"/>
        <w:spacing w:after="0" w:line="266" w:lineRule="auto"/>
        <w:tabs>
          <w:tab w:leader="none" w:pos="10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debt securities whose principal amount is not known (for example, because it is based on an index), we will use the principal face amount at original issuance or a special rule for that debt security described in the prospectus supplement; and</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debt securities denominated in one or more foreign currencies, we will use the U.S. dollar equivalent.</w:t>
      </w:r>
    </w:p>
    <w:p>
      <w:pPr>
        <w:spacing w:after="0" w:line="167" w:lineRule="exact"/>
        <w:rPr>
          <w:sz w:val="20"/>
          <w:szCs w:val="20"/>
          <w:color w:val="auto"/>
        </w:rPr>
      </w:pPr>
    </w:p>
    <w:p>
      <w:pPr>
        <w:ind w:left="320" w:right="399" w:firstLine="335"/>
        <w:spacing w:after="0" w:line="255" w:lineRule="auto"/>
        <w:rPr>
          <w:sz w:val="20"/>
          <w:szCs w:val="20"/>
          <w:color w:val="auto"/>
        </w:rPr>
      </w:pPr>
      <w:r>
        <w:rPr>
          <w:rFonts w:ascii="Times New Roman" w:cs="Times New Roman" w:eastAsia="Times New Roman" w:hAnsi="Times New Roman"/>
          <w:sz w:val="14"/>
          <w:szCs w:val="14"/>
          <w:color w:val="auto"/>
        </w:rPr>
        <w:t>Debt securities will not be considered outstanding, and therefore not eligible to vote, if we have deposited or set aside in trust money for their payment or redemption or if we, any other obligor, or any affiliate of us or any obligor own such debt securities. Debt securities will also not be eligible to vote if they have been fully defeased as described later under “— Defeasance — Full Defeasance.”</w:t>
      </w:r>
    </w:p>
    <w:p>
      <w:pPr>
        <w:spacing w:after="0" w:line="143" w:lineRule="exact"/>
        <w:rPr>
          <w:sz w:val="20"/>
          <w:szCs w:val="20"/>
          <w:color w:val="auto"/>
        </w:rPr>
      </w:pPr>
    </w:p>
    <w:p>
      <w:pPr>
        <w:ind w:left="320" w:right="339" w:firstLine="335"/>
        <w:spacing w:after="0" w:line="250" w:lineRule="auto"/>
        <w:rPr>
          <w:sz w:val="20"/>
          <w:szCs w:val="20"/>
          <w:color w:val="auto"/>
        </w:rPr>
      </w:pPr>
      <w:r>
        <w:rPr>
          <w:rFonts w:ascii="Times New Roman" w:cs="Times New Roman" w:eastAsia="Times New Roman" w:hAnsi="Times New Roman"/>
          <w:sz w:val="14"/>
          <w:szCs w:val="14"/>
          <w:color w:val="auto"/>
        </w:rPr>
        <w:t>We will generally be entitled to set any day as a record date for the purpose of determining the holders of outstanding indenture securities that are entitled to vote or take other action under the indenture. However, the record date may not be more than 30 days before the date of the first solicitation of holders to vote on or take such action.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42" w:lineRule="exact"/>
        <w:rPr>
          <w:sz w:val="20"/>
          <w:szCs w:val="20"/>
          <w:color w:val="auto"/>
        </w:rPr>
      </w:pPr>
    </w:p>
    <w:p>
      <w:pPr>
        <w:ind w:left="320" w:right="439" w:firstLine="335"/>
        <w:spacing w:after="0" w:line="272" w:lineRule="auto"/>
        <w:rPr>
          <w:sz w:val="20"/>
          <w:szCs w:val="20"/>
          <w:color w:val="auto"/>
        </w:rPr>
      </w:pPr>
      <w:r>
        <w:rPr>
          <w:rFonts w:ascii="Times New Roman" w:cs="Times New Roman" w:eastAsia="Times New Roman" w:hAnsi="Times New Roman"/>
          <w:sz w:val="14"/>
          <w:szCs w:val="14"/>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ectPr>
          <w:pgSz w:w="11900" w:h="16838" w:orient="portrait"/>
          <w:cols w:equalWidth="0" w:num="1">
            <w:col w:w="9019"/>
          </w:cols>
          <w:pgMar w:left="1440" w:top="256" w:right="1440" w:bottom="1440" w:gutter="0" w:footer="0" w:header="0"/>
        </w:sectPr>
      </w:pPr>
    </w:p>
    <w:bookmarkStart w:id="80" w:name="page81"/>
    <w:bookmarkEnd w:id="80"/>
    <w:p>
      <w:pPr>
        <w:ind w:left="3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203440" cy="45085"/>
                    </a:xfrm>
                    <a:prstGeom prst="rect">
                      <a:avLst/>
                    </a:prstGeom>
                    <a:noFill/>
                  </pic:spPr>
                </pic:pic>
              </a:graphicData>
            </a:graphic>
          </wp:anchor>
        </w:drawing>
        <w:t>Defeasance</w:t>
      </w:r>
    </w:p>
    <w:p>
      <w:pPr>
        <w:spacing w:after="0" w:line="89" w:lineRule="exact"/>
        <w:rPr>
          <w:sz w:val="20"/>
          <w:szCs w:val="20"/>
          <w:color w:val="auto"/>
        </w:rPr>
      </w:pPr>
    </w:p>
    <w:p>
      <w:pPr>
        <w:ind w:left="320" w:right="719" w:firstLine="335"/>
        <w:spacing w:after="0" w:line="266" w:lineRule="auto"/>
        <w:rPr>
          <w:sz w:val="20"/>
          <w:szCs w:val="20"/>
          <w:color w:val="auto"/>
        </w:rPr>
      </w:pPr>
      <w:r>
        <w:rPr>
          <w:rFonts w:ascii="Times New Roman" w:cs="Times New Roman" w:eastAsia="Times New Roman" w:hAnsi="Times New Roman"/>
          <w:sz w:val="14"/>
          <w:szCs w:val="14"/>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Covenant Defeasance</w:t>
      </w:r>
    </w:p>
    <w:p>
      <w:pPr>
        <w:spacing w:after="0" w:line="89" w:lineRule="exact"/>
        <w:rPr>
          <w:sz w:val="20"/>
          <w:szCs w:val="20"/>
          <w:color w:val="auto"/>
        </w:rPr>
      </w:pPr>
    </w:p>
    <w:p>
      <w:pPr>
        <w:ind w:left="320" w:right="479" w:firstLine="335"/>
        <w:spacing w:after="0" w:line="249" w:lineRule="auto"/>
        <w:rPr>
          <w:sz w:val="20"/>
          <w:szCs w:val="20"/>
          <w:color w:val="auto"/>
        </w:rPr>
      </w:pPr>
      <w:r>
        <w:rPr>
          <w:rFonts w:ascii="Times New Roman" w:cs="Times New Roman" w:eastAsia="Times New Roman" w:hAnsi="Times New Roman"/>
          <w:sz w:val="14"/>
          <w:szCs w:val="14"/>
          <w:color w:val="auto"/>
        </w:rPr>
        <w:t>Under current U.S. federal tax law and the indenture,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we achieved covenant defeasance and your debt securities were subordinated as described under “— Indenture</w:t>
      </w:r>
    </w:p>
    <w:p>
      <w:pPr>
        <w:jc w:val="both"/>
        <w:ind w:left="320" w:right="459"/>
        <w:spacing w:after="0" w:line="247" w:lineRule="auto"/>
        <w:rPr>
          <w:sz w:val="20"/>
          <w:szCs w:val="20"/>
          <w:color w:val="auto"/>
        </w:rPr>
      </w:pPr>
      <w:r>
        <w:rPr>
          <w:rFonts w:ascii="Times New Roman" w:cs="Times New Roman" w:eastAsia="Times New Roman" w:hAnsi="Times New Roman"/>
          <w:sz w:val="14"/>
          <w:szCs w:val="14"/>
          <w:color w:val="auto"/>
        </w:rPr>
        <w:t>Provisions — Subordination” below, such subordination would not prevent the trustee under the indenture from applying the funds available to it from the deposit described in the first bullet below to the payment of amounts due in respect of such debt securities for the benefit of the subordinated debt holders. In order to achieve covenant defeasance, we must do the following:</w:t>
      </w:r>
    </w:p>
    <w:p>
      <w:pPr>
        <w:spacing w:after="0" w:line="76" w:lineRule="exact"/>
        <w:rPr>
          <w:sz w:val="20"/>
          <w:szCs w:val="20"/>
          <w:color w:val="auto"/>
        </w:rPr>
      </w:pPr>
    </w:p>
    <w:p>
      <w:pPr>
        <w:ind w:left="1060" w:right="379" w:hanging="331"/>
        <w:spacing w:after="0" w:line="250" w:lineRule="auto"/>
        <w:tabs>
          <w:tab w:leader="none" w:pos="10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w:t>
      </w:r>
    </w:p>
    <w:p>
      <w:pPr>
        <w:spacing w:after="0" w:line="74" w:lineRule="exact"/>
        <w:rPr>
          <w:rFonts w:ascii="Times New Roman" w:cs="Times New Roman" w:eastAsia="Times New Roman" w:hAnsi="Times New Roman"/>
          <w:sz w:val="14"/>
          <w:szCs w:val="14"/>
          <w:color w:val="auto"/>
        </w:rPr>
      </w:pPr>
    </w:p>
    <w:p>
      <w:pPr>
        <w:ind w:left="1060" w:right="419" w:hanging="331"/>
        <w:spacing w:after="0" w:line="266" w:lineRule="auto"/>
        <w:tabs>
          <w:tab w:leader="none" w:pos="10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to the trustee a legal opinion of our counsel confirming that, under current U.S. federal income tax law, we may make the above deposit without causing you to be taxed on the debt securities any differently than if we did not make the deposit;</w:t>
      </w:r>
    </w:p>
    <w:p>
      <w:pPr>
        <w:spacing w:after="0" w:line="63" w:lineRule="exact"/>
        <w:rPr>
          <w:rFonts w:ascii="Times New Roman" w:cs="Times New Roman" w:eastAsia="Times New Roman" w:hAnsi="Times New Roman"/>
          <w:sz w:val="14"/>
          <w:szCs w:val="14"/>
          <w:color w:val="auto"/>
        </w:rPr>
      </w:pPr>
    </w:p>
    <w:p>
      <w:pPr>
        <w:ind w:left="1060" w:right="459" w:hanging="331"/>
        <w:spacing w:after="0" w:line="255" w:lineRule="auto"/>
        <w:tabs>
          <w:tab w:leader="none" w:pos="10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71" w:lineRule="exact"/>
        <w:rPr>
          <w:rFonts w:ascii="Times New Roman" w:cs="Times New Roman" w:eastAsia="Times New Roman" w:hAnsi="Times New Roman"/>
          <w:sz w:val="14"/>
          <w:szCs w:val="14"/>
          <w:color w:val="auto"/>
        </w:rPr>
      </w:pPr>
    </w:p>
    <w:p>
      <w:pPr>
        <w:ind w:left="1060" w:right="419" w:hanging="331"/>
        <w:spacing w:after="0" w:line="266" w:lineRule="auto"/>
        <w:tabs>
          <w:tab w:leader="none" w:pos="10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defeasance must not result in a breach or violation of, or result in a default under, of the indenture or any of our other material agreements or instruments;</w:t>
      </w:r>
    </w:p>
    <w:p>
      <w:pPr>
        <w:spacing w:after="0" w:line="63" w:lineRule="exact"/>
        <w:rPr>
          <w:rFonts w:ascii="Times New Roman" w:cs="Times New Roman" w:eastAsia="Times New Roman" w:hAnsi="Times New Roman"/>
          <w:sz w:val="14"/>
          <w:szCs w:val="14"/>
          <w:color w:val="auto"/>
        </w:rPr>
      </w:pPr>
    </w:p>
    <w:p>
      <w:pPr>
        <w:ind w:left="1060" w:right="359" w:hanging="331"/>
        <w:spacing w:after="0" w:line="266" w:lineRule="auto"/>
        <w:tabs>
          <w:tab w:leader="none" w:pos="10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or event of default with respect to such debt securities shall have occurred and be continuing and no defaults or events of default related to bankruptcy, insolvency or reorganization shall occur during the next 90 days; and</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satisfy the conditions for covenant defeasance contained in any supplemental indentures.</w:t>
      </w:r>
    </w:p>
    <w:p>
      <w:pPr>
        <w:spacing w:after="0" w:line="167" w:lineRule="exact"/>
        <w:rPr>
          <w:sz w:val="20"/>
          <w:szCs w:val="20"/>
          <w:color w:val="auto"/>
        </w:rPr>
      </w:pPr>
    </w:p>
    <w:p>
      <w:pPr>
        <w:jc w:val="both"/>
        <w:ind w:left="320" w:right="479" w:firstLine="335"/>
        <w:spacing w:after="0" w:line="252" w:lineRule="auto"/>
        <w:rPr>
          <w:sz w:val="20"/>
          <w:szCs w:val="20"/>
          <w:color w:val="auto"/>
        </w:rPr>
      </w:pPr>
      <w:r>
        <w:rPr>
          <w:rFonts w:ascii="Times New Roman" w:cs="Times New Roman" w:eastAsia="Times New Roman" w:hAnsi="Times New Roman"/>
          <w:sz w:val="14"/>
          <w:szCs w:val="14"/>
          <w:color w:val="auto"/>
        </w:rPr>
        <w:t>If we accomplish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such a shortfall. However, there is no assurance that we would have sufficient funds to make payment of the shortfall.</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Full Defeasance</w:t>
      </w:r>
    </w:p>
    <w:p>
      <w:pPr>
        <w:spacing w:after="0" w:line="89" w:lineRule="exact"/>
        <w:rPr>
          <w:sz w:val="20"/>
          <w:szCs w:val="20"/>
          <w:color w:val="auto"/>
        </w:rPr>
      </w:pPr>
    </w:p>
    <w:p>
      <w:pPr>
        <w:ind w:left="320" w:right="559" w:firstLine="335"/>
        <w:spacing w:after="0" w:line="255" w:lineRule="auto"/>
        <w:rPr>
          <w:sz w:val="20"/>
          <w:szCs w:val="20"/>
          <w:color w:val="auto"/>
        </w:rPr>
      </w:pPr>
      <w:r>
        <w:rPr>
          <w:rFonts w:ascii="Times New Roman" w:cs="Times New Roman" w:eastAsia="Times New Roman" w:hAnsi="Times New Roman"/>
          <w:sz w:val="14"/>
          <w:szCs w:val="14"/>
          <w:color w:val="auto"/>
        </w:rPr>
        <w:t>If there is a change in U.S. federal tax law or we obtain an IRS ruling, as described in the second bullet below, we can legally release ourselves from all payment and other obligations on the debt securities of a particular series (called “full defeasance”) if we put in place the following other arrangements for you to be repaid:</w:t>
      </w:r>
    </w:p>
    <w:p>
      <w:pPr>
        <w:spacing w:after="0" w:line="72" w:lineRule="exact"/>
        <w:rPr>
          <w:sz w:val="20"/>
          <w:szCs w:val="20"/>
          <w:color w:val="auto"/>
        </w:rPr>
      </w:pPr>
    </w:p>
    <w:p>
      <w:pPr>
        <w:ind w:left="1060" w:right="519" w:hanging="331"/>
        <w:spacing w:after="0" w:line="266" w:lineRule="auto"/>
        <w:tabs>
          <w:tab w:leader="none" w:pos="10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deposit in trust for the benefit of all holders of a series of debt securities a combination of cash (in such currency in which such securities are then specified as payable at stated maturity) or</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ectPr>
          <w:pgSz w:w="11900" w:h="16838" w:orient="portrait"/>
          <w:cols w:equalWidth="0" w:num="1">
            <w:col w:w="9019"/>
          </w:cols>
          <w:pgMar w:left="1440" w:top="256" w:right="1440" w:bottom="1440" w:gutter="0" w:footer="0" w:header="0"/>
        </w:sectPr>
      </w:pPr>
    </w:p>
    <w:bookmarkStart w:id="81" w:name="page82"/>
    <w:bookmarkEnd w:id="81"/>
    <w:p>
      <w:pPr>
        <w:jc w:val="both"/>
        <w:ind w:left="1060" w:right="35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203440" cy="45085"/>
                    </a:xfrm>
                    <a:prstGeom prst="rect">
                      <a:avLst/>
                    </a:prstGeom>
                    <a:noFill/>
                  </pic:spPr>
                </pic:pic>
              </a:graphicData>
            </a:graphic>
          </wp:anchor>
        </w:drawing>
        <w:t>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w:t>
      </w:r>
    </w:p>
    <w:p>
      <w:pPr>
        <w:spacing w:after="0" w:line="164" w:lineRule="exact"/>
        <w:rPr>
          <w:sz w:val="20"/>
          <w:szCs w:val="20"/>
          <w:color w:val="auto"/>
        </w:rPr>
      </w:pPr>
    </w:p>
    <w:p>
      <w:pPr>
        <w:ind w:left="1060" w:right="439" w:hanging="331"/>
        <w:spacing w:after="0" w:line="250" w:lineRule="auto"/>
        <w:tabs>
          <w:tab w:leader="none" w:pos="10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74"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to the trustee a legal opinion of our counsel stating that the above deposit does not require registration by us under the</w:t>
      </w:r>
    </w:p>
    <w:p>
      <w:pPr>
        <w:spacing w:after="0" w:line="14" w:lineRule="exact"/>
        <w:rPr>
          <w:rFonts w:ascii="Times New Roman" w:cs="Times New Roman" w:eastAsia="Times New Roman" w:hAnsi="Times New Roman"/>
          <w:sz w:val="14"/>
          <w:szCs w:val="14"/>
          <w:color w:val="auto"/>
        </w:rPr>
      </w:pPr>
    </w:p>
    <w:p>
      <w:pPr>
        <w:ind w:left="1060" w:right="439"/>
        <w:spacing w:after="0" w:line="24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1940 Act, as amended, and a legal opinion and officers’ certificate stating that all conditions precedent to defeasance have been complied with;</w:t>
      </w:r>
    </w:p>
    <w:p>
      <w:pPr>
        <w:spacing w:after="0" w:line="74" w:lineRule="exact"/>
        <w:rPr>
          <w:rFonts w:ascii="Times New Roman" w:cs="Times New Roman" w:eastAsia="Times New Roman" w:hAnsi="Times New Roman"/>
          <w:sz w:val="14"/>
          <w:szCs w:val="14"/>
          <w:color w:val="auto"/>
        </w:rPr>
      </w:pPr>
    </w:p>
    <w:p>
      <w:pPr>
        <w:ind w:left="1060" w:right="339" w:hanging="331"/>
        <w:spacing w:after="0" w:line="266" w:lineRule="auto"/>
        <w:tabs>
          <w:tab w:leader="none" w:pos="10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defeasance must not result in a breach or violation of, or constitute a default under, of the indenture or any of our other material agreements or instruments;</w:t>
      </w:r>
    </w:p>
    <w:p>
      <w:pPr>
        <w:spacing w:after="0" w:line="63" w:lineRule="exact"/>
        <w:rPr>
          <w:rFonts w:ascii="Times New Roman" w:cs="Times New Roman" w:eastAsia="Times New Roman" w:hAnsi="Times New Roman"/>
          <w:sz w:val="14"/>
          <w:szCs w:val="14"/>
          <w:color w:val="auto"/>
        </w:rPr>
      </w:pPr>
    </w:p>
    <w:p>
      <w:pPr>
        <w:ind w:left="1060" w:right="359" w:hanging="331"/>
        <w:spacing w:after="0" w:line="266" w:lineRule="auto"/>
        <w:tabs>
          <w:tab w:leader="none" w:pos="10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or event of default with respect to such debt securities shall have occurred and be continuing and no defaults or events of default related to bankruptcy, insolvency or reorganization shall occur during the next 90 days; and</w:t>
      </w:r>
    </w:p>
    <w:p>
      <w:pPr>
        <w:spacing w:after="0" w:line="63"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satisfy the conditions for full defeasance contained in any supplemental indentures.</w:t>
      </w:r>
    </w:p>
    <w:p>
      <w:pPr>
        <w:spacing w:after="0" w:line="167" w:lineRule="exact"/>
        <w:rPr>
          <w:sz w:val="20"/>
          <w:szCs w:val="20"/>
          <w:color w:val="auto"/>
        </w:rPr>
      </w:pPr>
    </w:p>
    <w:p>
      <w:pPr>
        <w:ind w:left="320" w:right="439" w:firstLine="335"/>
        <w:spacing w:after="0" w:line="249" w:lineRule="auto"/>
        <w:rPr>
          <w:sz w:val="20"/>
          <w:szCs w:val="20"/>
          <w:color w:val="auto"/>
        </w:rPr>
      </w:pPr>
      <w:r>
        <w:rPr>
          <w:rFonts w:ascii="Times New Roman" w:cs="Times New Roman" w:eastAsia="Times New Roman" w:hAnsi="Times New Roman"/>
          <w:sz w:val="14"/>
          <w:szCs w:val="14"/>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your debt securities were subordinated as described later under “— Indenture Provisions — Subordination”, such subordination would not prevent the trustee under the indenture from applying the funds available to it from the deposit referred to in the first bullet of the preceding paragraph to the payment of amounts due in respect of such debt securities for the benefit of the subordinated debt holders.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Form, Exchange and Transfer of Certificated Registered Securities</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If registered debt securities cease to be issued in book-entry form, they will be issued:</w:t>
      </w:r>
    </w:p>
    <w:p>
      <w:pPr>
        <w:spacing w:after="0" w:line="95" w:lineRule="exact"/>
        <w:rPr>
          <w:sz w:val="20"/>
          <w:szCs w:val="20"/>
          <w:color w:val="auto"/>
        </w:rPr>
      </w:pPr>
    </w:p>
    <w:p>
      <w:pPr>
        <w:ind w:left="1060" w:hanging="331"/>
        <w:spacing w:after="0"/>
        <w:tabs>
          <w:tab w:leader="none" w:pos="10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only in fully registered certificated form;</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interest coupons;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we indicate otherwise in the prospectus supplement, in denominations of $1,000 and amounts that are multiples of $1,000.</w:t>
      </w:r>
    </w:p>
    <w:p>
      <w:pPr>
        <w:spacing w:after="0" w:line="167" w:lineRule="exact"/>
        <w:rPr>
          <w:sz w:val="20"/>
          <w:szCs w:val="20"/>
          <w:color w:val="auto"/>
        </w:rPr>
      </w:pPr>
    </w:p>
    <w:p>
      <w:pPr>
        <w:ind w:left="320" w:right="379" w:firstLine="335"/>
        <w:spacing w:after="0" w:line="255" w:lineRule="auto"/>
        <w:rPr>
          <w:sz w:val="20"/>
          <w:szCs w:val="20"/>
          <w:color w:val="auto"/>
        </w:rPr>
      </w:pPr>
      <w:r>
        <w:rPr>
          <w:rFonts w:ascii="Times New Roman" w:cs="Times New Roman" w:eastAsia="Times New Roman" w:hAnsi="Times New Roman"/>
          <w:sz w:val="14"/>
          <w:szCs w:val="14"/>
          <w:color w:val="auto"/>
        </w:rPr>
        <w:t>Holders may exchange their certificated securities for debt securities of smaller denominations or combined into fewer debt securities of larger denominations, as long as the total principal amount is not changed and as long as the denomination is greater than the minimum denomination for such securities.</w:t>
      </w:r>
    </w:p>
    <w:p>
      <w:pPr>
        <w:spacing w:after="0" w:line="143" w:lineRule="exact"/>
        <w:rPr>
          <w:sz w:val="20"/>
          <w:szCs w:val="20"/>
          <w:color w:val="auto"/>
        </w:rPr>
      </w:pPr>
    </w:p>
    <w:p>
      <w:pPr>
        <w:ind w:left="320" w:right="339" w:firstLine="335"/>
        <w:spacing w:after="0" w:line="255" w:lineRule="auto"/>
        <w:rPr>
          <w:sz w:val="20"/>
          <w:szCs w:val="20"/>
          <w:color w:val="auto"/>
        </w:rPr>
      </w:pPr>
      <w:r>
        <w:rPr>
          <w:rFonts w:ascii="Times New Roman" w:cs="Times New Roman" w:eastAsia="Times New Roman" w:hAnsi="Times New Roman"/>
          <w:sz w:val="14"/>
          <w:szCs w:val="14"/>
          <w:color w:val="auto"/>
        </w:rPr>
        <w:t>Holders may exchange or transfer their certificated securities at the office of the trustee. We have appointed the trustee to act as our agent for registering debt securities in the names of holders transferring debt securities. We may appoint another entity to perform these functions or perform them ourselves.</w:t>
      </w:r>
    </w:p>
    <w:p>
      <w:pPr>
        <w:spacing w:after="0" w:line="143" w:lineRule="exact"/>
        <w:rPr>
          <w:sz w:val="20"/>
          <w:szCs w:val="20"/>
          <w:color w:val="auto"/>
        </w:rPr>
      </w:pPr>
    </w:p>
    <w:p>
      <w:pPr>
        <w:jc w:val="both"/>
        <w:ind w:left="320" w:right="359" w:firstLine="335"/>
        <w:spacing w:after="0" w:line="255" w:lineRule="auto"/>
        <w:rPr>
          <w:sz w:val="20"/>
          <w:szCs w:val="20"/>
          <w:color w:val="auto"/>
        </w:rPr>
      </w:pPr>
      <w:r>
        <w:rPr>
          <w:rFonts w:ascii="Times New Roman" w:cs="Times New Roman" w:eastAsia="Times New Roman" w:hAnsi="Times New Roman"/>
          <w:sz w:val="14"/>
          <w:szCs w:val="14"/>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ectPr>
          <w:pgSz w:w="11900" w:h="16838" w:orient="portrait"/>
          <w:cols w:equalWidth="0" w:num="1">
            <w:col w:w="9019"/>
          </w:cols>
          <w:pgMar w:left="1440" w:top="260" w:right="1440" w:bottom="1440" w:gutter="0" w:footer="0" w:header="0"/>
        </w:sectPr>
      </w:pPr>
    </w:p>
    <w:bookmarkStart w:id="82" w:name="page83"/>
    <w:bookmarkEnd w:id="82"/>
    <w:p>
      <w:pPr>
        <w:ind w:left="320" w:right="639" w:firstLine="335"/>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203440" cy="45085"/>
                    </a:xfrm>
                    <a:prstGeom prst="rect">
                      <a:avLst/>
                    </a:prstGeom>
                    <a:noFill/>
                  </pic:spPr>
                </pic:pic>
              </a:graphicData>
            </a:graphic>
          </wp:anchor>
        </w:drawing>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43" w:lineRule="exact"/>
        <w:rPr>
          <w:sz w:val="20"/>
          <w:szCs w:val="20"/>
          <w:color w:val="auto"/>
        </w:rPr>
      </w:pPr>
    </w:p>
    <w:p>
      <w:pPr>
        <w:ind w:left="320" w:right="379" w:firstLine="335"/>
        <w:spacing w:after="0" w:line="250" w:lineRule="auto"/>
        <w:rPr>
          <w:sz w:val="20"/>
          <w:szCs w:val="20"/>
          <w:color w:val="auto"/>
        </w:rPr>
      </w:pPr>
      <w:r>
        <w:rPr>
          <w:rFonts w:ascii="Times New Roman" w:cs="Times New Roman" w:eastAsia="Times New Roman" w:hAnsi="Times New Roman"/>
          <w:sz w:val="14"/>
          <w:szCs w:val="14"/>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46" w:lineRule="exact"/>
        <w:rPr>
          <w:sz w:val="20"/>
          <w:szCs w:val="20"/>
          <w:color w:val="auto"/>
        </w:rPr>
      </w:pPr>
    </w:p>
    <w:p>
      <w:pPr>
        <w:ind w:left="320" w:right="859" w:firstLine="335"/>
        <w:spacing w:after="0" w:line="266" w:lineRule="auto"/>
        <w:rPr>
          <w:sz w:val="20"/>
          <w:szCs w:val="20"/>
          <w:color w:val="auto"/>
        </w:rPr>
      </w:pPr>
      <w:r>
        <w:rPr>
          <w:rFonts w:ascii="Times New Roman" w:cs="Times New Roman" w:eastAsia="Times New Roman" w:hAnsi="Times New Roman"/>
          <w:sz w:val="14"/>
          <w:szCs w:val="14"/>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Resignation of Trustee</w:t>
      </w:r>
    </w:p>
    <w:p>
      <w:pPr>
        <w:spacing w:after="0" w:line="89" w:lineRule="exact"/>
        <w:rPr>
          <w:sz w:val="20"/>
          <w:szCs w:val="20"/>
          <w:color w:val="auto"/>
        </w:rPr>
      </w:pPr>
    </w:p>
    <w:p>
      <w:pPr>
        <w:ind w:left="320" w:right="459" w:firstLine="335"/>
        <w:spacing w:after="0" w:line="252" w:lineRule="auto"/>
        <w:rPr>
          <w:sz w:val="20"/>
          <w:szCs w:val="20"/>
          <w:color w:val="auto"/>
        </w:rPr>
      </w:pPr>
      <w:r>
        <w:rPr>
          <w:rFonts w:ascii="Times New Roman" w:cs="Times New Roman" w:eastAsia="Times New Roman" w:hAnsi="Times New Roman"/>
          <w:sz w:val="14"/>
          <w:szCs w:val="14"/>
          <w:color w:val="auto"/>
        </w:rPr>
        <w:t>Each trustee may resign or be removed with respect to one or more series of indenture securities provided that a successor trustee is appointed to act with respect to these series and has accepted such appointment.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Indenture Provisions — Subordination</w:t>
      </w:r>
    </w:p>
    <w:p>
      <w:pPr>
        <w:spacing w:after="0" w:line="89" w:lineRule="exact"/>
        <w:rPr>
          <w:sz w:val="20"/>
          <w:szCs w:val="20"/>
          <w:color w:val="auto"/>
        </w:rPr>
      </w:pPr>
    </w:p>
    <w:p>
      <w:pPr>
        <w:ind w:left="320" w:right="339" w:firstLine="335"/>
        <w:spacing w:after="0" w:line="248" w:lineRule="auto"/>
        <w:rPr>
          <w:sz w:val="20"/>
          <w:szCs w:val="20"/>
          <w:color w:val="auto"/>
        </w:rPr>
      </w:pPr>
      <w:r>
        <w:rPr>
          <w:rFonts w:ascii="Times New Roman" w:cs="Times New Roman" w:eastAsia="Times New Roman" w:hAnsi="Times New Roman"/>
          <w:sz w:val="14"/>
          <w:szCs w:val="14"/>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49" w:lineRule="exact"/>
        <w:rPr>
          <w:sz w:val="20"/>
          <w:szCs w:val="20"/>
          <w:color w:val="auto"/>
        </w:rPr>
      </w:pPr>
    </w:p>
    <w:p>
      <w:pPr>
        <w:ind w:left="320" w:right="459" w:firstLine="335"/>
        <w:spacing w:after="0" w:line="247" w:lineRule="auto"/>
        <w:rPr>
          <w:sz w:val="20"/>
          <w:szCs w:val="20"/>
          <w:color w:val="auto"/>
        </w:rPr>
      </w:pPr>
      <w:r>
        <w:rPr>
          <w:rFonts w:ascii="Times New Roman" w:cs="Times New Roman" w:eastAsia="Times New Roman" w:hAnsi="Times New Roman"/>
          <w:sz w:val="14"/>
          <w:szCs w:val="14"/>
          <w:color w:val="auto"/>
        </w:rPr>
        <w:t>In the event that, notwithstanding the foregoing, any payment by us is received by the trustee in respect of subordinated debt securities or by the holders of any of such subordinated debt securities, upon our dissolution, winding up, liquidation or reorganization before all Senior Indebtedness is paid in full, the payment or distribution received by the trustee in respect of such subordinated debt securities or by the holders of any of such subordinated debt securities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52" w:lineRule="exact"/>
        <w:rPr>
          <w:sz w:val="20"/>
          <w:szCs w:val="20"/>
          <w:color w:val="auto"/>
        </w:rPr>
      </w:pPr>
    </w:p>
    <w:p>
      <w:pPr>
        <w:ind w:left="320" w:right="419" w:firstLine="335"/>
        <w:spacing w:after="0" w:line="284" w:lineRule="auto"/>
        <w:rPr>
          <w:sz w:val="20"/>
          <w:szCs w:val="20"/>
          <w:color w:val="auto"/>
        </w:rPr>
      </w:pPr>
      <w:r>
        <w:rPr>
          <w:rFonts w:ascii="Times New Roman" w:cs="Times New Roman" w:eastAsia="Times New Roman" w:hAnsi="Times New Roman"/>
          <w:sz w:val="13"/>
          <w:szCs w:val="13"/>
          <w:color w:val="auto"/>
        </w:rPr>
        <w:t>By reason of this subordination, in the event of a distribution of our assets upon our insolvency, certain of our senior creditors may recover more, ratably, than holders of any subordinated debt securities or the holders of any indenture securities that are not Senior Indebtedness. The indenture provides that these subordination provisions will not apply to money and securities held in trust under the defeasance provisions of the indenture.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ectPr>
          <w:pgSz w:w="11900" w:h="16838" w:orient="portrait"/>
          <w:cols w:equalWidth="0" w:num="1">
            <w:col w:w="9019"/>
          </w:cols>
          <w:pgMar w:left="1440" w:top="260" w:right="1440" w:bottom="1440" w:gutter="0" w:footer="0" w:header="0"/>
        </w:sectPr>
      </w:pPr>
    </w:p>
    <w:bookmarkStart w:id="83" w:name="page84"/>
    <w:bookmarkEnd w:id="83"/>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203440" cy="45085"/>
                    </a:xfrm>
                    <a:prstGeom prst="rect">
                      <a:avLst/>
                    </a:prstGeom>
                    <a:noFill/>
                  </pic:spPr>
                </pic:pic>
              </a:graphicData>
            </a:graphic>
          </wp:anchor>
        </w:drawing>
        <w:t>Senior Indebtedness is defined in the indenture as the principal of (and premium, if any) and unpaid interest on:</w:t>
      </w:r>
    </w:p>
    <w:p>
      <w:pPr>
        <w:spacing w:after="0" w:line="95" w:lineRule="exact"/>
        <w:rPr>
          <w:sz w:val="20"/>
          <w:szCs w:val="20"/>
          <w:color w:val="auto"/>
        </w:rPr>
      </w:pPr>
    </w:p>
    <w:p>
      <w:pPr>
        <w:ind w:left="1060" w:right="679" w:hanging="331"/>
        <w:spacing w:after="0" w:line="255" w:lineRule="auto"/>
        <w:tabs>
          <w:tab w:leader="none" w:pos="10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indebtedness (including indebtedness of others guaranteed by us), whenever created, incurred, assumed or guaranteed, for money borrowed, that we have designated as “Senior Indebtedness” for purposes of the indenture and in accordance with the terms of the indenture (including any indenture securities designated as Senior Indebtedness), and</w:t>
      </w:r>
    </w:p>
    <w:p>
      <w:pPr>
        <w:spacing w:after="0" w:line="71"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renewals, extensions, modifications and refinancings of any of this indebtedness.</w:t>
      </w:r>
    </w:p>
    <w:p>
      <w:pPr>
        <w:spacing w:after="0" w:line="167" w:lineRule="exact"/>
        <w:rPr>
          <w:sz w:val="20"/>
          <w:szCs w:val="20"/>
          <w:color w:val="auto"/>
        </w:rPr>
      </w:pPr>
    </w:p>
    <w:p>
      <w:pPr>
        <w:jc w:val="both"/>
        <w:ind w:left="320" w:right="339" w:firstLine="335"/>
        <w:spacing w:after="0" w:line="255" w:lineRule="auto"/>
        <w:rPr>
          <w:sz w:val="20"/>
          <w:szCs w:val="20"/>
          <w:color w:val="auto"/>
        </w:rPr>
      </w:pPr>
      <w:r>
        <w:rPr>
          <w:rFonts w:ascii="Times New Roman" w:cs="Times New Roman" w:eastAsia="Times New Roman" w:hAnsi="Times New Roman"/>
          <w:sz w:val="14"/>
          <w:szCs w:val="14"/>
          <w:color w:val="auto"/>
        </w:rPr>
        <w:t>If this prospectus is being delivered in connection with the offering of a series of indenture securities denominated as subordinated debt securities, the accompanying prospectus supplement will set forth the approximate amount of our Senior Indebtedness and of our other Indebtedness outstanding as of a recent date.</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Secured Indebtedness and Ranking</w:t>
      </w:r>
    </w:p>
    <w:p>
      <w:pPr>
        <w:spacing w:after="0" w:line="89" w:lineRule="exact"/>
        <w:rPr>
          <w:sz w:val="20"/>
          <w:szCs w:val="20"/>
          <w:color w:val="auto"/>
        </w:rPr>
      </w:pPr>
    </w:p>
    <w:p>
      <w:pPr>
        <w:ind w:left="320" w:right="379" w:firstLine="335"/>
        <w:spacing w:after="0" w:line="249" w:lineRule="auto"/>
        <w:rPr>
          <w:sz w:val="20"/>
          <w:szCs w:val="20"/>
          <w:color w:val="auto"/>
        </w:rPr>
      </w:pPr>
      <w:r>
        <w:rPr>
          <w:rFonts w:ascii="Times New Roman" w:cs="Times New Roman" w:eastAsia="Times New Roman" w:hAnsi="Times New Roman"/>
          <w:sz w:val="14"/>
          <w:szCs w:val="14"/>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The debt securities, whether secured or unsecured, of the Company will rank structurally junior to all existing and future indebtedness (including trade payables) incurred by our subsidiaries, financing vehicles, or similar facilities.</w:t>
      </w:r>
    </w:p>
    <w:p>
      <w:pPr>
        <w:spacing w:after="0" w:line="147" w:lineRule="exact"/>
        <w:rPr>
          <w:sz w:val="20"/>
          <w:szCs w:val="20"/>
          <w:color w:val="auto"/>
        </w:rPr>
      </w:pPr>
    </w:p>
    <w:p>
      <w:pPr>
        <w:ind w:left="320" w:right="399" w:firstLine="335"/>
        <w:spacing w:after="0" w:line="277" w:lineRule="auto"/>
        <w:rPr>
          <w:sz w:val="20"/>
          <w:szCs w:val="20"/>
          <w:color w:val="auto"/>
        </w:rPr>
      </w:pPr>
      <w:r>
        <w:rPr>
          <w:rFonts w:ascii="Times New Roman" w:cs="Times New Roman" w:eastAsia="Times New Roman" w:hAnsi="Times New Roman"/>
          <w:sz w:val="13"/>
          <w:szCs w:val="13"/>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after fulfillment of this obligation. As a result, the holders of unsecured indenture securities may recover less, ratably, than holders of any of our secured indebtedness.</w:t>
      </w: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The Trustee under the Indenture</w:t>
      </w:r>
    </w:p>
    <w:p>
      <w:pPr>
        <w:spacing w:after="0" w:line="89" w:lineRule="exact"/>
        <w:rPr>
          <w:sz w:val="20"/>
          <w:szCs w:val="20"/>
          <w:color w:val="auto"/>
        </w:rPr>
      </w:pPr>
    </w:p>
    <w:p>
      <w:pPr>
        <w:ind w:left="320" w:right="739" w:firstLine="335"/>
        <w:spacing w:after="0" w:line="266" w:lineRule="auto"/>
        <w:rPr>
          <w:sz w:val="20"/>
          <w:szCs w:val="20"/>
          <w:color w:val="auto"/>
        </w:rPr>
      </w:pPr>
      <w:r>
        <w:rPr>
          <w:rFonts w:ascii="Times New Roman" w:cs="Times New Roman" w:eastAsia="Times New Roman" w:hAnsi="Times New Roman"/>
          <w:sz w:val="14"/>
          <w:szCs w:val="14"/>
          <w:color w:val="auto"/>
        </w:rPr>
        <w:t>U.S. Bank Trust Company, National Association (as successor in interest to U.S. Bank National Association) serves as the trustee under the indenture.</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Certain Considerations Relating to Foreign Currencies</w:t>
      </w:r>
    </w:p>
    <w:p>
      <w:pPr>
        <w:spacing w:after="0" w:line="89" w:lineRule="exact"/>
        <w:rPr>
          <w:sz w:val="20"/>
          <w:szCs w:val="20"/>
          <w:color w:val="auto"/>
        </w:rPr>
      </w:pPr>
    </w:p>
    <w:p>
      <w:pPr>
        <w:ind w:left="320" w:right="719" w:firstLine="335"/>
        <w:spacing w:after="0" w:line="252" w:lineRule="auto"/>
        <w:rPr>
          <w:sz w:val="20"/>
          <w:szCs w:val="20"/>
          <w:color w:val="auto"/>
        </w:rPr>
      </w:pPr>
      <w:r>
        <w:rPr>
          <w:rFonts w:ascii="Times New Roman" w:cs="Times New Roman" w:eastAsia="Times New Roman" w:hAnsi="Times New Roman"/>
          <w:sz w:val="14"/>
          <w:szCs w:val="14"/>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ectPr>
          <w:pgSz w:w="11900" w:h="16838" w:orient="portrait"/>
          <w:cols w:equalWidth="0" w:num="1">
            <w:col w:w="9019"/>
          </w:cols>
          <w:pgMar w:left="1440" w:top="260" w:right="1440"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203440" cy="45085"/>
                    </a:xfrm>
                    <a:prstGeom prst="rect">
                      <a:avLst/>
                    </a:prstGeom>
                    <a:noFill/>
                  </pic:spPr>
                </pic:pic>
              </a:graphicData>
            </a:graphic>
          </wp:anchor>
        </w:drawing>
        <w:t>DESCRIPTION OF OUR WARRANTS</w:t>
      </w:r>
    </w:p>
    <w:p>
      <w:pPr>
        <w:spacing w:after="0" w:line="171" w:lineRule="exact"/>
        <w:rPr>
          <w:sz w:val="20"/>
          <w:szCs w:val="20"/>
          <w:color w:val="auto"/>
        </w:rPr>
      </w:pPr>
    </w:p>
    <w:p>
      <w:pPr>
        <w:ind w:left="320" w:right="419" w:firstLine="335"/>
        <w:spacing w:after="0" w:line="266" w:lineRule="auto"/>
        <w:rPr>
          <w:sz w:val="20"/>
          <w:szCs w:val="20"/>
          <w:color w:val="auto"/>
        </w:rPr>
      </w:pPr>
      <w:r>
        <w:rPr>
          <w:rFonts w:ascii="Times New Roman" w:cs="Times New Roman" w:eastAsia="Times New Roman" w:hAnsi="Times New Roman"/>
          <w:sz w:val="14"/>
          <w:szCs w:val="14"/>
          <w:color w:val="auto"/>
        </w:rPr>
        <w:t>The following is a general description of the terms of the warrants we may issue from time to time. Particular terms of any warrants we offer will be described in the prospectus supplement relating to such warrants.</w:t>
      </w:r>
    </w:p>
    <w:p>
      <w:pPr>
        <w:spacing w:after="0" w:line="136" w:lineRule="exact"/>
        <w:rPr>
          <w:sz w:val="20"/>
          <w:szCs w:val="20"/>
          <w:color w:val="auto"/>
        </w:rPr>
      </w:pPr>
    </w:p>
    <w:p>
      <w:pPr>
        <w:ind w:left="320" w:right="399" w:firstLine="335"/>
        <w:spacing w:after="0" w:line="277" w:lineRule="auto"/>
        <w:rPr>
          <w:sz w:val="20"/>
          <w:szCs w:val="20"/>
          <w:color w:val="auto"/>
        </w:rPr>
      </w:pPr>
      <w:r>
        <w:rPr>
          <w:rFonts w:ascii="Times New Roman" w:cs="Times New Roman" w:eastAsia="Times New Roman" w:hAnsi="Times New Roman"/>
          <w:sz w:val="13"/>
          <w:szCs w:val="13"/>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A prospectus supplement will describe the particular terms of any series of warrants we may issue, including the following:</w:t>
      </w:r>
    </w:p>
    <w:p>
      <w:pPr>
        <w:spacing w:after="0" w:line="95" w:lineRule="exact"/>
        <w:rPr>
          <w:sz w:val="20"/>
          <w:szCs w:val="20"/>
          <w:color w:val="auto"/>
        </w:rPr>
      </w:pPr>
    </w:p>
    <w:p>
      <w:pPr>
        <w:ind w:left="1060" w:hanging="331"/>
        <w:spacing w:after="0"/>
        <w:tabs>
          <w:tab w:leader="none" w:pos="10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such warrants;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such warrants;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such warrants will be issued;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currencies, including composite currencies, in which the price of such warrants may be payable;</w:t>
      </w:r>
    </w:p>
    <w:p>
      <w:pPr>
        <w:spacing w:after="0" w:line="95" w:lineRule="exact"/>
        <w:rPr>
          <w:rFonts w:ascii="Times New Roman" w:cs="Times New Roman" w:eastAsia="Times New Roman" w:hAnsi="Times New Roman"/>
          <w:sz w:val="14"/>
          <w:szCs w:val="14"/>
          <w:color w:val="auto"/>
        </w:rPr>
      </w:pPr>
    </w:p>
    <w:p>
      <w:pPr>
        <w:ind w:left="1060" w:right="499" w:hanging="331"/>
        <w:spacing w:after="0" w:line="266" w:lineRule="auto"/>
        <w:tabs>
          <w:tab w:leader="none" w:pos="10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designation and terms of the securities with which the warrants are issued and the number of warrants issued with each such security or each principal amount of such security;</w:t>
      </w:r>
    </w:p>
    <w:p>
      <w:pPr>
        <w:spacing w:after="0" w:line="63" w:lineRule="exact"/>
        <w:rPr>
          <w:rFonts w:ascii="Times New Roman" w:cs="Times New Roman" w:eastAsia="Times New Roman" w:hAnsi="Times New Roman"/>
          <w:sz w:val="14"/>
          <w:szCs w:val="14"/>
          <w:color w:val="auto"/>
        </w:rPr>
      </w:pPr>
    </w:p>
    <w:p>
      <w:pPr>
        <w:ind w:left="1060" w:right="339" w:hanging="331"/>
        <w:spacing w:after="0" w:line="255" w:lineRule="auto"/>
        <w:tabs>
          <w:tab w:leader="none" w:pos="10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71" w:lineRule="exact"/>
        <w:rPr>
          <w:rFonts w:ascii="Times New Roman" w:cs="Times New Roman" w:eastAsia="Times New Roman" w:hAnsi="Times New Roman"/>
          <w:sz w:val="14"/>
          <w:szCs w:val="14"/>
          <w:color w:val="auto"/>
        </w:rPr>
      </w:pPr>
    </w:p>
    <w:p>
      <w:pPr>
        <w:jc w:val="both"/>
        <w:ind w:left="1060" w:right="339" w:hanging="331"/>
        <w:spacing w:after="0" w:line="255" w:lineRule="auto"/>
        <w:tabs>
          <w:tab w:leader="none" w:pos="10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71"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such warrants shall commence and the date on which such right will expire;</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such warrants will be issued in registered form or bearer form;</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such warrants which may be exercised at any one time;</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on and after which such warrants and the related securities will be separately transferable;</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with respect to book-entry procedures, if any;</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securities issuable upon exercise of the warrants;</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certain U.S. federal income tax considerations; and</w:t>
      </w:r>
    </w:p>
    <w:p>
      <w:pPr>
        <w:spacing w:after="0" w:line="95" w:lineRule="exact"/>
        <w:rPr>
          <w:rFonts w:ascii="Times New Roman" w:cs="Times New Roman" w:eastAsia="Times New Roman" w:hAnsi="Times New Roman"/>
          <w:sz w:val="14"/>
          <w:szCs w:val="14"/>
          <w:color w:val="auto"/>
        </w:rPr>
      </w:pPr>
    </w:p>
    <w:p>
      <w:pPr>
        <w:ind w:left="1060" w:hanging="331"/>
        <w:spacing w:after="0"/>
        <w:tabs>
          <w:tab w:leader="none" w:pos="10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such warrants, including terms, procedures and limitations relating to the exchange and exercise of such warrants.</w:t>
      </w:r>
    </w:p>
    <w:p>
      <w:pPr>
        <w:spacing w:after="0" w:line="167" w:lineRule="exact"/>
        <w:rPr>
          <w:sz w:val="20"/>
          <w:szCs w:val="20"/>
          <w:color w:val="auto"/>
        </w:rPr>
      </w:pPr>
    </w:p>
    <w:p>
      <w:pPr>
        <w:ind w:left="320" w:right="439" w:firstLine="335"/>
        <w:spacing w:after="0" w:line="255" w:lineRule="auto"/>
        <w:rPr>
          <w:sz w:val="20"/>
          <w:szCs w:val="20"/>
          <w:color w:val="auto"/>
        </w:rPr>
      </w:pPr>
      <w:r>
        <w:rPr>
          <w:rFonts w:ascii="Times New Roman" w:cs="Times New Roman" w:eastAsia="Times New Roman" w:hAnsi="Times New Roman"/>
          <w:sz w:val="14"/>
          <w:szCs w:val="14"/>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-82-</w:t>
      </w:r>
    </w:p>
    <w:p>
      <w:pPr>
        <w:sectPr>
          <w:pgSz w:w="11900" w:h="16838" w:orient="portrait"/>
          <w:cols w:equalWidth="0" w:num="1">
            <w:col w:w="9019"/>
          </w:cols>
          <w:pgMar w:left="1440" w:top="256" w:right="1440" w:bottom="1440" w:gutter="0" w:footer="0" w:header="0"/>
        </w:sectPr>
      </w:pPr>
    </w:p>
    <w:bookmarkStart w:id="85" w:name="page86"/>
    <w:bookmarkEnd w:id="85"/>
    <w:p>
      <w:pPr>
        <w:jc w:val="both"/>
        <w:ind w:left="320" w:right="439" w:firstLine="335"/>
        <w:spacing w:after="0" w:line="27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203440" cy="45085"/>
                    </a:xfrm>
                    <a:prstGeom prst="rect">
                      <a:avLst/>
                    </a:prstGeom>
                    <a:noFill/>
                  </pic:spPr>
                </pic:pic>
              </a:graphicData>
            </a:graphic>
          </wp:anchor>
        </w:drawing>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distributions, if any, or payments upon our liquidation, dissolution or winding up or to exercise any voting rights.</w:t>
      </w:r>
    </w:p>
    <w:p>
      <w:pPr>
        <w:spacing w:after="0" w:line="131" w:lineRule="exact"/>
        <w:rPr>
          <w:sz w:val="20"/>
          <w:szCs w:val="20"/>
          <w:color w:val="auto"/>
        </w:rPr>
      </w:pPr>
    </w:p>
    <w:p>
      <w:pPr>
        <w:ind w:left="320" w:right="359" w:firstLine="335"/>
        <w:spacing w:after="0" w:line="248" w:lineRule="auto"/>
        <w:rPr>
          <w:sz w:val="20"/>
          <w:szCs w:val="20"/>
          <w:color w:val="auto"/>
        </w:rPr>
      </w:pPr>
      <w:r>
        <w:rPr>
          <w:rFonts w:ascii="Times New Roman" w:cs="Times New Roman" w:eastAsia="Times New Roman" w:hAnsi="Times New Roman"/>
          <w:sz w:val="14"/>
          <w:szCs w:val="14"/>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of directors approves such issuance on the basis that the issuance is in our best interests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25.0% of our outstanding voting securities. Our stockholders voted to allow us to issue warrants at our 2012 Annual Meeting of Stockholders.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ectPr>
          <w:pgSz w:w="11900" w:h="16838" w:orient="portrait"/>
          <w:cols w:equalWidth="0" w:num="1">
            <w:col w:w="9019"/>
          </w:cols>
          <w:pgMar w:left="1440" w:top="260" w:right="1440"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203440" cy="45085"/>
                    </a:xfrm>
                    <a:prstGeom prst="rect">
                      <a:avLst/>
                    </a:prstGeom>
                    <a:noFill/>
                  </pic:spPr>
                </pic:pic>
              </a:graphicData>
            </a:graphic>
          </wp:anchor>
        </w:drawing>
        <w:t>REGULATION</w:t>
      </w:r>
    </w:p>
    <w:p>
      <w:pPr>
        <w:spacing w:after="0" w:line="167" w:lineRule="exact"/>
        <w:rPr>
          <w:sz w:val="20"/>
          <w:szCs w:val="20"/>
          <w:color w:val="auto"/>
        </w:rPr>
      </w:pPr>
    </w:p>
    <w:p>
      <w:pPr>
        <w:ind w:left="320" w:right="419" w:firstLine="335"/>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in the section entitled “Business</w:t>
      </w:r>
      <w:r>
        <w:rPr>
          <w:rFonts w:ascii="Times New Roman" w:cs="Times New Roman" w:eastAsia="Times New Roman" w:hAnsi="Times New Roman"/>
          <w:sz w:val="14"/>
          <w:szCs w:val="14"/>
          <w:i w:val="1"/>
          <w:iCs w:val="1"/>
          <w:color w:val="auto"/>
        </w:rPr>
        <w:t> — </w:t>
      </w:r>
      <w:r>
        <w:rPr>
          <w:rFonts w:ascii="Times New Roman" w:cs="Times New Roman" w:eastAsia="Times New Roman" w:hAnsi="Times New Roman"/>
          <w:sz w:val="14"/>
          <w:szCs w:val="14"/>
          <w:color w:val="auto"/>
        </w:rPr>
        <w:t xml:space="preserve">Regulation” in Part I, Item 1 of our most recent </w:t>
      </w:r>
      <w:hyperlink r:id="rId36">
        <w:r>
          <w:rPr>
            <w:rFonts w:ascii="Times New Roman" w:cs="Times New Roman" w:eastAsia="Times New Roman" w:hAnsi="Times New Roman"/>
            <w:sz w:val="14"/>
            <w:szCs w:val="14"/>
            <w:u w:val="single" w:color="auto"/>
            <w:color w:val="0000EE"/>
          </w:rPr>
          <w:t>Annual Report on 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is incorporated herein by reference.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-84-</w:t>
      </w:r>
    </w:p>
    <w:p>
      <w:pPr>
        <w:sectPr>
          <w:pgSz w:w="11900" w:h="16838" w:orient="portrait"/>
          <w:cols w:equalWidth="0" w:num="1">
            <w:col w:w="9019"/>
          </w:cols>
          <w:pgMar w:left="1440" w:top="256" w:right="1440"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203440" cy="45085"/>
                    </a:xfrm>
                    <a:prstGeom prst="rect">
                      <a:avLst/>
                    </a:prstGeom>
                    <a:noFill/>
                  </pic:spPr>
                </pic:pic>
              </a:graphicData>
            </a:graphic>
          </wp:anchor>
        </w:drawing>
        <w:t>PLAN OF DISTRIBUTION</w:t>
      </w:r>
    </w:p>
    <w:p>
      <w:pPr>
        <w:spacing w:after="0" w:line="171" w:lineRule="exact"/>
        <w:rPr>
          <w:sz w:val="20"/>
          <w:szCs w:val="20"/>
          <w:color w:val="auto"/>
        </w:rPr>
      </w:pPr>
    </w:p>
    <w:p>
      <w:pPr>
        <w:ind w:left="320" w:right="339" w:firstLine="335"/>
        <w:spacing w:after="0" w:line="252" w:lineRule="auto"/>
        <w:rPr>
          <w:sz w:val="20"/>
          <w:szCs w:val="20"/>
          <w:color w:val="auto"/>
        </w:rPr>
      </w:pPr>
      <w:r>
        <w:rPr>
          <w:rFonts w:ascii="Times New Roman" w:cs="Times New Roman" w:eastAsia="Times New Roman" w:hAnsi="Times New Roman"/>
          <w:sz w:val="14"/>
          <w:szCs w:val="14"/>
          <w:color w:val="auto"/>
        </w:rPr>
        <w:t>We may offer, from time to time, in one or more offerings, our common stock, preferred stock, subscription rights to purchase shares of common stock, warrants and debt securities, in one or more underwritten public offerings, at-the-market offerings to or through a market maker or into an existing trading market for our securities, on an exchange or otherwise, negotiated transactions, block trades, best efforts or a combination of these methods. The holders of our common stock will indirectly bear any fees and expenses in connection with any such offering.</w:t>
      </w:r>
    </w:p>
    <w:p>
      <w:pPr>
        <w:spacing w:after="0" w:line="145"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We may sell our securities through underwriters or dealers, directly to one or more purchasers, through agents or through a combination of any such methods of sale. In the case of a rights offering, the applicable prospectus supplement will set forth the number of shares of our common stock issuable upon the exercise of each right and the other terms of such rights offering. Any underwriter or agent involved in the offer and sale of our securities will be named in the applicable prospectus supplement. A prospectus supplement or supplements will also describe the terms of the offering of our securities, including: the purchase price and the proceeds we will receive from the sale; any over-allotment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and any securities exchange or market on which our securities may be listed. Only underwriters or agents named in the prospectus supplement will be underwriters or agents of securities offered by the prospectus supplement.</w:t>
      </w:r>
    </w:p>
    <w:p>
      <w:pPr>
        <w:spacing w:after="0" w:line="150" w:lineRule="exact"/>
        <w:rPr>
          <w:sz w:val="20"/>
          <w:szCs w:val="20"/>
          <w:color w:val="auto"/>
        </w:rPr>
      </w:pPr>
    </w:p>
    <w:p>
      <w:pPr>
        <w:ind w:left="320" w:right="379" w:firstLine="335"/>
        <w:spacing w:after="0" w:line="247" w:lineRule="auto"/>
        <w:rPr>
          <w:sz w:val="20"/>
          <w:szCs w:val="20"/>
          <w:color w:val="auto"/>
        </w:rPr>
      </w:pPr>
      <w:r>
        <w:rPr>
          <w:rFonts w:ascii="Times New Roman" w:cs="Times New Roman" w:eastAsia="Times New Roman" w:hAnsi="Times New Roman"/>
          <w:sz w:val="14"/>
          <w:szCs w:val="14"/>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our common stock, less any underwriting commissions or discounts, must equal or exceed the net asset value per share of our common stock at the time of the offering except (i) in connection with a rights offering to our existing stockholders, (ii) with the prior approval of the majority of our common stockholders, or (iii) under such other circumstances as the SEC may permit. Any offering of securities by us that requires the consent of the majority of our common stockholders, must occur, if at all, within one year after receiving such consent. The price at which our securities may be distributed may represent a discount from prevailing market prices. As an investor in our securities, you will indirectly bear the expenses incurred in connection with all of the distribution activities described herein.</w:t>
      </w:r>
    </w:p>
    <w:p>
      <w:pPr>
        <w:spacing w:after="0" w:line="152" w:lineRule="exact"/>
        <w:rPr>
          <w:sz w:val="20"/>
          <w:szCs w:val="20"/>
          <w:color w:val="auto"/>
        </w:rPr>
      </w:pPr>
    </w:p>
    <w:p>
      <w:pPr>
        <w:ind w:left="320" w:right="339" w:firstLine="335"/>
        <w:spacing w:after="0" w:line="249" w:lineRule="auto"/>
        <w:rPr>
          <w:sz w:val="20"/>
          <w:szCs w:val="20"/>
          <w:color w:val="auto"/>
        </w:rPr>
      </w:pPr>
      <w:r>
        <w:rPr>
          <w:rFonts w:ascii="Times New Roman" w:cs="Times New Roman" w:eastAsia="Times New Roman" w:hAnsi="Times New Roman"/>
          <w:sz w:val="14"/>
          <w:szCs w:val="14"/>
          <w:color w:val="auto"/>
        </w:rPr>
        <w:t>On June 11, 2025, our common stockholders voted to allow us to issue common stock at a price below net asset value per share for a period of one year ending on the earlier of June 11, 2026 or the date of our 2026 Annual Meeting of Stockholders. Our stockholders are being asked to consider and approve a similar proposal at our 2026 Annual Meeting of Stockholders. The maximum number of shares issuable below net asset value pursuant to the authority granted by our stockholders that could result in such dilution is limited to 25.0% of the Company’s then outstanding common stock immediately prior to each such sale. We do not intend to issue shares of our common stock below net asset value unless our board of directors determines that it would be in our stockholders’ best interests to do so.</w:t>
      </w:r>
    </w:p>
    <w:p>
      <w:pPr>
        <w:spacing w:after="0" w:line="147" w:lineRule="exact"/>
        <w:rPr>
          <w:sz w:val="20"/>
          <w:szCs w:val="20"/>
          <w:color w:val="auto"/>
        </w:rPr>
      </w:pPr>
    </w:p>
    <w:p>
      <w:pPr>
        <w:ind w:left="320" w:right="339" w:firstLine="335"/>
        <w:spacing w:after="0" w:line="248" w:lineRule="auto"/>
        <w:rPr>
          <w:sz w:val="20"/>
          <w:szCs w:val="20"/>
          <w:color w:val="auto"/>
        </w:rPr>
      </w:pPr>
      <w:r>
        <w:rPr>
          <w:rFonts w:ascii="Times New Roman" w:cs="Times New Roman" w:eastAsia="Times New Roman" w:hAnsi="Times New Roman"/>
          <w:sz w:val="14"/>
          <w:szCs w:val="14"/>
          <w:color w:val="auto"/>
        </w:rPr>
        <w:t>In connection with the sale of our securities, underwriters or agents may receive compensation from us or from purchasers of our securities, for whom they may act as agents, in the form of discounts, concessions or commissions. Underwriters may sell our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our securities may be deemed to be underwriters under the Securities Act, and any discounts and commissions they receive from us and any profit realized by them on the resale of our securities may be deemed to be underwriting discounts and commissions under the Securities Act. Any such underwriter or agent will be identified and any such compensation received from us will be described in the applicable prospectus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-85-</w:t>
      </w:r>
    </w:p>
    <w:p>
      <w:pPr>
        <w:sectPr>
          <w:pgSz w:w="11900" w:h="16838" w:orient="portrait"/>
          <w:cols w:equalWidth="0" w:num="1">
            <w:col w:w="9019"/>
          </w:cols>
          <w:pgMar w:left="1440" w:top="256" w:right="1440" w:bottom="1440" w:gutter="0" w:footer="0" w:header="0"/>
        </w:sectPr>
      </w:pPr>
    </w:p>
    <w:bookmarkStart w:id="88" w:name="page89"/>
    <w:bookmarkEnd w:id="88"/>
    <w:p>
      <w:pPr>
        <w:ind w:left="320" w:right="35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203440" cy="45085"/>
                    </a:xfrm>
                    <a:prstGeom prst="rect">
                      <a:avLst/>
                    </a:prstGeom>
                    <a:noFill/>
                  </pic:spPr>
                </pic:pic>
              </a:graphicData>
            </a:graphic>
          </wp:anchor>
        </w:drawing>
        <w:t>supplement. The maximum aggregate commission or discount to be received by any member of FINRA or independent broker-dealer will not be greater than 10% of the gross proceeds of the sale of our securities offered pursuant to this prospectus and any applicable prospectus supplement. We may also reimburse the underwriter or agent for certain fees and legal expenses incurred by it.</w:t>
      </w:r>
    </w:p>
    <w:p>
      <w:pPr>
        <w:spacing w:after="0" w:line="143"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our securities, either through exercise of the option to purchase additional shares from us or in the open market after the distribution is completed, to cover short positions. Penalty bids permit the underwriters to reclaim a selling concession from a dealer when our securities originally sold by the dealer are purchased in a stabilizing or covering transaction to cover short positions. Those activities may cause the price of our securities to be higher than it would otherwise be. If commenced, the underwriters may discontinue any of the activities at any time.</w:t>
      </w:r>
    </w:p>
    <w:p>
      <w:pPr>
        <w:spacing w:after="0" w:line="152" w:lineRule="exact"/>
        <w:rPr>
          <w:sz w:val="20"/>
          <w:szCs w:val="20"/>
          <w:color w:val="auto"/>
        </w:rPr>
      </w:pPr>
    </w:p>
    <w:p>
      <w:pPr>
        <w:ind w:left="320" w:right="399" w:firstLine="335"/>
        <w:spacing w:after="0" w:line="248" w:lineRule="auto"/>
        <w:rPr>
          <w:sz w:val="20"/>
          <w:szCs w:val="20"/>
          <w:color w:val="auto"/>
        </w:rPr>
      </w:pPr>
      <w:r>
        <w:rPr>
          <w:rFonts w:ascii="Times New Roman" w:cs="Times New Roman" w:eastAsia="Times New Roman" w:hAnsi="Times New Roman"/>
          <w:sz w:val="14"/>
          <w:szCs w:val="14"/>
          <w:color w:val="auto"/>
        </w:rPr>
        <w:t>Any underwriters that are qualified market makers on the Nasdaq Global Select Market may engage in passive market making transactions in our common stock on the Nasdaq Global Select Market in accordance with Regulation M under the Exchange Act, during the business day prior to the pricing of the offering, before the commencement of offers or sales of our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our common stock at a level above that which might otherwise prevail in the open market and, if commenced, may be discontinued at any time.</w:t>
      </w:r>
    </w:p>
    <w:p>
      <w:pPr>
        <w:spacing w:after="0" w:line="149" w:lineRule="exact"/>
        <w:rPr>
          <w:sz w:val="20"/>
          <w:szCs w:val="20"/>
          <w:color w:val="auto"/>
        </w:rPr>
      </w:pPr>
    </w:p>
    <w:p>
      <w:pPr>
        <w:ind w:left="320" w:right="399" w:firstLine="335"/>
        <w:spacing w:after="0" w:line="255" w:lineRule="auto"/>
        <w:rPr>
          <w:sz w:val="20"/>
          <w:szCs w:val="20"/>
          <w:color w:val="auto"/>
        </w:rPr>
      </w:pPr>
      <w:r>
        <w:rPr>
          <w:rFonts w:ascii="Times New Roman" w:cs="Times New Roman" w:eastAsia="Times New Roman" w:hAnsi="Times New Roman"/>
          <w:sz w:val="14"/>
          <w:szCs w:val="14"/>
          <w:color w:val="auto"/>
        </w:rPr>
        <w:t>We may sell our securities directly or through agents we designate from time to time. We will name any agent involved in the offering and sale of our securities and we will describe any commissions we will pay the agent in the prospectus supplement. Unless the prospectus supplement states otherwise, our agent will act on a best-efforts basis for the period of its appointment.</w:t>
      </w:r>
    </w:p>
    <w:p>
      <w:pPr>
        <w:spacing w:after="0" w:line="143" w:lineRule="exact"/>
        <w:rPr>
          <w:sz w:val="20"/>
          <w:szCs w:val="20"/>
          <w:color w:val="auto"/>
        </w:rPr>
      </w:pPr>
    </w:p>
    <w:p>
      <w:pPr>
        <w:ind w:left="320" w:right="479" w:firstLine="335"/>
        <w:spacing w:after="0" w:line="255" w:lineRule="auto"/>
        <w:rPr>
          <w:sz w:val="20"/>
          <w:szCs w:val="20"/>
          <w:color w:val="auto"/>
        </w:rPr>
      </w:pPr>
      <w:r>
        <w:rPr>
          <w:rFonts w:ascii="Times New Roman" w:cs="Times New Roman" w:eastAsia="Times New Roman" w:hAnsi="Times New Roman"/>
          <w:sz w:val="14"/>
          <w:szCs w:val="14"/>
          <w:color w:val="auto"/>
        </w:rPr>
        <w:t>Unless otherwise specified in the applicable prospectus supplement, each class or series of securities will be a new issue with no trading market, other than our common stock, which is traded on the Nasdaq Global Select Market. We may elect to list any other class or series of securities on any exchanges, but we are not obligated to do so. We cannot guarantee the liquidity of the trading markets for any securities.</w:t>
      </w:r>
    </w:p>
    <w:p>
      <w:pPr>
        <w:spacing w:after="0" w:line="143" w:lineRule="exact"/>
        <w:rPr>
          <w:sz w:val="20"/>
          <w:szCs w:val="20"/>
          <w:color w:val="auto"/>
        </w:rPr>
      </w:pPr>
    </w:p>
    <w:p>
      <w:pPr>
        <w:ind w:left="320" w:right="399" w:firstLine="335"/>
        <w:spacing w:after="0" w:line="252" w:lineRule="auto"/>
        <w:rPr>
          <w:sz w:val="20"/>
          <w:szCs w:val="20"/>
          <w:color w:val="auto"/>
        </w:rPr>
      </w:pPr>
      <w:r>
        <w:rPr>
          <w:rFonts w:ascii="Times New Roman" w:cs="Times New Roman" w:eastAsia="Times New Roman" w:hAnsi="Times New Roman"/>
          <w:sz w:val="14"/>
          <w:szCs w:val="14"/>
          <w:color w:val="auto"/>
        </w:rPr>
        <w:t>Under agreements that we may enter, underwriters, dealers and agents who participate in the distribution of our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45" w:lineRule="exact"/>
        <w:rPr>
          <w:sz w:val="20"/>
          <w:szCs w:val="20"/>
          <w:color w:val="auto"/>
        </w:rPr>
      </w:pPr>
    </w:p>
    <w:p>
      <w:pPr>
        <w:ind w:left="320" w:right="339" w:firstLine="335"/>
        <w:spacing w:after="0" w:line="247" w:lineRule="auto"/>
        <w:rPr>
          <w:sz w:val="20"/>
          <w:szCs w:val="20"/>
          <w:color w:val="auto"/>
        </w:rPr>
      </w:pPr>
      <w:r>
        <w:rPr>
          <w:rFonts w:ascii="Times New Roman" w:cs="Times New Roman" w:eastAsia="Times New Roman" w:hAnsi="Times New Roman"/>
          <w:sz w:val="14"/>
          <w:szCs w:val="14"/>
          <w:color w:val="auto"/>
        </w:rPr>
        <w:t>If so indicated in the applicable prospectus supplement, we will authorize underwriters or other persons acting as our agents to solicit offers by certain institutions to purchase our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our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-86-</w:t>
      </w:r>
    </w:p>
    <w:p>
      <w:pPr>
        <w:sectPr>
          <w:pgSz w:w="11900" w:h="16838" w:orient="portrait"/>
          <w:cols w:equalWidth="0" w:num="1">
            <w:col w:w="9019"/>
          </w:cols>
          <w:pgMar w:left="1440" w:top="260" w:right="1440" w:bottom="1440" w:gutter="0" w:footer="0" w:header="0"/>
        </w:sectPr>
      </w:pPr>
    </w:p>
    <w:bookmarkStart w:id="89" w:name="page90"/>
    <w:bookmarkEnd w:id="89"/>
    <w:p>
      <w:pPr>
        <w:ind w:left="320" w:right="379" w:firstLine="335"/>
        <w:spacing w:after="0" w:line="24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203440" cy="45085"/>
                    </a:xfrm>
                    <a:prstGeom prst="rect">
                      <a:avLst/>
                    </a:prstGeom>
                    <a:noFill/>
                  </pic:spPr>
                </pic:pic>
              </a:graphicData>
            </a:graphic>
          </wp:anchor>
        </w:drawing>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147" w:lineRule="exact"/>
        <w:rPr>
          <w:sz w:val="20"/>
          <w:szCs w:val="20"/>
          <w:color w:val="auto"/>
        </w:rPr>
      </w:pPr>
    </w:p>
    <w:p>
      <w:pPr>
        <w:ind w:left="320" w:right="679" w:firstLine="335"/>
        <w:spacing w:after="0" w:line="266" w:lineRule="auto"/>
        <w:rPr>
          <w:sz w:val="20"/>
          <w:szCs w:val="20"/>
          <w:color w:val="auto"/>
        </w:rPr>
      </w:pPr>
      <w:r>
        <w:rPr>
          <w:rFonts w:ascii="Times New Roman" w:cs="Times New Roman" w:eastAsia="Times New Roman" w:hAnsi="Times New Roman"/>
          <w:sz w:val="14"/>
          <w:szCs w:val="14"/>
          <w:color w:val="auto"/>
        </w:rPr>
        <w:t>In order to comply with the securities laws of certain states, if applicable, our securities offered hereby will be sold in such jurisdictions only through registered or licensed brokers or dealers.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-87-</w:t>
      </w:r>
    </w:p>
    <w:p>
      <w:pPr>
        <w:sectPr>
          <w:pgSz w:w="11900" w:h="16838" w:orient="portrait"/>
          <w:cols w:equalWidth="0" w:num="1">
            <w:col w:w="9019"/>
          </w:cols>
          <w:pgMar w:left="1440" w:top="260" w:right="1440"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203440" cy="45085"/>
                    </a:xfrm>
                    <a:prstGeom prst="rect">
                      <a:avLst/>
                    </a:prstGeom>
                    <a:noFill/>
                  </pic:spPr>
                </pic:pic>
              </a:graphicData>
            </a:graphic>
          </wp:anchor>
        </w:drawing>
        <w:t>CUSTODIAN, TRANSFER AND DIVIDEND PAYING AGENT AND REGISTRAR</w:t>
      </w:r>
    </w:p>
    <w:p>
      <w:pPr>
        <w:spacing w:after="0" w:line="171" w:lineRule="exact"/>
        <w:rPr>
          <w:sz w:val="20"/>
          <w:szCs w:val="20"/>
          <w:color w:val="auto"/>
        </w:rPr>
      </w:pPr>
    </w:p>
    <w:p>
      <w:pPr>
        <w:ind w:left="320" w:right="359" w:firstLine="335"/>
        <w:spacing w:after="0" w:line="249" w:lineRule="auto"/>
        <w:rPr>
          <w:sz w:val="20"/>
          <w:szCs w:val="20"/>
          <w:color w:val="auto"/>
        </w:rPr>
      </w:pPr>
      <w:r>
        <w:rPr>
          <w:rFonts w:ascii="Times New Roman" w:cs="Times New Roman" w:eastAsia="Times New Roman" w:hAnsi="Times New Roman"/>
          <w:sz w:val="14"/>
          <w:szCs w:val="14"/>
          <w:color w:val="auto"/>
        </w:rPr>
        <w:t>The Company’s securities (except the securities held by the SPV) are held by U.S. Bank National Association pursuant to a custody agreement. The principal business address of U.S. Bank National Association is Corporate Trust Services, One Federal Street, 3rd Floor, Boston, MA 02110, telephone: (617) 603-6538. The SPV’s securities are held by Western Alliance Trust Company, N.A. pursuant to a custodian agreement. The principal business address of Western Alliance Trust Company, N.A. is 800 Town &amp; Country, Suite 400, Houston, TX 77024. Equiniti Trust Company, LLC will serve as our transfer agent, distribution paying agent and registrar. The principal business address of Equiniti Trust Company, LLC is 6201 15th Avenue, Brooklyn, New York 11219, telephone: (800) 937-5449.</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-88-</w:t>
      </w:r>
    </w:p>
    <w:p>
      <w:pPr>
        <w:sectPr>
          <w:pgSz w:w="11900" w:h="16838" w:orient="portrait"/>
          <w:cols w:equalWidth="0" w:num="1">
            <w:col w:w="9019"/>
          </w:cols>
          <w:pgMar w:left="1440" w:top="256" w:right="1440"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203440" cy="45085"/>
                    </a:xfrm>
                    <a:prstGeom prst="rect">
                      <a:avLst/>
                    </a:prstGeom>
                    <a:noFill/>
                  </pic:spPr>
                </pic:pic>
              </a:graphicData>
            </a:graphic>
          </wp:anchor>
        </w:drawing>
        <w:t>BROKERAGE ALLOCATION AND OTHER PRACTICES</w:t>
      </w:r>
    </w:p>
    <w:p>
      <w:pPr>
        <w:spacing w:after="0" w:line="171" w:lineRule="exact"/>
        <w:rPr>
          <w:sz w:val="20"/>
          <w:szCs w:val="20"/>
          <w:color w:val="auto"/>
        </w:rPr>
      </w:pPr>
    </w:p>
    <w:p>
      <w:pPr>
        <w:ind w:left="320" w:right="339" w:firstLine="335"/>
        <w:spacing w:after="0" w:line="246" w:lineRule="auto"/>
        <w:rPr>
          <w:sz w:val="20"/>
          <w:szCs w:val="20"/>
          <w:color w:val="auto"/>
        </w:rPr>
      </w:pPr>
      <w:r>
        <w:rPr>
          <w:rFonts w:ascii="Times New Roman" w:cs="Times New Roman" w:eastAsia="Times New Roman" w:hAnsi="Times New Roman"/>
          <w:sz w:val="14"/>
          <w:szCs w:val="14"/>
          <w:color w:val="auto"/>
        </w:rPr>
        <w:t>Because we will acquire and dispose of many of our investments in privately negotiated transactions, many of the transactions that we engage in will not require the use of brokers or the payment of brokerage commissions. Subject to policies established by our board of directors, our investment advisor will be primarily responsible for selecting brokers and dealers to execute transactions with respect to the publicly-traded securities portion of our portfolio transactions and the allocation of brokerage commissions. Our investment advisor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 Our investment advisor generally will seek reasonably competitive trade execution costs but will not necessarily pay the lowest spread or commission available. Subject to applicable legal requirements and consistent with Section 28(e) of the Exchange Act, our investment advisor may select a broker based upon brokerage or research services provided to our investment advisor and us and any other clients. In return for such services, we may pay a higher commission than other brokers would charge if our investment advisor determines in good faith that such commission is reasonable in relation to the services provided.</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ectPr>
          <w:pgSz w:w="11900" w:h="16838" w:orient="portrait"/>
          <w:cols w:equalWidth="0" w:num="1">
            <w:col w:w="9019"/>
          </w:cols>
          <w:pgMar w:left="1440" w:top="256" w:right="1440"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203440" cy="45085"/>
                    </a:xfrm>
                    <a:prstGeom prst="rect">
                      <a:avLst/>
                    </a:prstGeom>
                    <a:noFill/>
                  </pic:spPr>
                </pic:pic>
              </a:graphicData>
            </a:graphic>
          </wp:anchor>
        </w:drawing>
        <w:t>LEGAL MATTERS</w:t>
      </w:r>
    </w:p>
    <w:p>
      <w:pPr>
        <w:spacing w:after="0" w:line="171" w:lineRule="exact"/>
        <w:rPr>
          <w:sz w:val="20"/>
          <w:szCs w:val="20"/>
          <w:color w:val="auto"/>
        </w:rPr>
      </w:pPr>
    </w:p>
    <w:p>
      <w:pPr>
        <w:ind w:left="320" w:right="399" w:firstLine="335"/>
        <w:spacing w:after="0" w:line="255" w:lineRule="auto"/>
        <w:rPr>
          <w:sz w:val="20"/>
          <w:szCs w:val="20"/>
          <w:color w:val="auto"/>
        </w:rPr>
      </w:pPr>
      <w:r>
        <w:rPr>
          <w:rFonts w:ascii="Times New Roman" w:cs="Times New Roman" w:eastAsia="Times New Roman" w:hAnsi="Times New Roman"/>
          <w:sz w:val="14"/>
          <w:szCs w:val="14"/>
          <w:color w:val="auto"/>
        </w:rPr>
        <w:t>Certain legal matters will be passed upon for us by Eversheds Sutherland (US) LLP. Eversheds Sutherland (US) LLP also represents our investment advisor. Certain legal matters in connection with any offering pursuant to this prospectus will be passed upon for the underwriters, if any, by the counsel named in the prospectus supplement.</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-90-</w:t>
      </w:r>
    </w:p>
    <w:p>
      <w:pPr>
        <w:sectPr>
          <w:pgSz w:w="11900" w:h="16838" w:orient="portrait"/>
          <w:cols w:equalWidth="0" w:num="1">
            <w:col w:w="9019"/>
          </w:cols>
          <w:pgMar w:left="1440" w:top="256" w:right="1440"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203440" cy="45085"/>
                    </a:xfrm>
                    <a:prstGeom prst="rect">
                      <a:avLst/>
                    </a:prstGeom>
                    <a:noFill/>
                  </pic:spPr>
                </pic:pic>
              </a:graphicData>
            </a:graphic>
          </wp:anchor>
        </w:drawing>
        <w:t>INDEPENDENT REGISTERED PUBLIC ACCOUNTING FIRM</w:t>
      </w:r>
    </w:p>
    <w:p>
      <w:pPr>
        <w:spacing w:after="0" w:line="171" w:lineRule="exact"/>
        <w:rPr>
          <w:sz w:val="20"/>
          <w:szCs w:val="20"/>
          <w:color w:val="auto"/>
        </w:rPr>
      </w:pPr>
    </w:p>
    <w:p>
      <w:pPr>
        <w:ind w:left="320" w:right="599" w:firstLine="335"/>
        <w:spacing w:after="0" w:line="266" w:lineRule="auto"/>
        <w:rPr>
          <w:sz w:val="20"/>
          <w:szCs w:val="20"/>
          <w:color w:val="auto"/>
        </w:rPr>
      </w:pPr>
      <w:r>
        <w:rPr>
          <w:rFonts w:ascii="Times New Roman" w:cs="Times New Roman" w:eastAsia="Times New Roman" w:hAnsi="Times New Roman"/>
          <w:sz w:val="14"/>
          <w:szCs w:val="14"/>
          <w:color w:val="auto"/>
        </w:rPr>
        <w:t>We have selected RSM US LLP as our independent registered public accounting firm located at 30 South Wacker Drive, Suite 3300, Chicago, Illinois 60606.</w:t>
      </w:r>
    </w:p>
    <w:p>
      <w:pPr>
        <w:spacing w:after="0" w:line="136" w:lineRule="exact"/>
        <w:rPr>
          <w:sz w:val="20"/>
          <w:szCs w:val="20"/>
          <w:color w:val="auto"/>
        </w:rPr>
      </w:pPr>
    </w:p>
    <w:p>
      <w:pPr>
        <w:ind w:left="320" w:right="339" w:firstLine="335"/>
        <w:spacing w:after="0" w:line="249" w:lineRule="auto"/>
        <w:rPr>
          <w:sz w:val="20"/>
          <w:szCs w:val="20"/>
          <w:color w:val="auto"/>
        </w:rPr>
      </w:pPr>
      <w:r>
        <w:rPr>
          <w:rFonts w:ascii="Times New Roman" w:cs="Times New Roman" w:eastAsia="Times New Roman" w:hAnsi="Times New Roman"/>
          <w:sz w:val="14"/>
          <w:szCs w:val="14"/>
          <w:color w:val="auto"/>
        </w:rPr>
        <w:t>The consolidated financial statements, including the senior securities table, of the Company as of December 31, 2025 and 2024 and for each of the years in the three-year period ended December 31, 2025 and the effectiveness of internal control over financial reporting as of December 31, 2025 incorporated in this Prospectus by reference from the Company’s Annual Report on Form 10-K for the year ended December 31, 2025 have been audited by RSM US LLP, an independent registered public accounting firm, as stated in their reports thereon, incorporated herein by reference, and have been incorporated in this Prospectus and Registration Statement in reliance upon such reports and upon the authority of such firm as experts in accounting and auditing.</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ectPr>
          <w:pgSz w:w="11900" w:h="16838" w:orient="portrait"/>
          <w:cols w:equalWidth="0" w:num="1">
            <w:col w:w="9019"/>
          </w:cols>
          <w:pgMar w:left="1440" w:top="256" w:right="1440"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203440" cy="45085"/>
                    </a:xfrm>
                    <a:prstGeom prst="rect">
                      <a:avLst/>
                    </a:prstGeom>
                    <a:noFill/>
                  </pic:spPr>
                </pic:pic>
              </a:graphicData>
            </a:graphic>
          </wp:anchor>
        </w:drawing>
        <w:t>AVAILABLE INFORMATION</w:t>
      </w:r>
    </w:p>
    <w:p>
      <w:pPr>
        <w:spacing w:after="0" w:line="171" w:lineRule="exact"/>
        <w:rPr>
          <w:sz w:val="20"/>
          <w:szCs w:val="20"/>
          <w:color w:val="auto"/>
        </w:rPr>
      </w:pPr>
    </w:p>
    <w:p>
      <w:pPr>
        <w:ind w:left="320" w:right="459" w:firstLine="335"/>
        <w:spacing w:after="0" w:line="248" w:lineRule="auto"/>
        <w:rPr>
          <w:sz w:val="20"/>
          <w:szCs w:val="20"/>
          <w:color w:val="auto"/>
        </w:rPr>
      </w:pPr>
      <w:r>
        <w:rPr>
          <w:rFonts w:ascii="Times New Roman" w:cs="Times New Roman" w:eastAsia="Times New Roman" w:hAnsi="Times New Roman"/>
          <w:sz w:val="14"/>
          <w:szCs w:val="14"/>
          <w:color w:val="auto"/>
        </w:rPr>
        <w:t>This prospectus is part of a registration statement we filed with the SEC. This prospectus does not contain all of the information set forth in the registration statement, some of which is contained in exhibits to the registration statement as permitted by the rules and regulations of the SEC. For further information with respect to us and the securities we are offering under this prospectus, we refer you to the registration statement, including the exhibits filed as a part of the registration statement. Statements contained in this prospectus concerning the contents of any contract or any other document are not necessarily complete. If a contract or other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spacing w:after="0" w:line="149" w:lineRule="exact"/>
        <w:rPr>
          <w:sz w:val="20"/>
          <w:szCs w:val="20"/>
          <w:color w:val="auto"/>
        </w:rPr>
      </w:pPr>
    </w:p>
    <w:p>
      <w:pPr>
        <w:ind w:left="320" w:right="359" w:firstLine="335"/>
        <w:spacing w:after="0" w:line="249" w:lineRule="auto"/>
        <w:rPr>
          <w:sz w:val="20"/>
          <w:szCs w:val="20"/>
          <w:color w:val="auto"/>
        </w:rPr>
      </w:pPr>
      <w:r>
        <w:rPr>
          <w:rFonts w:ascii="Times New Roman" w:cs="Times New Roman" w:eastAsia="Times New Roman" w:hAnsi="Times New Roman"/>
          <w:sz w:val="14"/>
          <w:szCs w:val="14"/>
          <w:color w:val="auto"/>
        </w:rPr>
        <w:t xml:space="preserve">We file with or submit to the SEC annual, quarterly and current reports, proxy statements and other information meeting the informational requirements of the Exchange Act. This information is available free of charge on our website at </w:t>
      </w:r>
      <w:r>
        <w:rPr>
          <w:rFonts w:ascii="Times New Roman" w:cs="Times New Roman" w:eastAsia="Times New Roman" w:hAnsi="Times New Roman"/>
          <w:sz w:val="14"/>
          <w:szCs w:val="14"/>
          <w:i w:val="1"/>
          <w:iCs w:val="1"/>
          <w:color w:val="auto"/>
        </w:rPr>
        <w:t>www.fdus.com</w:t>
      </w:r>
      <w:r>
        <w:rPr>
          <w:rFonts w:ascii="Times New Roman" w:cs="Times New Roman" w:eastAsia="Times New Roman" w:hAnsi="Times New Roman"/>
          <w:sz w:val="14"/>
          <w:szCs w:val="14"/>
          <w:color w:val="auto"/>
        </w:rPr>
        <w:t xml:space="preserve">. Information contained on our website is not incorporated into this prospectus and you should not consider such information to be part of this document. The SEC maintains an Internet site that contains reports, proxy and information statements and other information filed electronically by us with the SEC, which are available on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You may also obtain such information by contacting us in writing at 1603 Orrington Avenue, Suite 1005, Evanston, Illinois 60201, Attention: Investor Relations.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-92-</w:t>
      </w:r>
    </w:p>
    <w:p>
      <w:pPr>
        <w:sectPr>
          <w:pgSz w:w="11900" w:h="16838" w:orient="portrait"/>
          <w:cols w:equalWidth="0" w:num="1">
            <w:col w:w="9019"/>
          </w:cols>
          <w:pgMar w:left="1440" w:top="256" w:right="1440"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203440" cy="45085"/>
                    </a:xfrm>
                    <a:prstGeom prst="rect">
                      <a:avLst/>
                    </a:prstGeom>
                    <a:noFill/>
                  </pic:spPr>
                </pic:pic>
              </a:graphicData>
            </a:graphic>
          </wp:anchor>
        </w:drawing>
        <w:t>INCORPORATION OF CERTAIN INFORMATION BY REFERENCE</w:t>
      </w:r>
    </w:p>
    <w:p>
      <w:pPr>
        <w:spacing w:after="0" w:line="171" w:lineRule="exact"/>
        <w:rPr>
          <w:sz w:val="20"/>
          <w:szCs w:val="20"/>
          <w:color w:val="auto"/>
        </w:rPr>
      </w:pPr>
    </w:p>
    <w:p>
      <w:pPr>
        <w:ind w:left="320" w:right="339" w:firstLine="335"/>
        <w:spacing w:after="0" w:line="249"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have filed with the SEC. We may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subsequent to this prospectus and before the date that any offering of any securities by means of this prospectus and any accompanying prospectus supplement is terminated will automatically update and, where applicable, supersede any information contained in this prospectus or incorporated by reference in this prospectus.</w:t>
      </w:r>
    </w:p>
    <w:p>
      <w:pPr>
        <w:spacing w:after="0" w:line="147" w:lineRule="exact"/>
        <w:rPr>
          <w:sz w:val="20"/>
          <w:szCs w:val="20"/>
          <w:color w:val="auto"/>
        </w:rPr>
      </w:pPr>
    </w:p>
    <w:p>
      <w:pPr>
        <w:ind w:left="320" w:right="339" w:firstLine="335"/>
        <w:spacing w:after="0" w:line="248" w:lineRule="auto"/>
        <w:rPr>
          <w:sz w:val="20"/>
          <w:szCs w:val="20"/>
          <w:color w:val="auto"/>
        </w:rPr>
      </w:pPr>
      <w:r>
        <w:rPr>
          <w:rFonts w:ascii="Times New Roman" w:cs="Times New Roman" w:eastAsia="Times New Roman" w:hAnsi="Times New Roman"/>
          <w:sz w:val="14"/>
          <w:szCs w:val="14"/>
          <w:color w:val="auto"/>
        </w:rPr>
        <w:t>We incorporate by reference into this prospectus our filings listed below and any future filings that we may file with the SEC under Section 13(a), 13(c), 14 or 15(d) of the Exchange Act, subsequent to the date of this prospectus until all of the securities offered by this prospectus and any accompanying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subsequent to the date of this prospectus will automatically update and may supersede information in this prospectus, any accompanying prospectus supplement and other information previously filed with the SEC.</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This prospectus incorporates by reference the documents set forth below that have previously been filed with the SEC:</w:t>
      </w:r>
    </w:p>
    <w:p>
      <w:pPr>
        <w:spacing w:after="0" w:line="95" w:lineRule="exact"/>
        <w:rPr>
          <w:sz w:val="20"/>
          <w:szCs w:val="20"/>
          <w:color w:val="auto"/>
        </w:rPr>
      </w:pPr>
    </w:p>
    <w:p>
      <w:pPr>
        <w:ind w:left="1060" w:hanging="331"/>
        <w:spacing w:after="0"/>
        <w:tabs>
          <w:tab w:leader="none" w:pos="1060" w:val="left"/>
        </w:tabs>
        <w:numPr>
          <w:ilvl w:val="0"/>
          <w:numId w:val="55"/>
        </w:numPr>
        <w:rPr>
          <w:rFonts w:ascii="Times New Roman" w:cs="Times New Roman" w:eastAsia="Times New Roman" w:hAnsi="Times New Roman"/>
          <w:sz w:val="14"/>
          <w:szCs w:val="14"/>
          <w:color w:val="0000EE"/>
        </w:rPr>
      </w:pPr>
      <w:hyperlink r:id="rId36">
        <w:r>
          <w:rPr>
            <w:rFonts w:ascii="Times New Roman" w:cs="Times New Roman" w:eastAsia="Times New Roman" w:hAnsi="Times New Roman"/>
            <w:sz w:val="14"/>
            <w:szCs w:val="14"/>
            <w:u w:val="single" w:color="auto"/>
            <w:color w:val="0000EE"/>
          </w:rPr>
          <w:t>Annual Report on Form 10-K</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for</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the fiscal year ended December 31, 2025 filed with the SEC on February 26, 2026;</w:t>
      </w:r>
    </w:p>
    <w:p>
      <w:pPr>
        <w:spacing w:after="0" w:line="95" w:lineRule="exact"/>
        <w:rPr>
          <w:rFonts w:ascii="Times New Roman" w:cs="Times New Roman" w:eastAsia="Times New Roman" w:hAnsi="Times New Roman"/>
          <w:sz w:val="14"/>
          <w:szCs w:val="14"/>
          <w:color w:val="0000EE"/>
        </w:rPr>
      </w:pPr>
    </w:p>
    <w:p>
      <w:pPr>
        <w:ind w:left="1060" w:right="339" w:hanging="331"/>
        <w:spacing w:after="0" w:line="266" w:lineRule="auto"/>
        <w:tabs>
          <w:tab w:leader="none" w:pos="1060" w:val="left"/>
        </w:tabs>
        <w:numPr>
          <w:ilvl w:val="0"/>
          <w:numId w:val="55"/>
        </w:numPr>
        <w:rPr>
          <w:rFonts w:ascii="Times New Roman" w:cs="Times New Roman" w:eastAsia="Times New Roman" w:hAnsi="Times New Roman"/>
          <w:sz w:val="14"/>
          <w:szCs w:val="14"/>
          <w:color w:val="0000EE"/>
        </w:rPr>
      </w:pPr>
      <w:hyperlink r:id="rId121">
        <w:r>
          <w:rPr>
            <w:rFonts w:ascii="Times New Roman" w:cs="Times New Roman" w:eastAsia="Times New Roman" w:hAnsi="Times New Roman"/>
            <w:sz w:val="14"/>
            <w:szCs w:val="14"/>
            <w:u w:val="single" w:color="auto"/>
            <w:color w:val="0000EE"/>
          </w:rPr>
          <w:t>Definitive Proxy Statement on Schedule 14A</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(but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only with respect to information required by Part III of our Annual Report on Form 10-K</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for the fiscal year ended December 31, 2024), filed with the SEC on March 21, 2025; and</w:t>
      </w:r>
    </w:p>
    <w:p>
      <w:pPr>
        <w:spacing w:after="0" w:line="63" w:lineRule="exact"/>
        <w:rPr>
          <w:rFonts w:ascii="Times New Roman" w:cs="Times New Roman" w:eastAsia="Times New Roman" w:hAnsi="Times New Roman"/>
          <w:sz w:val="14"/>
          <w:szCs w:val="14"/>
          <w:color w:val="0000EE"/>
        </w:rPr>
      </w:pPr>
    </w:p>
    <w:p>
      <w:pPr>
        <w:ind w:left="1060" w:right="359" w:hanging="331"/>
        <w:spacing w:after="0" w:line="252" w:lineRule="auto"/>
        <w:tabs>
          <w:tab w:leader="none" w:pos="10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w:t>
      </w:r>
      <w:hyperlink r:id="rId178">
        <w:r>
          <w:rPr>
            <w:rFonts w:ascii="Times New Roman" w:cs="Times New Roman" w:eastAsia="Times New Roman" w:hAnsi="Times New Roman"/>
            <w:sz w:val="14"/>
            <w:szCs w:val="14"/>
            <w:u w:val="single" w:color="auto"/>
            <w:color w:val="0000EE"/>
          </w:rPr>
          <w:t>Exhibit 4.8</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of our Annual Report on Form 10-K for the year ended December 31, 2023, which updated the description thereof in our Registration Statement on </w:t>
      </w:r>
      <w:hyperlink r:id="rId179">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 No. 001-35207), as filed with the SEC on June 16, 2011, including any amendment or report filed for the purpose of updating such description prior to the termination of the offering of the common stock registered hereby.</w:t>
      </w:r>
    </w:p>
    <w:p>
      <w:pPr>
        <w:spacing w:after="0" w:line="145" w:lineRule="exact"/>
        <w:rPr>
          <w:rFonts w:ascii="Times New Roman" w:cs="Times New Roman" w:eastAsia="Times New Roman" w:hAnsi="Times New Roman"/>
          <w:sz w:val="14"/>
          <w:szCs w:val="14"/>
          <w:color w:val="auto"/>
        </w:rPr>
      </w:pPr>
    </w:p>
    <w:p>
      <w:pPr>
        <w:ind w:left="320" w:right="479" w:firstLine="335"/>
        <w:spacing w:after="0" w:line="305" w:lineRule="auto"/>
        <w:rPr>
          <w:sz w:val="20"/>
          <w:szCs w:val="20"/>
          <w:color w:val="auto"/>
        </w:rPr>
      </w:pPr>
      <w:r>
        <w:rPr>
          <w:rFonts w:ascii="Times New Roman" w:cs="Times New Roman" w:eastAsia="Times New Roman" w:hAnsi="Times New Roman"/>
          <w:sz w:val="13"/>
          <w:szCs w:val="13"/>
          <w:color w:val="auto"/>
        </w:rPr>
        <w:t>To obtain copies of these filings, see “Available Information,” or you may request a copy of these filings (other than exhibits, unless the exhibits are specifically incorporated by reference into these documents) at no cost by writing or calling the following address and telephone number:</w:t>
      </w:r>
    </w:p>
    <w:p>
      <w:pPr>
        <w:spacing w:after="0" w:line="112"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Fidus Investment Corporation</w:t>
      </w:r>
    </w:p>
    <w:p>
      <w:pPr>
        <w:spacing w:after="0" w:line="15"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1603 Orrington Avenue</w:t>
      </w:r>
    </w:p>
    <w:p>
      <w:pPr>
        <w:spacing w:after="0" w:line="3"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Suite 1005, Evanston, Illinois 60201</w:t>
      </w:r>
    </w:p>
    <w:p>
      <w:pPr>
        <w:spacing w:after="0" w:line="3"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(847) 859-3940</w:t>
      </w:r>
    </w:p>
    <w:p>
      <w:pPr>
        <w:spacing w:after="0" w:line="156" w:lineRule="exact"/>
        <w:rPr>
          <w:rFonts w:ascii="Times New Roman" w:cs="Times New Roman" w:eastAsia="Times New Roman" w:hAnsi="Times New Roman"/>
          <w:sz w:val="14"/>
          <w:szCs w:val="14"/>
          <w:color w:val="auto"/>
        </w:rPr>
      </w:pPr>
    </w:p>
    <w:p>
      <w:pPr>
        <w:ind w:left="320" w:right="359" w:firstLine="335"/>
        <w:spacing w:after="0" w:line="250" w:lineRule="auto"/>
        <w:rPr>
          <w:sz w:val="20"/>
          <w:szCs w:val="20"/>
          <w:color w:val="auto"/>
        </w:rPr>
      </w:pPr>
      <w:r>
        <w:rPr>
          <w:rFonts w:ascii="Times New Roman" w:cs="Times New Roman" w:eastAsia="Times New Roman" w:hAnsi="Times New Roman"/>
          <w:sz w:val="14"/>
          <w:szCs w:val="14"/>
          <w:color w:val="auto"/>
        </w:rPr>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w:t>
      </w:r>
    </w:p>
    <w:p>
      <w:pPr>
        <w:spacing w:after="0" w:line="95"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-93-</w:t>
      </w:r>
    </w:p>
    <w:p>
      <w:pPr>
        <w:sectPr>
          <w:pgSz w:w="11900" w:h="16838" w:orient="portrait"/>
          <w:cols w:equalWidth="0" w:num="1">
            <w:col w:w="9019"/>
          </w:cols>
          <w:pgMar w:left="1440" w:top="256" w:right="1440" w:bottom="1440" w:gutter="0" w:footer="0" w:header="0"/>
        </w:sectPr>
      </w:pPr>
    </w:p>
    <w:bookmarkStart w:id="96" w:name="page97"/>
    <w:bookmarkEnd w:id="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7203440" cy="45085"/>
                    </a:xfrm>
                    <a:prstGeom prst="rect">
                      <a:avLst/>
                    </a:prstGeom>
                    <a:noFill/>
                  </pic:spPr>
                </pic:pic>
              </a:graphicData>
            </a:graphic>
          </wp:anchor>
        </w:drawing>
        <w:drawing>
          <wp:anchor simplePos="0" relativeHeight="251657728" behindDoc="1" locked="0" layoutInCell="0" allowOverlap="1">
            <wp:simplePos x="0" y="0"/>
            <wp:positionH relativeFrom="page">
              <wp:posOffset>1116965</wp:posOffset>
            </wp:positionH>
            <wp:positionV relativeFrom="page">
              <wp:posOffset>193040</wp:posOffset>
            </wp:positionV>
            <wp:extent cx="5315585" cy="133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5315585" cy="13335"/>
                    </a:xfrm>
                    <a:prstGeom prst="rect">
                      <a:avLst/>
                    </a:prstGeom>
                    <a:noFill/>
                  </pic:spPr>
                </pic:pic>
              </a:graphicData>
            </a:graphic>
          </wp:anchor>
        </w:drawing>
        <w:drawing>
          <wp:anchor simplePos="0" relativeHeight="251657728" behindDoc="1" locked="0" layoutInCell="0" allowOverlap="1">
            <wp:simplePos x="0" y="0"/>
            <wp:positionH relativeFrom="page">
              <wp:posOffset>1116965</wp:posOffset>
            </wp:positionH>
            <wp:positionV relativeFrom="page">
              <wp:posOffset>232410</wp:posOffset>
            </wp:positionV>
            <wp:extent cx="5315585"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5315585" cy="6350"/>
                    </a:xfrm>
                    <a:prstGeom prst="rect">
                      <a:avLst/>
                    </a:prstGeom>
                    <a:noFill/>
                  </pic:spPr>
                </pic:pic>
              </a:graphicData>
            </a:graphic>
          </wp:anchor>
        </w:drawing>
        <w:drawing>
          <wp:anchor simplePos="0" relativeHeight="251657728" behindDoc="1" locked="0" layoutInCell="0" allowOverlap="1">
            <wp:simplePos x="0" y="0"/>
            <wp:positionH relativeFrom="page">
              <wp:posOffset>3312160</wp:posOffset>
            </wp:positionH>
            <wp:positionV relativeFrom="page">
              <wp:posOffset>740410</wp:posOffset>
            </wp:positionV>
            <wp:extent cx="925195" cy="4692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925195" cy="46926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Subscription Rights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2299970</wp:posOffset>
            </wp:positionH>
            <wp:positionV relativeFrom="paragraph">
              <wp:posOffset>295275</wp:posOffset>
            </wp:positionV>
            <wp:extent cx="112014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1120140" cy="635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February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2299970</wp:posOffset>
            </wp:positionH>
            <wp:positionV relativeFrom="paragraph">
              <wp:posOffset>177165</wp:posOffset>
            </wp:positionV>
            <wp:extent cx="112014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1120140" cy="6350"/>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4065905</wp:posOffset>
            </wp:positionV>
            <wp:extent cx="5315585"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5315585" cy="6350"/>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4117975</wp:posOffset>
            </wp:positionV>
            <wp:extent cx="5315585" cy="133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5315585" cy="133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7203440" cy="45085"/>
                    </a:xfrm>
                    <a:prstGeom prst="rect">
                      <a:avLst/>
                    </a:prstGeom>
                    <a:noFill/>
                  </pic:spPr>
                </pic:pic>
              </a:graphicData>
            </a:graphic>
          </wp:anchor>
        </w:drawing>
        <w:t>FIDUS INVESTMENT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Other Information</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Item 25. Financial Statements and Exhibits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(1) Financial Statements</w:t>
      </w:r>
    </w:p>
    <w:p>
      <w:pPr>
        <w:spacing w:after="0" w:line="89" w:lineRule="exact"/>
        <w:rPr>
          <w:sz w:val="20"/>
          <w:szCs w:val="20"/>
          <w:color w:val="auto"/>
        </w:rPr>
      </w:pPr>
    </w:p>
    <w:p>
      <w:pPr>
        <w:ind w:left="320" w:right="339" w:firstLine="335"/>
        <w:spacing w:after="0" w:line="250" w:lineRule="auto"/>
        <w:rPr>
          <w:sz w:val="20"/>
          <w:szCs w:val="20"/>
          <w:color w:val="auto"/>
        </w:rPr>
      </w:pPr>
      <w:r>
        <w:rPr>
          <w:rFonts w:ascii="Times New Roman" w:cs="Times New Roman" w:eastAsia="Times New Roman" w:hAnsi="Times New Roman"/>
          <w:sz w:val="14"/>
          <w:szCs w:val="14"/>
          <w:color w:val="auto"/>
        </w:rPr>
        <w:t>The consolidated financial statements, including the senior securities table, of the Company as of December 31, 2025 and 2024 and for each of the years in the three-year period ended December 31, 2025 incorporated in this Prospectus by reference from the Company’s Annual Report on Form 10-K for the year ended December 31, 2025 have been audited by RSM US LLP, an independent registered public accounting firm, as stated in their report thereon, incorporated herein by reference, and have been incorporated in this Prospectus and Registration Statement in reliance upon such report and upon the authority of such firm as experts in accounting and auditing.</w:t>
      </w:r>
    </w:p>
    <w:p>
      <w:pPr>
        <w:spacing w:after="0" w:line="224" w:lineRule="exact"/>
        <w:rPr>
          <w:sz w:val="20"/>
          <w:szCs w:val="20"/>
          <w:color w:val="auto"/>
        </w:rPr>
      </w:pPr>
    </w:p>
    <w:tbl>
      <w:tblPr>
        <w:tblLayout w:type="fixed"/>
        <w:tblInd w:w="320" w:type="dxa"/>
        <w:tblCellMar>
          <w:top w:w="0" w:type="dxa"/>
          <w:left w:w="0" w:type="dxa"/>
          <w:bottom w:w="0" w:type="dxa"/>
          <w:right w:w="0" w:type="dxa"/>
        </w:tblCellMar>
      </w:tblPr>
      <w:tr>
        <w:trPr>
          <w:trHeight w:val="180"/>
        </w:trPr>
        <w:tc>
          <w:tcPr>
            <w:tcW w:w="1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 Exhibits</w:t>
            </w:r>
          </w:p>
        </w:tc>
        <w:tc>
          <w:tcPr>
            <w:tcW w:w="6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19"/>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(a)(1)</w:t>
            </w:r>
          </w:p>
        </w:tc>
        <w:tc>
          <w:tcPr>
            <w:tcW w:w="7180" w:type="dxa"/>
            <w:vAlign w:val="bottom"/>
            <w:gridSpan w:val="6"/>
          </w:tcPr>
          <w:p>
            <w:pPr>
              <w:spacing w:after="0"/>
              <w:rPr>
                <w:rFonts w:ascii="Times New Roman" w:cs="Times New Roman" w:eastAsia="Times New Roman" w:hAnsi="Times New Roman"/>
                <w:sz w:val="14"/>
                <w:szCs w:val="14"/>
                <w:color w:val="0000EE"/>
              </w:rPr>
            </w:pPr>
            <w:hyperlink r:id="rId189">
              <w:r>
                <w:rPr>
                  <w:rFonts w:ascii="Times New Roman" w:cs="Times New Roman" w:eastAsia="Times New Roman" w:hAnsi="Times New Roman"/>
                  <w:sz w:val="14"/>
                  <w:szCs w:val="14"/>
                  <w:color w:val="0000EE"/>
                </w:rPr>
                <w:t>Articles of Amendment and Restatement of the Registrant (Filed as Exhibit (a)(1) to Pre-Effective Amendment No. 2 to the</w:t>
              </w:r>
            </w:hyperlink>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38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4"/>
        </w:trPr>
        <w:tc>
          <w:tcPr>
            <w:tcW w:w="1120" w:type="dxa"/>
            <w:vAlign w:val="bottom"/>
          </w:tcPr>
          <w:p>
            <w:pPr>
              <w:spacing w:after="0"/>
              <w:rPr>
                <w:sz w:val="12"/>
                <w:szCs w:val="12"/>
                <w:color w:val="auto"/>
              </w:rPr>
            </w:pPr>
          </w:p>
        </w:tc>
        <w:tc>
          <w:tcPr>
            <w:tcW w:w="7000" w:type="dxa"/>
            <w:vAlign w:val="bottom"/>
            <w:tcBorders>
              <w:bottom w:val="single" w:sz="8" w:color="0000EE"/>
            </w:tcBorders>
            <w:gridSpan w:val="4"/>
          </w:tcPr>
          <w:p>
            <w:pPr>
              <w:spacing w:after="0" w:line="144" w:lineRule="exact"/>
              <w:rPr>
                <w:rFonts w:ascii="Times New Roman" w:cs="Times New Roman" w:eastAsia="Times New Roman" w:hAnsi="Times New Roman"/>
                <w:sz w:val="14"/>
                <w:szCs w:val="14"/>
                <w:color w:val="0000EE"/>
                <w:w w:val="97"/>
              </w:rPr>
            </w:pPr>
            <w:hyperlink r:id="rId189">
              <w:r>
                <w:rPr>
                  <w:rFonts w:ascii="Times New Roman" w:cs="Times New Roman" w:eastAsia="Times New Roman" w:hAnsi="Times New Roman"/>
                  <w:sz w:val="14"/>
                  <w:szCs w:val="14"/>
                  <w:color w:val="0000EE"/>
                  <w:w w:val="97"/>
                </w:rPr>
                <w:t>Registrant’s Registration Statement on Form N-2 (File No. 333-172550) filed with the Securities and Exchange Commission on</w:t>
              </w:r>
            </w:hyperlink>
          </w:p>
        </w:tc>
        <w:tc>
          <w:tcPr>
            <w:tcW w:w="180" w:type="dxa"/>
            <w:vAlign w:val="bottom"/>
            <w:gridSpan w:val="2"/>
          </w:tcPr>
          <w:p>
            <w:pPr>
              <w:spacing w:after="0"/>
              <w:rPr>
                <w:sz w:val="12"/>
                <w:szCs w:val="12"/>
                <w:color w:val="auto"/>
              </w:rPr>
            </w:pPr>
          </w:p>
        </w:tc>
      </w:tr>
      <w:tr>
        <w:trPr>
          <w:trHeight w:val="144"/>
        </w:trPr>
        <w:tc>
          <w:tcPr>
            <w:tcW w:w="1120" w:type="dxa"/>
            <w:vAlign w:val="bottom"/>
          </w:tcPr>
          <w:p>
            <w:pPr>
              <w:spacing w:after="0"/>
              <w:rPr>
                <w:sz w:val="12"/>
                <w:szCs w:val="12"/>
                <w:color w:val="auto"/>
              </w:rPr>
            </w:pPr>
          </w:p>
        </w:tc>
        <w:tc>
          <w:tcPr>
            <w:tcW w:w="7180" w:type="dxa"/>
            <w:vAlign w:val="bottom"/>
            <w:gridSpan w:val="6"/>
          </w:tcPr>
          <w:p>
            <w:pPr>
              <w:spacing w:after="0" w:line="144" w:lineRule="exact"/>
              <w:rPr>
                <w:rFonts w:ascii="Times New Roman" w:cs="Times New Roman" w:eastAsia="Times New Roman" w:hAnsi="Times New Roman"/>
                <w:sz w:val="14"/>
                <w:szCs w:val="14"/>
                <w:color w:val="0000EE"/>
              </w:rPr>
            </w:pPr>
            <w:hyperlink r:id="rId189">
              <w:r>
                <w:rPr>
                  <w:rFonts w:ascii="Times New Roman" w:cs="Times New Roman" w:eastAsia="Times New Roman" w:hAnsi="Times New Roman"/>
                  <w:sz w:val="14"/>
                  <w:szCs w:val="14"/>
                  <w:color w:val="0000EE"/>
                </w:rPr>
                <w:t>April 29, 2011 and incorporated herein by reference).</w:t>
              </w:r>
            </w:hyperlink>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6"/>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(b)(1)</w:t>
            </w:r>
          </w:p>
        </w:tc>
        <w:tc>
          <w:tcPr>
            <w:tcW w:w="7100" w:type="dxa"/>
            <w:vAlign w:val="bottom"/>
            <w:tcBorders>
              <w:bottom w:val="single" w:sz="8" w:color="0000EE"/>
            </w:tcBorders>
            <w:gridSpan w:val="5"/>
          </w:tcPr>
          <w:p>
            <w:pPr>
              <w:spacing w:after="0"/>
              <w:rPr>
                <w:rFonts w:ascii="Times New Roman" w:cs="Times New Roman" w:eastAsia="Times New Roman" w:hAnsi="Times New Roman"/>
                <w:sz w:val="14"/>
                <w:szCs w:val="14"/>
                <w:color w:val="0000EE"/>
                <w:w w:val="97"/>
              </w:rPr>
            </w:pPr>
            <w:hyperlink r:id="rId190">
              <w:r>
                <w:rPr>
                  <w:rFonts w:ascii="Times New Roman" w:cs="Times New Roman" w:eastAsia="Times New Roman" w:hAnsi="Times New Roman"/>
                  <w:sz w:val="14"/>
                  <w:szCs w:val="14"/>
                  <w:color w:val="0000EE"/>
                  <w:w w:val="97"/>
                </w:rPr>
                <w:t>Bylaws of the Registrant (Filed as Exhibit (b)(1) to Pre-Effective Amendment No. 2 to the Registrant’s Registration Statement on</w:t>
              </w:r>
            </w:hyperlink>
          </w:p>
        </w:tc>
        <w:tc>
          <w:tcPr>
            <w:tcW w:w="80" w:type="dxa"/>
            <w:vAlign w:val="bottom"/>
          </w:tcPr>
          <w:p>
            <w:pPr>
              <w:spacing w:after="0"/>
              <w:rPr>
                <w:sz w:val="19"/>
                <w:szCs w:val="19"/>
                <w:color w:val="auto"/>
              </w:rPr>
            </w:pPr>
          </w:p>
        </w:tc>
      </w:tr>
      <w:tr>
        <w:trPr>
          <w:trHeight w:val="144"/>
        </w:trPr>
        <w:tc>
          <w:tcPr>
            <w:tcW w:w="1120" w:type="dxa"/>
            <w:vAlign w:val="bottom"/>
          </w:tcPr>
          <w:p>
            <w:pPr>
              <w:spacing w:after="0"/>
              <w:rPr>
                <w:sz w:val="12"/>
                <w:szCs w:val="12"/>
                <w:color w:val="auto"/>
              </w:rPr>
            </w:pPr>
          </w:p>
        </w:tc>
        <w:tc>
          <w:tcPr>
            <w:tcW w:w="7180" w:type="dxa"/>
            <w:vAlign w:val="bottom"/>
            <w:tcBorders>
              <w:bottom w:val="single" w:sz="8" w:color="0000EE"/>
            </w:tcBorders>
            <w:gridSpan w:val="6"/>
          </w:tcPr>
          <w:p>
            <w:pPr>
              <w:spacing w:after="0" w:line="144" w:lineRule="exact"/>
              <w:rPr>
                <w:rFonts w:ascii="Times New Roman" w:cs="Times New Roman" w:eastAsia="Times New Roman" w:hAnsi="Times New Roman"/>
                <w:sz w:val="14"/>
                <w:szCs w:val="14"/>
                <w:color w:val="0000EE"/>
                <w:w w:val="97"/>
              </w:rPr>
            </w:pPr>
            <w:hyperlink r:id="rId190">
              <w:r>
                <w:rPr>
                  <w:rFonts w:ascii="Times New Roman" w:cs="Times New Roman" w:eastAsia="Times New Roman" w:hAnsi="Times New Roman"/>
                  <w:sz w:val="14"/>
                  <w:szCs w:val="14"/>
                  <w:color w:val="0000EE"/>
                  <w:w w:val="97"/>
                </w:rPr>
                <w:t>Form N-2 (File No. 333-172550) filed with the Securities and Exchange Commission on April 29, 2011 and incorporated herein by</w:t>
              </w:r>
            </w:hyperlink>
          </w:p>
        </w:tc>
      </w:tr>
      <w:tr>
        <w:trPr>
          <w:trHeight w:val="144"/>
        </w:trPr>
        <w:tc>
          <w:tcPr>
            <w:tcW w:w="1120" w:type="dxa"/>
            <w:vAlign w:val="bottom"/>
          </w:tcPr>
          <w:p>
            <w:pPr>
              <w:spacing w:after="0"/>
              <w:rPr>
                <w:sz w:val="12"/>
                <w:szCs w:val="12"/>
                <w:color w:val="auto"/>
              </w:rPr>
            </w:pPr>
          </w:p>
        </w:tc>
        <w:tc>
          <w:tcPr>
            <w:tcW w:w="600" w:type="dxa"/>
            <w:vAlign w:val="bottom"/>
            <w:tcBorders>
              <w:bottom w:val="single" w:sz="8" w:color="0000EE"/>
            </w:tcBorders>
          </w:tcPr>
          <w:p>
            <w:pPr>
              <w:spacing w:after="0" w:line="144" w:lineRule="exact"/>
              <w:rPr>
                <w:rFonts w:ascii="Times New Roman" w:cs="Times New Roman" w:eastAsia="Times New Roman" w:hAnsi="Times New Roman"/>
                <w:sz w:val="14"/>
                <w:szCs w:val="14"/>
                <w:color w:val="0000EE"/>
                <w:w w:val="96"/>
              </w:rPr>
            </w:pPr>
            <w:hyperlink r:id="rId190">
              <w:r>
                <w:rPr>
                  <w:rFonts w:ascii="Times New Roman" w:cs="Times New Roman" w:eastAsia="Times New Roman" w:hAnsi="Times New Roman"/>
                  <w:sz w:val="14"/>
                  <w:szCs w:val="14"/>
                  <w:color w:val="0000EE"/>
                  <w:w w:val="96"/>
                </w:rPr>
                <w:t>reference).</w:t>
              </w:r>
            </w:hyperlink>
          </w:p>
        </w:tc>
        <w:tc>
          <w:tcPr>
            <w:tcW w:w="6580" w:type="dxa"/>
            <w:vAlign w:val="bottom"/>
            <w:gridSpan w:val="5"/>
          </w:tcPr>
          <w:p>
            <w:pPr>
              <w:spacing w:after="0"/>
              <w:rPr>
                <w:sz w:val="12"/>
                <w:szCs w:val="12"/>
                <w:color w:val="auto"/>
              </w:rPr>
            </w:pPr>
          </w:p>
        </w:tc>
      </w:tr>
    </w:tbl>
    <w:p>
      <w:pPr>
        <w:spacing w:after="0" w:line="90" w:lineRule="exact"/>
        <w:rPr>
          <w:sz w:val="20"/>
          <w:szCs w:val="20"/>
          <w:color w:val="auto"/>
        </w:rPr>
      </w:pPr>
    </w:p>
    <w:p>
      <w:pPr>
        <w:ind w:left="1440" w:hanging="1121"/>
        <w:spacing w:after="0"/>
        <w:tabs>
          <w:tab w:leader="none" w:pos="14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pacing w:after="0" w:line="70"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(d)(1)</w:t>
            </w:r>
          </w:p>
        </w:tc>
        <w:tc>
          <w:tcPr>
            <w:tcW w:w="7180" w:type="dxa"/>
            <w:vAlign w:val="bottom"/>
            <w:tcBorders>
              <w:bottom w:val="single" w:sz="8" w:color="0000EE"/>
            </w:tcBorders>
            <w:gridSpan w:val="17"/>
          </w:tcPr>
          <w:p>
            <w:pPr>
              <w:spacing w:after="0"/>
              <w:rPr>
                <w:rFonts w:ascii="Times New Roman" w:cs="Times New Roman" w:eastAsia="Times New Roman" w:hAnsi="Times New Roman"/>
                <w:sz w:val="14"/>
                <w:szCs w:val="14"/>
                <w:color w:val="0000EE"/>
                <w:w w:val="97"/>
              </w:rPr>
            </w:pPr>
            <w:hyperlink r:id="rId191">
              <w:r>
                <w:rPr>
                  <w:rFonts w:ascii="Times New Roman" w:cs="Times New Roman" w:eastAsia="Times New Roman" w:hAnsi="Times New Roman"/>
                  <w:sz w:val="14"/>
                  <w:szCs w:val="14"/>
                  <w:color w:val="0000EE"/>
                  <w:w w:val="97"/>
                </w:rPr>
                <w:t>Form of Stock Certificate of the Registrant (Filed as Exhibit (d) to Pre-Effective Amendment No. 2 to the Registrant’s Registration</w:t>
              </w:r>
            </w:hyperlink>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6680" w:type="dxa"/>
            <w:vAlign w:val="bottom"/>
            <w:tcBorders>
              <w:bottom w:val="single" w:sz="8" w:color="0000EE"/>
            </w:tcBorders>
            <w:gridSpan w:val="11"/>
          </w:tcPr>
          <w:p>
            <w:pPr>
              <w:spacing w:after="0" w:line="144" w:lineRule="exact"/>
              <w:rPr>
                <w:rFonts w:ascii="Times New Roman" w:cs="Times New Roman" w:eastAsia="Times New Roman" w:hAnsi="Times New Roman"/>
                <w:sz w:val="14"/>
                <w:szCs w:val="14"/>
                <w:color w:val="0000EE"/>
                <w:w w:val="97"/>
              </w:rPr>
            </w:pPr>
            <w:hyperlink r:id="rId191">
              <w:r>
                <w:rPr>
                  <w:rFonts w:ascii="Times New Roman" w:cs="Times New Roman" w:eastAsia="Times New Roman" w:hAnsi="Times New Roman"/>
                  <w:sz w:val="14"/>
                  <w:szCs w:val="14"/>
                  <w:color w:val="0000EE"/>
                  <w:w w:val="97"/>
                </w:rPr>
                <w:t>Statement on Form N-2 (File No. 333-172550) filed with the Securities and Exchange Commission on April 29, 2011 and</w:t>
              </w:r>
            </w:hyperlink>
          </w:p>
        </w:tc>
        <w:tc>
          <w:tcPr>
            <w:tcW w:w="50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1880" w:type="dxa"/>
            <w:vAlign w:val="bottom"/>
            <w:tcBorders>
              <w:bottom w:val="single" w:sz="8" w:color="0000EE"/>
            </w:tcBorders>
            <w:gridSpan w:val="4"/>
          </w:tcPr>
          <w:p>
            <w:pPr>
              <w:spacing w:after="0" w:line="144" w:lineRule="exact"/>
              <w:rPr>
                <w:rFonts w:ascii="Times New Roman" w:cs="Times New Roman" w:eastAsia="Times New Roman" w:hAnsi="Times New Roman"/>
                <w:sz w:val="14"/>
                <w:szCs w:val="14"/>
                <w:color w:val="0000EE"/>
                <w:w w:val="97"/>
              </w:rPr>
            </w:pPr>
            <w:hyperlink r:id="rId191">
              <w:r>
                <w:rPr>
                  <w:rFonts w:ascii="Times New Roman" w:cs="Times New Roman" w:eastAsia="Times New Roman" w:hAnsi="Times New Roman"/>
                  <w:sz w:val="14"/>
                  <w:szCs w:val="14"/>
                  <w:color w:val="0000EE"/>
                  <w:w w:val="97"/>
                </w:rPr>
                <w:t>incorporated herein by reference).</w:t>
              </w:r>
            </w:hyperlink>
          </w:p>
        </w:tc>
        <w:tc>
          <w:tcPr>
            <w:tcW w:w="530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(d)(2)</w:t>
            </w:r>
          </w:p>
        </w:tc>
        <w:tc>
          <w:tcPr>
            <w:tcW w:w="7140" w:type="dxa"/>
            <w:vAlign w:val="bottom"/>
            <w:tcBorders>
              <w:bottom w:val="single" w:sz="8" w:color="0000EE"/>
            </w:tcBorders>
            <w:gridSpan w:val="16"/>
          </w:tcPr>
          <w:p>
            <w:pPr>
              <w:spacing w:after="0"/>
              <w:rPr>
                <w:rFonts w:ascii="Times New Roman" w:cs="Times New Roman" w:eastAsia="Times New Roman" w:hAnsi="Times New Roman"/>
                <w:sz w:val="14"/>
                <w:szCs w:val="14"/>
                <w:color w:val="0000EE"/>
                <w:w w:val="97"/>
              </w:rPr>
            </w:pPr>
            <w:hyperlink r:id="rId192">
              <w:r>
                <w:rPr>
                  <w:rFonts w:ascii="Times New Roman" w:cs="Times New Roman" w:eastAsia="Times New Roman" w:hAnsi="Times New Roman"/>
                  <w:sz w:val="14"/>
                  <w:szCs w:val="14"/>
                  <w:color w:val="0000EE"/>
                  <w:w w:val="97"/>
                </w:rPr>
                <w:t>Form of Indenture (Filed as Exhibit (d)(5) to Post-Effective Amendment No. 2 to the Registrant’s Registration Statement on Form</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7180" w:type="dxa"/>
            <w:vAlign w:val="bottom"/>
            <w:gridSpan w:val="17"/>
          </w:tcPr>
          <w:p>
            <w:pPr>
              <w:spacing w:after="0" w:line="144" w:lineRule="exact"/>
              <w:rPr>
                <w:rFonts w:ascii="Times New Roman" w:cs="Times New Roman" w:eastAsia="Times New Roman" w:hAnsi="Times New Roman"/>
                <w:sz w:val="14"/>
                <w:szCs w:val="14"/>
                <w:color w:val="0000EE"/>
              </w:rPr>
            </w:pPr>
            <w:hyperlink r:id="rId192">
              <w:r>
                <w:rPr>
                  <w:rFonts w:ascii="Times New Roman" w:cs="Times New Roman" w:eastAsia="Times New Roman" w:hAnsi="Times New Roman"/>
                  <w:sz w:val="14"/>
                  <w:szCs w:val="14"/>
                  <w:color w:val="0000EE"/>
                </w:rPr>
                <w:t>N-2 (File No. 333-202531) filed with the Securities and Exchange Commission on April 29, 2016 and incorporated herein by</w:t>
              </w:r>
            </w:hyperlink>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600" w:type="dxa"/>
            <w:vAlign w:val="bottom"/>
            <w:tcBorders>
              <w:top w:val="single" w:sz="8" w:color="0000EE"/>
              <w:bottom w:val="single" w:sz="8" w:color="0000EE"/>
            </w:tcBorders>
            <w:gridSpan w:val="2"/>
          </w:tcPr>
          <w:p>
            <w:pPr>
              <w:spacing w:after="0" w:line="144" w:lineRule="exact"/>
              <w:rPr>
                <w:rFonts w:ascii="Times New Roman" w:cs="Times New Roman" w:eastAsia="Times New Roman" w:hAnsi="Times New Roman"/>
                <w:sz w:val="14"/>
                <w:szCs w:val="14"/>
                <w:color w:val="0000EE"/>
                <w:w w:val="96"/>
              </w:rPr>
            </w:pPr>
            <w:hyperlink r:id="rId192">
              <w:r>
                <w:rPr>
                  <w:rFonts w:ascii="Times New Roman" w:cs="Times New Roman" w:eastAsia="Times New Roman" w:hAnsi="Times New Roman"/>
                  <w:sz w:val="14"/>
                  <w:szCs w:val="14"/>
                  <w:color w:val="0000EE"/>
                  <w:w w:val="96"/>
                </w:rPr>
                <w:t>reference).</w:t>
              </w:r>
            </w:hyperlink>
          </w:p>
        </w:tc>
        <w:tc>
          <w:tcPr>
            <w:tcW w:w="6260" w:type="dxa"/>
            <w:vAlign w:val="bottom"/>
            <w:tcBorders>
              <w:top w:val="single" w:sz="8" w:color="0000EE"/>
            </w:tcBorders>
            <w:gridSpan w:val="11"/>
          </w:tcPr>
          <w:p>
            <w:pPr>
              <w:spacing w:after="0"/>
              <w:rPr>
                <w:sz w:val="12"/>
                <w:szCs w:val="12"/>
                <w:color w:val="auto"/>
              </w:rPr>
            </w:pPr>
          </w:p>
        </w:tc>
        <w:tc>
          <w:tcPr>
            <w:tcW w:w="32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(d)(3)</w:t>
            </w:r>
          </w:p>
        </w:tc>
        <w:tc>
          <w:tcPr>
            <w:tcW w:w="26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color w:val="0000EE"/>
                <w:w w:val="96"/>
              </w:rPr>
              <w:t>Statement of Eligibility of Trustee on Form T-1.</w:t>
            </w:r>
          </w:p>
        </w:tc>
        <w:tc>
          <w:tcPr>
            <w:tcW w:w="12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0"/>
                <w:szCs w:val="10"/>
                <w:color w:val="0000EE"/>
                <w:w w:val="85"/>
              </w:rPr>
              <w:t>(1)</w:t>
            </w:r>
          </w:p>
        </w:tc>
        <w:tc>
          <w:tcPr>
            <w:tcW w:w="1720" w:type="dxa"/>
            <w:vAlign w:val="bottom"/>
            <w:vMerge w:val="restart"/>
          </w:tcPr>
          <w:p>
            <w:pPr>
              <w:spacing w:after="0"/>
              <w:rPr>
                <w:sz w:val="16"/>
                <w:szCs w:val="16"/>
                <w:color w:val="auto"/>
              </w:rPr>
            </w:pPr>
          </w:p>
        </w:tc>
        <w:tc>
          <w:tcPr>
            <w:tcW w:w="1340" w:type="dxa"/>
            <w:vAlign w:val="bottom"/>
            <w:vMerge w:val="restart"/>
          </w:tcPr>
          <w:p>
            <w:pPr>
              <w:spacing w:after="0"/>
              <w:rPr>
                <w:sz w:val="16"/>
                <w:szCs w:val="16"/>
                <w:color w:val="auto"/>
              </w:rPr>
            </w:pPr>
          </w:p>
        </w:tc>
        <w:tc>
          <w:tcPr>
            <w:tcW w:w="840" w:type="dxa"/>
            <w:vAlign w:val="bottom"/>
            <w:vMerge w:val="restart"/>
          </w:tcPr>
          <w:p>
            <w:pPr>
              <w:spacing w:after="0"/>
              <w:rPr>
                <w:sz w:val="16"/>
                <w:szCs w:val="16"/>
                <w:color w:val="auto"/>
              </w:rPr>
            </w:pPr>
          </w:p>
        </w:tc>
        <w:tc>
          <w:tcPr>
            <w:tcW w:w="120" w:type="dxa"/>
            <w:vAlign w:val="bottom"/>
            <w:gridSpan w:val="2"/>
            <w:vMerge w:val="restart"/>
          </w:tcPr>
          <w:p>
            <w:pPr>
              <w:spacing w:after="0"/>
              <w:rPr>
                <w:sz w:val="16"/>
                <w:szCs w:val="16"/>
                <w:color w:val="auto"/>
              </w:rPr>
            </w:pPr>
          </w:p>
        </w:tc>
        <w:tc>
          <w:tcPr>
            <w:tcW w:w="180" w:type="dxa"/>
            <w:vAlign w:val="bottom"/>
            <w:gridSpan w:val="2"/>
            <w:vMerge w:val="restart"/>
          </w:tcPr>
          <w:p>
            <w:pPr>
              <w:spacing w:after="0"/>
              <w:rPr>
                <w:sz w:val="16"/>
                <w:szCs w:val="16"/>
                <w:color w:val="auto"/>
              </w:rPr>
            </w:pPr>
          </w:p>
        </w:tc>
        <w:tc>
          <w:tcPr>
            <w:tcW w:w="16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vMerge w:val="continue"/>
          </w:tcPr>
          <w:p>
            <w:pPr>
              <w:spacing w:after="0" w:line="20" w:lineRule="exact"/>
              <w:rPr>
                <w:sz w:val="1"/>
                <w:szCs w:val="1"/>
                <w:color w:val="auto"/>
              </w:rPr>
            </w:pPr>
          </w:p>
        </w:tc>
        <w:tc>
          <w:tcPr>
            <w:tcW w:w="2640" w:type="dxa"/>
            <w:vAlign w:val="bottom"/>
            <w:tcBorders>
              <w:bottom w:val="single" w:sz="8" w:color="0000EE"/>
            </w:tcBorders>
            <w:gridSpan w:val="5"/>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134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(d)(4)</w:t>
            </w:r>
          </w:p>
        </w:tc>
        <w:tc>
          <w:tcPr>
            <w:tcW w:w="7180" w:type="dxa"/>
            <w:vAlign w:val="bottom"/>
            <w:gridSpan w:val="17"/>
          </w:tcPr>
          <w:p>
            <w:pPr>
              <w:spacing w:after="0"/>
              <w:rPr>
                <w:rFonts w:ascii="Times New Roman" w:cs="Times New Roman" w:eastAsia="Times New Roman" w:hAnsi="Times New Roman"/>
                <w:sz w:val="14"/>
                <w:szCs w:val="14"/>
                <w:color w:val="0000EE"/>
              </w:rPr>
            </w:pPr>
            <w:hyperlink r:id="rId193">
              <w:r>
                <w:rPr>
                  <w:rFonts w:ascii="Times New Roman" w:cs="Times New Roman" w:eastAsia="Times New Roman" w:hAnsi="Times New Roman"/>
                  <w:sz w:val="14"/>
                  <w:szCs w:val="14"/>
                  <w:color w:val="0000EE"/>
                </w:rPr>
                <w:t>Fifth Supplemental Indenture dated as of October 8, 2021 between Fidus Investment Corporation and U.S. Bank National</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620" w:type="dxa"/>
            <w:vAlign w:val="bottom"/>
            <w:gridSpan w:val="5"/>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120" w:type="dxa"/>
            <w:vAlign w:val="bottom"/>
          </w:tcPr>
          <w:p>
            <w:pPr>
              <w:spacing w:after="0"/>
              <w:rPr>
                <w:sz w:val="12"/>
                <w:szCs w:val="12"/>
                <w:color w:val="auto"/>
              </w:rPr>
            </w:pPr>
          </w:p>
        </w:tc>
        <w:tc>
          <w:tcPr>
            <w:tcW w:w="7180" w:type="dxa"/>
            <w:vAlign w:val="bottom"/>
            <w:gridSpan w:val="17"/>
          </w:tcPr>
          <w:p>
            <w:pPr>
              <w:spacing w:after="0" w:line="144" w:lineRule="exact"/>
              <w:rPr>
                <w:rFonts w:ascii="Times New Roman" w:cs="Times New Roman" w:eastAsia="Times New Roman" w:hAnsi="Times New Roman"/>
                <w:sz w:val="14"/>
                <w:szCs w:val="14"/>
                <w:color w:val="0000EE"/>
              </w:rPr>
            </w:pPr>
            <w:hyperlink r:id="rId193">
              <w:r>
                <w:rPr>
                  <w:rFonts w:ascii="Times New Roman" w:cs="Times New Roman" w:eastAsia="Times New Roman" w:hAnsi="Times New Roman"/>
                  <w:sz w:val="14"/>
                  <w:szCs w:val="14"/>
                  <w:color w:val="0000EE"/>
                </w:rPr>
                <w:t>Association, as trustee (Filed as Exhibit 4.1 to the Registrant’s current report on Form 8-K filed with the U.S. Securities and</w:t>
              </w:r>
            </w:hyperlink>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6780" w:type="dxa"/>
            <w:vAlign w:val="bottom"/>
            <w:tcBorders>
              <w:top w:val="single" w:sz="8" w:color="0000EE"/>
            </w:tcBorders>
            <w:gridSpan w:val="12"/>
          </w:tcPr>
          <w:p>
            <w:pPr>
              <w:spacing w:after="0" w:line="144" w:lineRule="exact"/>
              <w:rPr>
                <w:rFonts w:ascii="Times New Roman" w:cs="Times New Roman" w:eastAsia="Times New Roman" w:hAnsi="Times New Roman"/>
                <w:sz w:val="14"/>
                <w:szCs w:val="14"/>
                <w:color w:val="0000EE"/>
              </w:rPr>
            </w:pPr>
            <w:hyperlink r:id="rId193">
              <w:r>
                <w:rPr>
                  <w:rFonts w:ascii="Times New Roman" w:cs="Times New Roman" w:eastAsia="Times New Roman" w:hAnsi="Times New Roman"/>
                  <w:sz w:val="14"/>
                  <w:szCs w:val="14"/>
                  <w:color w:val="0000EE"/>
                </w:rPr>
                <w:t>Exchange Commission on October 8, 2021 and incorporated herein by reference).</w:t>
              </w:r>
            </w:hyperlink>
          </w:p>
        </w:tc>
        <w:tc>
          <w:tcPr>
            <w:tcW w:w="4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620" w:type="dxa"/>
            <w:vAlign w:val="bottom"/>
            <w:gridSpan w:val="5"/>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(d)(5)</w:t>
            </w:r>
          </w:p>
        </w:tc>
        <w:tc>
          <w:tcPr>
            <w:tcW w:w="7180" w:type="dxa"/>
            <w:vAlign w:val="bottom"/>
            <w:gridSpan w:val="17"/>
          </w:tcPr>
          <w:p>
            <w:pPr>
              <w:spacing w:after="0"/>
              <w:rPr>
                <w:rFonts w:ascii="Times New Roman" w:cs="Times New Roman" w:eastAsia="Times New Roman" w:hAnsi="Times New Roman"/>
                <w:sz w:val="14"/>
                <w:szCs w:val="14"/>
                <w:color w:val="0000EE"/>
              </w:rPr>
            </w:pPr>
            <w:hyperlink r:id="rId193">
              <w:r>
                <w:rPr>
                  <w:rFonts w:ascii="Times New Roman" w:cs="Times New Roman" w:eastAsia="Times New Roman" w:hAnsi="Times New Roman"/>
                  <w:sz w:val="14"/>
                  <w:szCs w:val="14"/>
                  <w:color w:val="0000EE"/>
                </w:rPr>
                <w:t>Form of 3.50% Notes due 2026 (Incorporated by reference to Exhibit (d)(4) hereto and Exhibit A therein).</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960" w:type="dxa"/>
            <w:vAlign w:val="bottom"/>
            <w:gridSpan w:val="6"/>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(d)(6)</w:t>
            </w:r>
          </w:p>
        </w:tc>
        <w:tc>
          <w:tcPr>
            <w:tcW w:w="696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w w:val="97"/>
              </w:rPr>
            </w:pPr>
            <w:hyperlink r:id="rId194">
              <w:r>
                <w:rPr>
                  <w:rFonts w:ascii="Times New Roman" w:cs="Times New Roman" w:eastAsia="Times New Roman" w:hAnsi="Times New Roman"/>
                  <w:sz w:val="14"/>
                  <w:szCs w:val="14"/>
                  <w:color w:val="0000EE"/>
                  <w:w w:val="97"/>
                </w:rPr>
                <w:t>Sixth Supplemental Indenture, dated as of March 19, 2025, by and between Fidus Investment Corporation and U.S. Bank Trust</w:t>
              </w:r>
            </w:hyperlink>
          </w:p>
        </w:tc>
        <w:tc>
          <w:tcPr>
            <w:tcW w:w="22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7180" w:type="dxa"/>
            <w:vAlign w:val="bottom"/>
            <w:gridSpan w:val="17"/>
          </w:tcPr>
          <w:p>
            <w:pPr>
              <w:spacing w:after="0" w:line="144" w:lineRule="exact"/>
              <w:rPr>
                <w:rFonts w:ascii="Times New Roman" w:cs="Times New Roman" w:eastAsia="Times New Roman" w:hAnsi="Times New Roman"/>
                <w:sz w:val="14"/>
                <w:szCs w:val="14"/>
                <w:color w:val="0000EE"/>
                <w:w w:val="98"/>
              </w:rPr>
            </w:pPr>
            <w:hyperlink r:id="rId194">
              <w:r>
                <w:rPr>
                  <w:rFonts w:ascii="Times New Roman" w:cs="Times New Roman" w:eastAsia="Times New Roman" w:hAnsi="Times New Roman"/>
                  <w:sz w:val="14"/>
                  <w:szCs w:val="14"/>
                  <w:color w:val="0000EE"/>
                  <w:w w:val="98"/>
                </w:rPr>
                <w:t>Company, National Association (as successor in interest to U.S. Bank National Association), as trustee (Filed as Exhibit 4.2 to the</w:t>
              </w:r>
            </w:hyperlink>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7120" w:type="dxa"/>
            <w:vAlign w:val="bottom"/>
            <w:tcBorders>
              <w:top w:val="single" w:sz="8" w:color="0000EE"/>
            </w:tcBorders>
            <w:gridSpan w:val="15"/>
          </w:tcPr>
          <w:p>
            <w:pPr>
              <w:spacing w:after="0" w:line="144" w:lineRule="exact"/>
              <w:rPr>
                <w:rFonts w:ascii="Times New Roman" w:cs="Times New Roman" w:eastAsia="Times New Roman" w:hAnsi="Times New Roman"/>
                <w:sz w:val="14"/>
                <w:szCs w:val="14"/>
                <w:color w:val="0000EE"/>
              </w:rPr>
            </w:pPr>
            <w:hyperlink r:id="rId194">
              <w:r>
                <w:rPr>
                  <w:rFonts w:ascii="Times New Roman" w:cs="Times New Roman" w:eastAsia="Times New Roman" w:hAnsi="Times New Roman"/>
                  <w:sz w:val="14"/>
                  <w:szCs w:val="14"/>
                  <w:color w:val="0000EE"/>
                </w:rPr>
                <w:t>Registrant’s current report on Form 8-K filed with the U.S. Securities and Exchange Commission on March 19, 2025 and</w:t>
              </w:r>
            </w:hyperlink>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6660" w:type="dxa"/>
            <w:vAlign w:val="bottom"/>
            <w:tcBorders>
              <w:top w:val="single" w:sz="8" w:color="0000EE"/>
            </w:tcBorders>
            <w:gridSpan w:val="10"/>
          </w:tcPr>
          <w:p>
            <w:pPr>
              <w:spacing w:after="0" w:line="144" w:lineRule="exact"/>
              <w:rPr>
                <w:rFonts w:ascii="Times New Roman" w:cs="Times New Roman" w:eastAsia="Times New Roman" w:hAnsi="Times New Roman"/>
                <w:sz w:val="14"/>
                <w:szCs w:val="14"/>
                <w:color w:val="0000EE"/>
              </w:rPr>
            </w:pPr>
            <w:hyperlink r:id="rId194">
              <w:r>
                <w:rPr>
                  <w:rFonts w:ascii="Times New Roman" w:cs="Times New Roman" w:eastAsia="Times New Roman" w:hAnsi="Times New Roman"/>
                  <w:sz w:val="14"/>
                  <w:szCs w:val="14"/>
                  <w:color w:val="0000EE"/>
                </w:rPr>
                <w:t>incorporated herein by reference).</w:t>
              </w:r>
            </w:hyperlink>
          </w:p>
        </w:tc>
        <w:tc>
          <w:tcPr>
            <w:tcW w:w="52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28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(d)(7)</w:t>
            </w:r>
          </w:p>
        </w:tc>
        <w:tc>
          <w:tcPr>
            <w:tcW w:w="7180" w:type="dxa"/>
            <w:vAlign w:val="bottom"/>
            <w:gridSpan w:val="17"/>
          </w:tcPr>
          <w:p>
            <w:pPr>
              <w:spacing w:after="0"/>
              <w:rPr>
                <w:rFonts w:ascii="Times New Roman" w:cs="Times New Roman" w:eastAsia="Times New Roman" w:hAnsi="Times New Roman"/>
                <w:sz w:val="14"/>
                <w:szCs w:val="14"/>
                <w:color w:val="0000EE"/>
                <w:w w:val="97"/>
              </w:rPr>
            </w:pPr>
            <w:hyperlink r:id="rId194">
              <w:r>
                <w:rPr>
                  <w:rFonts w:ascii="Times New Roman" w:cs="Times New Roman" w:eastAsia="Times New Roman" w:hAnsi="Times New Roman"/>
                  <w:sz w:val="14"/>
                  <w:szCs w:val="14"/>
                  <w:color w:val="0000EE"/>
                  <w:w w:val="97"/>
                </w:rPr>
                <w:t>Form of Global Note with respect to the 6.750% Notes due 2030 (Incorporated by reference to Exhibit (d)(6) hereto and Exhibit A</w:t>
              </w:r>
            </w:hyperlink>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7140" w:type="dxa"/>
            <w:vAlign w:val="bottom"/>
            <w:tcBorders>
              <w:top w:val="single" w:sz="8" w:color="0000EE"/>
            </w:tcBorders>
            <w:gridSpan w:val="16"/>
          </w:tcPr>
          <w:p>
            <w:pPr>
              <w:spacing w:after="0" w:line="144" w:lineRule="exact"/>
              <w:rPr>
                <w:rFonts w:ascii="Times New Roman" w:cs="Times New Roman" w:eastAsia="Times New Roman" w:hAnsi="Times New Roman"/>
                <w:sz w:val="14"/>
                <w:szCs w:val="14"/>
                <w:color w:val="0000EE"/>
              </w:rPr>
            </w:pPr>
            <w:hyperlink r:id="rId194">
              <w:r>
                <w:rPr>
                  <w:rFonts w:ascii="Times New Roman" w:cs="Times New Roman" w:eastAsia="Times New Roman" w:hAnsi="Times New Roman"/>
                  <w:sz w:val="14"/>
                  <w:szCs w:val="14"/>
                  <w:color w:val="0000EE"/>
                </w:rPr>
                <w:t>therein).</w:t>
              </w:r>
            </w:hyperlink>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1440" w:right="439" w:hanging="1121"/>
        <w:spacing w:after="0" w:line="255" w:lineRule="auto"/>
        <w:tabs>
          <w:tab w:leader="none" w:pos="1440" w:val="left"/>
        </w:tabs>
        <w:numPr>
          <w:ilvl w:val="0"/>
          <w:numId w:val="57"/>
        </w:numPr>
        <w:rPr>
          <w:rFonts w:ascii="Times New Roman" w:cs="Times New Roman" w:eastAsia="Times New Roman" w:hAnsi="Times New Roman"/>
          <w:sz w:val="14"/>
          <w:szCs w:val="14"/>
          <w:u w:val="single" w:color="auto"/>
          <w:color w:val="0000EE"/>
        </w:rPr>
      </w:pPr>
      <w:hyperlink r:id="rId195">
        <w:r>
          <w:rPr>
            <w:rFonts w:ascii="Times New Roman" w:cs="Times New Roman" w:eastAsia="Times New Roman" w:hAnsi="Times New Roman"/>
            <w:sz w:val="14"/>
            <w:szCs w:val="14"/>
            <w:u w:val="single" w:color="auto"/>
            <w:color w:val="0000EE"/>
          </w:rPr>
          <w:t>Dividend Reinvestment Plan (Filed as Exhibit (e) to Pre-Effective Amendment No. 2 to the Registrant’s Registration Statement on</w:t>
        </w:r>
      </w:hyperlink>
      <w:r>
        <w:rPr>
          <w:rFonts w:ascii="Times New Roman" w:cs="Times New Roman" w:eastAsia="Times New Roman" w:hAnsi="Times New Roman"/>
          <w:sz w:val="14"/>
          <w:szCs w:val="14"/>
          <w:u w:val="single" w:color="auto"/>
          <w:color w:val="0000EE"/>
        </w:rPr>
        <w:t xml:space="preserve"> </w:t>
      </w:r>
      <w:hyperlink r:id="rId195">
        <w:r>
          <w:rPr>
            <w:rFonts w:ascii="Times New Roman" w:cs="Times New Roman" w:eastAsia="Times New Roman" w:hAnsi="Times New Roman"/>
            <w:sz w:val="14"/>
            <w:szCs w:val="14"/>
            <w:u w:val="single" w:color="auto"/>
            <w:color w:val="0000EE"/>
          </w:rPr>
          <w:t>Form N-2 (File No. 333-182785) filed with the Securities and Exchange Commission on August 27, 2012 and incorporated herein</w:t>
        </w:r>
      </w:hyperlink>
      <w:r>
        <w:rPr>
          <w:rFonts w:ascii="Times New Roman" w:cs="Times New Roman" w:eastAsia="Times New Roman" w:hAnsi="Times New Roman"/>
          <w:sz w:val="14"/>
          <w:szCs w:val="14"/>
          <w:u w:val="single" w:color="auto"/>
          <w:color w:val="0000EE"/>
        </w:rPr>
        <w:t xml:space="preserve"> </w:t>
      </w:r>
      <w:hyperlink r:id="rId195">
        <w:r>
          <w:rPr>
            <w:rFonts w:ascii="Times New Roman" w:cs="Times New Roman" w:eastAsia="Times New Roman" w:hAnsi="Times New Roman"/>
            <w:sz w:val="14"/>
            <w:szCs w:val="14"/>
            <w:u w:val="single" w:color="auto"/>
            <w:color w:val="0000EE"/>
          </w:rPr>
          <w:t>by reference).</w:t>
        </w:r>
      </w:hyperlink>
    </w:p>
    <w:p>
      <w:pPr>
        <w:spacing w:after="0" w:line="46" w:lineRule="exact"/>
        <w:rPr>
          <w:rFonts w:ascii="Times New Roman" w:cs="Times New Roman" w:eastAsia="Times New Roman" w:hAnsi="Times New Roman"/>
          <w:sz w:val="14"/>
          <w:szCs w:val="14"/>
          <w:u w:val="single" w:color="auto"/>
          <w:color w:val="0000EE"/>
        </w:rPr>
      </w:pPr>
    </w:p>
    <w:tbl>
      <w:tblPr>
        <w:tblLayout w:type="fixed"/>
        <w:tblInd w:w="320" w:type="dxa"/>
        <w:tblCellMar>
          <w:top w:w="0" w:type="dxa"/>
          <w:left w:w="0" w:type="dxa"/>
          <w:bottom w:w="0" w:type="dxa"/>
          <w:right w:w="0" w:type="dxa"/>
        </w:tblCellMar>
      </w:tblPr>
      <w:tr>
        <w:trPr>
          <w:trHeight w:val="161"/>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(f)(1)</w:t>
            </w:r>
          </w:p>
        </w:tc>
        <w:tc>
          <w:tcPr>
            <w:tcW w:w="6920" w:type="dxa"/>
            <w:vAlign w:val="bottom"/>
            <w:tcBorders>
              <w:bottom w:val="single" w:sz="8" w:color="0000EE"/>
            </w:tcBorders>
            <w:gridSpan w:val="3"/>
          </w:tcPr>
          <w:p>
            <w:pPr>
              <w:spacing w:after="0"/>
              <w:rPr>
                <w:rFonts w:ascii="Times New Roman" w:cs="Times New Roman" w:eastAsia="Times New Roman" w:hAnsi="Times New Roman"/>
                <w:sz w:val="14"/>
                <w:szCs w:val="14"/>
                <w:color w:val="0000EE"/>
                <w:w w:val="97"/>
              </w:rPr>
            </w:pPr>
            <w:hyperlink r:id="rId196">
              <w:r>
                <w:rPr>
                  <w:rFonts w:ascii="Times New Roman" w:cs="Times New Roman" w:eastAsia="Times New Roman" w:hAnsi="Times New Roman"/>
                  <w:sz w:val="14"/>
                  <w:szCs w:val="14"/>
                  <w:color w:val="0000EE"/>
                  <w:w w:val="97"/>
                </w:rPr>
                <w:t>Debentures Guaranteed by the SBA (Filed as Exhibit (f)(1) to Pre-Effective Amendment No. 3 to the Registrant’s Registration</w:t>
              </w:r>
            </w:hyperlink>
          </w:p>
        </w:tc>
      </w:tr>
      <w:tr>
        <w:trPr>
          <w:trHeight w:val="144"/>
        </w:trPr>
        <w:tc>
          <w:tcPr>
            <w:tcW w:w="1120" w:type="dxa"/>
            <w:vAlign w:val="bottom"/>
          </w:tcPr>
          <w:p>
            <w:pPr>
              <w:spacing w:after="0"/>
              <w:rPr>
                <w:sz w:val="12"/>
                <w:szCs w:val="12"/>
                <w:color w:val="auto"/>
              </w:rPr>
            </w:pPr>
          </w:p>
        </w:tc>
        <w:tc>
          <w:tcPr>
            <w:tcW w:w="6640" w:type="dxa"/>
            <w:vAlign w:val="bottom"/>
            <w:tcBorders>
              <w:bottom w:val="single" w:sz="8" w:color="0000EE"/>
            </w:tcBorders>
            <w:gridSpan w:val="2"/>
          </w:tcPr>
          <w:p>
            <w:pPr>
              <w:spacing w:after="0" w:line="144" w:lineRule="exact"/>
              <w:rPr>
                <w:rFonts w:ascii="Times New Roman" w:cs="Times New Roman" w:eastAsia="Times New Roman" w:hAnsi="Times New Roman"/>
                <w:sz w:val="14"/>
                <w:szCs w:val="14"/>
                <w:color w:val="0000EE"/>
                <w:w w:val="97"/>
              </w:rPr>
            </w:pPr>
            <w:hyperlink r:id="rId196">
              <w:r>
                <w:rPr>
                  <w:rFonts w:ascii="Times New Roman" w:cs="Times New Roman" w:eastAsia="Times New Roman" w:hAnsi="Times New Roman"/>
                  <w:sz w:val="14"/>
                  <w:szCs w:val="14"/>
                  <w:color w:val="0000EE"/>
                  <w:w w:val="97"/>
                </w:rPr>
                <w:t>Statement on Form N-2 (File No. 333-172550) filed with the Securities and Exchange Commission on May 26, 2011 and</w:t>
              </w:r>
            </w:hyperlink>
          </w:p>
        </w:tc>
        <w:tc>
          <w:tcPr>
            <w:tcW w:w="280" w:type="dxa"/>
            <w:vAlign w:val="bottom"/>
          </w:tcPr>
          <w:p>
            <w:pPr>
              <w:spacing w:after="0"/>
              <w:rPr>
                <w:sz w:val="12"/>
                <w:szCs w:val="12"/>
                <w:color w:val="auto"/>
              </w:rPr>
            </w:pPr>
          </w:p>
        </w:tc>
      </w:tr>
      <w:tr>
        <w:trPr>
          <w:trHeight w:val="144"/>
        </w:trPr>
        <w:tc>
          <w:tcPr>
            <w:tcW w:w="1120" w:type="dxa"/>
            <w:vAlign w:val="bottom"/>
          </w:tcPr>
          <w:p>
            <w:pPr>
              <w:spacing w:after="0"/>
              <w:rPr>
                <w:sz w:val="12"/>
                <w:szCs w:val="12"/>
                <w:color w:val="auto"/>
              </w:rPr>
            </w:pPr>
          </w:p>
        </w:tc>
        <w:tc>
          <w:tcPr>
            <w:tcW w:w="6920" w:type="dxa"/>
            <w:vAlign w:val="bottom"/>
            <w:gridSpan w:val="3"/>
          </w:tcPr>
          <w:p>
            <w:pPr>
              <w:spacing w:after="0" w:line="144" w:lineRule="exact"/>
              <w:rPr>
                <w:rFonts w:ascii="Times New Roman" w:cs="Times New Roman" w:eastAsia="Times New Roman" w:hAnsi="Times New Roman"/>
                <w:sz w:val="14"/>
                <w:szCs w:val="14"/>
                <w:color w:val="0000EE"/>
              </w:rPr>
            </w:pPr>
            <w:hyperlink r:id="rId196">
              <w:r>
                <w:rPr>
                  <w:rFonts w:ascii="Times New Roman" w:cs="Times New Roman" w:eastAsia="Times New Roman" w:hAnsi="Times New Roman"/>
                  <w:sz w:val="14"/>
                  <w:szCs w:val="14"/>
                  <w:color w:val="0000EE"/>
                </w:rPr>
                <w:t>incorporated herein by reference).</w:t>
              </w:r>
            </w:hyperlink>
          </w:p>
        </w:tc>
      </w:tr>
      <w:tr>
        <w:trPr>
          <w:trHeight w:val="20"/>
        </w:trPr>
        <w:tc>
          <w:tcPr>
            <w:tcW w:w="112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ectPr>
          <w:pgSz w:w="11900" w:h="16838" w:orient="portrait"/>
          <w:cols w:equalWidth="0" w:num="1">
            <w:col w:w="9019"/>
          </w:cols>
          <w:pgMar w:left="1440" w:top="256" w:right="1440" w:bottom="1440" w:gutter="0" w:footer="0" w:header="0"/>
        </w:sectPr>
      </w:pPr>
    </w:p>
    <w:bookmarkStart w:id="98" w:name="page99"/>
    <w:bookmarkEnd w:id="9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7">
                      <a:extLst>
                        <a:ext uri="{28A0092B-C50C-407E-A947-70E740481C1C}"/>
                      </a:extLst>
                    </a:blip>
                    <a:srcRect/>
                    <a:stretch>
                      <a:fillRect/>
                    </a:stretch>
                  </pic:blipFill>
                  <pic:spPr bwMode="auto">
                    <a:xfrm>
                      <a:off x="0" y="0"/>
                      <a:ext cx="7203440" cy="45085"/>
                    </a:xfrm>
                    <a:prstGeom prst="rect">
                      <a:avLst/>
                    </a:prstGeom>
                    <a:noFill/>
                  </pic:spPr>
                </pic:pic>
              </a:graphicData>
            </a:graphic>
          </wp:anchor>
        </w:drawing>
      </w:r>
    </w:p>
    <w:tbl>
      <w:tblPr>
        <w:tblLayout w:type="fixed"/>
        <w:tblInd w:w="320" w:type="dxa"/>
        <w:tblCellMar>
          <w:top w:w="0" w:type="dxa"/>
          <w:left w:w="0" w:type="dxa"/>
          <w:bottom w:w="0" w:type="dxa"/>
          <w:right w:w="0" w:type="dxa"/>
        </w:tblCellMar>
      </w:tblPr>
      <w:tr>
        <w:trPr>
          <w:trHeight w:val="161"/>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(f)(2)</w:t>
            </w:r>
          </w:p>
        </w:tc>
        <w:tc>
          <w:tcPr>
            <w:tcW w:w="6580" w:type="dxa"/>
            <w:vAlign w:val="bottom"/>
            <w:tcBorders>
              <w:bottom w:val="single" w:sz="8" w:color="0000EE"/>
            </w:tcBorders>
            <w:gridSpan w:val="4"/>
          </w:tcPr>
          <w:p>
            <w:pPr>
              <w:spacing w:after="0"/>
              <w:rPr>
                <w:rFonts w:ascii="Times New Roman" w:cs="Times New Roman" w:eastAsia="Times New Roman" w:hAnsi="Times New Roman"/>
                <w:sz w:val="14"/>
                <w:szCs w:val="14"/>
                <w:color w:val="0000EE"/>
                <w:w w:val="97"/>
              </w:rPr>
            </w:pPr>
            <w:hyperlink r:id="rId198">
              <w:r>
                <w:rPr>
                  <w:rFonts w:ascii="Times New Roman" w:cs="Times New Roman" w:eastAsia="Times New Roman" w:hAnsi="Times New Roman"/>
                  <w:sz w:val="14"/>
                  <w:szCs w:val="14"/>
                  <w:color w:val="0000EE"/>
                  <w:w w:val="97"/>
                </w:rPr>
                <w:t>Agreement to Furnish Certain Instruments (Filed as Exhibit (f)(2) to Pre-Effective Amendment No. 3 to the Registrant’s</w:t>
              </w:r>
            </w:hyperlink>
          </w:p>
        </w:tc>
        <w:tc>
          <w:tcPr>
            <w:tcW w:w="660" w:type="dxa"/>
            <w:vAlign w:val="bottom"/>
            <w:gridSpan w:val="5"/>
          </w:tcPr>
          <w:p>
            <w:pPr>
              <w:spacing w:after="0"/>
              <w:rPr>
                <w:sz w:val="13"/>
                <w:szCs w:val="13"/>
                <w:color w:val="auto"/>
              </w:rPr>
            </w:pPr>
          </w:p>
        </w:tc>
      </w:tr>
      <w:tr>
        <w:trPr>
          <w:trHeight w:val="144"/>
        </w:trPr>
        <w:tc>
          <w:tcPr>
            <w:tcW w:w="1120" w:type="dxa"/>
            <w:vAlign w:val="bottom"/>
          </w:tcPr>
          <w:p>
            <w:pPr>
              <w:spacing w:after="0"/>
              <w:rPr>
                <w:sz w:val="12"/>
                <w:szCs w:val="12"/>
                <w:color w:val="auto"/>
              </w:rPr>
            </w:pPr>
          </w:p>
        </w:tc>
        <w:tc>
          <w:tcPr>
            <w:tcW w:w="7240" w:type="dxa"/>
            <w:vAlign w:val="bottom"/>
            <w:gridSpan w:val="9"/>
          </w:tcPr>
          <w:p>
            <w:pPr>
              <w:spacing w:after="0" w:line="144" w:lineRule="exact"/>
              <w:rPr>
                <w:rFonts w:ascii="Times New Roman" w:cs="Times New Roman" w:eastAsia="Times New Roman" w:hAnsi="Times New Roman"/>
                <w:sz w:val="14"/>
                <w:szCs w:val="14"/>
                <w:color w:val="0000EE"/>
                <w:w w:val="99"/>
              </w:rPr>
            </w:pPr>
            <w:hyperlink r:id="rId198">
              <w:r>
                <w:rPr>
                  <w:rFonts w:ascii="Times New Roman" w:cs="Times New Roman" w:eastAsia="Times New Roman" w:hAnsi="Times New Roman"/>
                  <w:sz w:val="14"/>
                  <w:szCs w:val="14"/>
                  <w:color w:val="0000EE"/>
                  <w:w w:val="99"/>
                </w:rPr>
                <w:t>Registration Statement on Form N-2 (File No. 333-172550) filed with the Securities and Exchange Commission on May 26, 2011</w:t>
              </w:r>
            </w:hyperlink>
          </w:p>
        </w:tc>
      </w:tr>
      <w:tr>
        <w:trPr>
          <w:trHeight w:val="144"/>
        </w:trPr>
        <w:tc>
          <w:tcPr>
            <w:tcW w:w="1120" w:type="dxa"/>
            <w:vAlign w:val="bottom"/>
          </w:tcPr>
          <w:p>
            <w:pPr>
              <w:spacing w:after="0"/>
              <w:rPr>
                <w:sz w:val="12"/>
                <w:szCs w:val="12"/>
                <w:color w:val="auto"/>
              </w:rPr>
            </w:pPr>
          </w:p>
        </w:tc>
        <w:tc>
          <w:tcPr>
            <w:tcW w:w="2100" w:type="dxa"/>
            <w:vAlign w:val="bottom"/>
            <w:tcBorders>
              <w:top w:val="single" w:sz="8" w:color="0000EE"/>
              <w:bottom w:val="single" w:sz="8" w:color="0000EE"/>
            </w:tcBorders>
          </w:tcPr>
          <w:p>
            <w:pPr>
              <w:spacing w:after="0" w:line="144" w:lineRule="exact"/>
              <w:rPr>
                <w:rFonts w:ascii="Times New Roman" w:cs="Times New Roman" w:eastAsia="Times New Roman" w:hAnsi="Times New Roman"/>
                <w:sz w:val="14"/>
                <w:szCs w:val="14"/>
                <w:color w:val="0000EE"/>
                <w:w w:val="97"/>
              </w:rPr>
            </w:pPr>
            <w:hyperlink r:id="rId198">
              <w:r>
                <w:rPr>
                  <w:rFonts w:ascii="Times New Roman" w:cs="Times New Roman" w:eastAsia="Times New Roman" w:hAnsi="Times New Roman"/>
                  <w:sz w:val="14"/>
                  <w:szCs w:val="14"/>
                  <w:color w:val="0000EE"/>
                  <w:w w:val="97"/>
                </w:rPr>
                <w:t>and incorporated herein by reference).</w:t>
              </w:r>
            </w:hyperlink>
          </w:p>
        </w:tc>
        <w:tc>
          <w:tcPr>
            <w:tcW w:w="5000" w:type="dxa"/>
            <w:vAlign w:val="bottom"/>
            <w:tcBorders>
              <w:top w:val="single" w:sz="8" w:color="0000EE"/>
            </w:tcBorders>
            <w:gridSpan w:val="6"/>
          </w:tcPr>
          <w:p>
            <w:pPr>
              <w:spacing w:after="0"/>
              <w:rPr>
                <w:sz w:val="12"/>
                <w:szCs w:val="12"/>
                <w:color w:val="auto"/>
              </w:rPr>
            </w:pPr>
          </w:p>
        </w:tc>
        <w:tc>
          <w:tcPr>
            <w:tcW w:w="140" w:type="dxa"/>
            <w:vAlign w:val="bottom"/>
            <w:gridSpan w:val="2"/>
          </w:tcPr>
          <w:p>
            <w:pPr>
              <w:spacing w:after="0"/>
              <w:rPr>
                <w:sz w:val="12"/>
                <w:szCs w:val="12"/>
                <w:color w:val="auto"/>
              </w:rPr>
            </w:pPr>
          </w:p>
        </w:tc>
      </w:tr>
      <w:tr>
        <w:trPr>
          <w:trHeight w:val="226"/>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(g)(1)</w:t>
            </w:r>
          </w:p>
        </w:tc>
        <w:tc>
          <w:tcPr>
            <w:tcW w:w="7240" w:type="dxa"/>
            <w:vAlign w:val="bottom"/>
            <w:gridSpan w:val="9"/>
          </w:tcPr>
          <w:p>
            <w:pPr>
              <w:spacing w:after="0"/>
              <w:rPr>
                <w:rFonts w:ascii="Times New Roman" w:cs="Times New Roman" w:eastAsia="Times New Roman" w:hAnsi="Times New Roman"/>
                <w:sz w:val="14"/>
                <w:szCs w:val="14"/>
                <w:color w:val="0000EE"/>
                <w:w w:val="97"/>
              </w:rPr>
            </w:pPr>
            <w:hyperlink r:id="rId199">
              <w:r>
                <w:rPr>
                  <w:rFonts w:ascii="Times New Roman" w:cs="Times New Roman" w:eastAsia="Times New Roman" w:hAnsi="Times New Roman"/>
                  <w:sz w:val="14"/>
                  <w:szCs w:val="14"/>
                  <w:color w:val="0000EE"/>
                  <w:w w:val="97"/>
                </w:rPr>
                <w:t>Investment Advisory and Management Agreement between Registrant and Fidus Investment Advisors, LLC (Filed as Exhibit (g) to</w:t>
              </w:r>
            </w:hyperlink>
          </w:p>
        </w:tc>
      </w:tr>
      <w:tr>
        <w:trPr>
          <w:trHeight w:val="144"/>
        </w:trPr>
        <w:tc>
          <w:tcPr>
            <w:tcW w:w="1120" w:type="dxa"/>
            <w:vAlign w:val="bottom"/>
          </w:tcPr>
          <w:p>
            <w:pPr>
              <w:spacing w:after="0"/>
              <w:rPr>
                <w:sz w:val="12"/>
                <w:szCs w:val="12"/>
                <w:color w:val="auto"/>
              </w:rPr>
            </w:pPr>
          </w:p>
        </w:tc>
        <w:tc>
          <w:tcPr>
            <w:tcW w:w="6880" w:type="dxa"/>
            <w:vAlign w:val="bottom"/>
            <w:tcBorders>
              <w:top w:val="single" w:sz="8" w:color="0000EE"/>
              <w:bottom w:val="single" w:sz="8" w:color="0000EE"/>
            </w:tcBorders>
            <w:gridSpan w:val="5"/>
          </w:tcPr>
          <w:p>
            <w:pPr>
              <w:spacing w:after="0" w:line="144" w:lineRule="exact"/>
              <w:rPr>
                <w:rFonts w:ascii="Times New Roman" w:cs="Times New Roman" w:eastAsia="Times New Roman" w:hAnsi="Times New Roman"/>
                <w:sz w:val="14"/>
                <w:szCs w:val="14"/>
                <w:color w:val="0000EE"/>
                <w:w w:val="97"/>
              </w:rPr>
            </w:pPr>
            <w:hyperlink r:id="rId199">
              <w:r>
                <w:rPr>
                  <w:rFonts w:ascii="Times New Roman" w:cs="Times New Roman" w:eastAsia="Times New Roman" w:hAnsi="Times New Roman"/>
                  <w:sz w:val="14"/>
                  <w:szCs w:val="14"/>
                  <w:color w:val="0000EE"/>
                  <w:w w:val="97"/>
                </w:rPr>
                <w:t>Pre-Effective Amendment No. 2 to the Registrant’s Registration Statement on Form N-2 (File No. 333-172550) filed with the</w:t>
              </w:r>
            </w:hyperlink>
          </w:p>
        </w:tc>
        <w:tc>
          <w:tcPr>
            <w:tcW w:w="320" w:type="dxa"/>
            <w:vAlign w:val="bottom"/>
            <w:tcBorders>
              <w:top w:val="single" w:sz="8" w:color="0000EE"/>
            </w:tcBorders>
            <w:gridSpan w:val="3"/>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1120" w:type="dxa"/>
            <w:vAlign w:val="bottom"/>
          </w:tcPr>
          <w:p>
            <w:pPr>
              <w:spacing w:after="0"/>
              <w:rPr>
                <w:sz w:val="12"/>
                <w:szCs w:val="12"/>
                <w:color w:val="auto"/>
              </w:rPr>
            </w:pPr>
          </w:p>
        </w:tc>
        <w:tc>
          <w:tcPr>
            <w:tcW w:w="7240" w:type="dxa"/>
            <w:vAlign w:val="bottom"/>
            <w:gridSpan w:val="9"/>
          </w:tcPr>
          <w:p>
            <w:pPr>
              <w:spacing w:after="0" w:line="144" w:lineRule="exact"/>
              <w:rPr>
                <w:rFonts w:ascii="Times New Roman" w:cs="Times New Roman" w:eastAsia="Times New Roman" w:hAnsi="Times New Roman"/>
                <w:sz w:val="14"/>
                <w:szCs w:val="14"/>
                <w:color w:val="0000EE"/>
              </w:rPr>
            </w:pPr>
            <w:hyperlink r:id="rId199">
              <w:r>
                <w:rPr>
                  <w:rFonts w:ascii="Times New Roman" w:cs="Times New Roman" w:eastAsia="Times New Roman" w:hAnsi="Times New Roman"/>
                  <w:sz w:val="14"/>
                  <w:szCs w:val="14"/>
                  <w:color w:val="0000EE"/>
                </w:rPr>
                <w:t>Securities and Exchange Commission on April 29, 2011 and incorporated herein by reference).</w:t>
              </w:r>
            </w:hyperlink>
          </w:p>
        </w:tc>
      </w:tr>
      <w:tr>
        <w:trPr>
          <w:trHeight w:val="20"/>
        </w:trPr>
        <w:tc>
          <w:tcPr>
            <w:tcW w:w="1120" w:type="dxa"/>
            <w:vAlign w:val="bottom"/>
          </w:tcPr>
          <w:p>
            <w:pPr>
              <w:spacing w:after="0" w:line="20" w:lineRule="exact"/>
              <w:rPr>
                <w:sz w:val="1"/>
                <w:szCs w:val="1"/>
                <w:color w:val="auto"/>
              </w:rPr>
            </w:pPr>
          </w:p>
        </w:tc>
        <w:tc>
          <w:tcPr>
            <w:tcW w:w="384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226"/>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(g)(2)</w:t>
            </w:r>
          </w:p>
        </w:tc>
        <w:tc>
          <w:tcPr>
            <w:tcW w:w="7240" w:type="dxa"/>
            <w:vAlign w:val="bottom"/>
            <w:gridSpan w:val="9"/>
          </w:tcPr>
          <w:p>
            <w:pPr>
              <w:spacing w:after="0"/>
              <w:rPr>
                <w:rFonts w:ascii="Times New Roman" w:cs="Times New Roman" w:eastAsia="Times New Roman" w:hAnsi="Times New Roman"/>
                <w:sz w:val="14"/>
                <w:szCs w:val="14"/>
                <w:color w:val="0000EE"/>
                <w:w w:val="99"/>
              </w:rPr>
            </w:pPr>
            <w:hyperlink r:id="rId200">
              <w:r>
                <w:rPr>
                  <w:rFonts w:ascii="Times New Roman" w:cs="Times New Roman" w:eastAsia="Times New Roman" w:hAnsi="Times New Roman"/>
                  <w:sz w:val="14"/>
                  <w:szCs w:val="14"/>
                  <w:color w:val="0000EE"/>
                  <w:w w:val="99"/>
                </w:rPr>
                <w:t>First Amendment to Investment Advisory and Management Agreement between Registrant and Fidus Investment Advisors, LLC</w:t>
              </w:r>
            </w:hyperlink>
          </w:p>
        </w:tc>
      </w:tr>
      <w:tr>
        <w:trPr>
          <w:trHeight w:val="20"/>
        </w:trPr>
        <w:tc>
          <w:tcPr>
            <w:tcW w:w="1120" w:type="dxa"/>
            <w:vAlign w:val="bottom"/>
          </w:tcPr>
          <w:p>
            <w:pPr>
              <w:spacing w:after="0" w:line="20" w:lineRule="exact"/>
              <w:rPr>
                <w:sz w:val="1"/>
                <w:szCs w:val="1"/>
                <w:color w:val="auto"/>
              </w:rPr>
            </w:pPr>
          </w:p>
        </w:tc>
        <w:tc>
          <w:tcPr>
            <w:tcW w:w="3840" w:type="dxa"/>
            <w:vAlign w:val="bottom"/>
            <w:gridSpan w:val="2"/>
            <w:shd w:val="clear" w:color="auto" w:fill="0000EE"/>
          </w:tcPr>
          <w:p>
            <w:pPr>
              <w:spacing w:after="0" w:line="20" w:lineRule="exact"/>
              <w:rPr>
                <w:sz w:val="1"/>
                <w:szCs w:val="1"/>
                <w:color w:val="auto"/>
              </w:rPr>
            </w:pPr>
          </w:p>
        </w:tc>
        <w:tc>
          <w:tcPr>
            <w:tcW w:w="3220" w:type="dxa"/>
            <w:vAlign w:val="bottom"/>
            <w:gridSpan w:val="4"/>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44"/>
        </w:trPr>
        <w:tc>
          <w:tcPr>
            <w:tcW w:w="1120" w:type="dxa"/>
            <w:vAlign w:val="bottom"/>
          </w:tcPr>
          <w:p>
            <w:pPr>
              <w:spacing w:after="0"/>
              <w:rPr>
                <w:sz w:val="12"/>
                <w:szCs w:val="12"/>
                <w:color w:val="auto"/>
              </w:rPr>
            </w:pPr>
          </w:p>
        </w:tc>
        <w:tc>
          <w:tcPr>
            <w:tcW w:w="7240" w:type="dxa"/>
            <w:vAlign w:val="bottom"/>
            <w:tcBorders>
              <w:bottom w:val="single" w:sz="8" w:color="0000EE"/>
            </w:tcBorders>
            <w:gridSpan w:val="9"/>
          </w:tcPr>
          <w:p>
            <w:pPr>
              <w:spacing w:after="0" w:line="144" w:lineRule="exact"/>
              <w:rPr>
                <w:rFonts w:ascii="Times New Roman" w:cs="Times New Roman" w:eastAsia="Times New Roman" w:hAnsi="Times New Roman"/>
                <w:sz w:val="14"/>
                <w:szCs w:val="14"/>
                <w:color w:val="0000EE"/>
                <w:w w:val="97"/>
              </w:rPr>
            </w:pPr>
            <w:hyperlink r:id="rId200">
              <w:r>
                <w:rPr>
                  <w:rFonts w:ascii="Times New Roman" w:cs="Times New Roman" w:eastAsia="Times New Roman" w:hAnsi="Times New Roman"/>
                  <w:sz w:val="14"/>
                  <w:szCs w:val="14"/>
                  <w:color w:val="0000EE"/>
                  <w:w w:val="97"/>
                </w:rPr>
                <w:t>(Filed as Exhibit 10.7 to the Registrant’s annual report on Form 10-K (File No. 333-172550), filed with the Securities and Exchange</w:t>
              </w:r>
            </w:hyperlink>
          </w:p>
        </w:tc>
      </w:tr>
      <w:tr>
        <w:trPr>
          <w:trHeight w:val="144"/>
        </w:trPr>
        <w:tc>
          <w:tcPr>
            <w:tcW w:w="1120" w:type="dxa"/>
            <w:vAlign w:val="bottom"/>
          </w:tcPr>
          <w:p>
            <w:pPr>
              <w:spacing w:after="0"/>
              <w:rPr>
                <w:sz w:val="12"/>
                <w:szCs w:val="12"/>
                <w:color w:val="auto"/>
              </w:rPr>
            </w:pPr>
          </w:p>
        </w:tc>
        <w:tc>
          <w:tcPr>
            <w:tcW w:w="3840" w:type="dxa"/>
            <w:vAlign w:val="bottom"/>
            <w:tcBorders>
              <w:bottom w:val="single" w:sz="8" w:color="0000EE"/>
            </w:tcBorders>
            <w:gridSpan w:val="2"/>
          </w:tcPr>
          <w:p>
            <w:pPr>
              <w:spacing w:after="0" w:line="144" w:lineRule="exact"/>
              <w:rPr>
                <w:rFonts w:ascii="Times New Roman" w:cs="Times New Roman" w:eastAsia="Times New Roman" w:hAnsi="Times New Roman"/>
                <w:sz w:val="14"/>
                <w:szCs w:val="14"/>
                <w:color w:val="0000EE"/>
                <w:w w:val="97"/>
              </w:rPr>
            </w:pPr>
            <w:hyperlink r:id="rId200">
              <w:r>
                <w:rPr>
                  <w:rFonts w:ascii="Times New Roman" w:cs="Times New Roman" w:eastAsia="Times New Roman" w:hAnsi="Times New Roman"/>
                  <w:sz w:val="14"/>
                  <w:szCs w:val="14"/>
                  <w:color w:val="0000EE"/>
                  <w:w w:val="97"/>
                </w:rPr>
                <w:t>Commission on March 6, 2014 and incorporated herein by reference).</w:t>
              </w:r>
            </w:hyperlink>
          </w:p>
        </w:tc>
        <w:tc>
          <w:tcPr>
            <w:tcW w:w="3400" w:type="dxa"/>
            <w:vAlign w:val="bottom"/>
            <w:gridSpan w:val="7"/>
          </w:tcPr>
          <w:p>
            <w:pPr>
              <w:spacing w:after="0"/>
              <w:rPr>
                <w:sz w:val="12"/>
                <w:szCs w:val="12"/>
                <w:color w:val="auto"/>
              </w:rPr>
            </w:pPr>
          </w:p>
        </w:tc>
      </w:tr>
    </w:tbl>
    <w:p>
      <w:pPr>
        <w:spacing w:after="0" w:line="90" w:lineRule="exact"/>
        <w:rPr>
          <w:sz w:val="20"/>
          <w:szCs w:val="20"/>
          <w:color w:val="auto"/>
        </w:rPr>
      </w:pPr>
    </w:p>
    <w:p>
      <w:pPr>
        <w:ind w:left="1440" w:right="439" w:hanging="1121"/>
        <w:spacing w:after="0" w:line="255" w:lineRule="auto"/>
        <w:tabs>
          <w:tab w:leader="none" w:pos="1440" w:val="left"/>
        </w:tabs>
        <w:numPr>
          <w:ilvl w:val="0"/>
          <w:numId w:val="58"/>
        </w:numPr>
        <w:rPr>
          <w:rFonts w:ascii="Times New Roman" w:cs="Times New Roman" w:eastAsia="Times New Roman" w:hAnsi="Times New Roman"/>
          <w:sz w:val="14"/>
          <w:szCs w:val="14"/>
          <w:u w:val="single" w:color="auto"/>
          <w:color w:val="0000EE"/>
        </w:rPr>
      </w:pPr>
      <w:hyperlink r:id="rId201">
        <w:r>
          <w:rPr>
            <w:rFonts w:ascii="Times New Roman" w:cs="Times New Roman" w:eastAsia="Times New Roman" w:hAnsi="Times New Roman"/>
            <w:sz w:val="14"/>
            <w:szCs w:val="14"/>
            <w:u w:val="single" w:color="auto"/>
            <w:color w:val="0000EE"/>
          </w:rPr>
          <w:t>Form of Underwriting Agreement for Equity (Filed as Exhibit (h) to Pre-Effective Amendment No. 2 to the Registrant’s</w:t>
        </w:r>
      </w:hyperlink>
      <w:r>
        <w:rPr>
          <w:rFonts w:ascii="Times New Roman" w:cs="Times New Roman" w:eastAsia="Times New Roman" w:hAnsi="Times New Roman"/>
          <w:sz w:val="14"/>
          <w:szCs w:val="14"/>
          <w:u w:val="single" w:color="auto"/>
          <w:color w:val="0000EE"/>
        </w:rPr>
        <w:t xml:space="preserve"> </w:t>
      </w:r>
      <w:hyperlink r:id="rId201">
        <w:r>
          <w:rPr>
            <w:rFonts w:ascii="Times New Roman" w:cs="Times New Roman" w:eastAsia="Times New Roman" w:hAnsi="Times New Roman"/>
            <w:sz w:val="14"/>
            <w:szCs w:val="14"/>
            <w:u w:val="single" w:color="auto"/>
            <w:color w:val="0000EE"/>
          </w:rPr>
          <w:t>Registration Statement on Form N-2 (File No. 333-172550) filed with the Securities and Exchange Commission on April 29, 2011</w:t>
        </w:r>
      </w:hyperlink>
      <w:r>
        <w:rPr>
          <w:rFonts w:ascii="Times New Roman" w:cs="Times New Roman" w:eastAsia="Times New Roman" w:hAnsi="Times New Roman"/>
          <w:sz w:val="14"/>
          <w:szCs w:val="14"/>
          <w:u w:val="single" w:color="auto"/>
          <w:color w:val="0000EE"/>
        </w:rPr>
        <w:t xml:space="preserve"> </w:t>
      </w:r>
      <w:hyperlink r:id="rId201">
        <w:r>
          <w:rPr>
            <w:rFonts w:ascii="Times New Roman" w:cs="Times New Roman" w:eastAsia="Times New Roman" w:hAnsi="Times New Roman"/>
            <w:sz w:val="14"/>
            <w:szCs w:val="14"/>
            <w:u w:val="single" w:color="auto"/>
            <w:color w:val="0000EE"/>
          </w:rPr>
          <w:t>and incorporated herein by reference).</w:t>
        </w:r>
      </w:hyperlink>
    </w:p>
    <w:p>
      <w:pPr>
        <w:spacing w:after="0" w:line="61" w:lineRule="exact"/>
        <w:rPr>
          <w:rFonts w:ascii="Times New Roman" w:cs="Times New Roman" w:eastAsia="Times New Roman" w:hAnsi="Times New Roman"/>
          <w:sz w:val="14"/>
          <w:szCs w:val="14"/>
          <w:u w:val="single" w:color="auto"/>
          <w:color w:val="0000EE"/>
        </w:rPr>
      </w:pPr>
    </w:p>
    <w:p>
      <w:pPr>
        <w:ind w:left="1440" w:hanging="1121"/>
        <w:spacing w:after="0"/>
        <w:tabs>
          <w:tab w:leader="none" w:pos="14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pacing w:after="0" w:line="85" w:lineRule="exact"/>
        <w:rPr>
          <w:rFonts w:ascii="Times New Roman" w:cs="Times New Roman" w:eastAsia="Times New Roman" w:hAnsi="Times New Roman"/>
          <w:sz w:val="14"/>
          <w:szCs w:val="14"/>
          <w:color w:val="auto"/>
        </w:rPr>
      </w:pPr>
    </w:p>
    <w:p>
      <w:pPr>
        <w:jc w:val="both"/>
        <w:ind w:left="1440" w:right="359" w:hanging="1121"/>
        <w:spacing w:after="0" w:line="305" w:lineRule="auto"/>
        <w:tabs>
          <w:tab w:leader="none" w:pos="1440" w:val="left"/>
        </w:tabs>
        <w:numPr>
          <w:ilvl w:val="0"/>
          <w:numId w:val="58"/>
        </w:numPr>
        <w:rPr>
          <w:rFonts w:ascii="Times New Roman" w:cs="Times New Roman" w:eastAsia="Times New Roman" w:hAnsi="Times New Roman"/>
          <w:sz w:val="13"/>
          <w:szCs w:val="13"/>
          <w:u w:val="single" w:color="auto"/>
          <w:color w:val="0000EE"/>
        </w:rPr>
      </w:pPr>
      <w:hyperlink r:id="rId202">
        <w:r>
          <w:rPr>
            <w:rFonts w:ascii="Times New Roman" w:cs="Times New Roman" w:eastAsia="Times New Roman" w:hAnsi="Times New Roman"/>
            <w:sz w:val="13"/>
            <w:szCs w:val="13"/>
            <w:u w:val="single" w:color="auto"/>
            <w:color w:val="0000EE"/>
          </w:rPr>
          <w:t>Custody Agreement (Filed as Exhibit (j) to Pre-Effective Amendment No. 3 to the Registrant’s Registration Statement on Form N-2</w:t>
        </w:r>
      </w:hyperlink>
      <w:r>
        <w:rPr>
          <w:rFonts w:ascii="Times New Roman" w:cs="Times New Roman" w:eastAsia="Times New Roman" w:hAnsi="Times New Roman"/>
          <w:sz w:val="13"/>
          <w:szCs w:val="13"/>
          <w:u w:val="single" w:color="auto"/>
          <w:color w:val="0000EE"/>
        </w:rPr>
        <w:t xml:space="preserve"> </w:t>
      </w:r>
      <w:hyperlink r:id="rId202">
        <w:r>
          <w:rPr>
            <w:rFonts w:ascii="Times New Roman" w:cs="Times New Roman" w:eastAsia="Times New Roman" w:hAnsi="Times New Roman"/>
            <w:sz w:val="13"/>
            <w:szCs w:val="13"/>
            <w:u w:val="single" w:color="auto"/>
            <w:color w:val="0000EE"/>
          </w:rPr>
          <w:t>(File No. 333-172550) filed with the Securities and Exchange Commission on May 26, 2011 and incorporated herein by reference).</w:t>
        </w:r>
      </w:hyperlink>
    </w:p>
    <w:p>
      <w:pPr>
        <w:spacing w:after="0" w:line="15" w:lineRule="exact"/>
        <w:rPr>
          <w:rFonts w:ascii="Times New Roman" w:cs="Times New Roman" w:eastAsia="Times New Roman" w:hAnsi="Times New Roman"/>
          <w:sz w:val="13"/>
          <w:szCs w:val="13"/>
          <w:color w:val="auto"/>
        </w:rPr>
      </w:pPr>
    </w:p>
    <w:tbl>
      <w:tblPr>
        <w:tblLayout w:type="fixed"/>
        <w:tblInd w:w="320" w:type="dxa"/>
        <w:tblCellMar>
          <w:top w:w="0" w:type="dxa"/>
          <w:left w:w="0" w:type="dxa"/>
          <w:bottom w:w="0" w:type="dxa"/>
          <w:right w:w="0" w:type="dxa"/>
        </w:tblCellMar>
      </w:tblPr>
      <w:tr>
        <w:trPr>
          <w:trHeight w:val="161"/>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(k)(1)</w:t>
            </w:r>
          </w:p>
        </w:tc>
        <w:tc>
          <w:tcPr>
            <w:tcW w:w="7220" w:type="dxa"/>
            <w:vAlign w:val="bottom"/>
            <w:gridSpan w:val="19"/>
          </w:tcPr>
          <w:p>
            <w:pPr>
              <w:spacing w:after="0"/>
              <w:rPr>
                <w:rFonts w:ascii="Times New Roman" w:cs="Times New Roman" w:eastAsia="Times New Roman" w:hAnsi="Times New Roman"/>
                <w:sz w:val="14"/>
                <w:szCs w:val="14"/>
                <w:color w:val="0000EE"/>
              </w:rPr>
            </w:pPr>
            <w:hyperlink r:id="rId203">
              <w:r>
                <w:rPr>
                  <w:rFonts w:ascii="Times New Roman" w:cs="Times New Roman" w:eastAsia="Times New Roman" w:hAnsi="Times New Roman"/>
                  <w:sz w:val="14"/>
                  <w:szCs w:val="14"/>
                  <w:color w:val="0000EE"/>
                </w:rPr>
                <w:t>Administration Agreement between Registrant and Fidus Investment Advisors, LLC (Filed as Exhibit (k)(1) to Pre-Effective</w:t>
              </w:r>
            </w:hyperlink>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4"/>
        </w:trPr>
        <w:tc>
          <w:tcPr>
            <w:tcW w:w="1120" w:type="dxa"/>
            <w:vAlign w:val="bottom"/>
          </w:tcPr>
          <w:p>
            <w:pPr>
              <w:spacing w:after="0"/>
              <w:rPr>
                <w:sz w:val="12"/>
                <w:szCs w:val="12"/>
                <w:color w:val="auto"/>
              </w:rPr>
            </w:pPr>
          </w:p>
        </w:tc>
        <w:tc>
          <w:tcPr>
            <w:tcW w:w="6920" w:type="dxa"/>
            <w:vAlign w:val="bottom"/>
            <w:tcBorders>
              <w:bottom w:val="single" w:sz="8" w:color="0000EE"/>
            </w:tcBorders>
            <w:gridSpan w:val="12"/>
          </w:tcPr>
          <w:p>
            <w:pPr>
              <w:spacing w:after="0" w:line="144" w:lineRule="exact"/>
              <w:rPr>
                <w:rFonts w:ascii="Times New Roman" w:cs="Times New Roman" w:eastAsia="Times New Roman" w:hAnsi="Times New Roman"/>
                <w:sz w:val="14"/>
                <w:szCs w:val="14"/>
                <w:color w:val="0000EE"/>
                <w:w w:val="97"/>
              </w:rPr>
            </w:pPr>
            <w:hyperlink r:id="rId203">
              <w:r>
                <w:rPr>
                  <w:rFonts w:ascii="Times New Roman" w:cs="Times New Roman" w:eastAsia="Times New Roman" w:hAnsi="Times New Roman"/>
                  <w:sz w:val="14"/>
                  <w:szCs w:val="14"/>
                  <w:color w:val="0000EE"/>
                  <w:w w:val="97"/>
                </w:rPr>
                <w:t>Amendment No. 2 to the Registrant’s Registration Statement on Form N-2 (File No. 333-172550) filed with the Securities and</w:t>
              </w:r>
            </w:hyperlink>
          </w:p>
        </w:tc>
        <w:tc>
          <w:tcPr>
            <w:tcW w:w="300" w:type="dxa"/>
            <w:vAlign w:val="bottom"/>
            <w:gridSpan w:val="7"/>
          </w:tcPr>
          <w:p>
            <w:pPr>
              <w:spacing w:after="0"/>
              <w:rPr>
                <w:sz w:val="12"/>
                <w:szCs w:val="12"/>
                <w:color w:val="auto"/>
              </w:rPr>
            </w:pPr>
          </w:p>
        </w:tc>
      </w:tr>
      <w:tr>
        <w:trPr>
          <w:trHeight w:val="144"/>
        </w:trPr>
        <w:tc>
          <w:tcPr>
            <w:tcW w:w="1120" w:type="dxa"/>
            <w:vAlign w:val="bottom"/>
          </w:tcPr>
          <w:p>
            <w:pPr>
              <w:spacing w:after="0"/>
              <w:rPr>
                <w:sz w:val="12"/>
                <w:szCs w:val="12"/>
                <w:color w:val="auto"/>
              </w:rPr>
            </w:pPr>
          </w:p>
        </w:tc>
        <w:tc>
          <w:tcPr>
            <w:tcW w:w="4400" w:type="dxa"/>
            <w:vAlign w:val="bottom"/>
            <w:tcBorders>
              <w:bottom w:val="single" w:sz="8" w:color="0000EE"/>
            </w:tcBorders>
            <w:gridSpan w:val="6"/>
          </w:tcPr>
          <w:p>
            <w:pPr>
              <w:spacing w:after="0" w:line="144" w:lineRule="exact"/>
              <w:rPr>
                <w:rFonts w:ascii="Times New Roman" w:cs="Times New Roman" w:eastAsia="Times New Roman" w:hAnsi="Times New Roman"/>
                <w:sz w:val="14"/>
                <w:szCs w:val="14"/>
                <w:color w:val="0000EE"/>
                <w:w w:val="97"/>
              </w:rPr>
            </w:pPr>
            <w:hyperlink r:id="rId203">
              <w:r>
                <w:rPr>
                  <w:rFonts w:ascii="Times New Roman" w:cs="Times New Roman" w:eastAsia="Times New Roman" w:hAnsi="Times New Roman"/>
                  <w:sz w:val="14"/>
                  <w:szCs w:val="14"/>
                  <w:color w:val="0000EE"/>
                  <w:w w:val="97"/>
                </w:rPr>
                <w:t>Exchange Commission on April 29, 2011 and incorporated herein by reference).</w:t>
              </w:r>
            </w:hyperlink>
          </w:p>
        </w:tc>
        <w:tc>
          <w:tcPr>
            <w:tcW w:w="2820" w:type="dxa"/>
            <w:vAlign w:val="bottom"/>
            <w:gridSpan w:val="13"/>
          </w:tcPr>
          <w:p>
            <w:pPr>
              <w:spacing w:after="0"/>
              <w:rPr>
                <w:sz w:val="12"/>
                <w:szCs w:val="12"/>
                <w:color w:val="auto"/>
              </w:rPr>
            </w:pPr>
          </w:p>
        </w:tc>
      </w:tr>
      <w:tr>
        <w:trPr>
          <w:trHeight w:val="226"/>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(k)(2)</w:t>
            </w:r>
          </w:p>
        </w:tc>
        <w:tc>
          <w:tcPr>
            <w:tcW w:w="7080" w:type="dxa"/>
            <w:vAlign w:val="bottom"/>
            <w:tcBorders>
              <w:bottom w:val="single" w:sz="8" w:color="0000EE"/>
            </w:tcBorders>
            <w:gridSpan w:val="15"/>
          </w:tcPr>
          <w:p>
            <w:pPr>
              <w:spacing w:after="0"/>
              <w:rPr>
                <w:rFonts w:ascii="Times New Roman" w:cs="Times New Roman" w:eastAsia="Times New Roman" w:hAnsi="Times New Roman"/>
                <w:sz w:val="14"/>
                <w:szCs w:val="14"/>
                <w:color w:val="0000EE"/>
                <w:w w:val="97"/>
              </w:rPr>
            </w:pPr>
            <w:hyperlink r:id="rId204">
              <w:r>
                <w:rPr>
                  <w:rFonts w:ascii="Times New Roman" w:cs="Times New Roman" w:eastAsia="Times New Roman" w:hAnsi="Times New Roman"/>
                  <w:sz w:val="14"/>
                  <w:szCs w:val="14"/>
                  <w:color w:val="0000EE"/>
                  <w:w w:val="97"/>
                </w:rPr>
                <w:t>Trademark License Agreement between Registrant and Fidus Partners, LLC (Filed as Exhibit (k)(2) to Pre-Effective Amendment</w:t>
              </w:r>
            </w:hyperlink>
          </w:p>
        </w:tc>
        <w:tc>
          <w:tcPr>
            <w:tcW w:w="140" w:type="dxa"/>
            <w:vAlign w:val="bottom"/>
            <w:gridSpan w:val="4"/>
          </w:tcPr>
          <w:p>
            <w:pPr>
              <w:spacing w:after="0"/>
              <w:rPr>
                <w:sz w:val="19"/>
                <w:szCs w:val="19"/>
                <w:color w:val="auto"/>
              </w:rPr>
            </w:pPr>
          </w:p>
        </w:tc>
      </w:tr>
      <w:tr>
        <w:trPr>
          <w:trHeight w:val="144"/>
        </w:trPr>
        <w:tc>
          <w:tcPr>
            <w:tcW w:w="1120" w:type="dxa"/>
            <w:vAlign w:val="bottom"/>
          </w:tcPr>
          <w:p>
            <w:pPr>
              <w:spacing w:after="0"/>
              <w:rPr>
                <w:sz w:val="12"/>
                <w:szCs w:val="12"/>
                <w:color w:val="auto"/>
              </w:rPr>
            </w:pPr>
          </w:p>
        </w:tc>
        <w:tc>
          <w:tcPr>
            <w:tcW w:w="7220" w:type="dxa"/>
            <w:vAlign w:val="bottom"/>
            <w:gridSpan w:val="19"/>
          </w:tcPr>
          <w:p>
            <w:pPr>
              <w:spacing w:after="0" w:line="144" w:lineRule="exact"/>
              <w:rPr>
                <w:rFonts w:ascii="Times New Roman" w:cs="Times New Roman" w:eastAsia="Times New Roman" w:hAnsi="Times New Roman"/>
                <w:sz w:val="14"/>
                <w:szCs w:val="14"/>
                <w:color w:val="0000EE"/>
              </w:rPr>
            </w:pPr>
            <w:hyperlink r:id="rId204">
              <w:r>
                <w:rPr>
                  <w:rFonts w:ascii="Times New Roman" w:cs="Times New Roman" w:eastAsia="Times New Roman" w:hAnsi="Times New Roman"/>
                  <w:sz w:val="14"/>
                  <w:szCs w:val="14"/>
                  <w:color w:val="0000EE"/>
                </w:rPr>
                <w:t>No. 3 to the Registrant’s Registration Statement on Form N-2 (File No. 333-172550) filed with the Securities and Exchange</w:t>
              </w:r>
            </w:hyperlink>
          </w:p>
        </w:tc>
      </w:tr>
      <w:tr>
        <w:trPr>
          <w:trHeight w:val="144"/>
        </w:trPr>
        <w:tc>
          <w:tcPr>
            <w:tcW w:w="1120" w:type="dxa"/>
            <w:vAlign w:val="bottom"/>
          </w:tcPr>
          <w:p>
            <w:pPr>
              <w:spacing w:after="0"/>
              <w:rPr>
                <w:sz w:val="12"/>
                <w:szCs w:val="12"/>
                <w:color w:val="auto"/>
              </w:rPr>
            </w:pPr>
          </w:p>
        </w:tc>
        <w:tc>
          <w:tcPr>
            <w:tcW w:w="6820" w:type="dxa"/>
            <w:vAlign w:val="bottom"/>
            <w:tcBorders>
              <w:top w:val="single" w:sz="8" w:color="0000EE"/>
            </w:tcBorders>
            <w:gridSpan w:val="9"/>
          </w:tcPr>
          <w:p>
            <w:pPr>
              <w:spacing w:after="0" w:line="144" w:lineRule="exact"/>
              <w:rPr>
                <w:rFonts w:ascii="Times New Roman" w:cs="Times New Roman" w:eastAsia="Times New Roman" w:hAnsi="Times New Roman"/>
                <w:sz w:val="14"/>
                <w:szCs w:val="14"/>
                <w:color w:val="0000EE"/>
              </w:rPr>
            </w:pPr>
            <w:hyperlink r:id="rId204">
              <w:r>
                <w:rPr>
                  <w:rFonts w:ascii="Times New Roman" w:cs="Times New Roman" w:eastAsia="Times New Roman" w:hAnsi="Times New Roman"/>
                  <w:sz w:val="14"/>
                  <w:szCs w:val="14"/>
                  <w:color w:val="0000EE"/>
                </w:rPr>
                <w:t>Commission on May 26, 2011 and incorporated herein by reference).</w:t>
              </w:r>
            </w:hyperlink>
          </w:p>
        </w:tc>
        <w:tc>
          <w:tcPr>
            <w:tcW w:w="400" w:type="dxa"/>
            <w:vAlign w:val="bottom"/>
            <w:gridSpan w:val="10"/>
          </w:tcPr>
          <w:p>
            <w:pPr>
              <w:spacing w:after="0"/>
              <w:rPr>
                <w:sz w:val="12"/>
                <w:szCs w:val="12"/>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6"/>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(k)(3)</w:t>
            </w:r>
          </w:p>
        </w:tc>
        <w:tc>
          <w:tcPr>
            <w:tcW w:w="6900" w:type="dxa"/>
            <w:vAlign w:val="bottom"/>
            <w:tcBorders>
              <w:bottom w:val="single" w:sz="8" w:color="0000EE"/>
            </w:tcBorders>
            <w:gridSpan w:val="11"/>
          </w:tcPr>
          <w:p>
            <w:pPr>
              <w:spacing w:after="0"/>
              <w:rPr>
                <w:rFonts w:ascii="Times New Roman" w:cs="Times New Roman" w:eastAsia="Times New Roman" w:hAnsi="Times New Roman"/>
                <w:sz w:val="14"/>
                <w:szCs w:val="14"/>
                <w:color w:val="0000EE"/>
                <w:w w:val="97"/>
              </w:rPr>
            </w:pPr>
            <w:hyperlink r:id="rId205">
              <w:r>
                <w:rPr>
                  <w:rFonts w:ascii="Times New Roman" w:cs="Times New Roman" w:eastAsia="Times New Roman" w:hAnsi="Times New Roman"/>
                  <w:sz w:val="14"/>
                  <w:szCs w:val="14"/>
                  <w:color w:val="0000EE"/>
                  <w:w w:val="97"/>
                </w:rPr>
                <w:t>Form of Indemnification Agreement between Fidus Investment Corporation and each officer and director of Fidus Investment</w:t>
              </w:r>
            </w:hyperlink>
          </w:p>
        </w:tc>
        <w:tc>
          <w:tcPr>
            <w:tcW w:w="320" w:type="dxa"/>
            <w:vAlign w:val="bottom"/>
            <w:gridSpan w:val="8"/>
          </w:tcPr>
          <w:p>
            <w:pPr>
              <w:spacing w:after="0"/>
              <w:rPr>
                <w:sz w:val="19"/>
                <w:szCs w:val="19"/>
                <w:color w:val="auto"/>
              </w:rPr>
            </w:pPr>
          </w:p>
        </w:tc>
      </w:tr>
      <w:tr>
        <w:trPr>
          <w:trHeight w:val="144"/>
        </w:trPr>
        <w:tc>
          <w:tcPr>
            <w:tcW w:w="1120" w:type="dxa"/>
            <w:vAlign w:val="bottom"/>
          </w:tcPr>
          <w:p>
            <w:pPr>
              <w:spacing w:after="0"/>
              <w:rPr>
                <w:sz w:val="12"/>
                <w:szCs w:val="12"/>
                <w:color w:val="auto"/>
              </w:rPr>
            </w:pPr>
          </w:p>
        </w:tc>
        <w:tc>
          <w:tcPr>
            <w:tcW w:w="7220" w:type="dxa"/>
            <w:vAlign w:val="bottom"/>
            <w:gridSpan w:val="19"/>
          </w:tcPr>
          <w:p>
            <w:pPr>
              <w:spacing w:after="0" w:line="144" w:lineRule="exact"/>
              <w:rPr>
                <w:rFonts w:ascii="Times New Roman" w:cs="Times New Roman" w:eastAsia="Times New Roman" w:hAnsi="Times New Roman"/>
                <w:sz w:val="14"/>
                <w:szCs w:val="14"/>
                <w:color w:val="0000EE"/>
                <w:w w:val="99"/>
              </w:rPr>
            </w:pPr>
            <w:hyperlink r:id="rId205">
              <w:r>
                <w:rPr>
                  <w:rFonts w:ascii="Times New Roman" w:cs="Times New Roman" w:eastAsia="Times New Roman" w:hAnsi="Times New Roman"/>
                  <w:sz w:val="14"/>
                  <w:szCs w:val="14"/>
                  <w:color w:val="0000EE"/>
                  <w:w w:val="99"/>
                </w:rPr>
                <w:t>Corporation (Filed as Exhibit 10.1 of the Registrant’s quarterly report on Form 10-Q, filed with the U.S. Securities and Exchange</w:t>
              </w:r>
            </w:hyperlink>
          </w:p>
        </w:tc>
      </w:tr>
      <w:tr>
        <w:trPr>
          <w:trHeight w:val="144"/>
        </w:trPr>
        <w:tc>
          <w:tcPr>
            <w:tcW w:w="1120" w:type="dxa"/>
            <w:vAlign w:val="bottom"/>
          </w:tcPr>
          <w:p>
            <w:pPr>
              <w:spacing w:after="0"/>
              <w:rPr>
                <w:sz w:val="12"/>
                <w:szCs w:val="12"/>
                <w:color w:val="auto"/>
              </w:rPr>
            </w:pPr>
          </w:p>
        </w:tc>
        <w:tc>
          <w:tcPr>
            <w:tcW w:w="7080" w:type="dxa"/>
            <w:vAlign w:val="bottom"/>
            <w:tcBorders>
              <w:top w:val="single" w:sz="8" w:color="0000EE"/>
            </w:tcBorders>
            <w:gridSpan w:val="15"/>
          </w:tcPr>
          <w:p>
            <w:pPr>
              <w:spacing w:after="0" w:line="144" w:lineRule="exact"/>
              <w:rPr>
                <w:rFonts w:ascii="Times New Roman" w:cs="Times New Roman" w:eastAsia="Times New Roman" w:hAnsi="Times New Roman"/>
                <w:sz w:val="14"/>
                <w:szCs w:val="14"/>
                <w:color w:val="0000EE"/>
              </w:rPr>
            </w:pPr>
            <w:hyperlink r:id="rId205">
              <w:r>
                <w:rPr>
                  <w:rFonts w:ascii="Times New Roman" w:cs="Times New Roman" w:eastAsia="Times New Roman" w:hAnsi="Times New Roman"/>
                  <w:sz w:val="14"/>
                  <w:szCs w:val="14"/>
                  <w:color w:val="0000EE"/>
                </w:rPr>
                <w:t>Commission on August 5, 2021).</w:t>
              </w:r>
            </w:hyperlink>
          </w:p>
        </w:tc>
        <w:tc>
          <w:tcPr>
            <w:tcW w:w="140" w:type="dxa"/>
            <w:vAlign w:val="bottom"/>
            <w:gridSpan w:val="4"/>
          </w:tcPr>
          <w:p>
            <w:pPr>
              <w:spacing w:after="0"/>
              <w:rPr>
                <w:sz w:val="12"/>
                <w:szCs w:val="12"/>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6"/>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(k)(4)</w:t>
            </w:r>
          </w:p>
        </w:tc>
        <w:tc>
          <w:tcPr>
            <w:tcW w:w="7220" w:type="dxa"/>
            <w:vAlign w:val="bottom"/>
            <w:gridSpan w:val="19"/>
          </w:tcPr>
          <w:p>
            <w:pPr>
              <w:spacing w:after="0"/>
              <w:rPr>
                <w:rFonts w:ascii="Times New Roman" w:cs="Times New Roman" w:eastAsia="Times New Roman" w:hAnsi="Times New Roman"/>
                <w:sz w:val="14"/>
                <w:szCs w:val="14"/>
                <w:color w:val="0000EE"/>
              </w:rPr>
            </w:pPr>
            <w:hyperlink r:id="rId206">
              <w:r>
                <w:rPr>
                  <w:rFonts w:ascii="Times New Roman" w:cs="Times New Roman" w:eastAsia="Times New Roman" w:hAnsi="Times New Roman"/>
                  <w:sz w:val="14"/>
                  <w:szCs w:val="14"/>
                  <w:color w:val="0000EE"/>
                </w:rPr>
                <w:t>Equity Distribution Agreement, dated November 10, 2022, by and among Fidus Investment Corporation, Fidus Investment</w:t>
              </w:r>
            </w:hyperlink>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4"/>
        </w:trPr>
        <w:tc>
          <w:tcPr>
            <w:tcW w:w="1120" w:type="dxa"/>
            <w:vAlign w:val="bottom"/>
          </w:tcPr>
          <w:p>
            <w:pPr>
              <w:spacing w:after="0"/>
              <w:rPr>
                <w:sz w:val="12"/>
                <w:szCs w:val="12"/>
                <w:color w:val="auto"/>
              </w:rPr>
            </w:pPr>
          </w:p>
        </w:tc>
        <w:tc>
          <w:tcPr>
            <w:tcW w:w="7220" w:type="dxa"/>
            <w:vAlign w:val="bottom"/>
            <w:gridSpan w:val="19"/>
          </w:tcPr>
          <w:p>
            <w:pPr>
              <w:spacing w:after="0" w:line="144" w:lineRule="exact"/>
              <w:rPr>
                <w:rFonts w:ascii="Times New Roman" w:cs="Times New Roman" w:eastAsia="Times New Roman" w:hAnsi="Times New Roman"/>
                <w:sz w:val="14"/>
                <w:szCs w:val="14"/>
                <w:color w:val="0000EE"/>
                <w:w w:val="98"/>
              </w:rPr>
            </w:pPr>
            <w:hyperlink r:id="rId206">
              <w:r>
                <w:rPr>
                  <w:rFonts w:ascii="Times New Roman" w:cs="Times New Roman" w:eastAsia="Times New Roman" w:hAnsi="Times New Roman"/>
                  <w:sz w:val="14"/>
                  <w:szCs w:val="14"/>
                  <w:color w:val="0000EE"/>
                  <w:w w:val="98"/>
                </w:rPr>
                <w:t>Advisors, LLC, Raymond James &amp; Associates, Inc. and B. Riley Securities, Inc. (Filed as Exhibit 10.1 to the Registrant’s Current</w:t>
              </w:r>
            </w:hyperlink>
          </w:p>
        </w:tc>
      </w:tr>
      <w:tr>
        <w:trPr>
          <w:trHeight w:val="144"/>
        </w:trPr>
        <w:tc>
          <w:tcPr>
            <w:tcW w:w="1120" w:type="dxa"/>
            <w:vAlign w:val="bottom"/>
          </w:tcPr>
          <w:p>
            <w:pPr>
              <w:spacing w:after="0"/>
              <w:rPr>
                <w:sz w:val="12"/>
                <w:szCs w:val="12"/>
                <w:color w:val="auto"/>
              </w:rPr>
            </w:pPr>
          </w:p>
        </w:tc>
        <w:tc>
          <w:tcPr>
            <w:tcW w:w="7080" w:type="dxa"/>
            <w:vAlign w:val="bottom"/>
            <w:tcBorders>
              <w:top w:val="single" w:sz="8" w:color="0000EE"/>
              <w:bottom w:val="single" w:sz="8" w:color="0000EE"/>
            </w:tcBorders>
            <w:gridSpan w:val="15"/>
          </w:tcPr>
          <w:p>
            <w:pPr>
              <w:spacing w:after="0" w:line="144" w:lineRule="exact"/>
              <w:rPr>
                <w:rFonts w:ascii="Times New Roman" w:cs="Times New Roman" w:eastAsia="Times New Roman" w:hAnsi="Times New Roman"/>
                <w:sz w:val="14"/>
                <w:szCs w:val="14"/>
                <w:color w:val="0000EE"/>
                <w:w w:val="97"/>
              </w:rPr>
            </w:pPr>
            <w:hyperlink r:id="rId206">
              <w:r>
                <w:rPr>
                  <w:rFonts w:ascii="Times New Roman" w:cs="Times New Roman" w:eastAsia="Times New Roman" w:hAnsi="Times New Roman"/>
                  <w:sz w:val="14"/>
                  <w:szCs w:val="14"/>
                  <w:color w:val="0000EE"/>
                  <w:w w:val="97"/>
                </w:rPr>
                <w:t>Report on Form 8-K filed with the U.S. Securities and Exchange Commission on November 10, 2022 and incorporated herein by</w:t>
              </w:r>
            </w:hyperlink>
          </w:p>
        </w:tc>
        <w:tc>
          <w:tcPr>
            <w:tcW w:w="20" w:type="dxa"/>
            <w:vAlign w:val="bottom"/>
            <w:tcBorders>
              <w:top w:val="single" w:sz="8" w:color="0000EE"/>
            </w:tcBorders>
          </w:tcPr>
          <w:p>
            <w:pPr>
              <w:spacing w:after="0"/>
              <w:rPr>
                <w:sz w:val="12"/>
                <w:szCs w:val="12"/>
                <w:color w:val="auto"/>
              </w:rPr>
            </w:pPr>
          </w:p>
        </w:tc>
        <w:tc>
          <w:tcPr>
            <w:tcW w:w="120" w:type="dxa"/>
            <w:vAlign w:val="bottom"/>
            <w:gridSpan w:val="3"/>
          </w:tcPr>
          <w:p>
            <w:pPr>
              <w:spacing w:after="0"/>
              <w:rPr>
                <w:sz w:val="12"/>
                <w:szCs w:val="12"/>
                <w:color w:val="auto"/>
              </w:rPr>
            </w:pPr>
          </w:p>
        </w:tc>
      </w:tr>
      <w:tr>
        <w:trPr>
          <w:trHeight w:val="144"/>
        </w:trPr>
        <w:tc>
          <w:tcPr>
            <w:tcW w:w="1120" w:type="dxa"/>
            <w:vAlign w:val="bottom"/>
          </w:tcPr>
          <w:p>
            <w:pPr>
              <w:spacing w:after="0"/>
              <w:rPr>
                <w:sz w:val="12"/>
                <w:szCs w:val="12"/>
                <w:color w:val="auto"/>
              </w:rPr>
            </w:pPr>
          </w:p>
        </w:tc>
        <w:tc>
          <w:tcPr>
            <w:tcW w:w="600" w:type="dxa"/>
            <w:vAlign w:val="bottom"/>
            <w:tcBorders>
              <w:bottom w:val="single" w:sz="8" w:color="0000EE"/>
            </w:tcBorders>
          </w:tcPr>
          <w:p>
            <w:pPr>
              <w:spacing w:after="0" w:line="144" w:lineRule="exact"/>
              <w:rPr>
                <w:rFonts w:ascii="Times New Roman" w:cs="Times New Roman" w:eastAsia="Times New Roman" w:hAnsi="Times New Roman"/>
                <w:sz w:val="14"/>
                <w:szCs w:val="14"/>
                <w:color w:val="0000EE"/>
                <w:w w:val="96"/>
              </w:rPr>
            </w:pPr>
            <w:hyperlink r:id="rId206">
              <w:r>
                <w:rPr>
                  <w:rFonts w:ascii="Times New Roman" w:cs="Times New Roman" w:eastAsia="Times New Roman" w:hAnsi="Times New Roman"/>
                  <w:sz w:val="14"/>
                  <w:szCs w:val="14"/>
                  <w:color w:val="0000EE"/>
                  <w:w w:val="96"/>
                </w:rPr>
                <w:t>reference).</w:t>
              </w:r>
            </w:hyperlink>
          </w:p>
        </w:tc>
        <w:tc>
          <w:tcPr>
            <w:tcW w:w="6620" w:type="dxa"/>
            <w:vAlign w:val="bottom"/>
            <w:gridSpan w:val="18"/>
          </w:tcPr>
          <w:p>
            <w:pPr>
              <w:spacing w:after="0"/>
              <w:rPr>
                <w:sz w:val="12"/>
                <w:szCs w:val="12"/>
                <w:color w:val="auto"/>
              </w:rPr>
            </w:pPr>
          </w:p>
        </w:tc>
      </w:tr>
      <w:tr>
        <w:trPr>
          <w:trHeight w:val="226"/>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(k)(5)</w:t>
            </w:r>
          </w:p>
        </w:tc>
        <w:tc>
          <w:tcPr>
            <w:tcW w:w="7120" w:type="dxa"/>
            <w:vAlign w:val="bottom"/>
            <w:tcBorders>
              <w:bottom w:val="single" w:sz="8" w:color="0000EE"/>
            </w:tcBorders>
            <w:gridSpan w:val="17"/>
          </w:tcPr>
          <w:p>
            <w:pPr>
              <w:spacing w:after="0"/>
              <w:rPr>
                <w:rFonts w:ascii="Times New Roman" w:cs="Times New Roman" w:eastAsia="Times New Roman" w:hAnsi="Times New Roman"/>
                <w:sz w:val="14"/>
                <w:szCs w:val="14"/>
                <w:color w:val="0000EE"/>
                <w:w w:val="97"/>
              </w:rPr>
            </w:pPr>
            <w:hyperlink r:id="rId207">
              <w:r>
                <w:rPr>
                  <w:rFonts w:ascii="Times New Roman" w:cs="Times New Roman" w:eastAsia="Times New Roman" w:hAnsi="Times New Roman"/>
                  <w:sz w:val="14"/>
                  <w:szCs w:val="14"/>
                  <w:color w:val="0000EE"/>
                  <w:w w:val="97"/>
                </w:rPr>
                <w:t>Amendment No. 1, dated August 11, 2023, to the Equity Distribution Agreement by and among Fidus Investment Advisors, LLC,</w:t>
              </w:r>
            </w:hyperlink>
          </w:p>
        </w:tc>
        <w:tc>
          <w:tcPr>
            <w:tcW w:w="100" w:type="dxa"/>
            <w:vAlign w:val="bottom"/>
            <w:gridSpan w:val="2"/>
          </w:tcPr>
          <w:p>
            <w:pPr>
              <w:spacing w:after="0"/>
              <w:rPr>
                <w:sz w:val="19"/>
                <w:szCs w:val="19"/>
                <w:color w:val="auto"/>
              </w:rPr>
            </w:pPr>
          </w:p>
        </w:tc>
      </w:tr>
      <w:tr>
        <w:trPr>
          <w:trHeight w:val="144"/>
        </w:trPr>
        <w:tc>
          <w:tcPr>
            <w:tcW w:w="1120" w:type="dxa"/>
            <w:vAlign w:val="bottom"/>
          </w:tcPr>
          <w:p>
            <w:pPr>
              <w:spacing w:after="0"/>
              <w:rPr>
                <w:sz w:val="12"/>
                <w:szCs w:val="12"/>
                <w:color w:val="auto"/>
              </w:rPr>
            </w:pPr>
          </w:p>
        </w:tc>
        <w:tc>
          <w:tcPr>
            <w:tcW w:w="7220" w:type="dxa"/>
            <w:vAlign w:val="bottom"/>
            <w:gridSpan w:val="19"/>
          </w:tcPr>
          <w:p>
            <w:pPr>
              <w:spacing w:after="0" w:line="144" w:lineRule="exact"/>
              <w:rPr>
                <w:rFonts w:ascii="Times New Roman" w:cs="Times New Roman" w:eastAsia="Times New Roman" w:hAnsi="Times New Roman"/>
                <w:sz w:val="14"/>
                <w:szCs w:val="14"/>
                <w:color w:val="0000EE"/>
                <w:w w:val="98"/>
              </w:rPr>
            </w:pPr>
            <w:hyperlink r:id="rId207">
              <w:r>
                <w:rPr>
                  <w:rFonts w:ascii="Times New Roman" w:cs="Times New Roman" w:eastAsia="Times New Roman" w:hAnsi="Times New Roman"/>
                  <w:sz w:val="14"/>
                  <w:szCs w:val="14"/>
                  <w:color w:val="0000EE"/>
                  <w:w w:val="98"/>
                </w:rPr>
                <w:t>Raymond James &amp; Associates, Inc. and B. Riley Securities, Inc. (Filed as Exhibit 10.1 to the Registrant’s Current Report on Form</w:t>
              </w:r>
            </w:hyperlink>
          </w:p>
        </w:tc>
      </w:tr>
      <w:tr>
        <w:trPr>
          <w:trHeight w:val="144"/>
        </w:trPr>
        <w:tc>
          <w:tcPr>
            <w:tcW w:w="1120" w:type="dxa"/>
            <w:vAlign w:val="bottom"/>
          </w:tcPr>
          <w:p>
            <w:pPr>
              <w:spacing w:after="0"/>
              <w:rPr>
                <w:sz w:val="12"/>
                <w:szCs w:val="12"/>
                <w:color w:val="auto"/>
              </w:rPr>
            </w:pPr>
          </w:p>
        </w:tc>
        <w:tc>
          <w:tcPr>
            <w:tcW w:w="6600" w:type="dxa"/>
            <w:vAlign w:val="bottom"/>
            <w:tcBorders>
              <w:top w:val="single" w:sz="8" w:color="0000EE"/>
              <w:bottom w:val="single" w:sz="8" w:color="0000EE"/>
            </w:tcBorders>
            <w:gridSpan w:val="7"/>
          </w:tcPr>
          <w:p>
            <w:pPr>
              <w:spacing w:after="0" w:line="144" w:lineRule="exact"/>
              <w:rPr>
                <w:rFonts w:ascii="Times New Roman" w:cs="Times New Roman" w:eastAsia="Times New Roman" w:hAnsi="Times New Roman"/>
                <w:sz w:val="14"/>
                <w:szCs w:val="14"/>
                <w:color w:val="0000EE"/>
                <w:w w:val="97"/>
              </w:rPr>
            </w:pPr>
            <w:hyperlink r:id="rId207">
              <w:r>
                <w:rPr>
                  <w:rFonts w:ascii="Times New Roman" w:cs="Times New Roman" w:eastAsia="Times New Roman" w:hAnsi="Times New Roman"/>
                  <w:sz w:val="14"/>
                  <w:szCs w:val="14"/>
                  <w:color w:val="0000EE"/>
                  <w:w w:val="97"/>
                </w:rPr>
                <w:t>8-K filed with the U.S. Securities and Exchange Commission on August 11, 2023 and incorporated herein by reference).</w:t>
              </w:r>
            </w:hyperlink>
          </w:p>
        </w:tc>
        <w:tc>
          <w:tcPr>
            <w:tcW w:w="520" w:type="dxa"/>
            <w:vAlign w:val="bottom"/>
            <w:tcBorders>
              <w:top w:val="single" w:sz="8" w:color="0000EE"/>
            </w:tcBorders>
            <w:gridSpan w:val="10"/>
          </w:tcPr>
          <w:p>
            <w:pPr>
              <w:spacing w:after="0"/>
              <w:rPr>
                <w:sz w:val="12"/>
                <w:szCs w:val="12"/>
                <w:color w:val="auto"/>
              </w:rPr>
            </w:pPr>
          </w:p>
        </w:tc>
        <w:tc>
          <w:tcPr>
            <w:tcW w:w="100" w:type="dxa"/>
            <w:vAlign w:val="bottom"/>
            <w:gridSpan w:val="2"/>
          </w:tcPr>
          <w:p>
            <w:pPr>
              <w:spacing w:after="0"/>
              <w:rPr>
                <w:sz w:val="12"/>
                <w:szCs w:val="12"/>
                <w:color w:val="auto"/>
              </w:rPr>
            </w:pPr>
          </w:p>
        </w:tc>
      </w:tr>
      <w:tr>
        <w:trPr>
          <w:trHeight w:val="226"/>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(k)(6)</w:t>
            </w:r>
          </w:p>
        </w:tc>
        <w:tc>
          <w:tcPr>
            <w:tcW w:w="706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w w:val="97"/>
              </w:rPr>
            </w:pPr>
            <w:hyperlink r:id="rId208">
              <w:r>
                <w:rPr>
                  <w:rFonts w:ascii="Times New Roman" w:cs="Times New Roman" w:eastAsia="Times New Roman" w:hAnsi="Times New Roman"/>
                  <w:sz w:val="14"/>
                  <w:szCs w:val="14"/>
                  <w:color w:val="0000EE"/>
                  <w:w w:val="97"/>
                </w:rPr>
                <w:t>Amendment No. 2, dated February 29, 2024, to Equity Distribution Agreement by and among Fidus Investment Corporation and</w:t>
              </w:r>
            </w:hyperlink>
          </w:p>
        </w:tc>
        <w:tc>
          <w:tcPr>
            <w:tcW w:w="160" w:type="dxa"/>
            <w:vAlign w:val="bottom"/>
            <w:gridSpan w:val="5"/>
          </w:tcPr>
          <w:p>
            <w:pPr>
              <w:spacing w:after="0"/>
              <w:rPr>
                <w:sz w:val="19"/>
                <w:szCs w:val="19"/>
                <w:color w:val="auto"/>
              </w:rPr>
            </w:pPr>
          </w:p>
        </w:tc>
      </w:tr>
      <w:tr>
        <w:trPr>
          <w:trHeight w:val="144"/>
        </w:trPr>
        <w:tc>
          <w:tcPr>
            <w:tcW w:w="1120" w:type="dxa"/>
            <w:vAlign w:val="bottom"/>
          </w:tcPr>
          <w:p>
            <w:pPr>
              <w:spacing w:after="0"/>
              <w:rPr>
                <w:sz w:val="12"/>
                <w:szCs w:val="12"/>
                <w:color w:val="auto"/>
              </w:rPr>
            </w:pPr>
          </w:p>
        </w:tc>
        <w:tc>
          <w:tcPr>
            <w:tcW w:w="6960" w:type="dxa"/>
            <w:vAlign w:val="bottom"/>
            <w:tcBorders>
              <w:bottom w:val="single" w:sz="8" w:color="0000EE"/>
            </w:tcBorders>
            <w:gridSpan w:val="13"/>
          </w:tcPr>
          <w:p>
            <w:pPr>
              <w:spacing w:after="0" w:line="144" w:lineRule="exact"/>
              <w:rPr>
                <w:rFonts w:ascii="Times New Roman" w:cs="Times New Roman" w:eastAsia="Times New Roman" w:hAnsi="Times New Roman"/>
                <w:sz w:val="14"/>
                <w:szCs w:val="14"/>
                <w:color w:val="0000EE"/>
                <w:w w:val="97"/>
              </w:rPr>
            </w:pPr>
            <w:hyperlink r:id="rId208">
              <w:r>
                <w:rPr>
                  <w:rFonts w:ascii="Times New Roman" w:cs="Times New Roman" w:eastAsia="Times New Roman" w:hAnsi="Times New Roman"/>
                  <w:sz w:val="14"/>
                  <w:szCs w:val="14"/>
                  <w:color w:val="0000EE"/>
                  <w:w w:val="97"/>
                </w:rPr>
                <w:t>Fidus Investment Advisors, LLC, on the one hand, and Raymond James &amp; Associates, Inc. and B. Riley Securities, Inc., on the</w:t>
              </w:r>
            </w:hyperlink>
          </w:p>
        </w:tc>
        <w:tc>
          <w:tcPr>
            <w:tcW w:w="260" w:type="dxa"/>
            <w:vAlign w:val="bottom"/>
            <w:gridSpan w:val="6"/>
          </w:tcPr>
          <w:p>
            <w:pPr>
              <w:spacing w:after="0"/>
              <w:rPr>
                <w:sz w:val="12"/>
                <w:szCs w:val="12"/>
                <w:color w:val="auto"/>
              </w:rPr>
            </w:pPr>
          </w:p>
        </w:tc>
      </w:tr>
      <w:tr>
        <w:trPr>
          <w:trHeight w:val="144"/>
        </w:trPr>
        <w:tc>
          <w:tcPr>
            <w:tcW w:w="1120" w:type="dxa"/>
            <w:vAlign w:val="bottom"/>
          </w:tcPr>
          <w:p>
            <w:pPr>
              <w:spacing w:after="0"/>
              <w:rPr>
                <w:sz w:val="12"/>
                <w:szCs w:val="12"/>
                <w:color w:val="auto"/>
              </w:rPr>
            </w:pPr>
          </w:p>
        </w:tc>
        <w:tc>
          <w:tcPr>
            <w:tcW w:w="7220" w:type="dxa"/>
            <w:vAlign w:val="bottom"/>
            <w:gridSpan w:val="19"/>
          </w:tcPr>
          <w:p>
            <w:pPr>
              <w:spacing w:after="0" w:line="144" w:lineRule="exact"/>
              <w:rPr>
                <w:rFonts w:ascii="Times New Roman" w:cs="Times New Roman" w:eastAsia="Times New Roman" w:hAnsi="Times New Roman"/>
                <w:sz w:val="14"/>
                <w:szCs w:val="14"/>
                <w:color w:val="0000EE"/>
              </w:rPr>
            </w:pPr>
            <w:hyperlink r:id="rId208">
              <w:r>
                <w:rPr>
                  <w:rFonts w:ascii="Times New Roman" w:cs="Times New Roman" w:eastAsia="Times New Roman" w:hAnsi="Times New Roman"/>
                  <w:sz w:val="14"/>
                  <w:szCs w:val="14"/>
                  <w:color w:val="0000EE"/>
                </w:rPr>
                <w:t>other hand (Filed as Exhibit 10.1 to the Registrant’s Current Report on Form 8-K filed with the U.S. Securities and Exchange</w:t>
              </w:r>
            </w:hyperlink>
          </w:p>
        </w:tc>
      </w:tr>
      <w:tr>
        <w:trPr>
          <w:trHeight w:val="144"/>
        </w:trPr>
        <w:tc>
          <w:tcPr>
            <w:tcW w:w="1120" w:type="dxa"/>
            <w:vAlign w:val="bottom"/>
          </w:tcPr>
          <w:p>
            <w:pPr>
              <w:spacing w:after="0"/>
              <w:rPr>
                <w:sz w:val="12"/>
                <w:szCs w:val="12"/>
                <w:color w:val="auto"/>
              </w:rPr>
            </w:pPr>
          </w:p>
        </w:tc>
        <w:tc>
          <w:tcPr>
            <w:tcW w:w="4040" w:type="dxa"/>
            <w:vAlign w:val="bottom"/>
            <w:tcBorders>
              <w:top w:val="single" w:sz="8" w:color="0000EE"/>
              <w:bottom w:val="single" w:sz="8" w:color="0000EE"/>
            </w:tcBorders>
            <w:gridSpan w:val="5"/>
          </w:tcPr>
          <w:p>
            <w:pPr>
              <w:spacing w:after="0" w:line="144" w:lineRule="exact"/>
              <w:rPr>
                <w:rFonts w:ascii="Times New Roman" w:cs="Times New Roman" w:eastAsia="Times New Roman" w:hAnsi="Times New Roman"/>
                <w:sz w:val="14"/>
                <w:szCs w:val="14"/>
                <w:color w:val="0000EE"/>
                <w:w w:val="97"/>
              </w:rPr>
            </w:pPr>
            <w:hyperlink r:id="rId208">
              <w:r>
                <w:rPr>
                  <w:rFonts w:ascii="Times New Roman" w:cs="Times New Roman" w:eastAsia="Times New Roman" w:hAnsi="Times New Roman"/>
                  <w:sz w:val="14"/>
                  <w:szCs w:val="14"/>
                  <w:color w:val="0000EE"/>
                  <w:w w:val="97"/>
                </w:rPr>
                <w:t>Commission on February 29, 2024 and incorporated herein by reference).</w:t>
              </w:r>
            </w:hyperlink>
          </w:p>
        </w:tc>
        <w:tc>
          <w:tcPr>
            <w:tcW w:w="2820" w:type="dxa"/>
            <w:vAlign w:val="bottom"/>
            <w:tcBorders>
              <w:top w:val="single" w:sz="8" w:color="0000EE"/>
            </w:tcBorders>
            <w:gridSpan w:val="5"/>
          </w:tcPr>
          <w:p>
            <w:pPr>
              <w:spacing w:after="0"/>
              <w:rPr>
                <w:sz w:val="12"/>
                <w:szCs w:val="12"/>
                <w:color w:val="auto"/>
              </w:rPr>
            </w:pPr>
          </w:p>
        </w:tc>
        <w:tc>
          <w:tcPr>
            <w:tcW w:w="360" w:type="dxa"/>
            <w:vAlign w:val="bottom"/>
            <w:gridSpan w:val="9"/>
          </w:tcPr>
          <w:p>
            <w:pPr>
              <w:spacing w:after="0"/>
              <w:rPr>
                <w:sz w:val="12"/>
                <w:szCs w:val="12"/>
                <w:color w:val="auto"/>
              </w:rPr>
            </w:pPr>
          </w:p>
        </w:tc>
      </w:tr>
      <w:tr>
        <w:trPr>
          <w:trHeight w:val="226"/>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(k)(7)</w:t>
            </w:r>
          </w:p>
        </w:tc>
        <w:tc>
          <w:tcPr>
            <w:tcW w:w="7220" w:type="dxa"/>
            <w:vAlign w:val="bottom"/>
            <w:tcBorders>
              <w:bottom w:val="single" w:sz="8" w:color="0000EE"/>
            </w:tcBorders>
            <w:gridSpan w:val="19"/>
          </w:tcPr>
          <w:p>
            <w:pPr>
              <w:spacing w:after="0"/>
              <w:rPr>
                <w:rFonts w:ascii="Times New Roman" w:cs="Times New Roman" w:eastAsia="Times New Roman" w:hAnsi="Times New Roman"/>
                <w:sz w:val="14"/>
                <w:szCs w:val="14"/>
                <w:color w:val="0000EE"/>
                <w:w w:val="97"/>
              </w:rPr>
            </w:pPr>
            <w:hyperlink r:id="rId209">
              <w:r>
                <w:rPr>
                  <w:rFonts w:ascii="Times New Roman" w:cs="Times New Roman" w:eastAsia="Times New Roman" w:hAnsi="Times New Roman"/>
                  <w:sz w:val="14"/>
                  <w:szCs w:val="14"/>
                  <w:color w:val="0000EE"/>
                  <w:w w:val="97"/>
                </w:rPr>
                <w:t>Credit and Security Agreement, dated as of October 16, 2025, by and among FIC Funding, LLC, as borrower, and Fidus Investment</w:t>
              </w:r>
            </w:hyperlink>
          </w:p>
        </w:tc>
      </w:tr>
      <w:tr>
        <w:trPr>
          <w:trHeight w:val="144"/>
        </w:trPr>
        <w:tc>
          <w:tcPr>
            <w:tcW w:w="1120" w:type="dxa"/>
            <w:vAlign w:val="bottom"/>
          </w:tcPr>
          <w:p>
            <w:pPr>
              <w:spacing w:after="0"/>
              <w:rPr>
                <w:sz w:val="12"/>
                <w:szCs w:val="12"/>
                <w:color w:val="auto"/>
              </w:rPr>
            </w:pPr>
          </w:p>
        </w:tc>
        <w:tc>
          <w:tcPr>
            <w:tcW w:w="7220" w:type="dxa"/>
            <w:vAlign w:val="bottom"/>
            <w:gridSpan w:val="19"/>
          </w:tcPr>
          <w:p>
            <w:pPr>
              <w:spacing w:after="0" w:line="144" w:lineRule="exact"/>
              <w:rPr>
                <w:rFonts w:ascii="Times New Roman" w:cs="Times New Roman" w:eastAsia="Times New Roman" w:hAnsi="Times New Roman"/>
                <w:sz w:val="14"/>
                <w:szCs w:val="14"/>
                <w:color w:val="0000EE"/>
                <w:w w:val="98"/>
              </w:rPr>
            </w:pPr>
            <w:hyperlink r:id="rId209">
              <w:r>
                <w:rPr>
                  <w:rFonts w:ascii="Times New Roman" w:cs="Times New Roman" w:eastAsia="Times New Roman" w:hAnsi="Times New Roman"/>
                  <w:sz w:val="14"/>
                  <w:szCs w:val="14"/>
                  <w:color w:val="0000EE"/>
                  <w:w w:val="98"/>
                </w:rPr>
                <w:t>Corporation, as servicer and equityholder, ING Capital LLC, as administrative agent and as lead arranger, Western Alliance Trust</w:t>
              </w:r>
            </w:hyperlink>
          </w:p>
        </w:tc>
      </w:tr>
      <w:tr>
        <w:trPr>
          <w:trHeight w:val="20"/>
        </w:trPr>
        <w:tc>
          <w:tcPr>
            <w:tcW w:w="1120" w:type="dxa"/>
            <w:vAlign w:val="bottom"/>
          </w:tcPr>
          <w:p>
            <w:pPr>
              <w:spacing w:after="0" w:line="20" w:lineRule="exact"/>
              <w:rPr>
                <w:sz w:val="1"/>
                <w:szCs w:val="1"/>
                <w:color w:val="auto"/>
              </w:rPr>
            </w:pPr>
          </w:p>
        </w:tc>
        <w:tc>
          <w:tcPr>
            <w:tcW w:w="3080" w:type="dxa"/>
            <w:vAlign w:val="bottom"/>
            <w:gridSpan w:val="3"/>
            <w:shd w:val="clear" w:color="auto" w:fill="0000EE"/>
          </w:tcPr>
          <w:p>
            <w:pPr>
              <w:spacing w:after="0" w:line="20" w:lineRule="exact"/>
              <w:rPr>
                <w:sz w:val="1"/>
                <w:szCs w:val="1"/>
                <w:color w:val="auto"/>
              </w:rPr>
            </w:pPr>
          </w:p>
        </w:tc>
        <w:tc>
          <w:tcPr>
            <w:tcW w:w="3740" w:type="dxa"/>
            <w:vAlign w:val="bottom"/>
            <w:tcBorders>
              <w:right w:val="single" w:sz="8" w:color="0000EE"/>
            </w:tcBorders>
            <w:gridSpan w:val="6"/>
            <w:shd w:val="clear" w:color="auto" w:fill="0000EE"/>
          </w:tcPr>
          <w:p>
            <w:pPr>
              <w:spacing w:after="0" w:line="20" w:lineRule="exact"/>
              <w:rPr>
                <w:sz w:val="1"/>
                <w:szCs w:val="1"/>
                <w:color w:val="auto"/>
              </w:rPr>
            </w:pPr>
          </w:p>
        </w:tc>
        <w:tc>
          <w:tcPr>
            <w:tcW w:w="260" w:type="dxa"/>
            <w:vAlign w:val="bottom"/>
            <w:gridSpan w:val="6"/>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4"/>
        </w:trPr>
        <w:tc>
          <w:tcPr>
            <w:tcW w:w="1120" w:type="dxa"/>
            <w:vAlign w:val="bottom"/>
          </w:tcPr>
          <w:p>
            <w:pPr>
              <w:spacing w:after="0"/>
              <w:rPr>
                <w:sz w:val="12"/>
                <w:szCs w:val="12"/>
                <w:color w:val="auto"/>
              </w:rPr>
            </w:pPr>
          </w:p>
        </w:tc>
        <w:tc>
          <w:tcPr>
            <w:tcW w:w="7220" w:type="dxa"/>
            <w:vAlign w:val="bottom"/>
            <w:gridSpan w:val="19"/>
          </w:tcPr>
          <w:p>
            <w:pPr>
              <w:spacing w:after="0" w:line="144" w:lineRule="exact"/>
              <w:rPr>
                <w:rFonts w:ascii="Times New Roman" w:cs="Times New Roman" w:eastAsia="Times New Roman" w:hAnsi="Times New Roman"/>
                <w:sz w:val="14"/>
                <w:szCs w:val="14"/>
                <w:color w:val="0000EE"/>
                <w:w w:val="98"/>
              </w:rPr>
            </w:pPr>
            <w:hyperlink r:id="rId209">
              <w:r>
                <w:rPr>
                  <w:rFonts w:ascii="Times New Roman" w:cs="Times New Roman" w:eastAsia="Times New Roman" w:hAnsi="Times New Roman"/>
                  <w:sz w:val="14"/>
                  <w:szCs w:val="14"/>
                  <w:color w:val="0000EE"/>
                  <w:w w:val="98"/>
                </w:rPr>
                <w:t>Company, N.A., as custodian, collateral agent, and collateral administrator, and the lenders from time to time parties thereto (Filed</w:t>
              </w:r>
            </w:hyperlink>
          </w:p>
        </w:tc>
      </w:tr>
      <w:tr>
        <w:trPr>
          <w:trHeight w:val="144"/>
        </w:trPr>
        <w:tc>
          <w:tcPr>
            <w:tcW w:w="1120" w:type="dxa"/>
            <w:vAlign w:val="bottom"/>
          </w:tcPr>
          <w:p>
            <w:pPr>
              <w:spacing w:after="0"/>
              <w:rPr>
                <w:sz w:val="12"/>
                <w:szCs w:val="12"/>
                <w:color w:val="auto"/>
              </w:rPr>
            </w:pPr>
          </w:p>
        </w:tc>
        <w:tc>
          <w:tcPr>
            <w:tcW w:w="7140" w:type="dxa"/>
            <w:vAlign w:val="bottom"/>
            <w:tcBorders>
              <w:top w:val="single" w:sz="8" w:color="0000EE"/>
            </w:tcBorders>
            <w:gridSpan w:val="18"/>
          </w:tcPr>
          <w:p>
            <w:pPr>
              <w:spacing w:after="0" w:line="144" w:lineRule="exact"/>
              <w:rPr>
                <w:rFonts w:ascii="Times New Roman" w:cs="Times New Roman" w:eastAsia="Times New Roman" w:hAnsi="Times New Roman"/>
                <w:sz w:val="14"/>
                <w:szCs w:val="14"/>
                <w:color w:val="0000EE"/>
              </w:rPr>
            </w:pPr>
            <w:hyperlink r:id="rId209">
              <w:r>
                <w:rPr>
                  <w:rFonts w:ascii="Times New Roman" w:cs="Times New Roman" w:eastAsia="Times New Roman" w:hAnsi="Times New Roman"/>
                  <w:sz w:val="14"/>
                  <w:szCs w:val="14"/>
                  <w:color w:val="0000EE"/>
                </w:rPr>
                <w:t>as Exhibit 10.1 to the Registrant’s Current Report on Form 8-K filed with the U.S. Securities and Exchange Commission on</w:t>
              </w:r>
            </w:hyperlink>
          </w:p>
        </w:tc>
        <w:tc>
          <w:tcPr>
            <w:tcW w:w="80" w:type="dxa"/>
            <w:vAlign w:val="bottom"/>
          </w:tcPr>
          <w:p>
            <w:pPr>
              <w:spacing w:after="0"/>
              <w:rPr>
                <w:sz w:val="12"/>
                <w:szCs w:val="12"/>
                <w:color w:val="auto"/>
              </w:rPr>
            </w:pPr>
          </w:p>
        </w:tc>
      </w:tr>
      <w:tr>
        <w:trPr>
          <w:trHeight w:val="144"/>
        </w:trPr>
        <w:tc>
          <w:tcPr>
            <w:tcW w:w="1120" w:type="dxa"/>
            <w:vAlign w:val="bottom"/>
          </w:tcPr>
          <w:p>
            <w:pPr>
              <w:spacing w:after="0"/>
              <w:rPr>
                <w:sz w:val="12"/>
                <w:szCs w:val="12"/>
                <w:color w:val="auto"/>
              </w:rPr>
            </w:pPr>
          </w:p>
        </w:tc>
        <w:tc>
          <w:tcPr>
            <w:tcW w:w="6820" w:type="dxa"/>
            <w:vAlign w:val="bottom"/>
            <w:tcBorders>
              <w:top w:val="single" w:sz="8" w:color="0000EE"/>
            </w:tcBorders>
            <w:gridSpan w:val="9"/>
          </w:tcPr>
          <w:p>
            <w:pPr>
              <w:spacing w:after="0" w:line="144" w:lineRule="exact"/>
              <w:rPr>
                <w:rFonts w:ascii="Times New Roman" w:cs="Times New Roman" w:eastAsia="Times New Roman" w:hAnsi="Times New Roman"/>
                <w:sz w:val="14"/>
                <w:szCs w:val="14"/>
                <w:color w:val="0000EE"/>
              </w:rPr>
            </w:pPr>
            <w:hyperlink r:id="rId209">
              <w:r>
                <w:rPr>
                  <w:rFonts w:ascii="Times New Roman" w:cs="Times New Roman" w:eastAsia="Times New Roman" w:hAnsi="Times New Roman"/>
                  <w:sz w:val="14"/>
                  <w:szCs w:val="14"/>
                  <w:color w:val="0000EE"/>
                </w:rPr>
                <w:t>October 22, 2025 and incorporated herein by reference).</w:t>
              </w:r>
            </w:hyperlink>
          </w:p>
        </w:tc>
        <w:tc>
          <w:tcPr>
            <w:tcW w:w="400" w:type="dxa"/>
            <w:vAlign w:val="bottom"/>
            <w:gridSpan w:val="10"/>
          </w:tcPr>
          <w:p>
            <w:pPr>
              <w:spacing w:after="0"/>
              <w:rPr>
                <w:sz w:val="12"/>
                <w:szCs w:val="12"/>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9019"/>
          </w:cols>
          <w:pgMar w:left="1440" w:top="245" w:right="1440" w:bottom="1440" w:gutter="0" w:footer="0" w:header="0"/>
        </w:sectPr>
      </w:pPr>
    </w:p>
    <w:bookmarkStart w:id="99" w:name="page100"/>
    <w:bookmarkEnd w:id="99"/>
    <w:p>
      <w:pPr>
        <w:ind w:left="1320" w:hanging="1001"/>
        <w:spacing w:after="0"/>
        <w:tabs>
          <w:tab w:leader="none" w:pos="13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0">
                      <a:extLst>
                        <a:ext uri="{28A0092B-C50C-407E-A947-70E740481C1C}"/>
                      </a:extLst>
                    </a:blip>
                    <a:srcRect/>
                    <a:stretch>
                      <a:fillRect/>
                    </a:stretch>
                  </pic:blipFill>
                  <pic:spPr bwMode="auto">
                    <a:xfrm>
                      <a:off x="0" y="0"/>
                      <a:ext cx="7203440" cy="45085"/>
                    </a:xfrm>
                    <a:prstGeom prst="rect">
                      <a:avLst/>
                    </a:prstGeom>
                    <a:noFill/>
                  </pic:spPr>
                </pic:pic>
              </a:graphicData>
            </a:graphic>
          </wp:anchor>
        </w:drawing>
        <w:t>Opinion and Consent of Eversheds Sutherland (US) LLP</w:t>
      </w:r>
      <w:r>
        <w:rPr>
          <w:rFonts w:ascii="Times New Roman" w:cs="Times New Roman" w:eastAsia="Times New Roman" w:hAnsi="Times New Roman"/>
          <w:sz w:val="20"/>
          <w:szCs w:val="20"/>
          <w:u w:val="single" w:color="auto"/>
          <w:color w:val="0000EE"/>
          <w:vertAlign w:val="superscript"/>
        </w:rPr>
        <w:t>(1)</w:t>
      </w:r>
      <w:r>
        <w:rPr>
          <w:rFonts w:ascii="Times New Roman" w:cs="Times New Roman" w:eastAsia="Times New Roman" w:hAnsi="Times New Roman"/>
          <w:sz w:val="14"/>
          <w:szCs w:val="14"/>
          <w:u w:val="single" w:color="auto"/>
          <w:color w:val="0000EE"/>
        </w:rPr>
        <w:t>.</w:t>
      </w:r>
    </w:p>
    <w:p>
      <w:pPr>
        <w:spacing w:after="0" w:line="30" w:lineRule="exact"/>
        <w:rPr>
          <w:rFonts w:ascii="Times New Roman" w:cs="Times New Roman" w:eastAsia="Times New Roman" w:hAnsi="Times New Roman"/>
          <w:sz w:val="14"/>
          <w:szCs w:val="14"/>
          <w:color w:val="auto"/>
        </w:rPr>
      </w:pPr>
    </w:p>
    <w:p>
      <w:pPr>
        <w:ind w:left="1320" w:hanging="1001"/>
        <w:spacing w:after="0"/>
        <w:tabs>
          <w:tab w:leader="none" w:pos="13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pacing w:after="0" w:line="71" w:lineRule="exact"/>
        <w:rPr>
          <w:rFonts w:ascii="Times New Roman" w:cs="Times New Roman" w:eastAsia="Times New Roman" w:hAnsi="Times New Roman"/>
          <w:sz w:val="14"/>
          <w:szCs w:val="14"/>
          <w:color w:val="auto"/>
        </w:rPr>
      </w:pPr>
    </w:p>
    <w:p>
      <w:pPr>
        <w:ind w:left="1320" w:hanging="1001"/>
        <w:spacing w:after="0"/>
        <w:tabs>
          <w:tab w:leader="none" w:pos="13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Consent of RSM US LLP</w:t>
      </w:r>
      <w:r>
        <w:rPr>
          <w:rFonts w:ascii="Times New Roman" w:cs="Times New Roman" w:eastAsia="Times New Roman" w:hAnsi="Times New Roman"/>
          <w:sz w:val="20"/>
          <w:szCs w:val="20"/>
          <w:u w:val="single" w:color="auto"/>
          <w:color w:val="0000EE"/>
          <w:vertAlign w:val="superscript"/>
        </w:rPr>
        <w:t>(1)</w:t>
      </w:r>
    </w:p>
    <w:p>
      <w:pPr>
        <w:spacing w:after="0" w:line="30" w:lineRule="exact"/>
        <w:rPr>
          <w:rFonts w:ascii="Times New Roman" w:cs="Times New Roman" w:eastAsia="Times New Roman" w:hAnsi="Times New Roman"/>
          <w:sz w:val="14"/>
          <w:szCs w:val="14"/>
          <w:color w:val="auto"/>
        </w:rPr>
      </w:pPr>
    </w:p>
    <w:p>
      <w:pPr>
        <w:ind w:left="1320" w:hanging="1001"/>
        <w:spacing w:after="0"/>
        <w:tabs>
          <w:tab w:leader="none" w:pos="13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pacing w:after="0" w:line="71" w:lineRule="exact"/>
        <w:rPr>
          <w:rFonts w:ascii="Times New Roman" w:cs="Times New Roman" w:eastAsia="Times New Roman" w:hAnsi="Times New Roman"/>
          <w:sz w:val="14"/>
          <w:szCs w:val="14"/>
          <w:color w:val="auto"/>
        </w:rPr>
      </w:pPr>
    </w:p>
    <w:p>
      <w:pPr>
        <w:ind w:left="1320" w:hanging="1001"/>
        <w:spacing w:after="0"/>
        <w:tabs>
          <w:tab w:leader="none" w:pos="13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pacing w:after="0" w:line="85" w:lineRule="exact"/>
        <w:rPr>
          <w:rFonts w:ascii="Times New Roman" w:cs="Times New Roman" w:eastAsia="Times New Roman" w:hAnsi="Times New Roman"/>
          <w:sz w:val="14"/>
          <w:szCs w:val="14"/>
          <w:color w:val="auto"/>
        </w:rPr>
      </w:pPr>
    </w:p>
    <w:p>
      <w:pPr>
        <w:ind w:left="1320" w:hanging="1001"/>
        <w:spacing w:after="0"/>
        <w:tabs>
          <w:tab w:leader="none" w:pos="13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pacing w:after="0" w:line="85" w:lineRule="exact"/>
        <w:rPr>
          <w:rFonts w:ascii="Times New Roman" w:cs="Times New Roman" w:eastAsia="Times New Roman" w:hAnsi="Times New Roman"/>
          <w:sz w:val="14"/>
          <w:szCs w:val="14"/>
          <w:color w:val="auto"/>
        </w:rPr>
      </w:pPr>
    </w:p>
    <w:p>
      <w:pPr>
        <w:ind w:left="1320" w:right="839" w:hanging="1001"/>
        <w:spacing w:after="0" w:line="266" w:lineRule="auto"/>
        <w:tabs>
          <w:tab w:leader="none" w:pos="1320" w:val="left"/>
        </w:tabs>
        <w:numPr>
          <w:ilvl w:val="0"/>
          <w:numId w:val="59"/>
        </w:numPr>
        <w:rPr>
          <w:rFonts w:ascii="Times New Roman" w:cs="Times New Roman" w:eastAsia="Times New Roman" w:hAnsi="Times New Roman"/>
          <w:sz w:val="14"/>
          <w:szCs w:val="14"/>
          <w:u w:val="single" w:color="auto"/>
          <w:color w:val="0000EE"/>
        </w:rPr>
      </w:pPr>
      <w:hyperlink r:id="rId211">
        <w:r>
          <w:rPr>
            <w:rFonts w:ascii="Times New Roman" w:cs="Times New Roman" w:eastAsia="Times New Roman" w:hAnsi="Times New Roman"/>
            <w:sz w:val="14"/>
            <w:szCs w:val="14"/>
            <w:u w:val="single" w:color="auto"/>
            <w:color w:val="0000EE"/>
          </w:rPr>
          <w:t>Joint Code of Ethics (Filed as Exhibit 14.1 to the Registrant’s Annual Report on Form 10-K filed with the U.S. Securities and</w:t>
        </w:r>
      </w:hyperlink>
      <w:r>
        <w:rPr>
          <w:rFonts w:ascii="Times New Roman" w:cs="Times New Roman" w:eastAsia="Times New Roman" w:hAnsi="Times New Roman"/>
          <w:sz w:val="14"/>
          <w:szCs w:val="14"/>
          <w:u w:val="single" w:color="auto"/>
          <w:color w:val="0000EE"/>
        </w:rPr>
        <w:t xml:space="preserve"> </w:t>
      </w:r>
      <w:hyperlink r:id="rId211">
        <w:r>
          <w:rPr>
            <w:rFonts w:ascii="Times New Roman" w:cs="Times New Roman" w:eastAsia="Times New Roman" w:hAnsi="Times New Roman"/>
            <w:sz w:val="14"/>
            <w:szCs w:val="14"/>
            <w:u w:val="single" w:color="auto"/>
            <w:color w:val="0000EE"/>
          </w:rPr>
          <w:t>Exchange Commission on February 29, 2024 and incorporated herein by reference).</w:t>
        </w:r>
      </w:hyperlink>
    </w:p>
    <w:p>
      <w:pPr>
        <w:spacing w:after="0" w:line="53" w:lineRule="exact"/>
        <w:rPr>
          <w:rFonts w:ascii="Times New Roman" w:cs="Times New Roman" w:eastAsia="Times New Roman" w:hAnsi="Times New Roman"/>
          <w:sz w:val="14"/>
          <w:szCs w:val="14"/>
          <w:u w:val="single" w:color="auto"/>
          <w:color w:val="0000EE"/>
        </w:rPr>
      </w:pPr>
    </w:p>
    <w:p>
      <w:pPr>
        <w:ind w:left="1320" w:hanging="1001"/>
        <w:spacing w:after="0"/>
        <w:tabs>
          <w:tab w:leader="none" w:pos="13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Calculation of Filing Fee Table</w:t>
      </w:r>
      <w:r>
        <w:rPr>
          <w:rFonts w:ascii="Times New Roman" w:cs="Times New Roman" w:eastAsia="Times New Roman" w:hAnsi="Times New Roman"/>
          <w:sz w:val="20"/>
          <w:szCs w:val="20"/>
          <w:u w:val="single" w:color="auto"/>
          <w:color w:val="0000EE"/>
          <w:vertAlign w:val="superscript"/>
        </w:rPr>
        <w:t>(1)</w:t>
      </w:r>
    </w:p>
    <w:p>
      <w:pPr>
        <w:spacing w:after="0" w:line="30" w:lineRule="exact"/>
        <w:rPr>
          <w:rFonts w:ascii="Times New Roman" w:cs="Times New Roman" w:eastAsia="Times New Roman" w:hAnsi="Times New Roman"/>
          <w:sz w:val="14"/>
          <w:szCs w:val="14"/>
          <w:color w:val="auto"/>
        </w:rPr>
      </w:pPr>
    </w:p>
    <w:p>
      <w:pPr>
        <w:ind w:left="1320" w:hanging="1001"/>
        <w:spacing w:after="0"/>
        <w:tabs>
          <w:tab w:leader="none" w:pos="13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Power of Attorney (see signature page of this Registration Statement)</w:t>
      </w:r>
    </w:p>
    <w:p>
      <w:pPr>
        <w:spacing w:after="0" w:line="71" w:lineRule="exact"/>
        <w:rPr>
          <w:rFonts w:ascii="Times New Roman" w:cs="Times New Roman" w:eastAsia="Times New Roman" w:hAnsi="Times New Roman"/>
          <w:sz w:val="14"/>
          <w:szCs w:val="14"/>
          <w:color w:val="auto"/>
        </w:rPr>
      </w:pPr>
    </w:p>
    <w:tbl>
      <w:tblPr>
        <w:tblLayout w:type="fixed"/>
        <w:tblInd w:w="320" w:type="dxa"/>
        <w:tblCellMar>
          <w:top w:w="0" w:type="dxa"/>
          <w:left w:w="0" w:type="dxa"/>
          <w:bottom w:w="0" w:type="dxa"/>
          <w:right w:w="0" w:type="dxa"/>
        </w:tblCellMar>
      </w:tblPr>
      <w:tr>
        <w:trPr>
          <w:trHeight w:val="176"/>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5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Inline XBRL Instance Document.</w:t>
            </w:r>
          </w:p>
        </w:tc>
      </w:tr>
      <w:tr>
        <w:trPr>
          <w:trHeight w:val="246"/>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5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246"/>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5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246"/>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5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246"/>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5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246"/>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5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r>
        <w:trPr>
          <w:trHeight w:val="246"/>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5240" w:type="dxa"/>
            <w:vAlign w:val="bottom"/>
          </w:tcPr>
          <w:p>
            <w:pPr>
              <w:ind w:left="240"/>
              <w:spacing w:after="0"/>
              <w:rPr>
                <w:sz w:val="20"/>
                <w:szCs w:val="20"/>
                <w:color w:val="auto"/>
              </w:rPr>
            </w:pPr>
            <w:r>
              <w:rPr>
                <w:rFonts w:ascii="Times New Roman" w:cs="Times New Roman" w:eastAsia="Times New Roman" w:hAnsi="Times New Roman"/>
                <w:sz w:val="14"/>
                <w:szCs w:val="14"/>
                <w:color w:val="auto"/>
                <w:w w:val="97"/>
              </w:rPr>
              <w:t>Cover Page Interactive Data File (formatted as Inline XBRL and contained in Exhibit 101).</w:t>
            </w:r>
          </w:p>
        </w:tc>
      </w:tr>
    </w:tbl>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202565</wp:posOffset>
            </wp:positionH>
            <wp:positionV relativeFrom="paragraph">
              <wp:posOffset>72390</wp:posOffset>
            </wp:positionV>
            <wp:extent cx="586105"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2">
                      <a:extLst>
                        <a:ext uri="{28A0092B-C50C-407E-A947-70E740481C1C}"/>
                      </a:extLst>
                    </a:blip>
                    <a:srcRect/>
                    <a:stretch>
                      <a:fillRect/>
                    </a:stretch>
                  </pic:blipFill>
                  <pic:spPr bwMode="auto">
                    <a:xfrm>
                      <a:off x="0" y="0"/>
                      <a:ext cx="586105" cy="6350"/>
                    </a:xfrm>
                    <a:prstGeom prst="rect">
                      <a:avLst/>
                    </a:prstGeom>
                    <a:noFill/>
                  </pic:spPr>
                </pic:pic>
              </a:graphicData>
            </a:graphic>
          </wp:anchor>
        </w:drawing>
      </w:r>
    </w:p>
    <w:p>
      <w:pPr>
        <w:spacing w:after="0" w:line="112" w:lineRule="exact"/>
        <w:rPr>
          <w:rFonts w:ascii="Times New Roman" w:cs="Times New Roman" w:eastAsia="Times New Roman" w:hAnsi="Times New Roman"/>
          <w:sz w:val="14"/>
          <w:szCs w:val="14"/>
          <w:color w:val="auto"/>
        </w:rPr>
      </w:pPr>
    </w:p>
    <w:p>
      <w:pPr>
        <w:ind w:left="640" w:hanging="321"/>
        <w:spacing w:after="0"/>
        <w:tabs>
          <w:tab w:leader="none" w:pos="6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45" w:lineRule="exact"/>
        <w:rPr>
          <w:rFonts w:ascii="Times New Roman" w:cs="Times New Roman" w:eastAsia="Times New Roman" w:hAnsi="Times New Roman"/>
          <w:sz w:val="14"/>
          <w:szCs w:val="14"/>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Item 26. Marketing Arrangements</w:t>
      </w:r>
    </w:p>
    <w:p>
      <w:pPr>
        <w:spacing w:after="0" w:line="89" w:lineRule="exact"/>
        <w:rPr>
          <w:rFonts w:ascii="Times New Roman" w:cs="Times New Roman" w:eastAsia="Times New Roman" w:hAnsi="Times New Roman"/>
          <w:sz w:val="14"/>
          <w:szCs w:val="14"/>
          <w:color w:val="auto"/>
        </w:rPr>
      </w:pPr>
    </w:p>
    <w:p>
      <w:pPr>
        <w:ind w:left="320" w:right="659" w:firstLine="335"/>
        <w:spacing w:after="0" w:line="266" w:lineRule="auto"/>
        <w:rPr>
          <w:sz w:val="20"/>
          <w:szCs w:val="20"/>
          <w:color w:val="auto"/>
        </w:rPr>
      </w:pPr>
      <w:r>
        <w:rPr>
          <w:rFonts w:ascii="Times New Roman" w:cs="Times New Roman" w:eastAsia="Times New Roman" w:hAnsi="Times New Roman"/>
          <w:sz w:val="14"/>
          <w:szCs w:val="14"/>
          <w:color w:val="auto"/>
        </w:rPr>
        <w:t>The information contained under the heading “Plan of Distribution” in this registration statement is incorporated herein by reference and any information concerning any underwriters will be contained in the accompanying prospectus supplement, if any.</w:t>
      </w:r>
    </w:p>
    <w:p>
      <w:pPr>
        <w:spacing w:after="0" w:line="214" w:lineRule="exact"/>
        <w:rPr>
          <w:rFonts w:ascii="Times New Roman" w:cs="Times New Roman" w:eastAsia="Times New Roman" w:hAnsi="Times New Roman"/>
          <w:sz w:val="14"/>
          <w:szCs w:val="14"/>
          <w:color w:val="auto"/>
        </w:rPr>
      </w:pPr>
    </w:p>
    <w:tbl>
      <w:tblPr>
        <w:tblLayout w:type="fixed"/>
        <w:tblInd w:w="320" w:type="dxa"/>
        <w:tblCellMar>
          <w:top w:w="0" w:type="dxa"/>
          <w:left w:w="0" w:type="dxa"/>
          <w:bottom w:w="0" w:type="dxa"/>
          <w:right w:w="0" w:type="dxa"/>
        </w:tblCellMar>
      </w:tblPr>
      <w:tr>
        <w:trPr>
          <w:trHeight w:val="180"/>
        </w:trPr>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27. Other Expenses of Issuance and Distribution</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93"/>
        </w:trPr>
        <w:tc>
          <w:tcPr>
            <w:tcW w:w="134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64"/>
        </w:trPr>
        <w:tc>
          <w:tcPr>
            <w:tcW w:w="1340" w:type="dxa"/>
            <w:vAlign w:val="bottom"/>
          </w:tcPr>
          <w:p>
            <w:pPr>
              <w:spacing w:after="0"/>
              <w:rPr>
                <w:sz w:val="14"/>
                <w:szCs w:val="14"/>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 and Exchange Commission registration fee</w:t>
            </w:r>
          </w:p>
        </w:tc>
        <w:tc>
          <w:tcPr>
            <w:tcW w:w="3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w w:val="85"/>
              </w:rPr>
              <w:t>$— 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85"/>
              </w:rPr>
              <w:t>(1)</w:t>
            </w:r>
          </w:p>
        </w:tc>
      </w:tr>
      <w:tr>
        <w:trPr>
          <w:trHeight w:val="164"/>
        </w:trPr>
        <w:tc>
          <w:tcPr>
            <w:tcW w:w="1340" w:type="dxa"/>
            <w:vAlign w:val="bottom"/>
          </w:tcPr>
          <w:p>
            <w:pPr>
              <w:spacing w:after="0"/>
              <w:rPr>
                <w:sz w:val="14"/>
                <w:szCs w:val="14"/>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FINRA filing fee</w:t>
            </w:r>
          </w:p>
        </w:tc>
        <w:tc>
          <w:tcPr>
            <w:tcW w:w="48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9"/>
                <w:szCs w:val="19"/>
                <w:color w:val="auto"/>
                <w:vertAlign w:val="subscript"/>
              </w:rPr>
              <w:t>— </w:t>
            </w:r>
            <w:r>
              <w:rPr>
                <w:rFonts w:ascii="Times New Roman" w:cs="Times New Roman" w:eastAsia="Times New Roman" w:hAnsi="Times New Roman"/>
                <w:sz w:val="9"/>
                <w:szCs w:val="9"/>
                <w:color w:val="auto"/>
              </w:rPr>
              <w:t xml:space="preserve"> (2)</w:t>
            </w:r>
          </w:p>
        </w:tc>
      </w:tr>
      <w:tr>
        <w:trPr>
          <w:trHeight w:val="164"/>
        </w:trPr>
        <w:tc>
          <w:tcPr>
            <w:tcW w:w="1340" w:type="dxa"/>
            <w:vAlign w:val="bottom"/>
          </w:tcPr>
          <w:p>
            <w:pPr>
              <w:spacing w:after="0"/>
              <w:rPr>
                <w:sz w:val="14"/>
                <w:szCs w:val="14"/>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Nasdaq Global Select Market listing fees</w:t>
            </w:r>
          </w:p>
        </w:tc>
        <w:tc>
          <w:tcPr>
            <w:tcW w:w="3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85"/>
              </w:rPr>
              <w:t>(2)</w:t>
            </w:r>
          </w:p>
        </w:tc>
      </w:tr>
      <w:tr>
        <w:trPr>
          <w:trHeight w:val="164"/>
        </w:trPr>
        <w:tc>
          <w:tcPr>
            <w:tcW w:w="1340" w:type="dxa"/>
            <w:vAlign w:val="bottom"/>
          </w:tcPr>
          <w:p>
            <w:pPr>
              <w:spacing w:after="0"/>
              <w:rPr>
                <w:sz w:val="14"/>
                <w:szCs w:val="14"/>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Printing and engraving</w:t>
            </w:r>
          </w:p>
        </w:tc>
        <w:tc>
          <w:tcPr>
            <w:tcW w:w="320" w:type="dxa"/>
            <w:vAlign w:val="bottom"/>
          </w:tcPr>
          <w:p>
            <w:pPr>
              <w:jc w:val="right"/>
              <w:ind w:right="4"/>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85"/>
              </w:rPr>
              <w:t>(2)</w:t>
            </w:r>
          </w:p>
        </w:tc>
      </w:tr>
      <w:tr>
        <w:trPr>
          <w:trHeight w:val="164"/>
        </w:trPr>
        <w:tc>
          <w:tcPr>
            <w:tcW w:w="1340" w:type="dxa"/>
            <w:vAlign w:val="bottom"/>
          </w:tcPr>
          <w:p>
            <w:pPr>
              <w:spacing w:after="0"/>
              <w:rPr>
                <w:sz w:val="14"/>
                <w:szCs w:val="14"/>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480" w:type="dxa"/>
            <w:vAlign w:val="bottom"/>
            <w:gridSpan w:val="2"/>
            <w:shd w:val="clear" w:color="auto" w:fill="CCEEFF"/>
          </w:tcPr>
          <w:p>
            <w:pPr>
              <w:jc w:val="right"/>
              <w:spacing w:after="0" w:line="164" w:lineRule="exact"/>
              <w:rPr>
                <w:sz w:val="20"/>
                <w:szCs w:val="20"/>
                <w:color w:val="auto"/>
              </w:rPr>
            </w:pPr>
            <w:r>
              <w:rPr>
                <w:rFonts w:ascii="Times New Roman" w:cs="Times New Roman" w:eastAsia="Times New Roman" w:hAnsi="Times New Roman"/>
                <w:sz w:val="19"/>
                <w:szCs w:val="19"/>
                <w:color w:val="auto"/>
                <w:vertAlign w:val="subscript"/>
              </w:rPr>
              <w:t>— </w:t>
            </w:r>
            <w:r>
              <w:rPr>
                <w:rFonts w:ascii="Times New Roman" w:cs="Times New Roman" w:eastAsia="Times New Roman" w:hAnsi="Times New Roman"/>
                <w:sz w:val="9"/>
                <w:szCs w:val="9"/>
                <w:color w:val="auto"/>
              </w:rPr>
              <w:t xml:space="preserve"> (2)</w:t>
            </w:r>
          </w:p>
        </w:tc>
      </w:tr>
      <w:tr>
        <w:trPr>
          <w:trHeight w:val="164"/>
        </w:trPr>
        <w:tc>
          <w:tcPr>
            <w:tcW w:w="1340" w:type="dxa"/>
            <w:vAlign w:val="bottom"/>
          </w:tcPr>
          <w:p>
            <w:pPr>
              <w:spacing w:after="0"/>
              <w:rPr>
                <w:sz w:val="14"/>
                <w:szCs w:val="14"/>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48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9"/>
                <w:szCs w:val="19"/>
                <w:color w:val="auto"/>
                <w:vertAlign w:val="subscript"/>
              </w:rPr>
              <w:t>— </w:t>
            </w:r>
            <w:r>
              <w:rPr>
                <w:rFonts w:ascii="Times New Roman" w:cs="Times New Roman" w:eastAsia="Times New Roman" w:hAnsi="Times New Roman"/>
                <w:sz w:val="9"/>
                <w:szCs w:val="9"/>
                <w:color w:val="auto"/>
              </w:rPr>
              <w:t xml:space="preserve"> (2)</w:t>
            </w:r>
          </w:p>
        </w:tc>
      </w:tr>
      <w:tr>
        <w:trPr>
          <w:trHeight w:val="164"/>
        </w:trPr>
        <w:tc>
          <w:tcPr>
            <w:tcW w:w="1340" w:type="dxa"/>
            <w:vAlign w:val="bottom"/>
          </w:tcPr>
          <w:p>
            <w:pPr>
              <w:spacing w:after="0"/>
              <w:rPr>
                <w:sz w:val="14"/>
                <w:szCs w:val="14"/>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Miscellaneous fees and expenses</w:t>
            </w:r>
          </w:p>
        </w:tc>
        <w:tc>
          <w:tcPr>
            <w:tcW w:w="480" w:type="dxa"/>
            <w:vAlign w:val="bottom"/>
            <w:gridSpan w:val="2"/>
            <w:shd w:val="clear" w:color="auto" w:fill="CCEEFF"/>
          </w:tcPr>
          <w:p>
            <w:pPr>
              <w:jc w:val="right"/>
              <w:spacing w:after="0" w:line="164" w:lineRule="exact"/>
              <w:rPr>
                <w:sz w:val="20"/>
                <w:szCs w:val="20"/>
                <w:color w:val="auto"/>
              </w:rPr>
            </w:pPr>
            <w:r>
              <w:rPr>
                <w:rFonts w:ascii="Times New Roman" w:cs="Times New Roman" w:eastAsia="Times New Roman" w:hAnsi="Times New Roman"/>
                <w:sz w:val="19"/>
                <w:szCs w:val="19"/>
                <w:color w:val="auto"/>
                <w:vertAlign w:val="subscript"/>
              </w:rPr>
              <w:t>— </w:t>
            </w:r>
            <w:r>
              <w:rPr>
                <w:rFonts w:ascii="Times New Roman" w:cs="Times New Roman" w:eastAsia="Times New Roman" w:hAnsi="Times New Roman"/>
                <w:sz w:val="9"/>
                <w:szCs w:val="9"/>
                <w:color w:val="auto"/>
              </w:rPr>
              <w:t xml:space="preserve"> (2)</w:t>
            </w:r>
          </w:p>
        </w:tc>
      </w:tr>
      <w:tr>
        <w:trPr>
          <w:trHeight w:val="165"/>
        </w:trPr>
        <w:tc>
          <w:tcPr>
            <w:tcW w:w="1340" w:type="dxa"/>
            <w:vAlign w:val="bottom"/>
          </w:tcPr>
          <w:p>
            <w:pPr>
              <w:spacing w:after="0"/>
              <w:rPr>
                <w:sz w:val="14"/>
                <w:szCs w:val="14"/>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3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color w:val="auto"/>
              </w:rPr>
              <w:t xml:space="preserve">$— </w:t>
            </w: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85"/>
              </w:rPr>
              <w:t>(2)</w:t>
            </w:r>
          </w:p>
        </w:tc>
      </w:tr>
      <w:tr>
        <w:trPr>
          <w:trHeight w:val="20"/>
        </w:trPr>
        <w:tc>
          <w:tcPr>
            <w:tcW w:w="13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202565</wp:posOffset>
            </wp:positionH>
            <wp:positionV relativeFrom="paragraph">
              <wp:posOffset>78105</wp:posOffset>
            </wp:positionV>
            <wp:extent cx="586105"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3">
                      <a:extLst>
                        <a:ext uri="{28A0092B-C50C-407E-A947-70E740481C1C}"/>
                      </a:extLst>
                    </a:blip>
                    <a:srcRect/>
                    <a:stretch>
                      <a:fillRect/>
                    </a:stretch>
                  </pic:blipFill>
                  <pic:spPr bwMode="auto">
                    <a:xfrm>
                      <a:off x="0" y="0"/>
                      <a:ext cx="586105" cy="6350"/>
                    </a:xfrm>
                    <a:prstGeom prst="rect">
                      <a:avLst/>
                    </a:prstGeom>
                    <a:noFill/>
                  </pic:spPr>
                </pic:pic>
              </a:graphicData>
            </a:graphic>
          </wp:anchor>
        </w:drawing>
      </w:r>
    </w:p>
    <w:p>
      <w:pPr>
        <w:spacing w:after="0" w:line="131" w:lineRule="exact"/>
        <w:rPr>
          <w:rFonts w:ascii="Times New Roman" w:cs="Times New Roman" w:eastAsia="Times New Roman" w:hAnsi="Times New Roman"/>
          <w:sz w:val="14"/>
          <w:szCs w:val="14"/>
          <w:color w:val="auto"/>
        </w:rPr>
      </w:pPr>
    </w:p>
    <w:p>
      <w:pPr>
        <w:ind w:left="640" w:right="899" w:hanging="321"/>
        <w:spacing w:after="0" w:line="253" w:lineRule="auto"/>
        <w:tabs>
          <w:tab w:leader="none" w:pos="6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Rules 456(b) and 457(r) promulgated under the Securities Act, we are deferring payment of all registration fees. Any registration fees will be paid subsequently on a pay-as-you-go basis.</w:t>
      </w:r>
    </w:p>
    <w:p>
      <w:pPr>
        <w:ind w:left="640" w:right="379" w:hanging="321"/>
        <w:spacing w:after="0" w:line="249" w:lineRule="auto"/>
        <w:tabs>
          <w:tab w:leader="none" w:pos="6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will be calculated based on the securities offered and the number of issuances and, accordingly, cannot be estimated at this time. These fees, if any, will be reflected in the applicable prospectus supplement.</w:t>
      </w:r>
    </w:p>
    <w:p>
      <w:pPr>
        <w:sectPr>
          <w:pgSz w:w="11900" w:h="16838" w:orient="portrait"/>
          <w:cols w:equalWidth="0" w:num="1">
            <w:col w:w="9019"/>
          </w:cols>
          <w:pgMar w:left="1440" w:top="260" w:right="1440" w:bottom="1440" w:gutter="0" w:footer="0" w:header="0"/>
        </w:sectPr>
      </w:pPr>
    </w:p>
    <w:bookmarkStart w:id="100" w:name="page101"/>
    <w:bookmarkEnd w:id="100"/>
    <w:p>
      <w:pPr>
        <w:ind w:left="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4">
                      <a:extLst>
                        <a:ext uri="{28A0092B-C50C-407E-A947-70E740481C1C}"/>
                      </a:extLst>
                    </a:blip>
                    <a:srcRect/>
                    <a:stretch>
                      <a:fillRect/>
                    </a:stretch>
                  </pic:blipFill>
                  <pic:spPr bwMode="auto">
                    <a:xfrm>
                      <a:off x="0" y="0"/>
                      <a:ext cx="7203440" cy="45085"/>
                    </a:xfrm>
                    <a:prstGeom prst="rect">
                      <a:avLst/>
                    </a:prstGeom>
                    <a:noFill/>
                  </pic:spPr>
                </pic:pic>
              </a:graphicData>
            </a:graphic>
          </wp:anchor>
        </w:drawing>
        <w:t>All of the expenses set forth above shall be borne by the Company.</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Item 28. Persons Controlled by or Under Common Control</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following is a list of our wholly-owned subsidiaries and the jurisdiction in which each subsidiary was organized:</w:t>
      </w:r>
    </w:p>
    <w:p>
      <w:pPr>
        <w:spacing w:after="0" w:line="181" w:lineRule="exact"/>
        <w:rPr>
          <w:sz w:val="20"/>
          <w:szCs w:val="20"/>
          <w:color w:val="auto"/>
        </w:rPr>
      </w:pPr>
    </w:p>
    <w:tbl>
      <w:tblPr>
        <w:tblLayout w:type="fixed"/>
        <w:tblInd w:w="1660" w:type="dxa"/>
        <w:tblCellMar>
          <w:top w:w="0" w:type="dxa"/>
          <w:left w:w="0" w:type="dxa"/>
          <w:bottom w:w="0" w:type="dxa"/>
          <w:right w:w="0" w:type="dxa"/>
        </w:tblCellMar>
      </w:tblPr>
      <w:tr>
        <w:trPr>
          <w:trHeight w:val="152"/>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4"/>
              </w:rPr>
              <w:t>Name</w:t>
            </w:r>
          </w:p>
        </w:tc>
        <w:tc>
          <w:tcPr>
            <w:tcW w:w="3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Jurisdiction</w:t>
            </w:r>
          </w:p>
        </w:tc>
      </w:tr>
      <w:tr>
        <w:trPr>
          <w:trHeight w:val="145"/>
        </w:trPr>
        <w:tc>
          <w:tcPr>
            <w:tcW w:w="3380" w:type="dxa"/>
            <w:vAlign w:val="bottom"/>
            <w:tcBorders>
              <w:top w:val="single" w:sz="8" w:color="CCEEFF"/>
            </w:tcBorders>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FCDS Corp.</w:t>
            </w:r>
          </w:p>
        </w:tc>
        <w:tc>
          <w:tcPr>
            <w:tcW w:w="15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Delaware</w:t>
            </w:r>
          </w:p>
        </w:tc>
      </w:tr>
      <w:tr>
        <w:trPr>
          <w:trHeight w:val="164"/>
        </w:trPr>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FCMH Equity Corp.</w:t>
            </w:r>
          </w:p>
        </w:tc>
        <w:tc>
          <w:tcPr>
            <w:tcW w:w="2300" w:type="dxa"/>
            <w:vAlign w:val="bottom"/>
            <w:gridSpan w:val="2"/>
          </w:tcPr>
          <w:p>
            <w:pPr>
              <w:ind w:left="1560"/>
              <w:spacing w:after="0"/>
              <w:rPr>
                <w:sz w:val="20"/>
                <w:szCs w:val="20"/>
                <w:color w:val="auto"/>
              </w:rPr>
            </w:pPr>
            <w:r>
              <w:rPr>
                <w:rFonts w:ascii="Times New Roman" w:cs="Times New Roman" w:eastAsia="Times New Roman" w:hAnsi="Times New Roman"/>
                <w:sz w:val="14"/>
                <w:szCs w:val="14"/>
                <w:color w:val="auto"/>
              </w:rPr>
              <w:t>Delaware</w:t>
            </w:r>
          </w:p>
        </w:tc>
      </w:tr>
      <w:tr>
        <w:trPr>
          <w:trHeight w:val="164"/>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FIC Funding, LLC</w:t>
            </w:r>
          </w:p>
        </w:tc>
        <w:tc>
          <w:tcPr>
            <w:tcW w:w="230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Delaware</w:t>
            </w:r>
          </w:p>
        </w:tc>
      </w:tr>
      <w:tr>
        <w:trPr>
          <w:trHeight w:val="164"/>
        </w:trPr>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Fidus Capital GP, LLC</w:t>
            </w:r>
          </w:p>
        </w:tc>
        <w:tc>
          <w:tcPr>
            <w:tcW w:w="2300" w:type="dxa"/>
            <w:vAlign w:val="bottom"/>
            <w:gridSpan w:val="2"/>
          </w:tcPr>
          <w:p>
            <w:pPr>
              <w:ind w:left="1560"/>
              <w:spacing w:after="0"/>
              <w:rPr>
                <w:sz w:val="20"/>
                <w:szCs w:val="20"/>
                <w:color w:val="auto"/>
              </w:rPr>
            </w:pPr>
            <w:r>
              <w:rPr>
                <w:rFonts w:ascii="Times New Roman" w:cs="Times New Roman" w:eastAsia="Times New Roman" w:hAnsi="Times New Roman"/>
                <w:sz w:val="14"/>
                <w:szCs w:val="14"/>
                <w:color w:val="auto"/>
              </w:rPr>
              <w:t>Delaware</w:t>
            </w:r>
          </w:p>
        </w:tc>
      </w:tr>
      <w:tr>
        <w:trPr>
          <w:trHeight w:val="164"/>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Fidus Investment GP, LLC</w:t>
            </w:r>
          </w:p>
        </w:tc>
        <w:tc>
          <w:tcPr>
            <w:tcW w:w="230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Delaware</w:t>
            </w:r>
          </w:p>
        </w:tc>
      </w:tr>
      <w:tr>
        <w:trPr>
          <w:trHeight w:val="164"/>
        </w:trPr>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Fidus Mezzanine Capital, L.P.</w:t>
            </w:r>
          </w:p>
        </w:tc>
        <w:tc>
          <w:tcPr>
            <w:tcW w:w="2300" w:type="dxa"/>
            <w:vAlign w:val="bottom"/>
            <w:gridSpan w:val="2"/>
          </w:tcPr>
          <w:p>
            <w:pPr>
              <w:ind w:left="1560"/>
              <w:spacing w:after="0"/>
              <w:rPr>
                <w:sz w:val="20"/>
                <w:szCs w:val="20"/>
                <w:color w:val="auto"/>
              </w:rPr>
            </w:pPr>
            <w:r>
              <w:rPr>
                <w:rFonts w:ascii="Times New Roman" w:cs="Times New Roman" w:eastAsia="Times New Roman" w:hAnsi="Times New Roman"/>
                <w:sz w:val="14"/>
                <w:szCs w:val="14"/>
                <w:color w:val="auto"/>
              </w:rPr>
              <w:t>Delaware</w:t>
            </w:r>
          </w:p>
        </w:tc>
      </w:tr>
      <w:tr>
        <w:trPr>
          <w:trHeight w:val="164"/>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Fidus Mezzanine Capital II, L.P.</w:t>
            </w:r>
          </w:p>
        </w:tc>
        <w:tc>
          <w:tcPr>
            <w:tcW w:w="230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Delaware</w:t>
            </w:r>
          </w:p>
        </w:tc>
      </w:tr>
      <w:tr>
        <w:trPr>
          <w:trHeight w:val="164"/>
        </w:trPr>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Fidus Mezzanine Capital III, L.P.</w:t>
            </w:r>
          </w:p>
        </w:tc>
        <w:tc>
          <w:tcPr>
            <w:tcW w:w="2300" w:type="dxa"/>
            <w:vAlign w:val="bottom"/>
            <w:gridSpan w:val="2"/>
          </w:tcPr>
          <w:p>
            <w:pPr>
              <w:ind w:left="1560"/>
              <w:spacing w:after="0"/>
              <w:rPr>
                <w:sz w:val="20"/>
                <w:szCs w:val="20"/>
                <w:color w:val="auto"/>
              </w:rPr>
            </w:pPr>
            <w:r>
              <w:rPr>
                <w:rFonts w:ascii="Times New Roman" w:cs="Times New Roman" w:eastAsia="Times New Roman" w:hAnsi="Times New Roman"/>
                <w:sz w:val="14"/>
                <w:szCs w:val="14"/>
                <w:color w:val="auto"/>
              </w:rPr>
              <w:t>Delaware</w:t>
            </w:r>
          </w:p>
        </w:tc>
      </w:tr>
      <w:tr>
        <w:trPr>
          <w:trHeight w:val="164"/>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Fidus Mezzanine Capital IV, L.P.</w:t>
            </w:r>
          </w:p>
        </w:tc>
        <w:tc>
          <w:tcPr>
            <w:tcW w:w="230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Delaware</w:t>
            </w:r>
          </w:p>
        </w:tc>
      </w:tr>
      <w:tr>
        <w:trPr>
          <w:trHeight w:val="176"/>
        </w:trPr>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Fidus Investment Holdings, Inc.</w:t>
            </w:r>
          </w:p>
        </w:tc>
        <w:tc>
          <w:tcPr>
            <w:tcW w:w="2300" w:type="dxa"/>
            <w:vAlign w:val="bottom"/>
            <w:gridSpan w:val="2"/>
          </w:tcPr>
          <w:p>
            <w:pPr>
              <w:ind w:left="1560"/>
              <w:spacing w:after="0"/>
              <w:rPr>
                <w:sz w:val="20"/>
                <w:szCs w:val="20"/>
                <w:color w:val="auto"/>
              </w:rPr>
            </w:pPr>
            <w:r>
              <w:rPr>
                <w:rFonts w:ascii="Times New Roman" w:cs="Times New Roman" w:eastAsia="Times New Roman" w:hAnsi="Times New Roman"/>
                <w:sz w:val="14"/>
                <w:szCs w:val="14"/>
                <w:color w:val="auto"/>
              </w:rPr>
              <w:t>Delaware</w:t>
            </w:r>
          </w:p>
        </w:tc>
      </w:tr>
    </w:tbl>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Item 29. Number of Holders of Securities</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The following table sets forth the approximate number of record holders of our common stock as of February 25, 2026.</w:t>
      </w:r>
    </w:p>
    <w:p>
      <w:pPr>
        <w:spacing w:after="0" w:line="168" w:lineRule="exact"/>
        <w:rPr>
          <w:sz w:val="20"/>
          <w:szCs w:val="20"/>
          <w:color w:val="auto"/>
        </w:rPr>
      </w:pPr>
    </w:p>
    <w:tbl>
      <w:tblPr>
        <w:tblLayout w:type="fixed"/>
        <w:tblInd w:w="1660" w:type="dxa"/>
        <w:tblCellMar>
          <w:top w:w="0" w:type="dxa"/>
          <w:left w:w="0" w:type="dxa"/>
          <w:bottom w:w="0" w:type="dxa"/>
          <w:right w:w="0" w:type="dxa"/>
        </w:tblCellMar>
      </w:tblPr>
      <w:tr>
        <w:trPr>
          <w:trHeight w:val="126"/>
        </w:trPr>
        <w:tc>
          <w:tcPr>
            <w:tcW w:w="6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7"/>
              </w:rPr>
              <w:t>Title of Class</w:t>
            </w:r>
          </w:p>
        </w:tc>
        <w:tc>
          <w:tcPr>
            <w:tcW w:w="4140" w:type="dxa"/>
            <w:vAlign w:val="bottom"/>
            <w:vMerge w:val="restart"/>
          </w:tcPr>
          <w:p>
            <w:pPr>
              <w:spacing w:after="0"/>
              <w:rPr>
                <w:sz w:val="11"/>
                <w:szCs w:val="11"/>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97"/>
              </w:rPr>
              <w:t>Number of Record</w:t>
            </w:r>
          </w:p>
        </w:tc>
        <w:tc>
          <w:tcPr>
            <w:tcW w:w="0" w:type="dxa"/>
            <w:vAlign w:val="bottom"/>
          </w:tcPr>
          <w:p>
            <w:pPr>
              <w:spacing w:after="0"/>
              <w:rPr>
                <w:sz w:val="1"/>
                <w:szCs w:val="1"/>
                <w:color w:val="auto"/>
              </w:rPr>
            </w:pPr>
          </w:p>
        </w:tc>
      </w:tr>
      <w:tr>
        <w:trPr>
          <w:trHeight w:val="142"/>
        </w:trPr>
        <w:tc>
          <w:tcPr>
            <w:tcW w:w="620" w:type="dxa"/>
            <w:vAlign w:val="bottom"/>
            <w:tcBorders>
              <w:bottom w:val="single" w:sz="8" w:color="auto"/>
            </w:tcBorders>
            <w:vMerge w:val="continue"/>
          </w:tcPr>
          <w:p>
            <w:pPr>
              <w:spacing w:after="0"/>
              <w:rPr>
                <w:sz w:val="12"/>
                <w:szCs w:val="12"/>
                <w:color w:val="auto"/>
              </w:rPr>
            </w:pPr>
          </w:p>
        </w:tc>
        <w:tc>
          <w:tcPr>
            <w:tcW w:w="4140" w:type="dxa"/>
            <w:vAlign w:val="bottom"/>
            <w:vMerge w:val="continue"/>
          </w:tcPr>
          <w:p>
            <w:pPr>
              <w:spacing w:after="0"/>
              <w:rPr>
                <w:sz w:val="12"/>
                <w:szCs w:val="12"/>
                <w:color w:val="auto"/>
              </w:rPr>
            </w:pPr>
          </w:p>
        </w:tc>
        <w:tc>
          <w:tcPr>
            <w:tcW w:w="920" w:type="dxa"/>
            <w:vAlign w:val="bottom"/>
            <w:gridSpan w:val="2"/>
          </w:tcPr>
          <w:p>
            <w:pPr>
              <w:ind w:left="260"/>
              <w:spacing w:after="0" w:line="122" w:lineRule="exact"/>
              <w:rPr>
                <w:sz w:val="20"/>
                <w:szCs w:val="20"/>
                <w:color w:val="auto"/>
              </w:rPr>
            </w:pPr>
            <w:r>
              <w:rPr>
                <w:rFonts w:ascii="Times New Roman" w:cs="Times New Roman" w:eastAsia="Times New Roman" w:hAnsi="Times New Roman"/>
                <w:sz w:val="11"/>
                <w:szCs w:val="11"/>
                <w:b w:val="1"/>
                <w:bCs w:val="1"/>
                <w:color w:val="auto"/>
              </w:rPr>
              <w:t>Holders</w:t>
            </w:r>
          </w:p>
        </w:tc>
        <w:tc>
          <w:tcPr>
            <w:tcW w:w="0" w:type="dxa"/>
            <w:vAlign w:val="bottom"/>
          </w:tcPr>
          <w:p>
            <w:pPr>
              <w:spacing w:after="0"/>
              <w:rPr>
                <w:sz w:val="1"/>
                <w:szCs w:val="1"/>
                <w:color w:val="auto"/>
              </w:rPr>
            </w:pPr>
          </w:p>
        </w:tc>
      </w:tr>
      <w:tr>
        <w:trPr>
          <w:trHeight w:val="145"/>
        </w:trPr>
        <w:tc>
          <w:tcPr>
            <w:tcW w:w="4760" w:type="dxa"/>
            <w:vAlign w:val="bottom"/>
            <w:tcBorders>
              <w:top w:val="single" w:sz="8" w:color="CCEEFF"/>
            </w:tcBorders>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Common Stock, $0.001 par value</w:t>
            </w:r>
          </w:p>
        </w:tc>
        <w:tc>
          <w:tcPr>
            <w:tcW w:w="88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16</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Item 30. Indemnification</w:t>
      </w:r>
    </w:p>
    <w:p>
      <w:pPr>
        <w:spacing w:after="0" w:line="89" w:lineRule="exact"/>
        <w:rPr>
          <w:sz w:val="20"/>
          <w:szCs w:val="20"/>
          <w:color w:val="auto"/>
        </w:rPr>
      </w:pPr>
    </w:p>
    <w:p>
      <w:pPr>
        <w:ind w:left="320" w:right="399" w:firstLine="335"/>
        <w:spacing w:after="0" w:line="250" w:lineRule="auto"/>
        <w:rPr>
          <w:sz w:val="20"/>
          <w:szCs w:val="20"/>
          <w:color w:val="auto"/>
        </w:rPr>
      </w:pPr>
      <w:r>
        <w:rPr>
          <w:rFonts w:ascii="Times New Roman" w:cs="Times New Roman" w:eastAsia="Times New Roman" w:hAnsi="Times New Roman"/>
          <w:sz w:val="14"/>
          <w:szCs w:val="14"/>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that eliminates directors’ and officers’ liability to the maximum extent permitted by Maryland law, subject to the requirements of the 1940 Act.</w:t>
      </w:r>
    </w:p>
    <w:p>
      <w:pPr>
        <w:spacing w:after="0" w:line="146" w:lineRule="exact"/>
        <w:rPr>
          <w:sz w:val="20"/>
          <w:szCs w:val="20"/>
          <w:color w:val="auto"/>
        </w:rPr>
      </w:pPr>
    </w:p>
    <w:p>
      <w:pPr>
        <w:ind w:left="320" w:right="479" w:firstLine="335"/>
        <w:spacing w:after="0" w:line="250" w:lineRule="auto"/>
        <w:rPr>
          <w:sz w:val="20"/>
          <w:szCs w:val="20"/>
          <w:color w:val="auto"/>
        </w:rPr>
      </w:pPr>
      <w:r>
        <w:rPr>
          <w:rFonts w:ascii="Times New Roman" w:cs="Times New Roman" w:eastAsia="Times New Roman" w:hAnsi="Times New Roman"/>
          <w:sz w:val="14"/>
          <w:szCs w:val="14"/>
          <w:color w:val="auto"/>
        </w:rPr>
        <w:t>Our charter authorizes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such person may become subject or which such person may incur by reason of his or her service in any such capacity.</w:t>
      </w:r>
    </w:p>
    <w:p>
      <w:pPr>
        <w:spacing w:after="0" w:line="146" w:lineRule="exact"/>
        <w:rPr>
          <w:sz w:val="20"/>
          <w:szCs w:val="20"/>
          <w:color w:val="auto"/>
        </w:rPr>
      </w:pPr>
    </w:p>
    <w:p>
      <w:pPr>
        <w:ind w:left="320" w:right="339" w:firstLine="335"/>
        <w:spacing w:after="0" w:line="248" w:lineRule="auto"/>
        <w:rPr>
          <w:sz w:val="20"/>
          <w:szCs w:val="20"/>
          <w:color w:val="auto"/>
        </w:rPr>
      </w:pPr>
      <w:r>
        <w:rPr>
          <w:rFonts w:ascii="Times New Roman" w:cs="Times New Roman" w:eastAsia="Times New Roman" w:hAnsi="Times New Roman"/>
          <w:sz w:val="14"/>
          <w:szCs w:val="14"/>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any such capacity from and against any claim or liability to which that person may become subject or which that person may incur by reason of his or her service in any such capacity. Our bylaws also provide that, to the maximum extent permitted by Maryland law, with the approval of our board of directors and provided that certain conditions described in our bylaws are met, we may pay certain expenses incurred by any such indemnified person in advance of the final</w:t>
      </w:r>
    </w:p>
    <w:p>
      <w:pPr>
        <w:sectPr>
          <w:pgSz w:w="11900" w:h="16838" w:orient="portrait"/>
          <w:cols w:equalWidth="0" w:num="1">
            <w:col w:w="9019"/>
          </w:cols>
          <w:pgMar w:left="1440" w:top="260" w:right="1440" w:bottom="1440" w:gutter="0" w:footer="0" w:header="0"/>
        </w:sectPr>
      </w:pPr>
    </w:p>
    <w:bookmarkStart w:id="101" w:name="page102"/>
    <w:bookmarkEnd w:id="101"/>
    <w:p>
      <w:pPr>
        <w:ind w:left="320" w:right="87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5">
                      <a:extLst>
                        <a:ext uri="{28A0092B-C50C-407E-A947-70E740481C1C}"/>
                      </a:extLst>
                    </a:blip>
                    <a:srcRect/>
                    <a:stretch>
                      <a:fillRect/>
                    </a:stretch>
                  </pic:blipFill>
                  <pic:spPr bwMode="auto">
                    <a:xfrm>
                      <a:off x="0" y="0"/>
                      <a:ext cx="7203440" cy="45085"/>
                    </a:xfrm>
                    <a:prstGeom prst="rect">
                      <a:avLst/>
                    </a:prstGeom>
                    <a:noFill/>
                  </pic:spPr>
                </pic:pic>
              </a:graphicData>
            </a:graphic>
          </wp:anchor>
        </w:drawing>
        <w:t>disposition of a proceeding upon receipt of an undertaking by or on behalf of such indemnified person to repay amounts we have so paid if it is ultimately determined that indemnification of such expenses is not authorized under our bylaws.</w:t>
      </w:r>
    </w:p>
    <w:p>
      <w:pPr>
        <w:spacing w:after="0" w:line="136" w:lineRule="exact"/>
        <w:rPr>
          <w:sz w:val="20"/>
          <w:szCs w:val="20"/>
          <w:color w:val="auto"/>
        </w:rPr>
      </w:pPr>
    </w:p>
    <w:p>
      <w:pPr>
        <w:ind w:left="320" w:right="379" w:firstLine="335"/>
        <w:spacing w:after="0" w:line="246" w:lineRule="auto"/>
        <w:rPr>
          <w:sz w:val="20"/>
          <w:szCs w:val="20"/>
          <w:color w:val="auto"/>
        </w:rPr>
      </w:pPr>
      <w:r>
        <w:rPr>
          <w:rFonts w:ascii="Times New Roman" w:cs="Times New Roman" w:eastAsia="Times New Roman" w:hAnsi="Times New Roman"/>
          <w:sz w:val="14"/>
          <w:szCs w:val="14"/>
          <w:color w:val="auto"/>
        </w:rPr>
        <w:t>Maryland law requires a corporation (unless its charter provides otherwise, which our charter does not) to indemnify a director or officer who has been successful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52" w:lineRule="exact"/>
        <w:rPr>
          <w:sz w:val="20"/>
          <w:szCs w:val="20"/>
          <w:color w:val="auto"/>
        </w:rPr>
      </w:pPr>
    </w:p>
    <w:p>
      <w:pPr>
        <w:ind w:left="320" w:right="339" w:firstLine="335"/>
        <w:spacing w:after="0" w:line="255" w:lineRule="auto"/>
        <w:rPr>
          <w:sz w:val="20"/>
          <w:szCs w:val="20"/>
          <w:color w:val="auto"/>
        </w:rPr>
      </w:pPr>
      <w:r>
        <w:rPr>
          <w:rFonts w:ascii="Times New Roman" w:cs="Times New Roman" w:eastAsia="Times New Roman" w:hAnsi="Times New Roman"/>
          <w:sz w:val="14"/>
          <w:szCs w:val="14"/>
          <w:color w:val="auto"/>
        </w:rPr>
        <w:t>We have obtained primary and excess insurance policies insuring our directors and officers against some liabilities they may incur in their capacity as directors and officers. Under such policies, the insurer, on our behalf, may also pay amounts for which we have granted indemnification to our directors or officers.</w:t>
      </w:r>
    </w:p>
    <w:p>
      <w:pPr>
        <w:spacing w:after="0" w:line="143" w:lineRule="exact"/>
        <w:rPr>
          <w:sz w:val="20"/>
          <w:szCs w:val="20"/>
          <w:color w:val="auto"/>
        </w:rPr>
      </w:pPr>
    </w:p>
    <w:p>
      <w:pPr>
        <w:ind w:left="320" w:right="359" w:firstLine="335"/>
        <w:spacing w:after="0" w:line="250" w:lineRule="auto"/>
        <w:rPr>
          <w:sz w:val="20"/>
          <w:szCs w:val="20"/>
          <w:color w:val="auto"/>
        </w:rPr>
      </w:pPr>
      <w:r>
        <w:rPr>
          <w:rFonts w:ascii="Times New Roman" w:cs="Times New Roman" w:eastAsia="Times New Roman" w:hAnsi="Times New Roman"/>
          <w:sz w:val="14"/>
          <w:szCs w:val="14"/>
          <w:color w:val="auto"/>
        </w:rPr>
        <w:t>The Investment Advisory Agreement provides that, absent willful misfeasance, bad faith or gross negligence in the performance of its duties or by reason of the reckless disregard of its duties and obligations, Fidus Investment Advisors, LLC and its and its affiliates’ officers, directors, members, managers, stockholders and employees are entitled to indemnification from us for any damages, liabilities, costs and expenses (including reasonable attorneys’ fees and amounts reasonably paid in settlement) arising from the rendering of Fidus Investment Advisors, LLC’s services under the Investment Advisory Agreement.</w:t>
      </w:r>
    </w:p>
    <w:p>
      <w:pPr>
        <w:spacing w:after="0" w:line="146" w:lineRule="exact"/>
        <w:rPr>
          <w:sz w:val="20"/>
          <w:szCs w:val="20"/>
          <w:color w:val="auto"/>
        </w:rPr>
      </w:pPr>
    </w:p>
    <w:p>
      <w:pPr>
        <w:ind w:left="320" w:right="359" w:firstLine="335"/>
        <w:spacing w:after="0" w:line="250" w:lineRule="auto"/>
        <w:rPr>
          <w:sz w:val="20"/>
          <w:szCs w:val="20"/>
          <w:color w:val="auto"/>
        </w:rPr>
      </w:pPr>
      <w:r>
        <w:rPr>
          <w:rFonts w:ascii="Times New Roman" w:cs="Times New Roman" w:eastAsia="Times New Roman" w:hAnsi="Times New Roman"/>
          <w:sz w:val="14"/>
          <w:szCs w:val="14"/>
          <w:color w:val="auto"/>
        </w:rPr>
        <w:t>The Administration Agreement provides that, absent willful misfeasance, bad faith or negligence in the performance of its duties or by reason of the reckless disregard of its duties and obligations, Fidus Investment Advisors, LLC and its and its affiliates’ officers, directors, members, managers, stockholders and employees are entitled to indemnification from us for any damages, liabilities, costs and expenses (including reasonable attorneys’ fees and amounts reasonably paid in settlement) arising from the rendering of Fidus Investment Advisors, LLC’s services under the Administration Agreement or otherwise as our administrator.</w:t>
      </w:r>
    </w:p>
    <w:p>
      <w:pPr>
        <w:spacing w:after="0" w:line="146" w:lineRule="exact"/>
        <w:rPr>
          <w:sz w:val="20"/>
          <w:szCs w:val="20"/>
          <w:color w:val="auto"/>
        </w:rPr>
      </w:pPr>
    </w:p>
    <w:p>
      <w:pPr>
        <w:ind w:left="320" w:right="339" w:firstLine="335"/>
        <w:spacing w:after="0" w:line="248" w:lineRule="auto"/>
        <w:rPr>
          <w:sz w:val="20"/>
          <w:szCs w:val="20"/>
          <w:color w:val="auto"/>
        </w:rPr>
      </w:pPr>
      <w:r>
        <w:rPr>
          <w:rFonts w:ascii="Times New Roman" w:cs="Times New Roman" w:eastAsia="Times New Roman" w:hAnsi="Times New Roman"/>
          <w:sz w:val="14"/>
          <w:szCs w:val="14"/>
          <w:color w:val="auto"/>
        </w:rPr>
        <w:t>Insofar as indemnification for liability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ours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ectPr>
          <w:pgSz w:w="11900" w:h="16838" w:orient="portrait"/>
          <w:cols w:equalWidth="0" w:num="1">
            <w:col w:w="9019"/>
          </w:cols>
          <w:pgMar w:left="1440" w:top="260" w:right="1440" w:bottom="1440" w:gutter="0" w:footer="0" w:header="0"/>
        </w:sectPr>
      </w:pPr>
    </w:p>
    <w:bookmarkStart w:id="102" w:name="page103"/>
    <w:bookmarkEnd w:id="102"/>
    <w:p>
      <w:pPr>
        <w:ind w:left="3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6">
                      <a:extLst>
                        <a:ext uri="{28A0092B-C50C-407E-A947-70E740481C1C}"/>
                      </a:extLst>
                    </a:blip>
                    <a:srcRect/>
                    <a:stretch>
                      <a:fillRect/>
                    </a:stretch>
                  </pic:blipFill>
                  <pic:spPr bwMode="auto">
                    <a:xfrm>
                      <a:off x="0" y="0"/>
                      <a:ext cx="7203440" cy="45085"/>
                    </a:xfrm>
                    <a:prstGeom prst="rect">
                      <a:avLst/>
                    </a:prstGeom>
                    <a:noFill/>
                  </pic:spPr>
                </pic:pic>
              </a:graphicData>
            </a:graphic>
          </wp:anchor>
        </w:drawing>
        <w:t>Item 31. Business and Other Connections of Investment Adviser.</w:t>
      </w:r>
    </w:p>
    <w:p>
      <w:pPr>
        <w:spacing w:after="0" w:line="89" w:lineRule="exact"/>
        <w:rPr>
          <w:sz w:val="20"/>
          <w:szCs w:val="20"/>
          <w:color w:val="auto"/>
        </w:rPr>
      </w:pPr>
    </w:p>
    <w:p>
      <w:pPr>
        <w:ind w:left="320" w:right="439" w:firstLine="335"/>
        <w:spacing w:after="0" w:line="249" w:lineRule="auto"/>
        <w:rPr>
          <w:sz w:val="20"/>
          <w:szCs w:val="20"/>
          <w:color w:val="auto"/>
        </w:rPr>
      </w:pPr>
      <w:r>
        <w:rPr>
          <w:rFonts w:ascii="Times New Roman" w:cs="Times New Roman" w:eastAsia="Times New Roman" w:hAnsi="Times New Roman"/>
          <w:sz w:val="14"/>
          <w:szCs w:val="14"/>
          <w:color w:val="auto"/>
        </w:rPr>
        <w:t>A description of any other business, profession, vocation or employment of a substantial nature in which Fidus Investment Advisors, LLC, and each managing director, director or executive officer of Fidus Investment Advisors, LLC, is or has been during the past two fiscal years, engaged in for his or her own account or in the capacity of director, officer, employee, partner or trustee, is set forth in Part A of this registration statement in the section entitled “The Company,” “Management” and “Management and Other Agreements.” Additional information regarding the Fidus Investment Advisors, LLC and its officers and directors is set forth in its Form ADV, as filed with the SEC (File No. 801-72285), and is incorporated herein by reference.</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Item 32. Location of Accounts and Records.</w:t>
      </w:r>
    </w:p>
    <w:p>
      <w:pPr>
        <w:spacing w:after="0" w:line="89" w:lineRule="exact"/>
        <w:rPr>
          <w:sz w:val="20"/>
          <w:szCs w:val="20"/>
          <w:color w:val="auto"/>
        </w:rPr>
      </w:pPr>
    </w:p>
    <w:p>
      <w:pPr>
        <w:ind w:left="320" w:right="479" w:firstLine="335"/>
        <w:spacing w:after="0" w:line="266" w:lineRule="auto"/>
        <w:rPr>
          <w:sz w:val="20"/>
          <w:szCs w:val="20"/>
          <w:color w:val="auto"/>
        </w:rPr>
      </w:pPr>
      <w:r>
        <w:rPr>
          <w:rFonts w:ascii="Times New Roman" w:cs="Times New Roman" w:eastAsia="Times New Roman" w:hAnsi="Times New Roman"/>
          <w:sz w:val="14"/>
          <w:szCs w:val="14"/>
          <w:color w:val="auto"/>
        </w:rPr>
        <w:t>All accounts, books and other documents required to be maintained by Section 31(a) of the 1940 Act, and the rules thereunder are maintained at the offices of:</w:t>
      </w:r>
    </w:p>
    <w:p>
      <w:pPr>
        <w:spacing w:after="0" w:line="64" w:lineRule="exact"/>
        <w:rPr>
          <w:sz w:val="20"/>
          <w:szCs w:val="20"/>
          <w:color w:val="auto"/>
        </w:rPr>
      </w:pPr>
    </w:p>
    <w:p>
      <w:pPr>
        <w:ind w:left="640" w:hanging="321"/>
        <w:spacing w:after="0"/>
        <w:tabs>
          <w:tab w:leader="none" w:pos="6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Fidus Investment Corporation, 1603 Orrington Avenue, Suite 1005, Evanston, Illinois 60201;</w:t>
      </w:r>
    </w:p>
    <w:p>
      <w:pPr>
        <w:spacing w:after="0" w:line="95" w:lineRule="exact"/>
        <w:rPr>
          <w:rFonts w:ascii="Times New Roman" w:cs="Times New Roman" w:eastAsia="Times New Roman" w:hAnsi="Times New Roman"/>
          <w:sz w:val="14"/>
          <w:szCs w:val="14"/>
          <w:color w:val="auto"/>
        </w:rPr>
      </w:pPr>
    </w:p>
    <w:p>
      <w:pPr>
        <w:ind w:left="640" w:hanging="321"/>
        <w:spacing w:after="0"/>
        <w:tabs>
          <w:tab w:leader="none" w:pos="6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Transfer Agent, Equiniti Trust Company, LLC, 6201 15th Avenue, Brooklyn, New York 11219;</w:t>
      </w:r>
    </w:p>
    <w:p>
      <w:pPr>
        <w:spacing w:after="0" w:line="95" w:lineRule="exact"/>
        <w:rPr>
          <w:rFonts w:ascii="Times New Roman" w:cs="Times New Roman" w:eastAsia="Times New Roman" w:hAnsi="Times New Roman"/>
          <w:sz w:val="14"/>
          <w:szCs w:val="14"/>
          <w:color w:val="auto"/>
        </w:rPr>
      </w:pPr>
    </w:p>
    <w:p>
      <w:pPr>
        <w:ind w:left="640" w:right="479" w:hanging="321"/>
        <w:spacing w:after="0" w:line="266" w:lineRule="auto"/>
        <w:tabs>
          <w:tab w:leader="none" w:pos="6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Custodian for the Company’s securities except for the securities held by the SPV, U.S. Bank National Association, Corporate Trust Services, One Federal Street,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4"/>
          <w:szCs w:val="14"/>
          <w:color w:val="auto"/>
        </w:rPr>
        <w:t xml:space="preserve"> Floor, Boston, Massachusetts 02110;</w:t>
      </w:r>
    </w:p>
    <w:p>
      <w:pPr>
        <w:spacing w:after="0" w:line="1" w:lineRule="exact"/>
        <w:rPr>
          <w:rFonts w:ascii="Times New Roman" w:cs="Times New Roman" w:eastAsia="Times New Roman" w:hAnsi="Times New Roman"/>
          <w:sz w:val="14"/>
          <w:szCs w:val="14"/>
          <w:color w:val="auto"/>
        </w:rPr>
      </w:pPr>
    </w:p>
    <w:p>
      <w:pPr>
        <w:ind w:left="640" w:hanging="321"/>
        <w:spacing w:after="0"/>
        <w:tabs>
          <w:tab w:leader="none" w:pos="64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Custodian for securities held by the SPV, Western Alliance Trust Company, N.A., is 800 Town &amp; Country, Suite 400, Houston, TX 77024</w:t>
      </w:r>
    </w:p>
    <w:p>
      <w:pPr>
        <w:spacing w:after="0" w:line="92" w:lineRule="exact"/>
        <w:rPr>
          <w:rFonts w:ascii="Times New Roman" w:cs="Times New Roman" w:eastAsia="Times New Roman" w:hAnsi="Times New Roman"/>
          <w:sz w:val="13"/>
          <w:szCs w:val="13"/>
          <w:color w:val="auto"/>
        </w:rPr>
      </w:pPr>
    </w:p>
    <w:p>
      <w:pPr>
        <w:ind w:left="640" w:hanging="321"/>
        <w:spacing w:after="0"/>
        <w:tabs>
          <w:tab w:leader="none" w:pos="6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Fidus Investment Advisors, LLC, 1603 Orrington Avenue, Suite 1005, Evanston, Illinois 60201.</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Item 33. Management Services.</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Not Applicable.</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Item 34. Undertakings.</w:t>
      </w:r>
    </w:p>
    <w:p>
      <w:pPr>
        <w:spacing w:after="0" w:line="89" w:lineRule="exact"/>
        <w:rPr>
          <w:sz w:val="20"/>
          <w:szCs w:val="20"/>
          <w:color w:val="auto"/>
        </w:rPr>
      </w:pPr>
    </w:p>
    <w:p>
      <w:pPr>
        <w:ind w:left="460" w:hanging="141"/>
        <w:spacing w:after="0"/>
        <w:tabs>
          <w:tab w:leader="none" w:pos="4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pacing w:after="0" w:line="167" w:lineRule="exact"/>
        <w:rPr>
          <w:rFonts w:ascii="Times New Roman" w:cs="Times New Roman" w:eastAsia="Times New Roman" w:hAnsi="Times New Roman"/>
          <w:sz w:val="14"/>
          <w:szCs w:val="14"/>
          <w:color w:val="auto"/>
        </w:rPr>
      </w:pPr>
    </w:p>
    <w:p>
      <w:pPr>
        <w:ind w:left="460" w:hanging="141"/>
        <w:spacing w:after="0"/>
        <w:tabs>
          <w:tab w:leader="none" w:pos="4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pacing w:after="0" w:line="167" w:lineRule="exact"/>
        <w:rPr>
          <w:rFonts w:ascii="Times New Roman" w:cs="Times New Roman" w:eastAsia="Times New Roman" w:hAnsi="Times New Roman"/>
          <w:sz w:val="14"/>
          <w:szCs w:val="14"/>
          <w:color w:val="auto"/>
        </w:rPr>
      </w:pPr>
    </w:p>
    <w:p>
      <w:pPr>
        <w:ind w:left="460" w:hanging="141"/>
        <w:spacing w:after="0"/>
        <w:tabs>
          <w:tab w:leader="none" w:pos="4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hereby undertakes:</w:t>
      </w:r>
    </w:p>
    <w:p>
      <w:pPr>
        <w:spacing w:after="0" w:line="85" w:lineRule="exact"/>
        <w:rPr>
          <w:rFonts w:ascii="Times New Roman" w:cs="Times New Roman" w:eastAsia="Times New Roman" w:hAnsi="Times New Roman"/>
          <w:sz w:val="14"/>
          <w:szCs w:val="14"/>
          <w:color w:val="auto"/>
        </w:rPr>
      </w:pPr>
    </w:p>
    <w:p>
      <w:pPr>
        <w:ind w:left="9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to file, during any period in which offers or sales are being made, a post-effective amendment to the registration statement:</w:t>
      </w:r>
    </w:p>
    <w:p>
      <w:pPr>
        <w:spacing w:after="0" w:line="85" w:lineRule="exact"/>
        <w:rPr>
          <w:rFonts w:ascii="Times New Roman" w:cs="Times New Roman" w:eastAsia="Times New Roman" w:hAnsi="Times New Roman"/>
          <w:sz w:val="14"/>
          <w:szCs w:val="14"/>
          <w:color w:val="auto"/>
        </w:rPr>
      </w:pPr>
    </w:p>
    <w:p>
      <w:pPr>
        <w:ind w:left="1580" w:hanging="203"/>
        <w:spacing w:after="0"/>
        <w:tabs>
          <w:tab w:leader="none" w:pos="1580" w:val="left"/>
        </w:tabs>
        <w:numPr>
          <w:ilvl w:val="2"/>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85" w:lineRule="exact"/>
        <w:rPr>
          <w:rFonts w:ascii="Times New Roman" w:cs="Times New Roman" w:eastAsia="Times New Roman" w:hAnsi="Times New Roman"/>
          <w:sz w:val="14"/>
          <w:szCs w:val="14"/>
          <w:color w:val="auto"/>
        </w:rPr>
      </w:pPr>
    </w:p>
    <w:p>
      <w:pPr>
        <w:ind w:left="1080" w:right="439" w:firstLine="297"/>
        <w:spacing w:after="0" w:line="248" w:lineRule="auto"/>
        <w:tabs>
          <w:tab w:leader="none" w:pos="1578" w:val="left"/>
        </w:tabs>
        <w:numPr>
          <w:ilvl w:val="2"/>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Filing Fee Tables” in the effective registration statement; and</w:t>
      </w:r>
    </w:p>
    <w:p>
      <w:pPr>
        <w:spacing w:after="0" w:line="66" w:lineRule="exact"/>
        <w:rPr>
          <w:rFonts w:ascii="Times New Roman" w:cs="Times New Roman" w:eastAsia="Times New Roman" w:hAnsi="Times New Roman"/>
          <w:sz w:val="14"/>
          <w:szCs w:val="14"/>
          <w:color w:val="auto"/>
        </w:rPr>
      </w:pPr>
    </w:p>
    <w:p>
      <w:pPr>
        <w:ind w:left="1080" w:right="479" w:firstLine="297"/>
        <w:spacing w:after="0" w:line="266" w:lineRule="auto"/>
        <w:tabs>
          <w:tab w:leader="none" w:pos="1578" w:val="left"/>
        </w:tabs>
        <w:numPr>
          <w:ilvl w:val="2"/>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ectPr>
          <w:pgSz w:w="11900" w:h="16838" w:orient="portrait"/>
          <w:cols w:equalWidth="0" w:num="1">
            <w:col w:w="9019"/>
          </w:cols>
          <w:pgMar w:left="1440" w:top="256" w:right="1440" w:bottom="1440" w:gutter="0" w:footer="0" w:header="0"/>
        </w:sectPr>
      </w:pPr>
    </w:p>
    <w:bookmarkStart w:id="103" w:name="page104"/>
    <w:bookmarkEnd w:id="103"/>
    <w:p>
      <w:pPr>
        <w:ind w:left="1080" w:right="359" w:firstLine="305"/>
        <w:spacing w:after="0" w:line="251" w:lineRule="auto"/>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7">
                      <a:extLst>
                        <a:ext uri="{28A0092B-C50C-407E-A947-70E740481C1C}"/>
                      </a:extLst>
                    </a:blip>
                    <a:srcRect/>
                    <a:stretch>
                      <a:fillRect/>
                    </a:stretch>
                  </pic:blipFill>
                  <pic:spPr bwMode="auto">
                    <a:xfrm>
                      <a:off x="0" y="0"/>
                      <a:ext cx="7203440" cy="45085"/>
                    </a:xfrm>
                    <a:prstGeom prst="rect">
                      <a:avLst/>
                    </a:prstGeom>
                    <a:noFill/>
                  </pic:spPr>
                </pic:pic>
              </a:graphicData>
            </a:graphic>
          </wp:anchor>
        </w:drawing>
        <w:t>provided, however</w:t>
      </w:r>
      <w:r>
        <w:rPr>
          <w:rFonts w:ascii="Times New Roman" w:cs="Times New Roman" w:eastAsia="Times New Roman" w:hAnsi="Times New Roman"/>
          <w:sz w:val="14"/>
          <w:szCs w:val="14"/>
          <w:color w:val="auto"/>
        </w:rPr>
        <w:t>, that paragraphs 3(a)(1), (a)(2), and (a)(3) of this section do not apply if the registration statement is filed pursuant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General Instruction A.2 of Form N-2 and the information required to be included in a post-effective amendment by those paragraphs is contained in reports filed with or furnished to the Commission by the Registrant pursuant to Section 13 or Section 15(d) of the Exchange Act that are incorporated by reference into the registration statement, or is contained in a form of prospectus filed pursuant to Rule 424(b) that is part of the registration statement.</w:t>
      </w:r>
    </w:p>
    <w:p>
      <w:pPr>
        <w:spacing w:after="0" w:line="65" w:lineRule="exact"/>
        <w:rPr>
          <w:sz w:val="20"/>
          <w:szCs w:val="20"/>
          <w:color w:val="auto"/>
        </w:rPr>
      </w:pPr>
    </w:p>
    <w:p>
      <w:pPr>
        <w:ind w:left="660" w:right="359" w:firstLine="321"/>
        <w:spacing w:after="0" w:line="255" w:lineRule="auto"/>
        <w:rPr>
          <w:sz w:val="20"/>
          <w:szCs w:val="20"/>
          <w:color w:val="auto"/>
        </w:rPr>
      </w:pPr>
      <w:r>
        <w:rPr>
          <w:rFonts w:ascii="Times New Roman" w:cs="Times New Roman" w:eastAsia="Times New Roman" w:hAnsi="Times New Roman"/>
          <w:sz w:val="14"/>
          <w:szCs w:val="14"/>
          <w:color w:val="auto"/>
        </w:rPr>
        <w:t>b. that, for the purpose of determining any liability under the Securities Act, each such post-effective amendment shall be deemed to be a new registration statement relating to the securities offered therein, and the offering of those securities at that time shall be deemed to be the initial bona fide offering thereof;</w:t>
      </w:r>
    </w:p>
    <w:p>
      <w:pPr>
        <w:spacing w:after="0" w:line="61" w:lineRule="exact"/>
        <w:rPr>
          <w:sz w:val="20"/>
          <w:szCs w:val="20"/>
          <w:color w:val="auto"/>
        </w:rPr>
      </w:pPr>
    </w:p>
    <w:p>
      <w:pPr>
        <w:ind w:left="660" w:right="599" w:firstLine="321"/>
        <w:spacing w:after="0" w:line="266" w:lineRule="auto"/>
        <w:rPr>
          <w:sz w:val="20"/>
          <w:szCs w:val="20"/>
          <w:color w:val="auto"/>
        </w:rPr>
      </w:pPr>
      <w:r>
        <w:rPr>
          <w:rFonts w:ascii="Times New Roman" w:cs="Times New Roman" w:eastAsia="Times New Roman" w:hAnsi="Times New Roman"/>
          <w:sz w:val="14"/>
          <w:szCs w:val="14"/>
          <w:color w:val="auto"/>
        </w:rPr>
        <w:t>c. to remove from registration by means of a post-effective amendment any of the securities being registered which remain unsold at the termination of the offering;</w:t>
      </w:r>
    </w:p>
    <w:p>
      <w:pPr>
        <w:spacing w:after="0" w:line="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d. that, for the purpose of determining liability under the Securities Act to any purchaser:</w:t>
      </w:r>
    </w:p>
    <w:p>
      <w:pPr>
        <w:spacing w:after="0" w:line="85" w:lineRule="exact"/>
        <w:rPr>
          <w:sz w:val="20"/>
          <w:szCs w:val="20"/>
          <w:color w:val="auto"/>
        </w:rPr>
      </w:pPr>
    </w:p>
    <w:p>
      <w:pPr>
        <w:ind w:left="1580" w:hanging="203"/>
        <w:spacing w:after="0"/>
        <w:tabs>
          <w:tab w:leader="none" w:pos="15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Registrant is relying on Rule 430B:</w:t>
      </w:r>
    </w:p>
    <w:p>
      <w:pPr>
        <w:spacing w:after="0" w:line="85" w:lineRule="exact"/>
        <w:rPr>
          <w:rFonts w:ascii="Times New Roman" w:cs="Times New Roman" w:eastAsia="Times New Roman" w:hAnsi="Times New Roman"/>
          <w:sz w:val="14"/>
          <w:szCs w:val="14"/>
          <w:color w:val="auto"/>
        </w:rPr>
      </w:pPr>
    </w:p>
    <w:p>
      <w:pPr>
        <w:ind w:left="1400" w:right="419" w:firstLine="298"/>
        <w:spacing w:after="0" w:line="266" w:lineRule="auto"/>
        <w:tabs>
          <w:tab w:leader="none" w:pos="1915"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3" w:lineRule="exact"/>
        <w:rPr>
          <w:rFonts w:ascii="Times New Roman" w:cs="Times New Roman" w:eastAsia="Times New Roman" w:hAnsi="Times New Roman"/>
          <w:sz w:val="14"/>
          <w:szCs w:val="14"/>
          <w:color w:val="auto"/>
        </w:rPr>
      </w:pPr>
    </w:p>
    <w:p>
      <w:pPr>
        <w:ind w:left="1400" w:right="339" w:firstLine="298"/>
        <w:spacing w:after="0" w:line="246" w:lineRule="auto"/>
        <w:tabs>
          <w:tab w:leader="none" w:pos="1908"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(x), or (xi)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71" w:lineRule="exact"/>
        <w:rPr>
          <w:rFonts w:ascii="Times New Roman" w:cs="Times New Roman" w:eastAsia="Times New Roman" w:hAnsi="Times New Roman"/>
          <w:sz w:val="14"/>
          <w:szCs w:val="14"/>
          <w:color w:val="auto"/>
        </w:rPr>
      </w:pPr>
    </w:p>
    <w:p>
      <w:pPr>
        <w:ind w:left="1080" w:right="359" w:firstLine="297"/>
        <w:spacing w:after="0" w:line="247" w:lineRule="auto"/>
        <w:tabs>
          <w:tab w:leader="none" w:pos="1578"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Registrant is subject to Rule 430C, each prospectus filed pursuant to Rule 424(b) under the Securities Act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ectPr>
          <w:pgSz w:w="11900" w:h="16838" w:orient="portrait"/>
          <w:cols w:equalWidth="0" w:num="1">
            <w:col w:w="9019"/>
          </w:cols>
          <w:pgMar w:left="1440" w:top="256" w:right="1440" w:bottom="1440" w:gutter="0" w:footer="0" w:header="0"/>
        </w:sectPr>
      </w:pPr>
    </w:p>
    <w:bookmarkStart w:id="104" w:name="page105"/>
    <w:bookmarkEnd w:id="104"/>
    <w:p>
      <w:pPr>
        <w:ind w:left="660" w:right="799" w:firstLine="321"/>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8">
                      <a:extLst>
                        <a:ext uri="{28A0092B-C50C-407E-A947-70E740481C1C}"/>
                      </a:extLst>
                    </a:blip>
                    <a:srcRect/>
                    <a:stretch>
                      <a:fillRect/>
                    </a:stretch>
                  </pic:blipFill>
                  <pic:spPr bwMode="auto">
                    <a:xfrm>
                      <a:off x="0" y="0"/>
                      <a:ext cx="7203440" cy="45085"/>
                    </a:xfrm>
                    <a:prstGeom prst="rect">
                      <a:avLst/>
                    </a:prstGeom>
                    <a:noFill/>
                  </pic:spPr>
                </pic:pic>
              </a:graphicData>
            </a:graphic>
          </wp:anchor>
        </w:drawing>
        <w:t>e. that for the purpose of determining liability of the Registrant under the Securities Act to any purchaser in the initial distribution of securities:</w:t>
      </w:r>
    </w:p>
    <w:p>
      <w:pPr>
        <w:spacing w:after="0" w:line="53" w:lineRule="exact"/>
        <w:rPr>
          <w:sz w:val="20"/>
          <w:szCs w:val="20"/>
          <w:color w:val="auto"/>
        </w:rPr>
      </w:pPr>
    </w:p>
    <w:p>
      <w:pPr>
        <w:ind w:left="1400" w:right="439"/>
        <w:spacing w:after="0" w:line="252" w:lineRule="auto"/>
        <w:rPr>
          <w:sz w:val="20"/>
          <w:szCs w:val="20"/>
          <w:color w:val="auto"/>
        </w:rPr>
      </w:pPr>
      <w:r>
        <w:rPr>
          <w:rFonts w:ascii="Times New Roman" w:cs="Times New Roman" w:eastAsia="Times New Roman" w:hAnsi="Times New Roman"/>
          <w:sz w:val="14"/>
          <w:szCs w:val="14"/>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spacing w:after="0" w:line="62" w:lineRule="exact"/>
        <w:rPr>
          <w:sz w:val="20"/>
          <w:szCs w:val="20"/>
          <w:color w:val="auto"/>
        </w:rPr>
      </w:pPr>
    </w:p>
    <w:p>
      <w:pPr>
        <w:ind w:left="1080" w:right="559" w:firstLine="297"/>
        <w:spacing w:after="0" w:line="266" w:lineRule="auto"/>
        <w:tabs>
          <w:tab w:leader="none" w:pos="1578" w:val="left"/>
        </w:tabs>
        <w:numPr>
          <w:ilvl w:val="2"/>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 under the Securities Act;</w:t>
      </w:r>
    </w:p>
    <w:p>
      <w:pPr>
        <w:spacing w:after="0" w:line="53" w:lineRule="exact"/>
        <w:rPr>
          <w:rFonts w:ascii="Times New Roman" w:cs="Times New Roman" w:eastAsia="Times New Roman" w:hAnsi="Times New Roman"/>
          <w:sz w:val="14"/>
          <w:szCs w:val="14"/>
          <w:color w:val="auto"/>
        </w:rPr>
      </w:pPr>
    </w:p>
    <w:p>
      <w:pPr>
        <w:ind w:left="1080" w:right="339" w:firstLine="297"/>
        <w:spacing w:after="0" w:line="266" w:lineRule="auto"/>
        <w:tabs>
          <w:tab w:leader="none" w:pos="1578" w:val="left"/>
        </w:tabs>
        <w:numPr>
          <w:ilvl w:val="2"/>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4"/>
          <w:szCs w:val="14"/>
          <w:color w:val="auto"/>
        </w:rPr>
      </w:pPr>
    </w:p>
    <w:p>
      <w:pPr>
        <w:jc w:val="both"/>
        <w:ind w:left="1080" w:right="599" w:firstLine="297"/>
        <w:spacing w:after="0" w:line="255" w:lineRule="auto"/>
        <w:tabs>
          <w:tab w:leader="none" w:pos="1578" w:val="left"/>
        </w:tabs>
        <w:numPr>
          <w:ilvl w:val="2"/>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or advertisement pursuant to Rule 482 under the Securities Act relating to the offering containing material information about the undersigned Registrant or its securities provided by or on behalf of the undersigned Registrant; and</w:t>
      </w:r>
    </w:p>
    <w:p>
      <w:pPr>
        <w:spacing w:after="0" w:line="61" w:lineRule="exact"/>
        <w:rPr>
          <w:rFonts w:ascii="Times New Roman" w:cs="Times New Roman" w:eastAsia="Times New Roman" w:hAnsi="Times New Roman"/>
          <w:sz w:val="14"/>
          <w:szCs w:val="14"/>
          <w:color w:val="auto"/>
        </w:rPr>
      </w:pPr>
    </w:p>
    <w:p>
      <w:pPr>
        <w:ind w:left="1580" w:hanging="203"/>
        <w:spacing w:after="0"/>
        <w:tabs>
          <w:tab w:leader="none" w:pos="1580" w:val="left"/>
        </w:tabs>
        <w:numPr>
          <w:ilvl w:val="2"/>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67" w:lineRule="exact"/>
        <w:rPr>
          <w:rFonts w:ascii="Times New Roman" w:cs="Times New Roman" w:eastAsia="Times New Roman" w:hAnsi="Times New Roman"/>
          <w:sz w:val="14"/>
          <w:szCs w:val="14"/>
          <w:color w:val="auto"/>
        </w:rPr>
      </w:pPr>
    </w:p>
    <w:p>
      <w:pPr>
        <w:ind w:left="460" w:hanging="141"/>
        <w:spacing w:after="0"/>
        <w:tabs>
          <w:tab w:leader="none" w:pos="4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w:t>
      </w:r>
    </w:p>
    <w:p>
      <w:pPr>
        <w:spacing w:after="0" w:line="85" w:lineRule="exact"/>
        <w:rPr>
          <w:rFonts w:ascii="Times New Roman" w:cs="Times New Roman" w:eastAsia="Times New Roman" w:hAnsi="Times New Roman"/>
          <w:sz w:val="14"/>
          <w:szCs w:val="14"/>
          <w:color w:val="auto"/>
        </w:rPr>
      </w:pPr>
    </w:p>
    <w:p>
      <w:pPr>
        <w:ind w:left="660" w:right="439" w:firstLine="315"/>
        <w:spacing w:after="0" w:line="255" w:lineRule="auto"/>
        <w:tabs>
          <w:tab w:leader="none" w:pos="111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 of determining any liability under the Securities Act, the information omitted from the form of prospectus filed as part of this registration statement in reliance upon Rule 430A and contained in a form of prospectus filed by the Registrant under Rule 424(b)(1) under the Securities Act shall be deemed to be part of this registration statement as of the time it was declared effective; and</w:t>
      </w:r>
    </w:p>
    <w:p>
      <w:pPr>
        <w:spacing w:after="0" w:line="61" w:lineRule="exact"/>
        <w:rPr>
          <w:rFonts w:ascii="Times New Roman" w:cs="Times New Roman" w:eastAsia="Times New Roman" w:hAnsi="Times New Roman"/>
          <w:sz w:val="14"/>
          <w:szCs w:val="14"/>
          <w:color w:val="auto"/>
        </w:rPr>
      </w:pPr>
    </w:p>
    <w:p>
      <w:pPr>
        <w:jc w:val="both"/>
        <w:ind w:left="660" w:right="479" w:firstLine="315"/>
        <w:spacing w:after="0" w:line="255" w:lineRule="auto"/>
        <w:tabs>
          <w:tab w:leader="none" w:pos="1118"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 of determining any liability under the Securities Act,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spacing w:after="0" w:line="143" w:lineRule="exact"/>
        <w:rPr>
          <w:rFonts w:ascii="Times New Roman" w:cs="Times New Roman" w:eastAsia="Times New Roman" w:hAnsi="Times New Roman"/>
          <w:sz w:val="14"/>
          <w:szCs w:val="14"/>
          <w:color w:val="auto"/>
        </w:rPr>
      </w:pPr>
    </w:p>
    <w:p>
      <w:pPr>
        <w:ind w:left="320" w:right="419" w:hanging="1"/>
        <w:spacing w:after="0" w:line="252" w:lineRule="auto"/>
        <w:tabs>
          <w:tab w:leader="none" w:pos="457"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into the registration statement shall be deemed to be a new registration statement relating to the securities offered therein, and the offering of such securities at that time shall be deemed to be the initial bona fide offering thereof.</w:t>
      </w:r>
    </w:p>
    <w:p>
      <w:pPr>
        <w:spacing w:after="0" w:line="144" w:lineRule="exact"/>
        <w:rPr>
          <w:rFonts w:ascii="Times New Roman" w:cs="Times New Roman" w:eastAsia="Times New Roman" w:hAnsi="Times New Roman"/>
          <w:sz w:val="14"/>
          <w:szCs w:val="14"/>
          <w:color w:val="auto"/>
        </w:rPr>
      </w:pPr>
    </w:p>
    <w:p>
      <w:pPr>
        <w:ind w:left="320" w:right="439" w:hanging="1"/>
        <w:spacing w:after="0" w:line="247" w:lineRule="auto"/>
        <w:tabs>
          <w:tab w:leader="none" w:pos="457"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51" w:lineRule="exact"/>
        <w:rPr>
          <w:rFonts w:ascii="Times New Roman" w:cs="Times New Roman" w:eastAsia="Times New Roman" w:hAnsi="Times New Roman"/>
          <w:sz w:val="14"/>
          <w:szCs w:val="14"/>
          <w:color w:val="auto"/>
        </w:rPr>
      </w:pPr>
    </w:p>
    <w:p>
      <w:pPr>
        <w:ind w:left="320" w:right="719" w:hanging="1"/>
        <w:spacing w:after="0" w:line="266" w:lineRule="auto"/>
        <w:tabs>
          <w:tab w:leader="none" w:pos="457"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to send by first class mail or other means designed to ensure equally prompt delivery within two business days of receipt of a written or oral request, any prospectus or Statement of Additional Information.</w:t>
      </w:r>
    </w:p>
    <w:p>
      <w:pPr>
        <w:sectPr>
          <w:pgSz w:w="11900" w:h="16838" w:orient="portrait"/>
          <w:cols w:equalWidth="0" w:num="1">
            <w:col w:w="9019"/>
          </w:cols>
          <w:pgMar w:left="1440" w:top="260" w:right="1440"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450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9">
                      <a:extLst>
                        <a:ext uri="{28A0092B-C50C-407E-A947-70E740481C1C}"/>
                      </a:extLst>
                    </a:blip>
                    <a:srcRect/>
                    <a:stretch>
                      <a:fillRect/>
                    </a:stretch>
                  </pic:blipFill>
                  <pic:spPr bwMode="auto">
                    <a:xfrm>
                      <a:off x="0" y="0"/>
                      <a:ext cx="7203440" cy="45085"/>
                    </a:xfrm>
                    <a:prstGeom prst="rect">
                      <a:avLst/>
                    </a:prstGeom>
                    <a:noFill/>
                  </pic:spPr>
                </pic:pic>
              </a:graphicData>
            </a:graphic>
          </wp:anchor>
        </w:drawing>
        <w:t>SIGNATURES</w:t>
      </w:r>
    </w:p>
    <w:p>
      <w:pPr>
        <w:spacing w:after="0" w:line="171" w:lineRule="exact"/>
        <w:rPr>
          <w:sz w:val="20"/>
          <w:szCs w:val="20"/>
          <w:color w:val="auto"/>
        </w:rPr>
      </w:pPr>
    </w:p>
    <w:p>
      <w:pPr>
        <w:ind w:left="320" w:right="539" w:firstLine="335"/>
        <w:spacing w:after="0" w:line="219"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and/or the Investment Company Act of 1940, the Registrant has duly caused this Registration Statement on Form N-2 to be signed on its behalf by the undersigned, thereunto duly authorized, in Evanston, Illinois, on the 27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day of February, 2026.</w:t>
      </w:r>
    </w:p>
    <w:p>
      <w:pPr>
        <w:spacing w:after="0" w:line="16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b w:val="1"/>
          <w:bCs w:val="1"/>
          <w:color w:val="auto"/>
        </w:rPr>
        <w:t>FIDUS INVESTMENT CORPORATION</w:t>
      </w:r>
    </w:p>
    <w:p>
      <w:pPr>
        <w:spacing w:after="0" w:line="17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By: /s/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3569970</wp:posOffset>
            </wp:positionH>
            <wp:positionV relativeFrom="paragraph">
              <wp:posOffset>10160</wp:posOffset>
            </wp:positionV>
            <wp:extent cx="1947545"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0">
                      <a:extLst>
                        <a:ext uri="{28A0092B-C50C-407E-A947-70E740481C1C}"/>
                      </a:extLst>
                    </a:blip>
                    <a:srcRect/>
                    <a:stretch>
                      <a:fillRect/>
                    </a:stretch>
                  </pic:blipFill>
                  <pic:spPr bwMode="auto">
                    <a:xfrm>
                      <a:off x="0" y="0"/>
                      <a:ext cx="1947545" cy="6350"/>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Name: Edward H. Ross</w:t>
      </w:r>
    </w:p>
    <w:p>
      <w:pPr>
        <w:spacing w:after="0" w:line="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Title:  Chairman and Chief Executive Officer</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1" w:lineRule="exact"/>
        <w:rPr>
          <w:sz w:val="20"/>
          <w:szCs w:val="20"/>
          <w:color w:val="auto"/>
        </w:rPr>
      </w:pPr>
    </w:p>
    <w:p>
      <w:pPr>
        <w:ind w:left="320" w:right="339" w:firstLine="335"/>
        <w:spacing w:after="0" w:line="270" w:lineRule="auto"/>
        <w:rPr>
          <w:sz w:val="20"/>
          <w:szCs w:val="20"/>
          <w:color w:val="auto"/>
        </w:rPr>
      </w:pPr>
      <w:r>
        <w:rPr>
          <w:rFonts w:ascii="Times New Roman" w:cs="Times New Roman" w:eastAsia="Times New Roman" w:hAnsi="Times New Roman"/>
          <w:sz w:val="13"/>
          <w:szCs w:val="13"/>
          <w:color w:val="auto"/>
        </w:rPr>
        <w:t>KNOW ALL PERSONS BY THESE PRESENT, that each person whose signature appears below hereby constitutes and appoints Edward H. Ross as true and lawful attorney-in-fact and agent with full power of substitution and resubstitution, for him and in his name, place and stead, in any and all capacities to sign any and all amendments to this Registration Statement (including post-effective amendments, or any abbreviated registration statement and any amendments thereto filed pursuant to Rule 462(b) and otherwise), and to file the same, with all exhibits thereto, and other documents in connection therewith, with the SEC granting unto said attorney-in-fact and agent the full power and authority to do and perform each and every act and thing requisite and necessary to be done in and about the foregoing, as to all intents and purposes as either of them might or could do in person, hereby ratifying and confirming all that said attorney-in-fact and agent, or his substitute, may lawfully do or cause to be done by virtue hereof.</w:t>
      </w:r>
    </w:p>
    <w:p>
      <w:pPr>
        <w:spacing w:after="0" w:line="136" w:lineRule="exact"/>
        <w:rPr>
          <w:sz w:val="20"/>
          <w:szCs w:val="20"/>
          <w:color w:val="auto"/>
        </w:rPr>
      </w:pPr>
    </w:p>
    <w:p>
      <w:pPr>
        <w:jc w:val="both"/>
        <w:ind w:left="320" w:right="639" w:firstLine="335"/>
        <w:spacing w:after="0" w:line="255"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on Form N-2 has been signed below by the following persons in the capacities and on the dates indicated. This document may be executed by the signatories hereto on any number of counterparts, all of which constitute one and the same instrument.</w:t>
      </w:r>
    </w:p>
    <w:p>
      <w:pPr>
        <w:spacing w:after="0" w:line="158" w:lineRule="exact"/>
        <w:rPr>
          <w:sz w:val="20"/>
          <w:szCs w:val="20"/>
          <w:color w:val="auto"/>
        </w:rPr>
      </w:pPr>
    </w:p>
    <w:tbl>
      <w:tblPr>
        <w:tblLayout w:type="fixed"/>
        <w:tblInd w:w="320" w:type="dxa"/>
        <w:tblCellMar>
          <w:top w:w="0" w:type="dxa"/>
          <w:left w:w="0" w:type="dxa"/>
          <w:bottom w:w="0" w:type="dxa"/>
          <w:right w:w="0" w:type="dxa"/>
        </w:tblCellMar>
      </w:tblPr>
      <w:tr>
        <w:trPr>
          <w:trHeight w:val="142"/>
        </w:trPr>
        <w:tc>
          <w:tcPr>
            <w:tcW w:w="308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20" w:type="dxa"/>
            <w:vAlign w:val="bottom"/>
          </w:tcPr>
          <w:p>
            <w:pPr>
              <w:spacing w:after="0"/>
              <w:rPr>
                <w:sz w:val="12"/>
                <w:szCs w:val="12"/>
                <w:color w:val="auto"/>
              </w:rPr>
            </w:pPr>
          </w:p>
        </w:tc>
        <w:tc>
          <w:tcPr>
            <w:tcW w:w="358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0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Date</w:t>
            </w:r>
          </w:p>
        </w:tc>
      </w:tr>
      <w:tr>
        <w:trPr>
          <w:trHeight w:val="307"/>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EDWARD H. ROSS</w:t>
            </w:r>
          </w:p>
        </w:tc>
        <w:tc>
          <w:tcPr>
            <w:tcW w:w="38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Chairman and Chief Executive Officer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February 27, 2026</w:t>
            </w:r>
          </w:p>
        </w:tc>
      </w:tr>
      <w:tr>
        <w:trPr>
          <w:trHeight w:val="167"/>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Edward H. Ross</w:t>
            </w:r>
          </w:p>
        </w:tc>
        <w:tc>
          <w:tcPr>
            <w:tcW w:w="3800" w:type="dxa"/>
            <w:vAlign w:val="bottom"/>
            <w:gridSpan w:val="3"/>
          </w:tcPr>
          <w:p>
            <w:pPr>
              <w:ind w:left="120"/>
              <w:spacing w:after="0" w:line="156" w:lineRule="exact"/>
              <w:rPr>
                <w:sz w:val="20"/>
                <w:szCs w:val="20"/>
                <w:color w:val="auto"/>
              </w:rPr>
            </w:pPr>
            <w:r>
              <w:rPr>
                <w:rFonts w:ascii="Times New Roman" w:cs="Times New Roman" w:eastAsia="Times New Roman" w:hAnsi="Times New Roman"/>
                <w:sz w:val="14"/>
                <w:szCs w:val="14"/>
                <w:color w:val="auto"/>
              </w:rPr>
              <w:t>(Principal Executive Officer)</w:t>
            </w:r>
          </w:p>
        </w:tc>
        <w:tc>
          <w:tcPr>
            <w:tcW w:w="1480" w:type="dxa"/>
            <w:vAlign w:val="bottom"/>
          </w:tcPr>
          <w:p>
            <w:pPr>
              <w:spacing w:after="0"/>
              <w:rPr>
                <w:sz w:val="14"/>
                <w:szCs w:val="14"/>
                <w:color w:val="auto"/>
              </w:rPr>
            </w:pPr>
          </w:p>
        </w:tc>
      </w:tr>
      <w:tr>
        <w:trPr>
          <w:trHeight w:val="326"/>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THOMAS C. LAUER</w:t>
            </w:r>
          </w:p>
        </w:tc>
        <w:tc>
          <w:tcPr>
            <w:tcW w:w="38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President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February 27, 2026</w:t>
            </w:r>
          </w:p>
        </w:tc>
      </w:tr>
      <w:tr>
        <w:trPr>
          <w:trHeight w:val="167"/>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Thomas C. Lauer</w:t>
            </w: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26"/>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SHELBY E. SHERARD</w:t>
            </w:r>
          </w:p>
        </w:tc>
        <w:tc>
          <w:tcPr>
            <w:tcW w:w="38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Chief Financial Officer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February 27, 2026</w:t>
            </w:r>
          </w:p>
        </w:tc>
      </w:tr>
      <w:tr>
        <w:trPr>
          <w:trHeight w:val="167"/>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Shelby E. Sherard</w:t>
            </w:r>
          </w:p>
        </w:tc>
        <w:tc>
          <w:tcPr>
            <w:tcW w:w="3800" w:type="dxa"/>
            <w:vAlign w:val="bottom"/>
            <w:gridSpan w:val="3"/>
          </w:tcPr>
          <w:p>
            <w:pPr>
              <w:ind w:left="120"/>
              <w:spacing w:after="0" w:line="156" w:lineRule="exact"/>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480" w:type="dxa"/>
            <w:vAlign w:val="bottom"/>
          </w:tcPr>
          <w:p>
            <w:pPr>
              <w:spacing w:after="0"/>
              <w:rPr>
                <w:sz w:val="14"/>
                <w:szCs w:val="14"/>
                <w:color w:val="auto"/>
              </w:rPr>
            </w:pPr>
          </w:p>
        </w:tc>
      </w:tr>
      <w:tr>
        <w:trPr>
          <w:trHeight w:val="326"/>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RAYMOND L. ANSTISS</w:t>
            </w:r>
          </w:p>
        </w:tc>
        <w:tc>
          <w:tcPr>
            <w:tcW w:w="38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February 27, 2026</w:t>
            </w:r>
          </w:p>
        </w:tc>
      </w:tr>
      <w:tr>
        <w:trPr>
          <w:trHeight w:val="167"/>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Raymond L. Anstiss</w:t>
            </w: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26"/>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KELLY MCNAMARA CORLEY</w:t>
            </w:r>
          </w:p>
        </w:tc>
        <w:tc>
          <w:tcPr>
            <w:tcW w:w="38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February 27, 2026</w:t>
            </w:r>
          </w:p>
        </w:tc>
      </w:tr>
      <w:tr>
        <w:trPr>
          <w:trHeight w:val="167"/>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Kelly McNamara Corley</w:t>
            </w: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26"/>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EDWARD X. TUNE</w:t>
            </w:r>
          </w:p>
        </w:tc>
        <w:tc>
          <w:tcPr>
            <w:tcW w:w="38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February 27, 2026</w:t>
            </w:r>
          </w:p>
        </w:tc>
      </w:tr>
      <w:tr>
        <w:trPr>
          <w:trHeight w:val="167"/>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EdwardX. Tune</w:t>
            </w: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bl>
    <w:p>
      <w:pPr>
        <w:sectPr>
          <w:pgSz w:w="11900" w:h="16838" w:orient="portrait"/>
          <w:cols w:equalWidth="0" w:num="1">
            <w:col w:w="9019"/>
          </w:cols>
          <w:pgMar w:left="1440" w:top="256" w:right="1440" w:bottom="1440" w:gutter="0" w:footer="0" w:header="0"/>
        </w:sectPr>
      </w:pPr>
    </w:p>
    <w:bookmarkStart w:id="106" w:name="page107"/>
    <w:bookmarkEnd w:id="106"/>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Exhibit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136525</wp:posOffset>
            </wp:positionV>
            <wp:extent cx="5315585"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1">
                      <a:extLst>
                        <a:ext uri="{28A0092B-C50C-407E-A947-70E740481C1C}"/>
                      </a:extLst>
                    </a:blip>
                    <a:srcRect/>
                    <a:stretch>
                      <a:fillRect/>
                    </a:stretch>
                  </pic:blipFill>
                  <pic:spPr bwMode="auto">
                    <a:xfrm>
                      <a:off x="0" y="0"/>
                      <a:ext cx="5315585" cy="6350"/>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168910</wp:posOffset>
            </wp:positionV>
            <wp:extent cx="5315585"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2">
                      <a:extLst>
                        <a:ext uri="{28A0092B-C50C-407E-A947-70E740481C1C}"/>
                      </a:extLst>
                    </a:blip>
                    <a:srcRect/>
                    <a:stretch>
                      <a:fillRect/>
                    </a:stretch>
                  </pic:blipFill>
                  <pic:spPr bwMode="auto">
                    <a:xfrm>
                      <a:off x="0" y="0"/>
                      <a:ext cx="5315585" cy="6350"/>
                    </a:xfrm>
                    <a:prstGeom prst="rect">
                      <a:avLst/>
                    </a:prstGeom>
                    <a:noFill/>
                  </pic:spPr>
                </pic:pic>
              </a:graphicData>
            </a:graphic>
          </wp:anchor>
        </w:drawing>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2299970</wp:posOffset>
            </wp:positionH>
            <wp:positionV relativeFrom="paragraph">
              <wp:posOffset>171450</wp:posOffset>
            </wp:positionV>
            <wp:extent cx="1120140"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3">
                      <a:extLst>
                        <a:ext uri="{28A0092B-C50C-407E-A947-70E740481C1C}"/>
                      </a:extLst>
                    </a:blip>
                    <a:srcRect/>
                    <a:stretch>
                      <a:fillRect/>
                    </a:stretch>
                  </pic:blipFill>
                  <pic:spPr bwMode="auto">
                    <a:xfrm>
                      <a:off x="0" y="0"/>
                      <a:ext cx="1120140" cy="6350"/>
                    </a:xfrm>
                    <a:prstGeom prst="rect">
                      <a:avLst/>
                    </a:prstGeom>
                    <a:noFill/>
                  </pic:spPr>
                </pic:pic>
              </a:graphicData>
            </a:graphic>
          </wp:anchor>
        </w:drawing>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2299970</wp:posOffset>
            </wp:positionH>
            <wp:positionV relativeFrom="paragraph">
              <wp:posOffset>185420</wp:posOffset>
            </wp:positionV>
            <wp:extent cx="112014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4">
                      <a:extLst>
                        <a:ext uri="{28A0092B-C50C-407E-A947-70E740481C1C}"/>
                      </a:extLst>
                    </a:blip>
                    <a:srcRect/>
                    <a:stretch>
                      <a:fillRect/>
                    </a:stretch>
                  </pic:blipFill>
                  <pic:spPr bwMode="auto">
                    <a:xfrm>
                      <a:off x="0" y="0"/>
                      <a:ext cx="1120140" cy="635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STATEMENT OF ELIGIBILITY</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UNDER THE TRUST INDENTURE ACT OF 1939</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OF A CORPORATION DESIGNATED TO ACT AS TRUSTEE</w:t>
      </w:r>
    </w:p>
    <w:p>
      <w:pPr>
        <w:spacing w:after="0" w:line="163" w:lineRule="exact"/>
        <w:rPr>
          <w:sz w:val="20"/>
          <w:szCs w:val="20"/>
          <w:color w:val="auto"/>
        </w:rPr>
      </w:pPr>
    </w:p>
    <w:p>
      <w:pPr>
        <w:ind w:left="640" w:hanging="321"/>
        <w:spacing w:after="0"/>
        <w:tabs>
          <w:tab w:leader="none" w:pos="640" w:val="left"/>
        </w:tabs>
        <w:numPr>
          <w:ilvl w:val="0"/>
          <w:numId w:val="67"/>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2299970</wp:posOffset>
            </wp:positionH>
            <wp:positionV relativeFrom="paragraph">
              <wp:posOffset>198755</wp:posOffset>
            </wp:positionV>
            <wp:extent cx="1120140"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5">
                      <a:extLst>
                        <a:ext uri="{28A0092B-C50C-407E-A947-70E740481C1C}"/>
                      </a:extLst>
                    </a:blip>
                    <a:srcRect/>
                    <a:stretch>
                      <a:fillRect/>
                    </a:stretch>
                  </pic:blipFill>
                  <pic:spPr bwMode="auto">
                    <a:xfrm>
                      <a:off x="0" y="0"/>
                      <a:ext cx="1120140" cy="635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U.S. BANK TRUST COMPANY, NATIONAL ASSOCIATION</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2299970</wp:posOffset>
            </wp:positionH>
            <wp:positionV relativeFrom="paragraph">
              <wp:posOffset>170815</wp:posOffset>
            </wp:positionV>
            <wp:extent cx="112014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6">
                      <a:extLst>
                        <a:ext uri="{28A0092B-C50C-407E-A947-70E740481C1C}"/>
                      </a:extLst>
                    </a:blip>
                    <a:srcRect/>
                    <a:stretch>
                      <a:fillRect/>
                    </a:stretch>
                  </pic:blipFill>
                  <pic:spPr bwMode="auto">
                    <a:xfrm>
                      <a:off x="0" y="0"/>
                      <a:ext cx="1120140" cy="635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320" w:type="dxa"/>
        <w:tblCellMar>
          <w:top w:w="0" w:type="dxa"/>
          <w:left w:w="0" w:type="dxa"/>
          <w:bottom w:w="0" w:type="dxa"/>
          <w:right w:w="0" w:type="dxa"/>
        </w:tblCellMar>
      </w:tblPr>
      <w:tr>
        <w:trPr>
          <w:trHeight w:val="162"/>
        </w:trPr>
        <w:tc>
          <w:tcPr>
            <w:tcW w:w="5060" w:type="dxa"/>
            <w:vAlign w:val="bottom"/>
            <w:gridSpan w:val="2"/>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91-1821036</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43"/>
        </w:trPr>
        <w:tc>
          <w:tcPr>
            <w:tcW w:w="3300" w:type="dxa"/>
            <w:vAlign w:val="bottom"/>
          </w:tcPr>
          <w:p>
            <w:pPr>
              <w:spacing w:after="0"/>
              <w:rPr>
                <w:sz w:val="12"/>
                <w:szCs w:val="12"/>
                <w:color w:val="auto"/>
              </w:rPr>
            </w:pPr>
          </w:p>
        </w:tc>
        <w:tc>
          <w:tcPr>
            <w:tcW w:w="2440" w:type="dxa"/>
            <w:vAlign w:val="bottom"/>
            <w:gridSpan w:val="3"/>
          </w:tcPr>
          <w:p>
            <w:pPr>
              <w:jc w:val="center"/>
              <w:ind w:right="680"/>
              <w:spacing w:after="0"/>
              <w:rPr>
                <w:sz w:val="20"/>
                <w:szCs w:val="20"/>
                <w:color w:val="auto"/>
              </w:rPr>
            </w:pPr>
            <w:r>
              <w:rPr>
                <w:rFonts w:ascii="Times New Roman" w:cs="Times New Roman" w:eastAsia="Times New Roman" w:hAnsi="Times New Roman"/>
                <w:sz w:val="11"/>
                <w:szCs w:val="11"/>
                <w:b w:val="1"/>
                <w:bCs w:val="1"/>
                <w:color w:val="auto"/>
                <w:w w:val="99"/>
              </w:rPr>
              <w:t>I.R.S. Employer Identification No.</w:t>
            </w:r>
          </w:p>
        </w:tc>
        <w:tc>
          <w:tcPr>
            <w:tcW w:w="2620" w:type="dxa"/>
            <w:vAlign w:val="bottom"/>
          </w:tcPr>
          <w:p>
            <w:pPr>
              <w:spacing w:after="0"/>
              <w:rPr>
                <w:sz w:val="12"/>
                <w:szCs w:val="12"/>
                <w:color w:val="auto"/>
              </w:rPr>
            </w:pPr>
          </w:p>
        </w:tc>
      </w:tr>
      <w:tr>
        <w:trPr>
          <w:trHeight w:val="321"/>
        </w:trPr>
        <w:tc>
          <w:tcPr>
            <w:tcW w:w="5740" w:type="dxa"/>
            <w:vAlign w:val="bottom"/>
            <w:gridSpan w:val="4"/>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w w:val="96"/>
              </w:rPr>
              <w:t>800 Nicollet Mall</w:t>
            </w:r>
          </w:p>
        </w:tc>
        <w:tc>
          <w:tcPr>
            <w:tcW w:w="2620" w:type="dxa"/>
            <w:vAlign w:val="bottom"/>
          </w:tcPr>
          <w:p>
            <w:pPr>
              <w:spacing w:after="0"/>
              <w:rPr>
                <w:sz w:val="24"/>
                <w:szCs w:val="24"/>
                <w:color w:val="auto"/>
              </w:rPr>
            </w:pPr>
          </w:p>
        </w:tc>
      </w:tr>
      <w:tr>
        <w:trPr>
          <w:trHeight w:val="172"/>
        </w:trPr>
        <w:tc>
          <w:tcPr>
            <w:tcW w:w="5740" w:type="dxa"/>
            <w:vAlign w:val="bottom"/>
            <w:gridSpan w:val="4"/>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w w:val="98"/>
              </w:rPr>
              <w:t>Minneapolis, Minnesota</w:t>
            </w:r>
          </w:p>
        </w:tc>
        <w:tc>
          <w:tcPr>
            <w:tcW w:w="2620" w:type="dxa"/>
            <w:vAlign w:val="bottom"/>
          </w:tcPr>
          <w:p>
            <w:pPr>
              <w:jc w:val="center"/>
              <w:ind w:right="1379"/>
              <w:spacing w:after="0"/>
              <w:rPr>
                <w:sz w:val="20"/>
                <w:szCs w:val="20"/>
                <w:color w:val="auto"/>
              </w:rPr>
            </w:pPr>
            <w:r>
              <w:rPr>
                <w:rFonts w:ascii="Times New Roman" w:cs="Times New Roman" w:eastAsia="Times New Roman" w:hAnsi="Times New Roman"/>
                <w:sz w:val="14"/>
                <w:szCs w:val="14"/>
                <w:b w:val="1"/>
                <w:bCs w:val="1"/>
                <w:color w:val="auto"/>
                <w:w w:val="97"/>
              </w:rPr>
              <w:t>55402</w:t>
            </w:r>
          </w:p>
        </w:tc>
      </w:tr>
      <w:tr>
        <w:trPr>
          <w:trHeight w:val="143"/>
        </w:trPr>
        <w:tc>
          <w:tcPr>
            <w:tcW w:w="5740" w:type="dxa"/>
            <w:vAlign w:val="bottom"/>
            <w:gridSpan w:val="4"/>
          </w:tcPr>
          <w:p>
            <w:pPr>
              <w:jc w:val="center"/>
              <w:ind w:right="1520"/>
              <w:spacing w:after="0"/>
              <w:rPr>
                <w:sz w:val="20"/>
                <w:szCs w:val="20"/>
                <w:color w:val="auto"/>
              </w:rPr>
            </w:pPr>
            <w:r>
              <w:rPr>
                <w:rFonts w:ascii="Times New Roman" w:cs="Times New Roman" w:eastAsia="Times New Roman" w:hAnsi="Times New Roman"/>
                <w:sz w:val="11"/>
                <w:szCs w:val="11"/>
                <w:b w:val="1"/>
                <w:bCs w:val="1"/>
                <w:color w:val="auto"/>
                <w:w w:val="99"/>
              </w:rPr>
              <w:t>(Address of principal executive offices)</w:t>
            </w:r>
          </w:p>
        </w:tc>
        <w:tc>
          <w:tcPr>
            <w:tcW w:w="2620" w:type="dxa"/>
            <w:vAlign w:val="bottom"/>
          </w:tcPr>
          <w:p>
            <w:pPr>
              <w:jc w:val="center"/>
              <w:ind w:right="1359"/>
              <w:spacing w:after="0"/>
              <w:rPr>
                <w:sz w:val="20"/>
                <w:szCs w:val="20"/>
                <w:color w:val="auto"/>
              </w:rPr>
            </w:pPr>
            <w:r>
              <w:rPr>
                <w:rFonts w:ascii="Times New Roman" w:cs="Times New Roman" w:eastAsia="Times New Roman" w:hAnsi="Times New Roman"/>
                <w:sz w:val="11"/>
                <w:szCs w:val="11"/>
                <w:b w:val="1"/>
                <w:bCs w:val="1"/>
                <w:color w:val="auto"/>
              </w:rPr>
              <w:t>(Zip Code)</w:t>
            </w:r>
          </w:p>
        </w:tc>
      </w:tr>
      <w:tr>
        <w:trPr>
          <w:trHeight w:val="300"/>
        </w:trPr>
        <w:tc>
          <w:tcPr>
            <w:tcW w:w="3300" w:type="dxa"/>
            <w:vAlign w:val="bottom"/>
          </w:tcPr>
          <w:p>
            <w:pPr>
              <w:spacing w:after="0"/>
              <w:rPr>
                <w:sz w:val="24"/>
                <w:szCs w:val="24"/>
                <w:color w:val="auto"/>
              </w:rPr>
            </w:pPr>
          </w:p>
        </w:tc>
        <w:tc>
          <w:tcPr>
            <w:tcW w:w="244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7"/>
              </w:rPr>
              <w:t>Joshua A. Hahn</w:t>
            </w:r>
          </w:p>
        </w:tc>
        <w:tc>
          <w:tcPr>
            <w:tcW w:w="2620" w:type="dxa"/>
            <w:vAlign w:val="bottom"/>
          </w:tcPr>
          <w:p>
            <w:pPr>
              <w:spacing w:after="0"/>
              <w:rPr>
                <w:sz w:val="24"/>
                <w:szCs w:val="24"/>
                <w:color w:val="auto"/>
              </w:rPr>
            </w:pPr>
          </w:p>
        </w:tc>
      </w:tr>
      <w:tr>
        <w:trPr>
          <w:trHeight w:val="164"/>
        </w:trPr>
        <w:tc>
          <w:tcPr>
            <w:tcW w:w="5740" w:type="dxa"/>
            <w:vAlign w:val="bottom"/>
            <w:gridSpan w:val="4"/>
          </w:tcPr>
          <w:p>
            <w:pPr>
              <w:jc w:val="center"/>
              <w:ind w:left="2557"/>
              <w:spacing w:after="0"/>
              <w:rPr>
                <w:sz w:val="20"/>
                <w:szCs w:val="20"/>
                <w:color w:val="auto"/>
              </w:rPr>
            </w:pPr>
            <w:r>
              <w:rPr>
                <w:rFonts w:ascii="Times New Roman" w:cs="Times New Roman" w:eastAsia="Times New Roman" w:hAnsi="Times New Roman"/>
                <w:sz w:val="14"/>
                <w:szCs w:val="14"/>
                <w:b w:val="1"/>
                <w:bCs w:val="1"/>
                <w:color w:val="auto"/>
                <w:w w:val="96"/>
              </w:rPr>
              <w:t>U.S. Bank Trust Company, National Association</w:t>
            </w:r>
          </w:p>
        </w:tc>
        <w:tc>
          <w:tcPr>
            <w:tcW w:w="2620" w:type="dxa"/>
            <w:vAlign w:val="bottom"/>
          </w:tcPr>
          <w:p>
            <w:pPr>
              <w:spacing w:after="0"/>
              <w:rPr>
                <w:sz w:val="14"/>
                <w:szCs w:val="14"/>
                <w:color w:val="auto"/>
              </w:rPr>
            </w:pPr>
          </w:p>
        </w:tc>
      </w:tr>
      <w:tr>
        <w:trPr>
          <w:trHeight w:val="164"/>
        </w:trPr>
        <w:tc>
          <w:tcPr>
            <w:tcW w:w="3300" w:type="dxa"/>
            <w:vAlign w:val="bottom"/>
          </w:tcPr>
          <w:p>
            <w:pPr>
              <w:spacing w:after="0"/>
              <w:rPr>
                <w:sz w:val="14"/>
                <w:szCs w:val="14"/>
                <w:color w:val="auto"/>
              </w:rPr>
            </w:pPr>
          </w:p>
        </w:tc>
        <w:tc>
          <w:tcPr>
            <w:tcW w:w="244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6"/>
              </w:rPr>
              <w:t>60 Livingston Avenue</w:t>
            </w:r>
          </w:p>
        </w:tc>
        <w:tc>
          <w:tcPr>
            <w:tcW w:w="2620" w:type="dxa"/>
            <w:vAlign w:val="bottom"/>
          </w:tcPr>
          <w:p>
            <w:pPr>
              <w:spacing w:after="0"/>
              <w:rPr>
                <w:sz w:val="14"/>
                <w:szCs w:val="14"/>
                <w:color w:val="auto"/>
              </w:rPr>
            </w:pPr>
          </w:p>
        </w:tc>
      </w:tr>
      <w:tr>
        <w:trPr>
          <w:trHeight w:val="164"/>
        </w:trPr>
        <w:tc>
          <w:tcPr>
            <w:tcW w:w="3300" w:type="dxa"/>
            <w:vAlign w:val="bottom"/>
          </w:tcPr>
          <w:p>
            <w:pPr>
              <w:spacing w:after="0"/>
              <w:rPr>
                <w:sz w:val="14"/>
                <w:szCs w:val="14"/>
                <w:color w:val="auto"/>
              </w:rPr>
            </w:pPr>
          </w:p>
        </w:tc>
        <w:tc>
          <w:tcPr>
            <w:tcW w:w="244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6"/>
              </w:rPr>
              <w:t>St. Paul, MN 55107</w:t>
            </w:r>
          </w:p>
        </w:tc>
        <w:tc>
          <w:tcPr>
            <w:tcW w:w="2620" w:type="dxa"/>
            <w:vAlign w:val="bottom"/>
          </w:tcPr>
          <w:p>
            <w:pPr>
              <w:spacing w:after="0"/>
              <w:rPr>
                <w:sz w:val="14"/>
                <w:szCs w:val="14"/>
                <w:color w:val="auto"/>
              </w:rPr>
            </w:pPr>
          </w:p>
        </w:tc>
      </w:tr>
      <w:tr>
        <w:trPr>
          <w:trHeight w:val="162"/>
        </w:trPr>
        <w:tc>
          <w:tcPr>
            <w:tcW w:w="5060" w:type="dxa"/>
            <w:vAlign w:val="bottom"/>
            <w:gridSpan w:val="2"/>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(651) 466-6309</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43"/>
        </w:trPr>
        <w:tc>
          <w:tcPr>
            <w:tcW w:w="5740" w:type="dxa"/>
            <w:vAlign w:val="bottom"/>
            <w:gridSpan w:val="4"/>
          </w:tcPr>
          <w:p>
            <w:pPr>
              <w:jc w:val="center"/>
              <w:ind w:left="2557"/>
              <w:spacing w:after="0"/>
              <w:rPr>
                <w:sz w:val="20"/>
                <w:szCs w:val="20"/>
                <w:color w:val="auto"/>
              </w:rPr>
            </w:pPr>
            <w:r>
              <w:rPr>
                <w:rFonts w:ascii="Times New Roman" w:cs="Times New Roman" w:eastAsia="Times New Roman" w:hAnsi="Times New Roman"/>
                <w:sz w:val="11"/>
                <w:szCs w:val="11"/>
                <w:b w:val="1"/>
                <w:bCs w:val="1"/>
                <w:color w:val="auto"/>
                <w:w w:val="99"/>
              </w:rPr>
              <w:t>(Name, address and telephone number of agent for service)</w:t>
            </w:r>
          </w:p>
        </w:tc>
        <w:tc>
          <w:tcPr>
            <w:tcW w:w="2620" w:type="dxa"/>
            <w:vAlign w:val="bottom"/>
          </w:tcPr>
          <w:p>
            <w:pPr>
              <w:spacing w:after="0"/>
              <w:rPr>
                <w:sz w:val="12"/>
                <w:szCs w:val="12"/>
                <w:color w:val="auto"/>
              </w:rPr>
            </w:pPr>
          </w:p>
        </w:tc>
      </w:tr>
      <w:tr>
        <w:trPr>
          <w:trHeight w:val="255"/>
        </w:trPr>
        <w:tc>
          <w:tcPr>
            <w:tcW w:w="3300" w:type="dxa"/>
            <w:vAlign w:val="bottom"/>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60" w:type="dxa"/>
            <w:vAlign w:val="bottom"/>
          </w:tcPr>
          <w:p>
            <w:pPr>
              <w:spacing w:after="0"/>
              <w:rPr>
                <w:sz w:val="22"/>
                <w:szCs w:val="22"/>
                <w:color w:val="auto"/>
              </w:rPr>
            </w:pPr>
          </w:p>
        </w:tc>
        <w:tc>
          <w:tcPr>
            <w:tcW w:w="2620" w:type="dxa"/>
            <w:vAlign w:val="bottom"/>
          </w:tcPr>
          <w:p>
            <w:pPr>
              <w:spacing w:after="0"/>
              <w:rPr>
                <w:sz w:val="22"/>
                <w:szCs w:val="22"/>
                <w:color w:val="auto"/>
              </w:rPr>
            </w:pPr>
          </w:p>
        </w:tc>
      </w:tr>
      <w:tr>
        <w:trPr>
          <w:trHeight w:val="299"/>
        </w:trPr>
        <w:tc>
          <w:tcPr>
            <w:tcW w:w="3300" w:type="dxa"/>
            <w:vAlign w:val="bottom"/>
          </w:tcPr>
          <w:p>
            <w:pPr>
              <w:spacing w:after="0"/>
              <w:rPr>
                <w:sz w:val="24"/>
                <w:szCs w:val="24"/>
                <w:color w:val="auto"/>
              </w:rPr>
            </w:pPr>
          </w:p>
        </w:tc>
        <w:tc>
          <w:tcPr>
            <w:tcW w:w="244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7"/>
              </w:rPr>
              <w:t>Fidus Investment Corporation</w:t>
            </w:r>
          </w:p>
        </w:tc>
        <w:tc>
          <w:tcPr>
            <w:tcW w:w="2620" w:type="dxa"/>
            <w:vAlign w:val="bottom"/>
          </w:tcPr>
          <w:p>
            <w:pPr>
              <w:spacing w:after="0"/>
              <w:rPr>
                <w:sz w:val="24"/>
                <w:szCs w:val="24"/>
                <w:color w:val="auto"/>
              </w:rPr>
            </w:pPr>
          </w:p>
        </w:tc>
      </w:tr>
      <w:tr>
        <w:trPr>
          <w:trHeight w:val="143"/>
        </w:trPr>
        <w:tc>
          <w:tcPr>
            <w:tcW w:w="3300" w:type="dxa"/>
            <w:vAlign w:val="bottom"/>
          </w:tcPr>
          <w:p>
            <w:pPr>
              <w:spacing w:after="0"/>
              <w:rPr>
                <w:sz w:val="12"/>
                <w:szCs w:val="12"/>
                <w:color w:val="auto"/>
              </w:rPr>
            </w:pPr>
          </w:p>
        </w:tc>
        <w:tc>
          <w:tcPr>
            <w:tcW w:w="2440" w:type="dxa"/>
            <w:vAlign w:val="bottom"/>
            <w:gridSpan w:val="3"/>
          </w:tcPr>
          <w:p>
            <w:pPr>
              <w:jc w:val="center"/>
              <w:ind w:right="680"/>
              <w:spacing w:after="0"/>
              <w:rPr>
                <w:sz w:val="20"/>
                <w:szCs w:val="20"/>
                <w:color w:val="auto"/>
              </w:rPr>
            </w:pPr>
            <w:r>
              <w:rPr>
                <w:rFonts w:ascii="Times New Roman" w:cs="Times New Roman" w:eastAsia="Times New Roman" w:hAnsi="Times New Roman"/>
                <w:sz w:val="11"/>
                <w:szCs w:val="11"/>
                <w:b w:val="1"/>
                <w:bCs w:val="1"/>
                <w:color w:val="auto"/>
                <w:w w:val="98"/>
              </w:rPr>
              <w:t>(Issuer with respect to the Securities)</w:t>
            </w:r>
          </w:p>
        </w:tc>
        <w:tc>
          <w:tcPr>
            <w:tcW w:w="2620" w:type="dxa"/>
            <w:vAlign w:val="bottom"/>
          </w:tcPr>
          <w:p>
            <w:pPr>
              <w:spacing w:after="0"/>
              <w:rPr>
                <w:sz w:val="12"/>
                <w:szCs w:val="12"/>
                <w:color w:val="auto"/>
              </w:rPr>
            </w:pPr>
          </w:p>
        </w:tc>
      </w:tr>
      <w:tr>
        <w:trPr>
          <w:trHeight w:val="318"/>
        </w:trPr>
        <w:tc>
          <w:tcPr>
            <w:tcW w:w="5740" w:type="dxa"/>
            <w:vAlign w:val="bottom"/>
            <w:gridSpan w:val="4"/>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w w:val="96"/>
              </w:rPr>
              <w:t>Maryland</w:t>
            </w:r>
          </w:p>
        </w:tc>
        <w:tc>
          <w:tcPr>
            <w:tcW w:w="2620" w:type="dxa"/>
            <w:vAlign w:val="bottom"/>
          </w:tcPr>
          <w:p>
            <w:pPr>
              <w:jc w:val="center"/>
              <w:ind w:right="1379"/>
              <w:spacing w:after="0"/>
              <w:rPr>
                <w:sz w:val="20"/>
                <w:szCs w:val="20"/>
                <w:color w:val="auto"/>
              </w:rPr>
            </w:pPr>
            <w:r>
              <w:rPr>
                <w:rFonts w:ascii="Times New Roman" w:cs="Times New Roman" w:eastAsia="Times New Roman" w:hAnsi="Times New Roman"/>
                <w:sz w:val="14"/>
                <w:szCs w:val="14"/>
                <w:b w:val="1"/>
                <w:bCs w:val="1"/>
                <w:color w:val="auto"/>
                <w:w w:val="97"/>
              </w:rPr>
              <w:t>27-5017321</w:t>
            </w:r>
          </w:p>
        </w:tc>
      </w:tr>
      <w:tr>
        <w:trPr>
          <w:trHeight w:val="113"/>
        </w:trPr>
        <w:tc>
          <w:tcPr>
            <w:tcW w:w="5740" w:type="dxa"/>
            <w:vAlign w:val="bottom"/>
            <w:gridSpan w:val="4"/>
          </w:tcPr>
          <w:p>
            <w:pPr>
              <w:jc w:val="center"/>
              <w:ind w:right="1520"/>
              <w:spacing w:after="0" w:line="113"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620" w:type="dxa"/>
            <w:vAlign w:val="bottom"/>
          </w:tcPr>
          <w:p>
            <w:pPr>
              <w:jc w:val="center"/>
              <w:ind w:right="1359"/>
              <w:spacing w:after="0" w:line="113"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3"/>
        </w:trPr>
        <w:tc>
          <w:tcPr>
            <w:tcW w:w="5740" w:type="dxa"/>
            <w:vAlign w:val="bottom"/>
            <w:gridSpan w:val="4"/>
          </w:tcPr>
          <w:p>
            <w:pPr>
              <w:jc w:val="center"/>
              <w:ind w:right="1520"/>
              <w:spacing w:after="0"/>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2620" w:type="dxa"/>
            <w:vAlign w:val="bottom"/>
          </w:tcPr>
          <w:p>
            <w:pPr>
              <w:jc w:val="center"/>
              <w:ind w:right="1359"/>
              <w:spacing w:after="0"/>
              <w:rPr>
                <w:sz w:val="20"/>
                <w:szCs w:val="20"/>
                <w:color w:val="auto"/>
              </w:rPr>
            </w:pPr>
            <w:r>
              <w:rPr>
                <w:rFonts w:ascii="Times New Roman" w:cs="Times New Roman" w:eastAsia="Times New Roman" w:hAnsi="Times New Roman"/>
                <w:sz w:val="11"/>
                <w:szCs w:val="11"/>
                <w:b w:val="1"/>
                <w:bCs w:val="1"/>
                <w:color w:val="auto"/>
                <w:w w:val="97"/>
              </w:rPr>
              <w:t>Identification No.)</w:t>
            </w:r>
          </w:p>
        </w:tc>
      </w:tr>
      <w:tr>
        <w:trPr>
          <w:trHeight w:val="331"/>
        </w:trPr>
        <w:tc>
          <w:tcPr>
            <w:tcW w:w="5740" w:type="dxa"/>
            <w:vAlign w:val="bottom"/>
            <w:gridSpan w:val="4"/>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w w:val="96"/>
              </w:rPr>
              <w:t>1603 Orrington Ave., Ste. 1005</w:t>
            </w:r>
          </w:p>
        </w:tc>
        <w:tc>
          <w:tcPr>
            <w:tcW w:w="2620" w:type="dxa"/>
            <w:vAlign w:val="bottom"/>
          </w:tcPr>
          <w:p>
            <w:pPr>
              <w:spacing w:after="0"/>
              <w:rPr>
                <w:sz w:val="24"/>
                <w:szCs w:val="24"/>
                <w:color w:val="auto"/>
              </w:rPr>
            </w:pPr>
          </w:p>
        </w:tc>
      </w:tr>
      <w:tr>
        <w:trPr>
          <w:trHeight w:val="172"/>
        </w:trPr>
        <w:tc>
          <w:tcPr>
            <w:tcW w:w="5740" w:type="dxa"/>
            <w:vAlign w:val="bottom"/>
            <w:gridSpan w:val="4"/>
          </w:tcPr>
          <w:p>
            <w:pPr>
              <w:jc w:val="center"/>
              <w:ind w:right="1500"/>
              <w:spacing w:after="0"/>
              <w:rPr>
                <w:sz w:val="20"/>
                <w:szCs w:val="20"/>
                <w:color w:val="auto"/>
              </w:rPr>
            </w:pPr>
            <w:r>
              <w:rPr>
                <w:rFonts w:ascii="Times New Roman" w:cs="Times New Roman" w:eastAsia="Times New Roman" w:hAnsi="Times New Roman"/>
                <w:sz w:val="14"/>
                <w:szCs w:val="14"/>
                <w:b w:val="1"/>
                <w:bCs w:val="1"/>
                <w:color w:val="auto"/>
                <w:w w:val="97"/>
              </w:rPr>
              <w:t>Evanston, IL</w:t>
            </w:r>
          </w:p>
        </w:tc>
        <w:tc>
          <w:tcPr>
            <w:tcW w:w="2620" w:type="dxa"/>
            <w:vAlign w:val="bottom"/>
          </w:tcPr>
          <w:p>
            <w:pPr>
              <w:jc w:val="center"/>
              <w:ind w:right="1379"/>
              <w:spacing w:after="0"/>
              <w:rPr>
                <w:sz w:val="20"/>
                <w:szCs w:val="20"/>
                <w:color w:val="auto"/>
              </w:rPr>
            </w:pPr>
            <w:r>
              <w:rPr>
                <w:rFonts w:ascii="Times New Roman" w:cs="Times New Roman" w:eastAsia="Times New Roman" w:hAnsi="Times New Roman"/>
                <w:sz w:val="14"/>
                <w:szCs w:val="14"/>
                <w:b w:val="1"/>
                <w:bCs w:val="1"/>
                <w:color w:val="auto"/>
                <w:w w:val="97"/>
              </w:rPr>
              <w:t>60201</w:t>
            </w:r>
          </w:p>
        </w:tc>
      </w:tr>
      <w:tr>
        <w:trPr>
          <w:trHeight w:val="143"/>
        </w:trPr>
        <w:tc>
          <w:tcPr>
            <w:tcW w:w="5740" w:type="dxa"/>
            <w:vAlign w:val="bottom"/>
            <w:gridSpan w:val="4"/>
          </w:tcPr>
          <w:p>
            <w:pPr>
              <w:jc w:val="center"/>
              <w:ind w:right="1520"/>
              <w:spacing w:after="0"/>
              <w:rPr>
                <w:sz w:val="20"/>
                <w:szCs w:val="20"/>
                <w:color w:val="auto"/>
              </w:rPr>
            </w:pPr>
            <w:r>
              <w:rPr>
                <w:rFonts w:ascii="Times New Roman" w:cs="Times New Roman" w:eastAsia="Times New Roman" w:hAnsi="Times New Roman"/>
                <w:sz w:val="11"/>
                <w:szCs w:val="11"/>
                <w:b w:val="1"/>
                <w:bCs w:val="1"/>
                <w:color w:val="auto"/>
                <w:w w:val="98"/>
              </w:rPr>
              <w:t>(Address of Principal Executive Offices)</w:t>
            </w:r>
          </w:p>
        </w:tc>
        <w:tc>
          <w:tcPr>
            <w:tcW w:w="2620" w:type="dxa"/>
            <w:vAlign w:val="bottom"/>
          </w:tcPr>
          <w:p>
            <w:pPr>
              <w:jc w:val="center"/>
              <w:ind w:right="1359"/>
              <w:spacing w:after="0"/>
              <w:rPr>
                <w:sz w:val="20"/>
                <w:szCs w:val="20"/>
                <w:color w:val="auto"/>
              </w:rPr>
            </w:pPr>
            <w:r>
              <w:rPr>
                <w:rFonts w:ascii="Times New Roman" w:cs="Times New Roman" w:eastAsia="Times New Roman" w:hAnsi="Times New Roman"/>
                <w:sz w:val="11"/>
                <w:szCs w:val="11"/>
                <w:b w:val="1"/>
                <w:bCs w:val="1"/>
                <w:color w:val="auto"/>
              </w:rPr>
              <w:t>(Zip Code)</w:t>
            </w:r>
          </w:p>
        </w:tc>
      </w:tr>
      <w:tr>
        <w:trPr>
          <w:trHeight w:val="265"/>
        </w:trPr>
        <w:tc>
          <w:tcPr>
            <w:tcW w:w="3300" w:type="dxa"/>
            <w:vAlign w:val="bottom"/>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680" w:type="dxa"/>
            <w:vAlign w:val="bottom"/>
            <w:gridSpan w:val="2"/>
          </w:tcPr>
          <w:p>
            <w:pPr>
              <w:spacing w:after="0"/>
              <w:rPr>
                <w:sz w:val="23"/>
                <w:szCs w:val="23"/>
                <w:color w:val="auto"/>
              </w:rPr>
            </w:pPr>
          </w:p>
        </w:tc>
        <w:tc>
          <w:tcPr>
            <w:tcW w:w="2620" w:type="dxa"/>
            <w:vAlign w:val="bottom"/>
          </w:tcPr>
          <w:p>
            <w:pPr>
              <w:spacing w:after="0"/>
              <w:rPr>
                <w:sz w:val="23"/>
                <w:szCs w:val="23"/>
                <w:color w:val="auto"/>
              </w:rPr>
            </w:pPr>
          </w:p>
        </w:tc>
      </w:tr>
      <w:tr>
        <w:trPr>
          <w:trHeight w:val="299"/>
        </w:trPr>
        <w:tc>
          <w:tcPr>
            <w:tcW w:w="3300" w:type="dxa"/>
            <w:vAlign w:val="bottom"/>
          </w:tcPr>
          <w:p>
            <w:pPr>
              <w:spacing w:after="0"/>
              <w:rPr>
                <w:sz w:val="24"/>
                <w:szCs w:val="24"/>
                <w:color w:val="auto"/>
              </w:rPr>
            </w:pPr>
          </w:p>
        </w:tc>
        <w:tc>
          <w:tcPr>
            <w:tcW w:w="244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8"/>
              </w:rPr>
              <w:t>Debt Issuance</w:t>
            </w:r>
          </w:p>
        </w:tc>
        <w:tc>
          <w:tcPr>
            <w:tcW w:w="2620" w:type="dxa"/>
            <w:vAlign w:val="bottom"/>
          </w:tcPr>
          <w:p>
            <w:pPr>
              <w:spacing w:after="0"/>
              <w:rPr>
                <w:sz w:val="24"/>
                <w:szCs w:val="24"/>
                <w:color w:val="auto"/>
              </w:rPr>
            </w:pPr>
          </w:p>
        </w:tc>
      </w:tr>
      <w:tr>
        <w:trPr>
          <w:trHeight w:val="143"/>
        </w:trPr>
        <w:tc>
          <w:tcPr>
            <w:tcW w:w="3300" w:type="dxa"/>
            <w:vAlign w:val="bottom"/>
          </w:tcPr>
          <w:p>
            <w:pPr>
              <w:spacing w:after="0"/>
              <w:rPr>
                <w:sz w:val="12"/>
                <w:szCs w:val="12"/>
                <w:color w:val="auto"/>
              </w:rPr>
            </w:pPr>
          </w:p>
        </w:tc>
        <w:tc>
          <w:tcPr>
            <w:tcW w:w="2440" w:type="dxa"/>
            <w:vAlign w:val="bottom"/>
            <w:gridSpan w:val="3"/>
          </w:tcPr>
          <w:p>
            <w:pPr>
              <w:jc w:val="center"/>
              <w:ind w:right="680"/>
              <w:spacing w:after="0"/>
              <w:rPr>
                <w:sz w:val="20"/>
                <w:szCs w:val="20"/>
                <w:color w:val="auto"/>
              </w:rPr>
            </w:pPr>
            <w:r>
              <w:rPr>
                <w:rFonts w:ascii="Times New Roman" w:cs="Times New Roman" w:eastAsia="Times New Roman" w:hAnsi="Times New Roman"/>
                <w:sz w:val="11"/>
                <w:szCs w:val="11"/>
                <w:b w:val="1"/>
                <w:bCs w:val="1"/>
                <w:color w:val="auto"/>
                <w:w w:val="99"/>
              </w:rPr>
              <w:t>(Title of the Indenture Securities)</w:t>
            </w:r>
          </w:p>
        </w:tc>
        <w:tc>
          <w:tcPr>
            <w:tcW w:w="2620" w:type="dxa"/>
            <w:vAlign w:val="bottom"/>
          </w:tcPr>
          <w:p>
            <w:pPr>
              <w:spacing w:after="0"/>
              <w:rPr>
                <w:sz w:val="12"/>
                <w:szCs w:val="12"/>
                <w:color w:val="auto"/>
              </w:rPr>
            </w:pPr>
          </w:p>
        </w:tc>
      </w:tr>
      <w:tr>
        <w:trPr>
          <w:trHeight w:val="163"/>
        </w:trPr>
        <w:tc>
          <w:tcPr>
            <w:tcW w:w="3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tcPr>
          <w:p>
            <w:pPr>
              <w:spacing w:after="0"/>
              <w:rPr>
                <w:sz w:val="14"/>
                <w:szCs w:val="14"/>
                <w:color w:val="auto"/>
              </w:rPr>
            </w:pPr>
          </w:p>
        </w:tc>
      </w:tr>
      <w:tr>
        <w:trPr>
          <w:trHeight w:val="31"/>
        </w:trPr>
        <w:tc>
          <w:tcPr>
            <w:tcW w:w="3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bl>
    <w:p>
      <w:pPr>
        <w:sectPr>
          <w:pgSz w:w="11900" w:h="16838" w:orient="portrait"/>
          <w:cols w:equalWidth="0" w:num="1">
            <w:col w:w="9019"/>
          </w:cols>
          <w:pgMar w:left="1440" w:top="123" w:right="1440"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FORM T-1</w:t>
      </w:r>
    </w:p>
    <w:p>
      <w:pPr>
        <w:spacing w:after="0" w:line="188" w:lineRule="exact"/>
        <w:rPr>
          <w:sz w:val="20"/>
          <w:szCs w:val="20"/>
          <w:color w:val="auto"/>
        </w:rPr>
      </w:pPr>
    </w:p>
    <w:p>
      <w:pPr>
        <w:ind w:left="320"/>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GENERAL INFORMATION</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Furnish the following information as to the Trustee.</w:t>
      </w:r>
    </w:p>
    <w:p>
      <w:pPr>
        <w:spacing w:after="0" w:line="95" w:lineRule="exact"/>
        <w:rPr>
          <w:sz w:val="20"/>
          <w:szCs w:val="20"/>
          <w:color w:val="auto"/>
        </w:rPr>
      </w:pPr>
    </w:p>
    <w:p>
      <w:pPr>
        <w:ind w:left="1060" w:hanging="413"/>
        <w:spacing w:after="0"/>
        <w:tabs>
          <w:tab w:leader="none" w:pos="10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Name and address of each examining or supervising authority to which it is subject.</w:t>
      </w:r>
    </w:p>
    <w:p>
      <w:pPr>
        <w:spacing w:after="0" w:line="89" w:lineRule="exact"/>
        <w:rPr>
          <w:rFonts w:ascii="Times New Roman" w:cs="Times New Roman" w:eastAsia="Times New Roman" w:hAnsi="Times New Roman"/>
          <w:sz w:val="14"/>
          <w:szCs w:val="14"/>
          <w:color w:val="auto"/>
        </w:rPr>
      </w:pPr>
    </w:p>
    <w:p>
      <w:pPr>
        <w:ind w:left="1080" w:right="6379"/>
        <w:spacing w:after="0" w:line="30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Comptroller of the Currency Washington, D.C.</w:t>
      </w:r>
    </w:p>
    <w:p>
      <w:pPr>
        <w:spacing w:after="0" w:line="36" w:lineRule="exact"/>
        <w:rPr>
          <w:rFonts w:ascii="Times New Roman" w:cs="Times New Roman" w:eastAsia="Times New Roman" w:hAnsi="Times New Roman"/>
          <w:sz w:val="14"/>
          <w:szCs w:val="14"/>
          <w:color w:val="auto"/>
        </w:rPr>
      </w:pPr>
    </w:p>
    <w:p>
      <w:pPr>
        <w:ind w:left="1080" w:right="4699" w:hanging="433"/>
        <w:spacing w:after="0" w:line="395" w:lineRule="auto"/>
        <w:tabs>
          <w:tab w:leader="none" w:pos="1065"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Whether it is authorized to exercise corporate trust powers. </w:t>
      </w:r>
      <w:r>
        <w:rPr>
          <w:rFonts w:ascii="Times New Roman" w:cs="Times New Roman" w:eastAsia="Times New Roman" w:hAnsi="Times New Roman"/>
          <w:sz w:val="14"/>
          <w:szCs w:val="14"/>
          <w:color w:val="auto"/>
        </w:rPr>
        <w:t>Yes</w:t>
      </w:r>
    </w:p>
    <w:p>
      <w:pPr>
        <w:spacing w:after="0" w:line="157" w:lineRule="exact"/>
        <w:rPr>
          <w:sz w:val="20"/>
          <w:szCs w:val="20"/>
          <w:color w:val="auto"/>
        </w:rPr>
      </w:pPr>
    </w:p>
    <w:p>
      <w:pPr>
        <w:ind w:left="320"/>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 xml:space="preserve">AFFILIATIONS WITH THE OBLIGOR. </w:t>
      </w:r>
      <w:r>
        <w:rPr>
          <w:rFonts w:ascii="Times New Roman" w:cs="Times New Roman" w:eastAsia="Times New Roman" w:hAnsi="Times New Roman"/>
          <w:sz w:val="14"/>
          <w:szCs w:val="14"/>
          <w:i w:val="1"/>
          <w:iCs w:val="1"/>
          <w:color w:val="auto"/>
        </w:rPr>
        <w:t>If the obligor is an affiliate of the Trustee, describe each such affiliation.</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None</w:t>
      </w:r>
    </w:p>
    <w:p>
      <w:pPr>
        <w:spacing w:after="0" w:line="276" w:lineRule="exact"/>
        <w:rPr>
          <w:sz w:val="20"/>
          <w:szCs w:val="20"/>
          <w:color w:val="auto"/>
        </w:rPr>
      </w:pPr>
    </w:p>
    <w:p>
      <w:pPr>
        <w:ind w:left="1140" w:right="439" w:hanging="830"/>
        <w:spacing w:after="0" w:line="272" w:lineRule="auto"/>
        <w:tabs>
          <w:tab w:leader="none" w:pos="1120" w:val="left"/>
        </w:tabs>
        <w:rPr>
          <w:sz w:val="20"/>
          <w:szCs w:val="20"/>
          <w:color w:val="auto"/>
        </w:rPr>
      </w:pPr>
      <w:r>
        <w:rPr>
          <w:rFonts w:ascii="Times New Roman" w:cs="Times New Roman" w:eastAsia="Times New Roman" w:hAnsi="Times New Roman"/>
          <w:sz w:val="14"/>
          <w:szCs w:val="14"/>
          <w:b w:val="1"/>
          <w:bCs w:val="1"/>
          <w:color w:val="auto"/>
        </w:rPr>
        <w:t>Items 3-15</w:t>
      </w:r>
      <w:r>
        <w:rPr>
          <w:sz w:val="20"/>
          <w:szCs w:val="20"/>
          <w:color w:val="auto"/>
        </w:rPr>
        <w:tab/>
      </w:r>
      <w:r>
        <w:rPr>
          <w:rFonts w:ascii="Times New Roman" w:cs="Times New Roman" w:eastAsia="Times New Roman" w:hAnsi="Times New Roman"/>
          <w:sz w:val="14"/>
          <w:szCs w:val="14"/>
          <w:i w:val="1"/>
          <w:iCs w:val="1"/>
          <w:color w:val="auto"/>
        </w:rPr>
        <w:t>Items 3-15 are not applicable because to the best of the Trustee’s knowledge, the obligor is not in default under any Indenture for which the Trustee acts as Trustee.</w:t>
      </w:r>
    </w:p>
    <w:p>
      <w:pPr>
        <w:spacing w:after="0" w:line="240" w:lineRule="exact"/>
        <w:rPr>
          <w:sz w:val="20"/>
          <w:szCs w:val="20"/>
          <w:color w:val="auto"/>
        </w:rPr>
      </w:pPr>
    </w:p>
    <w:p>
      <w:pPr>
        <w:ind w:left="320"/>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4"/>
          <w:szCs w:val="14"/>
          <w:b w:val="1"/>
          <w:bCs w:val="1"/>
          <w:color w:val="auto"/>
        </w:rPr>
        <w:t xml:space="preserve">LIST OF EXHIBITS: </w:t>
      </w:r>
      <w:r>
        <w:rPr>
          <w:rFonts w:ascii="Times New Roman" w:cs="Times New Roman" w:eastAsia="Times New Roman" w:hAnsi="Times New Roman"/>
          <w:sz w:val="14"/>
          <w:szCs w:val="14"/>
          <w:i w:val="1"/>
          <w:iCs w:val="1"/>
          <w:color w:val="auto"/>
        </w:rPr>
        <w:t>List below all exhibits filed as a part of this statement of eligibility and qualification.</w:t>
      </w:r>
    </w:p>
    <w:p>
      <w:pPr>
        <w:spacing w:after="0" w:line="99" w:lineRule="exact"/>
        <w:rPr>
          <w:sz w:val="20"/>
          <w:szCs w:val="20"/>
          <w:color w:val="auto"/>
        </w:rPr>
      </w:pPr>
    </w:p>
    <w:p>
      <w:pPr>
        <w:ind w:left="1060" w:hanging="413"/>
        <w:spacing w:after="0"/>
        <w:tabs>
          <w:tab w:leader="none" w:pos="10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Articles of Association of the Trustee, attached as Exhibit 1.</w:t>
      </w:r>
    </w:p>
    <w:p>
      <w:pPr>
        <w:spacing w:after="0" w:line="95" w:lineRule="exact"/>
        <w:rPr>
          <w:rFonts w:ascii="Times New Roman" w:cs="Times New Roman" w:eastAsia="Times New Roman" w:hAnsi="Times New Roman"/>
          <w:sz w:val="14"/>
          <w:szCs w:val="14"/>
          <w:color w:val="auto"/>
        </w:rPr>
      </w:pPr>
    </w:p>
    <w:p>
      <w:pPr>
        <w:ind w:left="1060" w:hanging="413"/>
        <w:spacing w:after="0"/>
        <w:tabs>
          <w:tab w:leader="none" w:pos="10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certificate of authority of the Trustee to commence business, attached as Exhibit 2.</w:t>
      </w:r>
    </w:p>
    <w:p>
      <w:pPr>
        <w:spacing w:after="0" w:line="95" w:lineRule="exact"/>
        <w:rPr>
          <w:rFonts w:ascii="Times New Roman" w:cs="Times New Roman" w:eastAsia="Times New Roman" w:hAnsi="Times New Roman"/>
          <w:sz w:val="14"/>
          <w:szCs w:val="14"/>
          <w:color w:val="auto"/>
        </w:rPr>
      </w:pPr>
    </w:p>
    <w:p>
      <w:pPr>
        <w:ind w:left="1060" w:hanging="413"/>
        <w:spacing w:after="0"/>
        <w:tabs>
          <w:tab w:leader="none" w:pos="10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authorization of the Trustee to exercise corporate trust powers, included as Exhibit 2.</w:t>
      </w:r>
    </w:p>
    <w:p>
      <w:pPr>
        <w:spacing w:after="0" w:line="95" w:lineRule="exact"/>
        <w:rPr>
          <w:rFonts w:ascii="Times New Roman" w:cs="Times New Roman" w:eastAsia="Times New Roman" w:hAnsi="Times New Roman"/>
          <w:sz w:val="14"/>
          <w:szCs w:val="14"/>
          <w:color w:val="auto"/>
        </w:rPr>
      </w:pPr>
    </w:p>
    <w:p>
      <w:pPr>
        <w:ind w:left="1060" w:hanging="413"/>
        <w:spacing w:after="0"/>
        <w:tabs>
          <w:tab w:leader="none" w:pos="10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existing bylaws of the Trustee, attached as Exhibit 4.</w:t>
      </w:r>
    </w:p>
    <w:p>
      <w:pPr>
        <w:spacing w:after="0" w:line="95" w:lineRule="exact"/>
        <w:rPr>
          <w:rFonts w:ascii="Times New Roman" w:cs="Times New Roman" w:eastAsia="Times New Roman" w:hAnsi="Times New Roman"/>
          <w:sz w:val="14"/>
          <w:szCs w:val="14"/>
          <w:color w:val="auto"/>
        </w:rPr>
      </w:pPr>
    </w:p>
    <w:p>
      <w:pPr>
        <w:ind w:left="1060" w:hanging="413"/>
        <w:spacing w:after="0"/>
        <w:tabs>
          <w:tab w:leader="none" w:pos="10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each Indenture referred to in Item 4. Not applicable.</w:t>
      </w:r>
    </w:p>
    <w:p>
      <w:pPr>
        <w:spacing w:after="0" w:line="95" w:lineRule="exact"/>
        <w:rPr>
          <w:rFonts w:ascii="Times New Roman" w:cs="Times New Roman" w:eastAsia="Times New Roman" w:hAnsi="Times New Roman"/>
          <w:sz w:val="14"/>
          <w:szCs w:val="14"/>
          <w:color w:val="auto"/>
        </w:rPr>
      </w:pPr>
    </w:p>
    <w:p>
      <w:pPr>
        <w:ind w:left="1060" w:hanging="413"/>
        <w:spacing w:after="0"/>
        <w:tabs>
          <w:tab w:leader="none" w:pos="10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consent of the Trustee required by Section 321(b) of the Trust Indenture Act of 1939, attached as Exhibit 6.</w:t>
      </w:r>
    </w:p>
    <w:p>
      <w:pPr>
        <w:spacing w:after="0" w:line="95" w:lineRule="exact"/>
        <w:rPr>
          <w:rFonts w:ascii="Times New Roman" w:cs="Times New Roman" w:eastAsia="Times New Roman" w:hAnsi="Times New Roman"/>
          <w:sz w:val="14"/>
          <w:szCs w:val="14"/>
          <w:color w:val="auto"/>
        </w:rPr>
      </w:pPr>
    </w:p>
    <w:p>
      <w:pPr>
        <w:ind w:left="1060" w:right="359" w:hanging="413"/>
        <w:spacing w:after="0" w:line="266" w:lineRule="auto"/>
        <w:tabs>
          <w:tab w:leader="none" w:pos="10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 of Condition of the Trustee as of December 31, 2025, published pursuant to law or the requirements of its supervising or examining authority, attached as Exhibit 7.</w:t>
      </w:r>
    </w:p>
    <w:p>
      <w:pPr>
        <w:sectPr>
          <w:pgSz w:w="11900" w:h="16838" w:orient="portrait"/>
          <w:cols w:equalWidth="0" w:num="1">
            <w:col w:w="9019"/>
          </w:cols>
          <w:pgMar w:left="1440" w:top="236" w:right="1440"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SIGNATURE</w:t>
      </w:r>
    </w:p>
    <w:p>
      <w:pPr>
        <w:spacing w:after="0" w:line="171" w:lineRule="exact"/>
        <w:rPr>
          <w:sz w:val="20"/>
          <w:szCs w:val="20"/>
          <w:color w:val="auto"/>
        </w:rPr>
      </w:pPr>
    </w:p>
    <w:p>
      <w:pPr>
        <w:ind w:left="320" w:right="339" w:firstLine="335"/>
        <w:spacing w:after="0" w:line="252" w:lineRule="auto"/>
        <w:rPr>
          <w:sz w:val="20"/>
          <w:szCs w:val="20"/>
          <w:color w:val="auto"/>
        </w:rPr>
      </w:pPr>
      <w:r>
        <w:rPr>
          <w:rFonts w:ascii="Times New Roman" w:cs="Times New Roman" w:eastAsia="Times New Roman" w:hAnsi="Times New Roman"/>
          <w:sz w:val="14"/>
          <w:szCs w:val="14"/>
          <w:color w:val="auto"/>
        </w:rPr>
        <w:t>Pursuant to the requirements of the Trust Indenture Act of 1939, as amended, the Trustee, U.S. BANK TRUST COMPANY, NATIONAL ASSOCIATION, a national banking association organized and existing under the laws of the United States of America, has duly caused this statement of eligibility and qualification to be signed on its behalf by the undersigned, thereunto duly authorized, all in the City of St. Paul, State of Minnesota on the 13th of February, 2026.</w:t>
      </w:r>
    </w:p>
    <w:p>
      <w:pPr>
        <w:spacing w:after="0" w:line="165" w:lineRule="exact"/>
        <w:rPr>
          <w:sz w:val="20"/>
          <w:szCs w:val="20"/>
          <w:color w:val="auto"/>
        </w:rPr>
      </w:pPr>
    </w:p>
    <w:p>
      <w:pPr>
        <w:ind w:left="5380"/>
        <w:spacing w:after="0"/>
        <w:tabs>
          <w:tab w:leader="none" w:pos="5760" w:val="left"/>
        </w:tabs>
        <w:rPr>
          <w:sz w:val="20"/>
          <w:szCs w:val="20"/>
          <w:color w:val="auto"/>
        </w:rPr>
      </w:pPr>
      <w:r>
        <w:rPr>
          <w:rFonts w:ascii="Times New Roman" w:cs="Times New Roman" w:eastAsia="Times New Roman" w:hAnsi="Times New Roman"/>
          <w:sz w:val="14"/>
          <w:szCs w:val="14"/>
          <w:color w:val="auto"/>
        </w:rPr>
        <w:t>B</w:t>
      </w:r>
      <w:r>
        <w:rPr>
          <w:rFonts w:ascii="Times New Roman" w:cs="Times New Roman" w:eastAsia="Times New Roman" w:hAnsi="Times New Roman"/>
          <w:sz w:val="11"/>
          <w:szCs w:val="11"/>
          <w:color w:val="auto"/>
        </w:rPr>
        <w:t>Y</w:t>
      </w:r>
      <w:r>
        <w:rPr>
          <w:rFonts w:ascii="Times New Roman" w:cs="Times New Roman" w:eastAsia="Times New Roman" w:hAnsi="Times New Roman"/>
          <w:sz w:val="14"/>
          <w:szCs w:val="14"/>
          <w:color w:val="auto"/>
        </w:rPr>
        <w:t>: </w:t>
      </w:r>
      <w:r>
        <w:rPr>
          <w:sz w:val="20"/>
          <w:szCs w:val="20"/>
          <w:color w:val="auto"/>
        </w:rPr>
        <w:tab/>
      </w:r>
      <w:r>
        <w:rPr>
          <w:rFonts w:ascii="Times New Roman" w:cs="Times New Roman" w:eastAsia="Times New Roman" w:hAnsi="Times New Roman"/>
          <w:sz w:val="13"/>
          <w:szCs w:val="13"/>
          <w:color w:val="auto"/>
        </w:rPr>
        <w:t>/s/ Joshua A.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10160</wp:posOffset>
            </wp:positionV>
            <wp:extent cx="1843405"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9">
                      <a:extLst>
                        <a:ext uri="{28A0092B-C50C-407E-A947-70E740481C1C}"/>
                      </a:extLst>
                    </a:blip>
                    <a:srcRect/>
                    <a:stretch>
                      <a:fillRect/>
                    </a:stretch>
                  </pic:blipFill>
                  <pic:spPr bwMode="auto">
                    <a:xfrm>
                      <a:off x="0" y="0"/>
                      <a:ext cx="1843405" cy="6350"/>
                    </a:xfrm>
                    <a:prstGeom prst="rect">
                      <a:avLst/>
                    </a:prstGeom>
                    <a:noFill/>
                  </pic:spPr>
                </pic:pic>
              </a:graphicData>
            </a:graphic>
          </wp:anchor>
        </w:drawing>
      </w:r>
    </w:p>
    <w:p>
      <w:pPr>
        <w:spacing w:after="0" w:line="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4"/>
          <w:szCs w:val="14"/>
          <w:color w:val="auto"/>
        </w:rPr>
        <w:t>Joshua A. Hahn</w:t>
      </w:r>
    </w:p>
    <w:p>
      <w:pPr>
        <w:spacing w:after="0" w:line="1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4"/>
          <w:szCs w:val="14"/>
          <w:color w:val="auto"/>
        </w:rPr>
        <w:t>Vice President</w:t>
      </w:r>
    </w:p>
    <w:p>
      <w:pPr>
        <w:sectPr>
          <w:pgSz w:w="11900" w:h="16838" w:orient="portrait"/>
          <w:cols w:equalWidth="0" w:num="1">
            <w:col w:w="9019"/>
          </w:cols>
          <w:pgMar w:left="1440" w:top="235" w:right="1440"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Exhibit 1</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ARTICLES OF ASSOCIATION</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 S. BANK TRUST COMPANY, NATIONAL ASSOCIATION</w:t>
      </w:r>
    </w:p>
    <w:p>
      <w:pPr>
        <w:spacing w:after="0" w:line="156" w:lineRule="exact"/>
        <w:rPr>
          <w:sz w:val="20"/>
          <w:szCs w:val="20"/>
          <w:color w:val="auto"/>
        </w:rPr>
      </w:pPr>
    </w:p>
    <w:p>
      <w:pPr>
        <w:ind w:left="320" w:right="759"/>
        <w:spacing w:after="0" w:line="266" w:lineRule="auto"/>
        <w:rPr>
          <w:sz w:val="20"/>
          <w:szCs w:val="20"/>
          <w:color w:val="auto"/>
        </w:rPr>
      </w:pPr>
      <w:r>
        <w:rPr>
          <w:rFonts w:ascii="Times New Roman" w:cs="Times New Roman" w:eastAsia="Times New Roman" w:hAnsi="Times New Roman"/>
          <w:sz w:val="14"/>
          <w:szCs w:val="14"/>
          <w:color w:val="auto"/>
        </w:rPr>
        <w:t>For the purpose of organizing an association (the “Association”) to perform any lawful activities of national banks, the undersigned enter into the following Articles of Association:</w:t>
      </w:r>
    </w:p>
    <w:p>
      <w:pPr>
        <w:spacing w:after="0" w:line="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 xml:space="preserve">FIRST. </w:t>
      </w:r>
      <w:r>
        <w:rPr>
          <w:rFonts w:ascii="Times New Roman" w:cs="Times New Roman" w:eastAsia="Times New Roman" w:hAnsi="Times New Roman"/>
          <w:sz w:val="14"/>
          <w:szCs w:val="14"/>
          <w:color w:val="auto"/>
        </w:rPr>
        <w:t>The title of this Association shall be U. S. Bank Trust Company, National Association.</w:t>
      </w:r>
    </w:p>
    <w:p>
      <w:pPr>
        <w:spacing w:after="0" w:line="167" w:lineRule="exact"/>
        <w:rPr>
          <w:sz w:val="20"/>
          <w:szCs w:val="20"/>
          <w:color w:val="auto"/>
        </w:rPr>
      </w:pPr>
    </w:p>
    <w:p>
      <w:pPr>
        <w:jc w:val="both"/>
        <w:ind w:left="320" w:right="499"/>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SECOND. </w:t>
      </w:r>
      <w:r>
        <w:rPr>
          <w:rFonts w:ascii="Times New Roman" w:cs="Times New Roman" w:eastAsia="Times New Roman" w:hAnsi="Times New Roman"/>
          <w:sz w:val="14"/>
          <w:szCs w:val="14"/>
          <w:color w:val="auto"/>
        </w:rPr>
        <w:t>The main office of the Association shall be in the city of Portland, county of Multnomah, state of Oregon. The business of the Association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will be limited to fiduciary powers and the support of activities incidental to the exercise of those powers. The Association may not expand or alter its business beyond that stated in this article without the prior approval of the Comptroller of the Currency.</w:t>
      </w:r>
    </w:p>
    <w:p>
      <w:pPr>
        <w:spacing w:after="0" w:line="137" w:lineRule="exact"/>
        <w:rPr>
          <w:sz w:val="20"/>
          <w:szCs w:val="20"/>
          <w:color w:val="auto"/>
        </w:rPr>
      </w:pPr>
    </w:p>
    <w:p>
      <w:pPr>
        <w:jc w:val="both"/>
        <w:ind w:left="320" w:right="339"/>
        <w:spacing w:after="0" w:line="269" w:lineRule="auto"/>
        <w:rPr>
          <w:sz w:val="20"/>
          <w:szCs w:val="20"/>
          <w:color w:val="auto"/>
        </w:rPr>
      </w:pPr>
      <w:r>
        <w:rPr>
          <w:rFonts w:ascii="Times New Roman" w:cs="Times New Roman" w:eastAsia="Times New Roman" w:hAnsi="Times New Roman"/>
          <w:sz w:val="13"/>
          <w:szCs w:val="13"/>
          <w:b w:val="1"/>
          <w:bCs w:val="1"/>
          <w:color w:val="auto"/>
        </w:rPr>
        <w:t xml:space="preserve">THIRD. </w:t>
      </w:r>
      <w:r>
        <w:rPr>
          <w:rFonts w:ascii="Times New Roman" w:cs="Times New Roman" w:eastAsia="Times New Roman" w:hAnsi="Times New Roman"/>
          <w:sz w:val="13"/>
          <w:szCs w:val="13"/>
          <w:color w:val="auto"/>
        </w:rPr>
        <w:t>The board of directors of the Association shall consist of not less than five nor more than twenty-five persons, the exact number to be fixed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w:t>
      </w:r>
    </w:p>
    <w:p>
      <w:pPr>
        <w:spacing w:after="0" w:line="2" w:lineRule="exact"/>
        <w:rPr>
          <w:sz w:val="20"/>
          <w:szCs w:val="20"/>
          <w:color w:val="auto"/>
        </w:rPr>
      </w:pPr>
    </w:p>
    <w:p>
      <w:pPr>
        <w:ind w:left="320" w:right="399" w:hanging="1"/>
        <w:spacing w:after="0" w:line="249" w:lineRule="auto"/>
        <w:tabs>
          <w:tab w:leader="none" w:pos="559"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of that person’s most recent election to the board of directors, whichever is more recent. Any combination of common or preferred stock of the Association or holding company may be used.</w:t>
      </w:r>
    </w:p>
    <w:p>
      <w:pPr>
        <w:spacing w:after="0" w:line="147" w:lineRule="exact"/>
        <w:rPr>
          <w:sz w:val="20"/>
          <w:szCs w:val="20"/>
          <w:color w:val="auto"/>
        </w:rPr>
      </w:pPr>
    </w:p>
    <w:p>
      <w:pPr>
        <w:ind w:left="320" w:right="359"/>
        <w:spacing w:after="0" w:line="250" w:lineRule="auto"/>
        <w:rPr>
          <w:sz w:val="20"/>
          <w:szCs w:val="20"/>
          <w:color w:val="auto"/>
        </w:rPr>
      </w:pPr>
      <w:r>
        <w:rPr>
          <w:rFonts w:ascii="Times New Roman" w:cs="Times New Roman" w:eastAsia="Times New Roman" w:hAnsi="Times New Roman"/>
          <w:sz w:val="14"/>
          <w:szCs w:val="14"/>
          <w:color w:val="auto"/>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spacing w:after="0" w:line="146" w:lineRule="exact"/>
        <w:rPr>
          <w:sz w:val="20"/>
          <w:szCs w:val="20"/>
          <w:color w:val="auto"/>
        </w:rPr>
      </w:pPr>
    </w:p>
    <w:p>
      <w:pPr>
        <w:ind w:left="320" w:right="539"/>
        <w:spacing w:after="0" w:line="252" w:lineRule="auto"/>
        <w:rPr>
          <w:sz w:val="20"/>
          <w:szCs w:val="20"/>
          <w:color w:val="auto"/>
        </w:rPr>
      </w:pPr>
      <w:r>
        <w:rPr>
          <w:rFonts w:ascii="Times New Roman" w:cs="Times New Roman" w:eastAsia="Times New Roman" w:hAnsi="Times New Roman"/>
          <w:sz w:val="14"/>
          <w:szCs w:val="14"/>
          <w:color w:val="auto"/>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spacing w:after="0" w:line="141" w:lineRule="exact"/>
        <w:rPr>
          <w:sz w:val="20"/>
          <w:szCs w:val="20"/>
          <w:color w:val="auto"/>
        </w:rPr>
      </w:pPr>
    </w:p>
    <w:p>
      <w:pPr>
        <w:ind w:left="320" w:right="379"/>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FOURTH. </w:t>
      </w:r>
      <w:r>
        <w:rPr>
          <w:rFonts w:ascii="Times New Roman" w:cs="Times New Roman" w:eastAsia="Times New Roman" w:hAnsi="Times New Roman"/>
          <w:sz w:val="14"/>
          <w:szCs w:val="14"/>
          <w:color w:val="auto"/>
        </w:rPr>
        <w:t>There shall be an annual meeting of the shareholders to elect directors and transact whatever other business may be brought before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meeting. It shall be held at the main office or any other convenient place the board of directors may designate, on the day of each year specified therefor in the Bylaws, or if that day falls on a legal holiday in the state in which the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6" w:right="1440" w:bottom="1440" w:gutter="0" w:footer="0" w:header="0"/>
        </w:sectPr>
      </w:pPr>
    </w:p>
    <w:bookmarkStart w:id="110" w:name="page111"/>
    <w:bookmarkEnd w:id="110"/>
    <w:p>
      <w:pPr>
        <w:ind w:left="320" w:right="37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w:t>
      </w:r>
    </w:p>
    <w:p>
      <w:pPr>
        <w:spacing w:after="0" w:line="145" w:lineRule="exact"/>
        <w:rPr>
          <w:sz w:val="20"/>
          <w:szCs w:val="20"/>
          <w:color w:val="auto"/>
        </w:rPr>
      </w:pPr>
    </w:p>
    <w:p>
      <w:pPr>
        <w:ind w:left="320" w:right="439"/>
        <w:spacing w:after="0" w:line="252" w:lineRule="auto"/>
        <w:rPr>
          <w:sz w:val="20"/>
          <w:szCs w:val="20"/>
          <w:color w:val="auto"/>
        </w:rPr>
      </w:pPr>
      <w:r>
        <w:rPr>
          <w:rFonts w:ascii="Times New Roman" w:cs="Times New Roman" w:eastAsia="Times New Roman" w:hAnsi="Times New Roman"/>
          <w:sz w:val="14"/>
          <w:szCs w:val="14"/>
          <w:color w:val="auto"/>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spacing w:after="0" w:line="145" w:lineRule="exact"/>
        <w:rPr>
          <w:sz w:val="20"/>
          <w:szCs w:val="20"/>
          <w:color w:val="auto"/>
        </w:rPr>
      </w:pPr>
    </w:p>
    <w:p>
      <w:pPr>
        <w:ind w:left="320" w:right="399"/>
        <w:spacing w:after="0" w:line="266" w:lineRule="auto"/>
        <w:rPr>
          <w:sz w:val="20"/>
          <w:szCs w:val="20"/>
          <w:color w:val="auto"/>
        </w:rPr>
      </w:pPr>
      <w:r>
        <w:rPr>
          <w:rFonts w:ascii="Times New Roman" w:cs="Times New Roman" w:eastAsia="Times New Roman" w:hAnsi="Times New Roman"/>
          <w:sz w:val="14"/>
          <w:szCs w:val="14"/>
          <w:color w:val="auto"/>
        </w:rPr>
        <w:t>A director may resign at any time by delivering written notice to the board of directors, its chairperson, or to the Association, which resignation shall be effective when the notice is delivered unless the notice specifies a later effective date.</w:t>
      </w:r>
    </w:p>
    <w:p>
      <w:pPr>
        <w:spacing w:after="0" w:line="136" w:lineRule="exact"/>
        <w:rPr>
          <w:sz w:val="20"/>
          <w:szCs w:val="20"/>
          <w:color w:val="auto"/>
        </w:rPr>
      </w:pPr>
    </w:p>
    <w:p>
      <w:pPr>
        <w:ind w:left="320" w:right="419"/>
        <w:spacing w:after="0" w:line="252" w:lineRule="auto"/>
        <w:rPr>
          <w:sz w:val="20"/>
          <w:szCs w:val="20"/>
          <w:color w:val="auto"/>
        </w:rPr>
      </w:pPr>
      <w:r>
        <w:rPr>
          <w:rFonts w:ascii="Times New Roman" w:cs="Times New Roman" w:eastAsia="Times New Roman" w:hAnsi="Times New Roman"/>
          <w:sz w:val="14"/>
          <w:szCs w:val="14"/>
          <w:color w:val="auto"/>
        </w:rPr>
        <w:t>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w:t>
      </w:r>
    </w:p>
    <w:p>
      <w:pPr>
        <w:spacing w:after="0" w:line="141" w:lineRule="exact"/>
        <w:rPr>
          <w:sz w:val="20"/>
          <w:szCs w:val="20"/>
          <w:color w:val="auto"/>
        </w:rPr>
      </w:pPr>
    </w:p>
    <w:p>
      <w:pPr>
        <w:ind w:left="320" w:right="359"/>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FIFTH. </w:t>
      </w:r>
      <w:r>
        <w:rPr>
          <w:rFonts w:ascii="Times New Roman" w:cs="Times New Roman" w:eastAsia="Times New Roman" w:hAnsi="Times New Roman"/>
          <w:sz w:val="14"/>
          <w:szCs w:val="14"/>
          <w:color w:val="auto"/>
        </w:rPr>
        <w:t>The authorized amount of capital stock of the Association shall be 1,000,000 shares of common stock of the par value of ten dollars ($10) each;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but said capital stock may be increased or decreased from time to time, according to the provisions of the laws of the United States. The Association shall have only one class of capital stock.</w:t>
      </w:r>
    </w:p>
    <w:p>
      <w:pPr>
        <w:spacing w:after="0" w:line="141" w:lineRule="exact"/>
        <w:rPr>
          <w:sz w:val="20"/>
          <w:szCs w:val="20"/>
          <w:color w:val="auto"/>
        </w:rPr>
      </w:pPr>
    </w:p>
    <w:p>
      <w:pPr>
        <w:ind w:left="320" w:right="399"/>
        <w:spacing w:after="0" w:line="252" w:lineRule="auto"/>
        <w:rPr>
          <w:sz w:val="20"/>
          <w:szCs w:val="20"/>
          <w:color w:val="auto"/>
        </w:rPr>
      </w:pPr>
      <w:r>
        <w:rPr>
          <w:rFonts w:ascii="Times New Roman" w:cs="Times New Roman" w:eastAsia="Times New Roman" w:hAnsi="Times New Roman"/>
          <w:sz w:val="14"/>
          <w:szCs w:val="14"/>
          <w:color w:val="auto"/>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spacing w:after="0" w:line="145" w:lineRule="exact"/>
        <w:rPr>
          <w:sz w:val="20"/>
          <w:szCs w:val="20"/>
          <w:color w:val="auto"/>
        </w:rPr>
      </w:pPr>
    </w:p>
    <w:p>
      <w:pPr>
        <w:ind w:left="320" w:right="619"/>
        <w:spacing w:after="0" w:line="266" w:lineRule="auto"/>
        <w:rPr>
          <w:sz w:val="20"/>
          <w:szCs w:val="20"/>
          <w:color w:val="auto"/>
        </w:rPr>
      </w:pPr>
      <w:r>
        <w:rPr>
          <w:rFonts w:ascii="Times New Roman" w:cs="Times New Roman" w:eastAsia="Times New Roman" w:hAnsi="Times New Roman"/>
          <w:sz w:val="14"/>
          <w:szCs w:val="14"/>
          <w:color w:val="auto"/>
        </w:rPr>
        <w:t>Transfers of the Association’s stock are subject to the prior written approval of a federal depository institution regulatory agency. If no other agency approval is required, the approval of the Comptroller of the Currency must be obtained prior to any such transfers.</w:t>
      </w:r>
    </w:p>
    <w:p>
      <w:pPr>
        <w:spacing w:after="0" w:line="136" w:lineRule="exact"/>
        <w:rPr>
          <w:sz w:val="20"/>
          <w:szCs w:val="20"/>
          <w:color w:val="auto"/>
        </w:rPr>
      </w:pPr>
    </w:p>
    <w:p>
      <w:pPr>
        <w:jc w:val="both"/>
        <w:ind w:left="320" w:right="519"/>
        <w:spacing w:after="0" w:line="255" w:lineRule="auto"/>
        <w:rPr>
          <w:sz w:val="20"/>
          <w:szCs w:val="20"/>
          <w:color w:val="auto"/>
        </w:rPr>
      </w:pPr>
      <w:r>
        <w:rPr>
          <w:rFonts w:ascii="Times New Roman" w:cs="Times New Roman" w:eastAsia="Times New Roman" w:hAnsi="Times New Roman"/>
          <w:sz w:val="14"/>
          <w:szCs w:val="14"/>
          <w:color w:val="auto"/>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9" w:right="1440" w:bottom="1440" w:gutter="0" w:footer="0" w:header="0"/>
        </w:sectPr>
      </w:pPr>
    </w:p>
    <w:bookmarkStart w:id="111" w:name="page112"/>
    <w:bookmarkEnd w:id="111"/>
    <w:p>
      <w:pPr>
        <w:ind w:left="320" w:right="43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Unless otherwise specified in the Articles of Association or required by law, all shares of voting stock shall be voted together as a class, on any matters requiring shareholder approval.</w:t>
      </w:r>
    </w:p>
    <w:p>
      <w:pPr>
        <w:spacing w:after="0" w:line="136" w:lineRule="exact"/>
        <w:rPr>
          <w:sz w:val="20"/>
          <w:szCs w:val="20"/>
          <w:color w:val="auto"/>
        </w:rPr>
      </w:pPr>
    </w:p>
    <w:p>
      <w:pPr>
        <w:ind w:left="320" w:right="599"/>
        <w:spacing w:after="0" w:line="255" w:lineRule="auto"/>
        <w:rPr>
          <w:sz w:val="20"/>
          <w:szCs w:val="20"/>
          <w:color w:val="auto"/>
        </w:rPr>
      </w:pPr>
      <w:r>
        <w:rPr>
          <w:rFonts w:ascii="Times New Roman" w:cs="Times New Roman" w:eastAsia="Times New Roman" w:hAnsi="Times New Roman"/>
          <w:sz w:val="14"/>
          <w:szCs w:val="14"/>
          <w:color w:val="auto"/>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spacing w:after="0" w:line="143" w:lineRule="exact"/>
        <w:rPr>
          <w:sz w:val="20"/>
          <w:szCs w:val="20"/>
          <w:color w:val="auto"/>
        </w:rPr>
      </w:pPr>
    </w:p>
    <w:p>
      <w:pPr>
        <w:ind w:left="320" w:right="379"/>
        <w:spacing w:after="0" w:line="252" w:lineRule="auto"/>
        <w:rPr>
          <w:sz w:val="20"/>
          <w:szCs w:val="20"/>
          <w:color w:val="auto"/>
        </w:rPr>
      </w:pPr>
      <w:r>
        <w:rPr>
          <w:rFonts w:ascii="Times New Roman" w:cs="Times New Roman" w:eastAsia="Times New Roman" w:hAnsi="Times New Roman"/>
          <w:sz w:val="14"/>
          <w:szCs w:val="14"/>
          <w:color w:val="auto"/>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spacing w:after="0" w:line="141" w:lineRule="exact"/>
        <w:rPr>
          <w:sz w:val="20"/>
          <w:szCs w:val="20"/>
          <w:color w:val="auto"/>
        </w:rPr>
      </w:pPr>
    </w:p>
    <w:p>
      <w:pPr>
        <w:ind w:left="320" w:right="379"/>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SIXTH. </w:t>
      </w:r>
      <w:r>
        <w:rPr>
          <w:rFonts w:ascii="Times New Roman" w:cs="Times New Roman" w:eastAsia="Times New Roman" w:hAnsi="Times New Roman"/>
          <w:sz w:val="14"/>
          <w:szCs w:val="14"/>
          <w:color w:val="auto"/>
        </w:rPr>
        <w:t>The board of directors shall appoint one of its members president of this Association and one of its members chairperson of the board and shall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board of directors shall have the power to:</w:t>
      </w:r>
    </w:p>
    <w:p>
      <w:pPr>
        <w:spacing w:after="0" w:line="95" w:lineRule="exact"/>
        <w:rPr>
          <w:sz w:val="20"/>
          <w:szCs w:val="20"/>
          <w:color w:val="auto"/>
        </w:rPr>
      </w:pPr>
    </w:p>
    <w:p>
      <w:pPr>
        <w:ind w:left="640" w:hanging="321"/>
        <w:spacing w:after="0"/>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 the duties of the officers, employees, and agents of the Association.</w:t>
      </w:r>
    </w:p>
    <w:p>
      <w:pPr>
        <w:spacing w:after="0" w:line="95" w:lineRule="exact"/>
        <w:rPr>
          <w:rFonts w:ascii="Times New Roman" w:cs="Times New Roman" w:eastAsia="Times New Roman" w:hAnsi="Times New Roman"/>
          <w:sz w:val="14"/>
          <w:szCs w:val="14"/>
          <w:color w:val="auto"/>
        </w:rPr>
      </w:pPr>
    </w:p>
    <w:p>
      <w:pPr>
        <w:ind w:left="640" w:hanging="321"/>
        <w:spacing w:after="0"/>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Delegate the performance of its duties, but not the responsibility for its duties, to the officers, employees, and agents of the Association.</w:t>
      </w:r>
    </w:p>
    <w:p>
      <w:pPr>
        <w:spacing w:after="0" w:line="95" w:lineRule="exact"/>
        <w:rPr>
          <w:rFonts w:ascii="Times New Roman" w:cs="Times New Roman" w:eastAsia="Times New Roman" w:hAnsi="Times New Roman"/>
          <w:sz w:val="14"/>
          <w:szCs w:val="14"/>
          <w:color w:val="auto"/>
        </w:rPr>
      </w:pPr>
    </w:p>
    <w:p>
      <w:pPr>
        <w:ind w:left="640" w:right="719" w:hanging="321"/>
        <w:spacing w:after="0" w:line="266" w:lineRule="auto"/>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 the compensation and enter employment contracts with its officers and employees upon reasonable terms and conditions consistent with applicable law.</w:t>
      </w:r>
    </w:p>
    <w:p>
      <w:pPr>
        <w:spacing w:after="0" w:line="63" w:lineRule="exact"/>
        <w:rPr>
          <w:rFonts w:ascii="Times New Roman" w:cs="Times New Roman" w:eastAsia="Times New Roman" w:hAnsi="Times New Roman"/>
          <w:sz w:val="14"/>
          <w:szCs w:val="14"/>
          <w:color w:val="auto"/>
        </w:rPr>
      </w:pPr>
    </w:p>
    <w:p>
      <w:pPr>
        <w:ind w:left="640" w:hanging="321"/>
        <w:spacing w:after="0"/>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Dismiss officers and employees.</w:t>
      </w:r>
    </w:p>
    <w:p>
      <w:pPr>
        <w:spacing w:after="0" w:line="95" w:lineRule="exact"/>
        <w:rPr>
          <w:rFonts w:ascii="Times New Roman" w:cs="Times New Roman" w:eastAsia="Times New Roman" w:hAnsi="Times New Roman"/>
          <w:sz w:val="14"/>
          <w:szCs w:val="14"/>
          <w:color w:val="auto"/>
        </w:rPr>
      </w:pPr>
    </w:p>
    <w:p>
      <w:pPr>
        <w:ind w:left="640" w:hanging="321"/>
        <w:spacing w:after="0"/>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bonds from officers and employees and to fix the penalty thereof.</w:t>
      </w:r>
    </w:p>
    <w:p>
      <w:pPr>
        <w:spacing w:after="0" w:line="95" w:lineRule="exact"/>
        <w:rPr>
          <w:rFonts w:ascii="Times New Roman" w:cs="Times New Roman" w:eastAsia="Times New Roman" w:hAnsi="Times New Roman"/>
          <w:sz w:val="14"/>
          <w:szCs w:val="14"/>
          <w:color w:val="auto"/>
        </w:rPr>
      </w:pPr>
    </w:p>
    <w:p>
      <w:pPr>
        <w:ind w:left="640" w:hanging="321"/>
        <w:spacing w:after="0"/>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Ratify written policies authorized by the Association’s management or committees of the board.</w:t>
      </w:r>
    </w:p>
    <w:p>
      <w:pPr>
        <w:spacing w:after="0" w:line="95" w:lineRule="exact"/>
        <w:rPr>
          <w:rFonts w:ascii="Times New Roman" w:cs="Times New Roman" w:eastAsia="Times New Roman" w:hAnsi="Times New Roman"/>
          <w:sz w:val="14"/>
          <w:szCs w:val="14"/>
          <w:color w:val="auto"/>
        </w:rPr>
      </w:pPr>
    </w:p>
    <w:p>
      <w:pPr>
        <w:jc w:val="both"/>
        <w:ind w:left="640" w:right="399" w:hanging="321"/>
        <w:spacing w:after="0" w:line="255" w:lineRule="auto"/>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0" w:right="1440" w:bottom="1440" w:gutter="0" w:footer="0" w:header="0"/>
        </w:sectPr>
      </w:pPr>
    </w:p>
    <w:bookmarkStart w:id="112" w:name="page113"/>
    <w:bookmarkEnd w:id="112"/>
    <w:p>
      <w:pPr>
        <w:ind w:left="640" w:hanging="321"/>
        <w:spacing w:after="0"/>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Manage and administer the business and affairs of the Association.</w:t>
      </w:r>
    </w:p>
    <w:p>
      <w:pPr>
        <w:spacing w:after="0" w:line="95" w:lineRule="exact"/>
        <w:rPr>
          <w:rFonts w:ascii="Times New Roman" w:cs="Times New Roman" w:eastAsia="Times New Roman" w:hAnsi="Times New Roman"/>
          <w:sz w:val="14"/>
          <w:szCs w:val="14"/>
          <w:color w:val="auto"/>
        </w:rPr>
      </w:pPr>
    </w:p>
    <w:p>
      <w:pPr>
        <w:ind w:left="640" w:right="899" w:hanging="321"/>
        <w:spacing w:after="0" w:line="266" w:lineRule="auto"/>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initial Bylaws, not inconsistent with law or the Articles of Association, for managing the business and regulating the affairs of the Association.</w:t>
      </w:r>
    </w:p>
    <w:p>
      <w:pPr>
        <w:spacing w:after="0" w:line="63" w:lineRule="exact"/>
        <w:rPr>
          <w:rFonts w:ascii="Times New Roman" w:cs="Times New Roman" w:eastAsia="Times New Roman" w:hAnsi="Times New Roman"/>
          <w:sz w:val="14"/>
          <w:szCs w:val="14"/>
          <w:color w:val="auto"/>
        </w:rPr>
      </w:pPr>
    </w:p>
    <w:p>
      <w:pPr>
        <w:ind w:left="640" w:hanging="321"/>
        <w:spacing w:after="0"/>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or repeal Bylaws, except to the extent that the Articles of Association reserve this power in whole or in part to the shareholders.</w:t>
      </w:r>
    </w:p>
    <w:p>
      <w:pPr>
        <w:spacing w:after="0" w:line="95" w:lineRule="exact"/>
        <w:rPr>
          <w:rFonts w:ascii="Times New Roman" w:cs="Times New Roman" w:eastAsia="Times New Roman" w:hAnsi="Times New Roman"/>
          <w:sz w:val="14"/>
          <w:szCs w:val="14"/>
          <w:color w:val="auto"/>
        </w:rPr>
      </w:pPr>
    </w:p>
    <w:p>
      <w:pPr>
        <w:ind w:left="640" w:hanging="321"/>
        <w:spacing w:after="0"/>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contracts.</w:t>
      </w:r>
    </w:p>
    <w:p>
      <w:pPr>
        <w:spacing w:after="0" w:line="95" w:lineRule="exact"/>
        <w:rPr>
          <w:rFonts w:ascii="Times New Roman" w:cs="Times New Roman" w:eastAsia="Times New Roman" w:hAnsi="Times New Roman"/>
          <w:sz w:val="14"/>
          <w:szCs w:val="14"/>
          <w:color w:val="auto"/>
        </w:rPr>
      </w:pPr>
    </w:p>
    <w:p>
      <w:pPr>
        <w:ind w:left="640" w:hanging="321"/>
        <w:spacing w:after="0"/>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perform all acts that are legal for a board of directors to perform.</w:t>
      </w:r>
    </w:p>
    <w:p>
      <w:pPr>
        <w:spacing w:after="0" w:line="163" w:lineRule="exact"/>
        <w:rPr>
          <w:sz w:val="20"/>
          <w:szCs w:val="20"/>
          <w:color w:val="auto"/>
        </w:rPr>
      </w:pPr>
    </w:p>
    <w:p>
      <w:pPr>
        <w:ind w:left="320" w:right="439"/>
        <w:spacing w:after="0" w:line="250" w:lineRule="auto"/>
        <w:rPr>
          <w:sz w:val="20"/>
          <w:szCs w:val="20"/>
          <w:color w:val="auto"/>
        </w:rPr>
      </w:pPr>
      <w:r>
        <w:rPr>
          <w:rFonts w:ascii="Times New Roman" w:cs="Times New Roman" w:eastAsia="Times New Roman" w:hAnsi="Times New Roman"/>
          <w:sz w:val="14"/>
          <w:szCs w:val="14"/>
          <w:b w:val="1"/>
          <w:bCs w:val="1"/>
          <w:color w:val="auto"/>
        </w:rPr>
        <w:t xml:space="preserve">SEVENTH. </w:t>
      </w:r>
      <w:r>
        <w:rPr>
          <w:rFonts w:ascii="Times New Roman" w:cs="Times New Roman" w:eastAsia="Times New Roman" w:hAnsi="Times New Roman"/>
          <w:sz w:val="14"/>
          <w:szCs w:val="14"/>
          <w:color w:val="auto"/>
        </w:rPr>
        <w:t>The board of directors shall have the power to change the location of the main office to any authorized branch within the limits of the city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Portland, Oregon, without the 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 xml:space="preserve">EIGHTH. </w:t>
      </w:r>
      <w:r>
        <w:rPr>
          <w:rFonts w:ascii="Times New Roman" w:cs="Times New Roman" w:eastAsia="Times New Roman" w:hAnsi="Times New Roman"/>
          <w:sz w:val="14"/>
          <w:szCs w:val="14"/>
          <w:color w:val="auto"/>
        </w:rPr>
        <w:t>The corporate existence of this Association shall continue until termination according to the laws of the United States.</w:t>
      </w:r>
    </w:p>
    <w:p>
      <w:pPr>
        <w:spacing w:after="0" w:line="167" w:lineRule="exact"/>
        <w:rPr>
          <w:sz w:val="20"/>
          <w:szCs w:val="20"/>
          <w:color w:val="auto"/>
        </w:rPr>
      </w:pPr>
    </w:p>
    <w:p>
      <w:pPr>
        <w:ind w:left="320" w:right="359"/>
        <w:spacing w:after="0" w:line="250" w:lineRule="auto"/>
        <w:rPr>
          <w:sz w:val="20"/>
          <w:szCs w:val="20"/>
          <w:color w:val="auto"/>
        </w:rPr>
      </w:pPr>
      <w:r>
        <w:rPr>
          <w:rFonts w:ascii="Times New Roman" w:cs="Times New Roman" w:eastAsia="Times New Roman" w:hAnsi="Times New Roman"/>
          <w:sz w:val="14"/>
          <w:szCs w:val="14"/>
          <w:b w:val="1"/>
          <w:bCs w:val="1"/>
          <w:color w:val="auto"/>
        </w:rPr>
        <w:t xml:space="preserve">NINTH. </w:t>
      </w:r>
      <w:r>
        <w:rPr>
          <w:rFonts w:ascii="Times New Roman" w:cs="Times New Roman" w:eastAsia="Times New Roman" w:hAnsi="Times New Roman"/>
          <w:sz w:val="14"/>
          <w:szCs w:val="14"/>
          <w:color w:val="auto"/>
        </w:rPr>
        <w:t>The board of directors of the Association, or any shareholder owning, in the aggregate, not less than 25 percent of the stock of the Association,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may call a special meeting of shareholders 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spacing w:after="0" w:line="143" w:lineRule="exact"/>
        <w:rPr>
          <w:sz w:val="20"/>
          <w:szCs w:val="20"/>
          <w:color w:val="auto"/>
        </w:rPr>
      </w:pPr>
    </w:p>
    <w:p>
      <w:pPr>
        <w:ind w:left="320" w:right="359"/>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TENTH. </w:t>
      </w:r>
      <w:r>
        <w:rPr>
          <w:rFonts w:ascii="Times New Roman" w:cs="Times New Roman" w:eastAsia="Times New Roman" w:hAnsi="Times New Roman"/>
          <w:sz w:val="14"/>
          <w:szCs w:val="14"/>
          <w:color w:val="auto"/>
        </w:rPr>
        <w:t>These Articles of Association may be amended at any regular or special meeting of the shareholders by the affirmative vote of the holders of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majority of the stock of the 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0" w:right="1440" w:bottom="1440" w:gutter="0" w:footer="0" w:header="0"/>
        </w:sectPr>
      </w:pPr>
    </w:p>
    <w:bookmarkStart w:id="113" w:name="page114"/>
    <w:bookmarkEnd w:id="113"/>
    <w:p>
      <w:pPr>
        <w:ind w:left="66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In witness whereof, we have hereunto set our hands this </w:t>
      </w:r>
      <w:r>
        <w:rPr>
          <w:rFonts w:ascii="Times New Roman" w:cs="Times New Roman" w:eastAsia="Times New Roman" w:hAnsi="Times New Roman"/>
          <w:sz w:val="13"/>
          <w:szCs w:val="13"/>
          <w:u w:val="single" w:color="auto"/>
          <w:color w:val="auto"/>
        </w:rPr>
        <w:t>11</w:t>
      </w:r>
      <w:r>
        <w:rPr>
          <w:rFonts w:ascii="Times New Roman" w:cs="Times New Roman" w:eastAsia="Times New Roman" w:hAnsi="Times New Roman"/>
          <w:sz w:val="19"/>
          <w:szCs w:val="19"/>
          <w:u w:val="single" w:color="auto"/>
          <w:color w:val="auto"/>
          <w:vertAlign w:val="superscript"/>
        </w:rPr>
        <w:t>th</w:t>
      </w:r>
      <w:r>
        <w:rPr>
          <w:rFonts w:ascii="Times New Roman" w:cs="Times New Roman" w:eastAsia="Times New Roman" w:hAnsi="Times New Roman"/>
          <w:sz w:val="13"/>
          <w:szCs w:val="13"/>
          <w:color w:val="auto"/>
        </w:rPr>
        <w:t xml:space="preserve"> of June,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788035</wp:posOffset>
            </wp:positionV>
            <wp:extent cx="2123440"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5">
                      <a:extLst>
                        <a:ext uri="{28A0092B-C50C-407E-A947-70E740481C1C}"/>
                      </a:extLst>
                    </a:blip>
                    <a:srcRect/>
                    <a:stretch>
                      <a:fillRect/>
                    </a:stretch>
                  </pic:blipFill>
                  <pic:spPr bwMode="auto">
                    <a:xfrm>
                      <a:off x="0" y="0"/>
                      <a:ext cx="2123440" cy="6350"/>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90805</wp:posOffset>
            </wp:positionV>
            <wp:extent cx="1491615" cy="5924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6">
                      <a:extLst>
                        <a:ext uri="{28A0092B-C50C-407E-A947-70E740481C1C}"/>
                      </a:extLst>
                    </a:blip>
                    <a:srcRect/>
                    <a:stretch>
                      <a:fillRect/>
                    </a:stretch>
                  </pic:blipFill>
                  <pic:spPr bwMode="auto">
                    <a:xfrm>
                      <a:off x="0" y="0"/>
                      <a:ext cx="1491615" cy="592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Jeffrey T. Grubb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609600</wp:posOffset>
            </wp:positionV>
            <wp:extent cx="2123440"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7">
                      <a:extLst>
                        <a:ext uri="{28A0092B-C50C-407E-A947-70E740481C1C}"/>
                      </a:extLst>
                    </a:blip>
                    <a:srcRect/>
                    <a:stretch>
                      <a:fillRect/>
                    </a:stretch>
                  </pic:blipFill>
                  <pic:spPr bwMode="auto">
                    <a:xfrm>
                      <a:off x="0" y="0"/>
                      <a:ext cx="2123440" cy="6350"/>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114300</wp:posOffset>
            </wp:positionV>
            <wp:extent cx="1120140" cy="3905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8">
                      <a:extLst>
                        <a:ext uri="{28A0092B-C50C-407E-A947-70E740481C1C}"/>
                      </a:extLst>
                    </a:blip>
                    <a:srcRect/>
                    <a:stretch>
                      <a:fillRect/>
                    </a:stretch>
                  </pic:blipFill>
                  <pic:spPr bwMode="auto">
                    <a:xfrm>
                      <a:off x="0" y="0"/>
                      <a:ext cx="1120140" cy="39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Robert D. Sznewajs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843915</wp:posOffset>
            </wp:positionV>
            <wp:extent cx="2123440"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9">
                      <a:extLst>
                        <a:ext uri="{28A0092B-C50C-407E-A947-70E740481C1C}"/>
                      </a:extLst>
                    </a:blip>
                    <a:srcRect/>
                    <a:stretch>
                      <a:fillRect/>
                    </a:stretch>
                  </pic:blipFill>
                  <pic:spPr bwMode="auto">
                    <a:xfrm>
                      <a:off x="0" y="0"/>
                      <a:ext cx="2123440" cy="6350"/>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114300</wp:posOffset>
            </wp:positionV>
            <wp:extent cx="1139825" cy="6254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0">
                      <a:extLst>
                        <a:ext uri="{28A0092B-C50C-407E-A947-70E740481C1C}"/>
                      </a:extLst>
                    </a:blip>
                    <a:srcRect/>
                    <a:stretch>
                      <a:fillRect/>
                    </a:stretch>
                  </pic:blipFill>
                  <pic:spPr bwMode="auto">
                    <a:xfrm>
                      <a:off x="0" y="0"/>
                      <a:ext cx="113982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Dwight V.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687705</wp:posOffset>
            </wp:positionV>
            <wp:extent cx="2123440"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1">
                      <a:extLst>
                        <a:ext uri="{28A0092B-C50C-407E-A947-70E740481C1C}"/>
                      </a:extLst>
                    </a:blip>
                    <a:srcRect/>
                    <a:stretch>
                      <a:fillRect/>
                    </a:stretch>
                  </pic:blipFill>
                  <pic:spPr bwMode="auto">
                    <a:xfrm>
                      <a:off x="0" y="0"/>
                      <a:ext cx="2123440" cy="6350"/>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114300</wp:posOffset>
            </wp:positionV>
            <wp:extent cx="833755" cy="4692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2">
                      <a:extLst>
                        <a:ext uri="{28A0092B-C50C-407E-A947-70E740481C1C}"/>
                      </a:extLst>
                    </a:blip>
                    <a:srcRect/>
                    <a:stretch>
                      <a:fillRect/>
                    </a:stretch>
                  </pic:blipFill>
                  <pic:spPr bwMode="auto">
                    <a:xfrm>
                      <a:off x="0" y="0"/>
                      <a:ext cx="833755" cy="46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P. K. Chatterjee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615950</wp:posOffset>
            </wp:positionV>
            <wp:extent cx="2123440"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3">
                      <a:extLst>
                        <a:ext uri="{28A0092B-C50C-407E-A947-70E740481C1C}"/>
                      </a:extLst>
                    </a:blip>
                    <a:srcRect/>
                    <a:stretch>
                      <a:fillRect/>
                    </a:stretch>
                  </pic:blipFill>
                  <pic:spPr bwMode="auto">
                    <a:xfrm>
                      <a:off x="0" y="0"/>
                      <a:ext cx="2123440" cy="6350"/>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114300</wp:posOffset>
            </wp:positionV>
            <wp:extent cx="1165860" cy="3975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4">
                      <a:extLst>
                        <a:ext uri="{28A0092B-C50C-407E-A947-70E740481C1C}"/>
                      </a:extLst>
                    </a:blip>
                    <a:srcRect/>
                    <a:stretch>
                      <a:fillRect/>
                    </a:stretch>
                  </pic:blipFill>
                  <pic:spPr bwMode="auto">
                    <a:xfrm>
                      <a:off x="0" y="0"/>
                      <a:ext cx="1165860" cy="39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Robert Lane</w:t>
      </w:r>
    </w:p>
    <w:p>
      <w:pPr>
        <w:sectPr>
          <w:pgSz w:w="11900" w:h="16838" w:orient="portrait"/>
          <w:cols w:equalWidth="0" w:num="1">
            <w:col w:w="9019"/>
          </w:cols>
          <w:pgMar w:left="1440" w:top="240" w:right="1440"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130175</wp:posOffset>
            </wp:positionV>
            <wp:extent cx="286385" cy="3124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6">
                      <a:extLst>
                        <a:ext uri="{28A0092B-C50C-407E-A947-70E740481C1C}"/>
                      </a:extLst>
                    </a:blip>
                    <a:srcRect/>
                    <a:stretch>
                      <a:fillRect/>
                    </a:stretch>
                  </pic:blipFill>
                  <pic:spPr bwMode="auto">
                    <a:xfrm>
                      <a:off x="0" y="0"/>
                      <a:ext cx="286385" cy="312420"/>
                    </a:xfrm>
                    <a:prstGeom prst="rect">
                      <a:avLst/>
                    </a:prstGeom>
                    <a:noFill/>
                  </pic:spPr>
                </pic:pic>
              </a:graphicData>
            </a:graphic>
          </wp:anchor>
        </w:drawing>
      </w:r>
    </w:p>
    <w:p>
      <w:pPr>
        <w:spacing w:after="0" w:line="28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Office of the 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10160</wp:posOffset>
            </wp:positionV>
            <wp:extent cx="4937760"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7">
                      <a:extLst>
                        <a:ext uri="{28A0092B-C50C-407E-A947-70E740481C1C}"/>
                      </a:extLst>
                    </a:blip>
                    <a:srcRect/>
                    <a:stretch>
                      <a:fillRect/>
                    </a:stretch>
                  </pic:blipFill>
                  <pic:spPr bwMode="auto">
                    <a:xfrm>
                      <a:off x="0" y="0"/>
                      <a:ext cx="4937760" cy="6350"/>
                    </a:xfrm>
                    <a:prstGeom prst="rect">
                      <a:avLst/>
                    </a:prstGeom>
                    <a:noFill/>
                  </pic:spPr>
                </pic:pic>
              </a:graphicData>
            </a:graphic>
          </wp:anchor>
        </w:drawing>
      </w:r>
    </w:p>
    <w:p>
      <w:pPr>
        <w:spacing w:after="0" w:line="4" w:lineRule="exact"/>
        <w:rPr>
          <w:sz w:val="20"/>
          <w:szCs w:val="20"/>
          <w:color w:val="auto"/>
        </w:rPr>
      </w:pPr>
    </w:p>
    <w:p>
      <w:pPr>
        <w:jc w:val="right"/>
        <w:ind w:right="339"/>
        <w:spacing w:after="0"/>
        <w:rPr>
          <w:sz w:val="20"/>
          <w:szCs w:val="20"/>
          <w:color w:val="auto"/>
        </w:rPr>
      </w:pPr>
      <w:r>
        <w:rPr>
          <w:rFonts w:ascii="Times New Roman" w:cs="Times New Roman" w:eastAsia="Times New Roman" w:hAnsi="Times New Roman"/>
          <w:sz w:val="14"/>
          <w:szCs w:val="14"/>
          <w:color w:val="auto"/>
        </w:rPr>
        <w:t>Washington, DC 20219</w:t>
      </w:r>
    </w:p>
    <w:p>
      <w:pPr>
        <w:spacing w:after="0" w:line="23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CERTIFICATE OF CORPORATE EXISTENCE AND FIDUCIARY POWERS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 Jonathan Gould, Comptroller of the Currency, do hereby certify that:</w:t>
      </w:r>
    </w:p>
    <w:p>
      <w:pPr>
        <w:spacing w:after="0" w:line="85" w:lineRule="exact"/>
        <w:rPr>
          <w:sz w:val="20"/>
          <w:szCs w:val="20"/>
          <w:color w:val="auto"/>
        </w:rPr>
      </w:pPr>
    </w:p>
    <w:p>
      <w:pPr>
        <w:ind w:left="320" w:right="499" w:hanging="1"/>
        <w:spacing w:after="0" w:line="266" w:lineRule="auto"/>
        <w:tabs>
          <w:tab w:leader="none" w:pos="457"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Comptroller of the Currency, pursuant to Revised Statutes 324, et seq, as amended, and 12 USC 1, et seq, as amended, has possession, custody, and control of all records pertaining to the chartering, regulation, and supervision of all national banking associations.</w:t>
      </w:r>
    </w:p>
    <w:p>
      <w:pPr>
        <w:spacing w:after="0" w:line="135" w:lineRule="exact"/>
        <w:rPr>
          <w:rFonts w:ascii="Times New Roman" w:cs="Times New Roman" w:eastAsia="Times New Roman" w:hAnsi="Times New Roman"/>
          <w:sz w:val="14"/>
          <w:szCs w:val="14"/>
          <w:color w:val="auto"/>
        </w:rPr>
      </w:pPr>
    </w:p>
    <w:p>
      <w:pPr>
        <w:ind w:left="320" w:right="379" w:hanging="1"/>
        <w:spacing w:after="0" w:line="305" w:lineRule="auto"/>
        <w:tabs>
          <w:tab w:leader="none" w:pos="457"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 Bank Trust Company, National Association,” Portland, Oregon (Charter No. 23412), is a national banking association formed under the laws of the United States and is authorized there under to transact the business of banking and exercise fiduciary powers on the date of this certificate.</w:t>
      </w:r>
    </w:p>
    <w:p>
      <w:pPr>
        <w:spacing w:after="0" w:line="112" w:lineRule="exact"/>
        <w:rPr>
          <w:sz w:val="20"/>
          <w:szCs w:val="20"/>
          <w:color w:val="auto"/>
        </w:rPr>
      </w:pPr>
    </w:p>
    <w:p>
      <w:pPr>
        <w:ind w:left="320" w:right="759"/>
        <w:spacing w:after="0" w:line="266" w:lineRule="auto"/>
        <w:rPr>
          <w:sz w:val="20"/>
          <w:szCs w:val="20"/>
          <w:color w:val="auto"/>
        </w:rPr>
      </w:pPr>
      <w:r>
        <w:rPr>
          <w:rFonts w:ascii="Times New Roman" w:cs="Times New Roman" w:eastAsia="Times New Roman" w:hAnsi="Times New Roman"/>
          <w:sz w:val="14"/>
          <w:szCs w:val="14"/>
          <w:color w:val="auto"/>
        </w:rPr>
        <w:t>IN TESTIMONY WHEREOF, today, December 1, 2025, I have hereunto subscribed my name and caused my seal of office to be affixed to these presents at the U.S. Department of the Treasury, in the City of Washington,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517525</wp:posOffset>
            </wp:positionV>
            <wp:extent cx="1589405"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8">
                      <a:extLst>
                        <a:ext uri="{28A0092B-C50C-407E-A947-70E740481C1C}"/>
                      </a:extLst>
                    </a:blip>
                    <a:srcRect/>
                    <a:stretch>
                      <a:fillRect/>
                    </a:stretch>
                  </pic:blipFill>
                  <pic:spPr bwMode="auto">
                    <a:xfrm>
                      <a:off x="0" y="0"/>
                      <a:ext cx="1589405" cy="6350"/>
                    </a:xfrm>
                    <a:prstGeom prst="rect">
                      <a:avLst/>
                    </a:prstGeom>
                    <a:noFill/>
                  </pic:spPr>
                </pic:pic>
              </a:graphicData>
            </a:graphic>
          </wp:anchor>
        </w:drawing>
        <w:drawing>
          <wp:anchor simplePos="0" relativeHeight="251657728" behindDoc="1" locked="0" layoutInCell="0" allowOverlap="1">
            <wp:simplePos x="0" y="0"/>
            <wp:positionH relativeFrom="column">
              <wp:posOffset>2247900</wp:posOffset>
            </wp:positionH>
            <wp:positionV relativeFrom="paragraph">
              <wp:posOffset>107315</wp:posOffset>
            </wp:positionV>
            <wp:extent cx="1231265" cy="3060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9">
                      <a:extLst>
                        <a:ext uri="{28A0092B-C50C-407E-A947-70E740481C1C}"/>
                      </a:extLst>
                    </a:blip>
                    <a:srcRect/>
                    <a:stretch>
                      <a:fillRect/>
                    </a:stretch>
                  </pic:blipFill>
                  <pic:spPr bwMode="auto">
                    <a:xfrm>
                      <a:off x="0" y="0"/>
                      <a:ext cx="1231265" cy="30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127635</wp:posOffset>
            </wp:positionV>
            <wp:extent cx="1198245" cy="12636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0">
                      <a:extLst>
                        <a:ext uri="{28A0092B-C50C-407E-A947-70E740481C1C}"/>
                      </a:extLst>
                    </a:blip>
                    <a:srcRect/>
                    <a:stretch>
                      <a:fillRect/>
                    </a:stretch>
                  </pic:blipFill>
                  <pic:spPr bwMode="auto">
                    <a:xfrm>
                      <a:off x="0" y="0"/>
                      <a:ext cx="1198245" cy="1263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2026-00320-C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153670</wp:posOffset>
            </wp:positionV>
            <wp:extent cx="5315585"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1">
                      <a:extLst>
                        <a:ext uri="{28A0092B-C50C-407E-A947-70E740481C1C}"/>
                      </a:extLst>
                    </a:blip>
                    <a:srcRect/>
                    <a:stretch>
                      <a:fillRect/>
                    </a:stretch>
                  </pic:blipFill>
                  <pic:spPr bwMode="auto">
                    <a:xfrm>
                      <a:off x="0" y="0"/>
                      <a:ext cx="5315585" cy="6350"/>
                    </a:xfrm>
                    <a:prstGeom prst="rect">
                      <a:avLst/>
                    </a:prstGeom>
                    <a:noFill/>
                  </pic:spPr>
                </pic:pic>
              </a:graphicData>
            </a:graphic>
          </wp:anchor>
        </w:drawing>
      </w:r>
    </w:p>
    <w:p>
      <w:pPr>
        <w:sectPr>
          <w:pgSz w:w="11900" w:h="16838" w:orient="portrait"/>
          <w:cols w:equalWidth="0" w:num="1">
            <w:col w:w="9019"/>
          </w:cols>
          <w:pgMar w:left="1440" w:top="236" w:right="1440"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Exhibit 4</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 BANK TRUST COMPANY, NATIONAL ASSOCIATION</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AMENDED AND RESTATED BYLAWS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ARTICLE I</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Meetings of Shareholders</w:t>
      </w:r>
    </w:p>
    <w:p>
      <w:pPr>
        <w:spacing w:after="0" w:line="156" w:lineRule="exact"/>
        <w:rPr>
          <w:sz w:val="20"/>
          <w:szCs w:val="20"/>
          <w:color w:val="auto"/>
        </w:rPr>
      </w:pPr>
    </w:p>
    <w:p>
      <w:pPr>
        <w:ind w:left="320" w:right="339"/>
        <w:spacing w:after="0" w:line="248" w:lineRule="auto"/>
        <w:rPr>
          <w:sz w:val="20"/>
          <w:szCs w:val="20"/>
          <w:color w:val="auto"/>
        </w:rPr>
      </w:pPr>
      <w:r>
        <w:rPr>
          <w:rFonts w:ascii="Times New Roman" w:cs="Times New Roman" w:eastAsia="Times New Roman" w:hAnsi="Times New Roman"/>
          <w:sz w:val="14"/>
          <w:szCs w:val="14"/>
          <w:color w:val="auto"/>
        </w:rPr>
        <w:t xml:space="preserve">Section 1.1. </w:t>
      </w:r>
      <w:r>
        <w:rPr>
          <w:rFonts w:ascii="Times New Roman" w:cs="Times New Roman" w:eastAsia="Times New Roman" w:hAnsi="Times New Roman"/>
          <w:sz w:val="14"/>
          <w:szCs w:val="14"/>
          <w:u w:val="single" w:color="auto"/>
          <w:color w:val="auto"/>
        </w:rPr>
        <w:t>Annual Meeting</w:t>
      </w:r>
      <w:r>
        <w:rPr>
          <w:rFonts w:ascii="Times New Roman" w:cs="Times New Roman" w:eastAsia="Times New Roman" w:hAnsi="Times New Roman"/>
          <w:sz w:val="14"/>
          <w:szCs w:val="14"/>
          <w:color w:val="auto"/>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spacing w:after="0" w:line="149" w:lineRule="exact"/>
        <w:rPr>
          <w:sz w:val="20"/>
          <w:szCs w:val="20"/>
          <w:color w:val="auto"/>
        </w:rPr>
      </w:pPr>
    </w:p>
    <w:p>
      <w:pPr>
        <w:jc w:val="both"/>
        <w:ind w:left="320" w:right="339"/>
        <w:spacing w:after="0" w:line="255" w:lineRule="auto"/>
        <w:rPr>
          <w:sz w:val="20"/>
          <w:szCs w:val="20"/>
          <w:color w:val="auto"/>
        </w:rPr>
      </w:pPr>
      <w:r>
        <w:rPr>
          <w:rFonts w:ascii="Times New Roman" w:cs="Times New Roman" w:eastAsia="Times New Roman" w:hAnsi="Times New Roman"/>
          <w:sz w:val="14"/>
          <w:szCs w:val="14"/>
          <w:color w:val="auto"/>
        </w:rPr>
        <w:t xml:space="preserve">Section 1.2. </w:t>
      </w:r>
      <w:r>
        <w:rPr>
          <w:rFonts w:ascii="Times New Roman" w:cs="Times New Roman" w:eastAsia="Times New Roman" w:hAnsi="Times New Roman"/>
          <w:sz w:val="14"/>
          <w:szCs w:val="14"/>
          <w:u w:val="single" w:color="auto"/>
          <w:color w:val="auto"/>
        </w:rPr>
        <w:t>Special Meetings</w:t>
      </w:r>
      <w:r>
        <w:rPr>
          <w:rFonts w:ascii="Times New Roman" w:cs="Times New Roman" w:eastAsia="Times New Roman" w:hAnsi="Times New Roman"/>
          <w:sz w:val="14"/>
          <w:szCs w:val="14"/>
          <w:color w:val="auto"/>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w:t>
      </w:r>
    </w:p>
    <w:p>
      <w:pPr>
        <w:spacing w:after="0" w:line="143" w:lineRule="exact"/>
        <w:rPr>
          <w:sz w:val="20"/>
          <w:szCs w:val="20"/>
          <w:color w:val="auto"/>
        </w:rPr>
      </w:pPr>
    </w:p>
    <w:p>
      <w:pPr>
        <w:ind w:left="320" w:right="379"/>
        <w:spacing w:after="0" w:line="266" w:lineRule="auto"/>
        <w:rPr>
          <w:sz w:val="20"/>
          <w:szCs w:val="20"/>
          <w:color w:val="auto"/>
        </w:rPr>
      </w:pPr>
      <w:r>
        <w:rPr>
          <w:rFonts w:ascii="Times New Roman" w:cs="Times New Roman" w:eastAsia="Times New Roman" w:hAnsi="Times New Roman"/>
          <w:sz w:val="14"/>
          <w:szCs w:val="14"/>
          <w:color w:val="auto"/>
        </w:rPr>
        <w:t>Every such special meeting, unless otherwise provided by law, shall be called upon not less than ten (10) days nor more than sixty (60) days prior notice stating the purpose of the meeting.</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Section 1.3. </w:t>
      </w:r>
      <w:r>
        <w:rPr>
          <w:rFonts w:ascii="Times New Roman" w:cs="Times New Roman" w:eastAsia="Times New Roman" w:hAnsi="Times New Roman"/>
          <w:sz w:val="14"/>
          <w:szCs w:val="14"/>
          <w:u w:val="single" w:color="auto"/>
          <w:color w:val="auto"/>
        </w:rPr>
        <w:t>Nominations for Directors</w:t>
      </w:r>
      <w:r>
        <w:rPr>
          <w:rFonts w:ascii="Times New Roman" w:cs="Times New Roman" w:eastAsia="Times New Roman" w:hAnsi="Times New Roman"/>
          <w:sz w:val="14"/>
          <w:szCs w:val="14"/>
          <w:color w:val="auto"/>
        </w:rPr>
        <w:t>. Nominations for election to the Board may be made by the Board or by any shareholder.</w:t>
      </w:r>
    </w:p>
    <w:p>
      <w:pPr>
        <w:spacing w:after="0" w:line="167" w:lineRule="exact"/>
        <w:rPr>
          <w:sz w:val="20"/>
          <w:szCs w:val="20"/>
          <w:color w:val="auto"/>
        </w:rPr>
      </w:pPr>
    </w:p>
    <w:p>
      <w:pPr>
        <w:ind w:left="320" w:right="359"/>
        <w:spacing w:after="0" w:line="266" w:lineRule="auto"/>
        <w:rPr>
          <w:sz w:val="20"/>
          <w:szCs w:val="20"/>
          <w:color w:val="auto"/>
        </w:rPr>
      </w:pPr>
      <w:r>
        <w:rPr>
          <w:rFonts w:ascii="Times New Roman" w:cs="Times New Roman" w:eastAsia="Times New Roman" w:hAnsi="Times New Roman"/>
          <w:sz w:val="14"/>
          <w:szCs w:val="14"/>
          <w:color w:val="auto"/>
        </w:rPr>
        <w:t xml:space="preserve">Section 1.4. </w:t>
      </w:r>
      <w:r>
        <w:rPr>
          <w:rFonts w:ascii="Times New Roman" w:cs="Times New Roman" w:eastAsia="Times New Roman" w:hAnsi="Times New Roman"/>
          <w:sz w:val="14"/>
          <w:szCs w:val="14"/>
          <w:u w:val="single" w:color="auto"/>
          <w:color w:val="auto"/>
        </w:rPr>
        <w:t>Proxies</w:t>
      </w:r>
      <w:r>
        <w:rPr>
          <w:rFonts w:ascii="Times New Roman" w:cs="Times New Roman" w:eastAsia="Times New Roman" w:hAnsi="Times New Roman"/>
          <w:sz w:val="14"/>
          <w:szCs w:val="14"/>
          <w:color w:val="auto"/>
        </w:rPr>
        <w:t>. Shareholders may vote at any meeting of the shareholders by proxies duly authorized in writing. Proxies shall be valid only for one meeting and any adjournments of such meeting and shall be filed with the records of the meeting.</w:t>
      </w:r>
    </w:p>
    <w:p>
      <w:pPr>
        <w:spacing w:after="0" w:line="136" w:lineRule="exact"/>
        <w:rPr>
          <w:sz w:val="20"/>
          <w:szCs w:val="20"/>
          <w:color w:val="auto"/>
        </w:rPr>
      </w:pPr>
    </w:p>
    <w:p>
      <w:pPr>
        <w:ind w:left="320" w:right="339"/>
        <w:spacing w:after="0" w:line="266" w:lineRule="auto"/>
        <w:rPr>
          <w:sz w:val="20"/>
          <w:szCs w:val="20"/>
          <w:color w:val="auto"/>
        </w:rPr>
      </w:pPr>
      <w:r>
        <w:rPr>
          <w:rFonts w:ascii="Times New Roman" w:cs="Times New Roman" w:eastAsia="Times New Roman" w:hAnsi="Times New Roman"/>
          <w:sz w:val="14"/>
          <w:szCs w:val="14"/>
          <w:color w:val="auto"/>
        </w:rPr>
        <w:t xml:space="preserve">Section 1.5. </w:t>
      </w:r>
      <w:r>
        <w:rPr>
          <w:rFonts w:ascii="Times New Roman" w:cs="Times New Roman" w:eastAsia="Times New Roman" w:hAnsi="Times New Roman"/>
          <w:sz w:val="14"/>
          <w:szCs w:val="14"/>
          <w:u w:val="single" w:color="auto"/>
          <w:color w:val="auto"/>
        </w:rPr>
        <w:t>Record Date</w:t>
      </w:r>
      <w:r>
        <w:rPr>
          <w:rFonts w:ascii="Times New Roman" w:cs="Times New Roman" w:eastAsia="Times New Roman" w:hAnsi="Times New Roman"/>
          <w:sz w:val="14"/>
          <w:szCs w:val="14"/>
          <w:color w:val="auto"/>
        </w:rPr>
        <w:t>. The record date for determining shareholders entitled to notice and to vote at any meeting will be thirty days before the date of such meeting, unless otherwise determined by the Board.</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Section 1.6. </w:t>
      </w:r>
      <w:r>
        <w:rPr>
          <w:rFonts w:ascii="Times New Roman" w:cs="Times New Roman" w:eastAsia="Times New Roman" w:hAnsi="Times New Roman"/>
          <w:sz w:val="14"/>
          <w:szCs w:val="14"/>
          <w:u w:val="single" w:color="auto"/>
          <w:color w:val="auto"/>
        </w:rPr>
        <w:t>Quorum and Voting</w:t>
      </w:r>
      <w:r>
        <w:rPr>
          <w:rFonts w:ascii="Times New Roman" w:cs="Times New Roman" w:eastAsia="Times New Roman" w:hAnsi="Times New Roman"/>
          <w:sz w:val="14"/>
          <w:szCs w:val="14"/>
          <w:color w:val="auto"/>
        </w:rPr>
        <w:t>. A majority of the outstanding capital stock, represented in person or by proxy, shall constitute a quorum at any</w:t>
      </w:r>
    </w:p>
    <w:p>
      <w:pPr>
        <w:sectPr>
          <w:pgSz w:w="11900" w:h="16838" w:orient="portrait"/>
          <w:cols w:equalWidth="0" w:num="1">
            <w:col w:w="9019"/>
          </w:cols>
          <w:pgMar w:left="1440" w:top="236" w:right="1440" w:bottom="1440" w:gutter="0" w:footer="0" w:header="0"/>
        </w:sectPr>
      </w:pPr>
    </w:p>
    <w:bookmarkStart w:id="116" w:name="page117"/>
    <w:bookmarkEnd w:id="116"/>
    <w:p>
      <w:pPr>
        <w:jc w:val="both"/>
        <w:ind w:left="320" w:right="35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3">
                      <a:extLst>
                        <a:ext uri="{28A0092B-C50C-407E-A947-70E740481C1C}"/>
                      </a:extLst>
                    </a:blip>
                    <a:srcRect/>
                    <a:stretch>
                      <a:fillRect/>
                    </a:stretch>
                  </pic:blipFill>
                  <pic:spPr bwMode="auto">
                    <a:xfrm>
                      <a:off x="0" y="0"/>
                      <a:ext cx="7203440" cy="32385"/>
                    </a:xfrm>
                    <a:prstGeom prst="rect">
                      <a:avLst/>
                    </a:prstGeom>
                    <a:noFill/>
                  </pic:spPr>
                </pic:pic>
              </a:graphicData>
            </a:graphic>
          </wp:anchor>
        </w:drawing>
        <w:t>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spacing w:after="0" w:line="143" w:lineRule="exact"/>
        <w:rPr>
          <w:sz w:val="20"/>
          <w:szCs w:val="20"/>
          <w:color w:val="auto"/>
        </w:rPr>
      </w:pPr>
    </w:p>
    <w:p>
      <w:pPr>
        <w:jc w:val="both"/>
        <w:ind w:left="320" w:right="399"/>
        <w:spacing w:after="0" w:line="255" w:lineRule="auto"/>
        <w:rPr>
          <w:sz w:val="20"/>
          <w:szCs w:val="20"/>
          <w:color w:val="auto"/>
        </w:rPr>
      </w:pPr>
      <w:r>
        <w:rPr>
          <w:rFonts w:ascii="Times New Roman" w:cs="Times New Roman" w:eastAsia="Times New Roman" w:hAnsi="Times New Roman"/>
          <w:sz w:val="14"/>
          <w:szCs w:val="14"/>
          <w:color w:val="auto"/>
        </w:rPr>
        <w:t xml:space="preserve">Section 1.7. </w:t>
      </w:r>
      <w:r>
        <w:rPr>
          <w:rFonts w:ascii="Times New Roman" w:cs="Times New Roman" w:eastAsia="Times New Roman" w:hAnsi="Times New Roman"/>
          <w:sz w:val="14"/>
          <w:szCs w:val="14"/>
          <w:u w:val="single" w:color="auto"/>
          <w:color w:val="auto"/>
        </w:rPr>
        <w:t>Inspectors</w:t>
      </w:r>
      <w:r>
        <w:rPr>
          <w:rFonts w:ascii="Times New Roman" w:cs="Times New Roman" w:eastAsia="Times New Roman" w:hAnsi="Times New Roman"/>
          <w:sz w:val="14"/>
          <w:szCs w:val="14"/>
          <w:color w:val="auto"/>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Section 1.8. </w:t>
      </w:r>
      <w:r>
        <w:rPr>
          <w:rFonts w:ascii="Times New Roman" w:cs="Times New Roman" w:eastAsia="Times New Roman" w:hAnsi="Times New Roman"/>
          <w:sz w:val="14"/>
          <w:szCs w:val="14"/>
          <w:u w:val="single" w:color="auto"/>
          <w:color w:val="auto"/>
        </w:rPr>
        <w:t>Waiver and Consent</w:t>
      </w:r>
      <w:r>
        <w:rPr>
          <w:rFonts w:ascii="Times New Roman" w:cs="Times New Roman" w:eastAsia="Times New Roman" w:hAnsi="Times New Roman"/>
          <w:sz w:val="14"/>
          <w:szCs w:val="14"/>
          <w:color w:val="auto"/>
        </w:rPr>
        <w:t>. The shareholders may act without notice or a meeting by a unanimous written consent by all shareholders.</w:t>
      </w:r>
    </w:p>
    <w:p>
      <w:pPr>
        <w:spacing w:after="0" w:line="167" w:lineRule="exact"/>
        <w:rPr>
          <w:sz w:val="20"/>
          <w:szCs w:val="20"/>
          <w:color w:val="auto"/>
        </w:rPr>
      </w:pPr>
    </w:p>
    <w:p>
      <w:pPr>
        <w:ind w:left="320" w:right="479"/>
        <w:spacing w:after="0" w:line="266" w:lineRule="auto"/>
        <w:rPr>
          <w:sz w:val="20"/>
          <w:szCs w:val="20"/>
          <w:color w:val="auto"/>
        </w:rPr>
      </w:pPr>
      <w:r>
        <w:rPr>
          <w:rFonts w:ascii="Times New Roman" w:cs="Times New Roman" w:eastAsia="Times New Roman" w:hAnsi="Times New Roman"/>
          <w:sz w:val="14"/>
          <w:szCs w:val="14"/>
          <w:color w:val="auto"/>
        </w:rPr>
        <w:t xml:space="preserve">Section 1.9. </w:t>
      </w:r>
      <w:r>
        <w:rPr>
          <w:rFonts w:ascii="Times New Roman" w:cs="Times New Roman" w:eastAsia="Times New Roman" w:hAnsi="Times New Roman"/>
          <w:sz w:val="14"/>
          <w:szCs w:val="14"/>
          <w:u w:val="single" w:color="auto"/>
          <w:color w:val="auto"/>
        </w:rPr>
        <w:t>Remote Meetings</w:t>
      </w:r>
      <w:r>
        <w:rPr>
          <w:rFonts w:ascii="Times New Roman" w:cs="Times New Roman" w:eastAsia="Times New Roman" w:hAnsi="Times New Roman"/>
          <w:sz w:val="14"/>
          <w:szCs w:val="14"/>
          <w:color w:val="auto"/>
        </w:rPr>
        <w:t>. The Board shall have the right to determine that a shareholder meeting not be held at a place, but instead be held solely by means of remote communication in the manner and to the extent permitted by the General Corporation Law of the State of Delaware.</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ARTICLE II</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Directors</w:t>
      </w:r>
    </w:p>
    <w:p>
      <w:pPr>
        <w:spacing w:after="0" w:line="156" w:lineRule="exact"/>
        <w:rPr>
          <w:sz w:val="20"/>
          <w:szCs w:val="20"/>
          <w:color w:val="auto"/>
        </w:rPr>
      </w:pPr>
    </w:p>
    <w:p>
      <w:pPr>
        <w:ind w:left="320" w:right="799"/>
        <w:spacing w:after="0" w:line="266" w:lineRule="auto"/>
        <w:rPr>
          <w:sz w:val="20"/>
          <w:szCs w:val="20"/>
          <w:color w:val="auto"/>
        </w:rPr>
      </w:pPr>
      <w:r>
        <w:rPr>
          <w:rFonts w:ascii="Times New Roman" w:cs="Times New Roman" w:eastAsia="Times New Roman" w:hAnsi="Times New Roman"/>
          <w:sz w:val="14"/>
          <w:szCs w:val="14"/>
          <w:color w:val="auto"/>
        </w:rPr>
        <w:t xml:space="preserve">Section 2.1. </w:t>
      </w:r>
      <w:r>
        <w:rPr>
          <w:rFonts w:ascii="Times New Roman" w:cs="Times New Roman" w:eastAsia="Times New Roman" w:hAnsi="Times New Roman"/>
          <w:sz w:val="14"/>
          <w:szCs w:val="14"/>
          <w:u w:val="single" w:color="auto"/>
          <w:color w:val="auto"/>
        </w:rPr>
        <w:t>Board of Directors</w:t>
      </w:r>
      <w:r>
        <w:rPr>
          <w:rFonts w:ascii="Times New Roman" w:cs="Times New Roman" w:eastAsia="Times New Roman" w:hAnsi="Times New Roman"/>
          <w:sz w:val="14"/>
          <w:szCs w:val="14"/>
          <w:color w:val="auto"/>
        </w:rPr>
        <w:t>. The Board shall have the power to manage and administer the business and affairs of the Association. Except as expressly limited by law, all corporate powers of the Association shall be vested in and may be exercised by the Board.</w:t>
      </w:r>
    </w:p>
    <w:p>
      <w:pPr>
        <w:spacing w:after="0" w:line="136" w:lineRule="exact"/>
        <w:rPr>
          <w:sz w:val="20"/>
          <w:szCs w:val="20"/>
          <w:color w:val="auto"/>
        </w:rPr>
      </w:pPr>
    </w:p>
    <w:p>
      <w:pPr>
        <w:ind w:left="320" w:right="479"/>
        <w:spacing w:after="0" w:line="266" w:lineRule="auto"/>
        <w:rPr>
          <w:sz w:val="20"/>
          <w:szCs w:val="20"/>
          <w:color w:val="auto"/>
        </w:rPr>
      </w:pPr>
      <w:r>
        <w:rPr>
          <w:rFonts w:ascii="Times New Roman" w:cs="Times New Roman" w:eastAsia="Times New Roman" w:hAnsi="Times New Roman"/>
          <w:sz w:val="14"/>
          <w:szCs w:val="14"/>
          <w:color w:val="auto"/>
        </w:rPr>
        <w:t xml:space="preserve">Section 2.2. </w:t>
      </w:r>
      <w:r>
        <w:rPr>
          <w:rFonts w:ascii="Times New Roman" w:cs="Times New Roman" w:eastAsia="Times New Roman" w:hAnsi="Times New Roman"/>
          <w:sz w:val="14"/>
          <w:szCs w:val="14"/>
          <w:u w:val="single" w:color="auto"/>
          <w:color w:val="auto"/>
        </w:rPr>
        <w:t>Term of Office</w:t>
      </w:r>
      <w:r>
        <w:rPr>
          <w:rFonts w:ascii="Times New Roman" w:cs="Times New Roman" w:eastAsia="Times New Roman" w:hAnsi="Times New Roman"/>
          <w:sz w:val="14"/>
          <w:szCs w:val="14"/>
          <w:color w:val="auto"/>
        </w:rPr>
        <w:t>. The directors of this Association shall hold office for one year and until their successors are duly elected and qualified, or until their earlier resignation or removal.</w:t>
      </w:r>
    </w:p>
    <w:p>
      <w:pPr>
        <w:spacing w:after="0" w:line="136" w:lineRule="exact"/>
        <w:rPr>
          <w:sz w:val="20"/>
          <w:szCs w:val="20"/>
          <w:color w:val="auto"/>
        </w:rPr>
      </w:pPr>
    </w:p>
    <w:p>
      <w:pPr>
        <w:ind w:left="320" w:right="379"/>
        <w:spacing w:after="0" w:line="266" w:lineRule="auto"/>
        <w:rPr>
          <w:sz w:val="20"/>
          <w:szCs w:val="20"/>
          <w:color w:val="auto"/>
        </w:rPr>
      </w:pPr>
      <w:r>
        <w:rPr>
          <w:rFonts w:ascii="Times New Roman" w:cs="Times New Roman" w:eastAsia="Times New Roman" w:hAnsi="Times New Roman"/>
          <w:sz w:val="14"/>
          <w:szCs w:val="14"/>
          <w:color w:val="auto"/>
        </w:rPr>
        <w:t xml:space="preserve">Section 2.3. </w:t>
      </w:r>
      <w:r>
        <w:rPr>
          <w:rFonts w:ascii="Times New Roman" w:cs="Times New Roman" w:eastAsia="Times New Roman" w:hAnsi="Times New Roman"/>
          <w:sz w:val="14"/>
          <w:szCs w:val="14"/>
          <w:u w:val="single" w:color="auto"/>
          <w:color w:val="auto"/>
        </w:rPr>
        <w:t>Powers</w:t>
      </w:r>
      <w:r>
        <w:rPr>
          <w:rFonts w:ascii="Times New Roman" w:cs="Times New Roman" w:eastAsia="Times New Roman" w:hAnsi="Times New Roman"/>
          <w:sz w:val="14"/>
          <w:szCs w:val="14"/>
          <w:color w:val="auto"/>
        </w:rPr>
        <w:t>. In addition to the foregoing, the Board shall have and may exercise all of the powers granted to or conferred upon it by the Articles of Association, the Bylaws and by law.</w:t>
      </w:r>
    </w:p>
    <w:p>
      <w:pPr>
        <w:spacing w:after="0" w:line="136" w:lineRule="exact"/>
        <w:rPr>
          <w:sz w:val="20"/>
          <w:szCs w:val="20"/>
          <w:color w:val="auto"/>
        </w:rPr>
      </w:pPr>
    </w:p>
    <w:p>
      <w:pPr>
        <w:ind w:left="320" w:right="379"/>
        <w:spacing w:after="0" w:line="252" w:lineRule="auto"/>
        <w:rPr>
          <w:sz w:val="20"/>
          <w:szCs w:val="20"/>
          <w:color w:val="auto"/>
        </w:rPr>
      </w:pPr>
      <w:r>
        <w:rPr>
          <w:rFonts w:ascii="Times New Roman" w:cs="Times New Roman" w:eastAsia="Times New Roman" w:hAnsi="Times New Roman"/>
          <w:sz w:val="14"/>
          <w:szCs w:val="14"/>
          <w:color w:val="auto"/>
        </w:rPr>
        <w:t xml:space="preserve">Section 2.4. </w:t>
      </w:r>
      <w:r>
        <w:rPr>
          <w:rFonts w:ascii="Times New Roman" w:cs="Times New Roman" w:eastAsia="Times New Roman" w:hAnsi="Times New Roman"/>
          <w:sz w:val="14"/>
          <w:szCs w:val="14"/>
          <w:u w:val="single" w:color="auto"/>
          <w:color w:val="auto"/>
        </w:rPr>
        <w:t>Number</w:t>
      </w:r>
      <w:r>
        <w:rPr>
          <w:rFonts w:ascii="Times New Roman" w:cs="Times New Roman" w:eastAsia="Times New Roman" w:hAnsi="Times New Roman"/>
          <w:sz w:val="14"/>
          <w:szCs w:val="14"/>
          <w:color w:val="auto"/>
        </w:rPr>
        <w:t>. As provided in the Articles of Association, the Board of this Association shall consist of no less than five nor more than twenty-five members, unless the OCC has exempted the Association from the twenty-five-member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9" w:right="1440" w:bottom="1440" w:gutter="0" w:footer="0" w:header="0"/>
        </w:sectPr>
      </w:pPr>
    </w:p>
    <w:bookmarkStart w:id="117" w:name="page118"/>
    <w:bookmarkEnd w:id="117"/>
    <w:p>
      <w:pPr>
        <w:ind w:left="320" w:right="379"/>
        <w:spacing w:after="0" w:line="24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spacing w:after="0" w:line="147" w:lineRule="exact"/>
        <w:rPr>
          <w:sz w:val="20"/>
          <w:szCs w:val="20"/>
          <w:color w:val="auto"/>
        </w:rPr>
      </w:pPr>
    </w:p>
    <w:p>
      <w:pPr>
        <w:jc w:val="both"/>
        <w:ind w:left="320" w:right="399"/>
        <w:spacing w:after="0" w:line="252" w:lineRule="auto"/>
        <w:rPr>
          <w:sz w:val="20"/>
          <w:szCs w:val="20"/>
          <w:color w:val="auto"/>
        </w:rPr>
      </w:pPr>
      <w:r>
        <w:rPr>
          <w:rFonts w:ascii="Times New Roman" w:cs="Times New Roman" w:eastAsia="Times New Roman" w:hAnsi="Times New Roman"/>
          <w:sz w:val="14"/>
          <w:szCs w:val="14"/>
          <w:color w:val="auto"/>
        </w:rPr>
        <w:t xml:space="preserve">Section 2.5. </w:t>
      </w:r>
      <w:r>
        <w:rPr>
          <w:rFonts w:ascii="Times New Roman" w:cs="Times New Roman" w:eastAsia="Times New Roman" w:hAnsi="Times New Roman"/>
          <w:sz w:val="14"/>
          <w:szCs w:val="14"/>
          <w:u w:val="single" w:color="auto"/>
          <w:color w:val="auto"/>
        </w:rPr>
        <w:t>Organization Meeting</w:t>
      </w:r>
      <w:r>
        <w:rPr>
          <w:rFonts w:ascii="Times New Roman" w:cs="Times New Roman" w:eastAsia="Times New Roman" w:hAnsi="Times New Roman"/>
          <w:sz w:val="14"/>
          <w:szCs w:val="14"/>
          <w:color w:val="auto"/>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spacing w:after="0" w:line="145" w:lineRule="exact"/>
        <w:rPr>
          <w:sz w:val="20"/>
          <w:szCs w:val="20"/>
          <w:color w:val="auto"/>
        </w:rPr>
      </w:pPr>
    </w:p>
    <w:p>
      <w:pPr>
        <w:ind w:left="320" w:right="479"/>
        <w:spacing w:after="0" w:line="266" w:lineRule="auto"/>
        <w:rPr>
          <w:sz w:val="20"/>
          <w:szCs w:val="20"/>
          <w:color w:val="auto"/>
        </w:rPr>
      </w:pPr>
      <w:r>
        <w:rPr>
          <w:rFonts w:ascii="Times New Roman" w:cs="Times New Roman" w:eastAsia="Times New Roman" w:hAnsi="Times New Roman"/>
          <w:sz w:val="14"/>
          <w:szCs w:val="14"/>
          <w:color w:val="auto"/>
        </w:rPr>
        <w:t xml:space="preserve">Section 2.6. </w:t>
      </w:r>
      <w:r>
        <w:rPr>
          <w:rFonts w:ascii="Times New Roman" w:cs="Times New Roman" w:eastAsia="Times New Roman" w:hAnsi="Times New Roman"/>
          <w:sz w:val="14"/>
          <w:szCs w:val="14"/>
          <w:u w:val="single" w:color="auto"/>
          <w:color w:val="auto"/>
        </w:rPr>
        <w:t>Regular Meetings</w:t>
      </w:r>
      <w:r>
        <w:rPr>
          <w:rFonts w:ascii="Times New Roman" w:cs="Times New Roman" w:eastAsia="Times New Roman" w:hAnsi="Times New Roman"/>
          <w:sz w:val="14"/>
          <w:szCs w:val="14"/>
          <w:color w:val="auto"/>
        </w:rPr>
        <w:t>. The regular meetings of the Board shall be held, without notice, as the Chairman or President may designate and deem suitable.</w:t>
      </w:r>
    </w:p>
    <w:p>
      <w:pPr>
        <w:spacing w:after="0" w:line="136" w:lineRule="exact"/>
        <w:rPr>
          <w:sz w:val="20"/>
          <w:szCs w:val="20"/>
          <w:color w:val="auto"/>
        </w:rPr>
      </w:pPr>
    </w:p>
    <w:p>
      <w:pPr>
        <w:ind w:left="320" w:right="359"/>
        <w:spacing w:after="0" w:line="249" w:lineRule="auto"/>
        <w:rPr>
          <w:sz w:val="20"/>
          <w:szCs w:val="20"/>
          <w:color w:val="auto"/>
        </w:rPr>
      </w:pPr>
      <w:r>
        <w:rPr>
          <w:rFonts w:ascii="Times New Roman" w:cs="Times New Roman" w:eastAsia="Times New Roman" w:hAnsi="Times New Roman"/>
          <w:sz w:val="14"/>
          <w:szCs w:val="14"/>
          <w:color w:val="auto"/>
        </w:rPr>
        <w:t xml:space="preserve">Section 2.7. </w:t>
      </w:r>
      <w:r>
        <w:rPr>
          <w:rFonts w:ascii="Times New Roman" w:cs="Times New Roman" w:eastAsia="Times New Roman" w:hAnsi="Times New Roman"/>
          <w:sz w:val="14"/>
          <w:szCs w:val="14"/>
          <w:u w:val="single" w:color="auto"/>
          <w:color w:val="auto"/>
        </w:rPr>
        <w:t>Special Meetings</w:t>
      </w:r>
      <w:r>
        <w:rPr>
          <w:rFonts w:ascii="Times New Roman" w:cs="Times New Roman" w:eastAsia="Times New Roman" w:hAnsi="Times New Roman"/>
          <w:sz w:val="14"/>
          <w:szCs w:val="14"/>
          <w:color w:val="auto"/>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spacing w:after="0" w:line="147" w:lineRule="exact"/>
        <w:rPr>
          <w:sz w:val="20"/>
          <w:szCs w:val="20"/>
          <w:color w:val="auto"/>
        </w:rPr>
      </w:pPr>
    </w:p>
    <w:p>
      <w:pPr>
        <w:ind w:left="320" w:right="419"/>
        <w:spacing w:after="0" w:line="252" w:lineRule="auto"/>
        <w:rPr>
          <w:sz w:val="20"/>
          <w:szCs w:val="20"/>
          <w:color w:val="auto"/>
        </w:rPr>
      </w:pPr>
      <w:r>
        <w:rPr>
          <w:rFonts w:ascii="Times New Roman" w:cs="Times New Roman" w:eastAsia="Times New Roman" w:hAnsi="Times New Roman"/>
          <w:sz w:val="14"/>
          <w:szCs w:val="14"/>
          <w:color w:val="auto"/>
        </w:rPr>
        <w:t xml:space="preserve">Section 2.8. </w:t>
      </w:r>
      <w:r>
        <w:rPr>
          <w:rFonts w:ascii="Times New Roman" w:cs="Times New Roman" w:eastAsia="Times New Roman" w:hAnsi="Times New Roman"/>
          <w:sz w:val="14"/>
          <w:szCs w:val="14"/>
          <w:u w:val="single" w:color="auto"/>
          <w:color w:val="auto"/>
        </w:rPr>
        <w:t>Quorum and Necessary Vote</w:t>
      </w:r>
      <w:r>
        <w:rPr>
          <w:rFonts w:ascii="Times New Roman" w:cs="Times New Roman" w:eastAsia="Times New Roman" w:hAnsi="Times New Roman"/>
          <w:sz w:val="14"/>
          <w:szCs w:val="14"/>
          <w:color w:val="auto"/>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0" w:right="1440" w:bottom="1440" w:gutter="0" w:footer="0" w:header="0"/>
        </w:sectPr>
      </w:pPr>
    </w:p>
    <w:bookmarkStart w:id="118" w:name="page119"/>
    <w:bookmarkEnd w:id="118"/>
    <w:p>
      <w:pPr>
        <w:ind w:left="320" w:right="55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5">
                      <a:extLst>
                        <a:ext uri="{28A0092B-C50C-407E-A947-70E740481C1C}"/>
                      </a:extLst>
                    </a:blip>
                    <a:srcRect/>
                    <a:stretch>
                      <a:fillRect/>
                    </a:stretch>
                  </pic:blipFill>
                  <pic:spPr bwMode="auto">
                    <a:xfrm>
                      <a:off x="0" y="0"/>
                      <a:ext cx="7203440" cy="32385"/>
                    </a:xfrm>
                    <a:prstGeom prst="rect">
                      <a:avLst/>
                    </a:prstGeom>
                    <a:noFill/>
                  </pic:spPr>
                </pic:pic>
              </a:graphicData>
            </a:graphic>
          </wp:anchor>
        </w:drawing>
        <w:t xml:space="preserve">Section 2.9. </w:t>
      </w:r>
      <w:r>
        <w:rPr>
          <w:rFonts w:ascii="Times New Roman" w:cs="Times New Roman" w:eastAsia="Times New Roman" w:hAnsi="Times New Roman"/>
          <w:sz w:val="14"/>
          <w:szCs w:val="14"/>
          <w:u w:val="single" w:color="auto"/>
          <w:color w:val="auto"/>
        </w:rPr>
        <w:t>Written Consent</w:t>
      </w:r>
      <w:r>
        <w:rPr>
          <w:rFonts w:ascii="Times New Roman" w:cs="Times New Roman" w:eastAsia="Times New Roman" w:hAnsi="Times New Roman"/>
          <w:sz w:val="14"/>
          <w:szCs w:val="14"/>
          <w:color w:val="auto"/>
        </w:rPr>
        <w:t>. Except as otherwise required by applicable laws and regulations, the Board may act without a meeting by a unanimous written consent by all directors, to be filed with the Secretary of the Association as part of the corporate records.</w:t>
      </w:r>
    </w:p>
    <w:p>
      <w:pPr>
        <w:spacing w:after="0" w:line="136" w:lineRule="exact"/>
        <w:rPr>
          <w:sz w:val="20"/>
          <w:szCs w:val="20"/>
          <w:color w:val="auto"/>
        </w:rPr>
      </w:pPr>
    </w:p>
    <w:p>
      <w:pPr>
        <w:jc w:val="both"/>
        <w:ind w:left="320" w:right="339"/>
        <w:spacing w:after="0" w:line="255" w:lineRule="auto"/>
        <w:rPr>
          <w:sz w:val="20"/>
          <w:szCs w:val="20"/>
          <w:color w:val="auto"/>
        </w:rPr>
      </w:pPr>
      <w:r>
        <w:rPr>
          <w:rFonts w:ascii="Times New Roman" w:cs="Times New Roman" w:eastAsia="Times New Roman" w:hAnsi="Times New Roman"/>
          <w:sz w:val="14"/>
          <w:szCs w:val="14"/>
          <w:color w:val="auto"/>
        </w:rPr>
        <w:t xml:space="preserve">Section 2.10. </w:t>
      </w:r>
      <w:r>
        <w:rPr>
          <w:rFonts w:ascii="Times New Roman" w:cs="Times New Roman" w:eastAsia="Times New Roman" w:hAnsi="Times New Roman"/>
          <w:sz w:val="14"/>
          <w:szCs w:val="14"/>
          <w:u w:val="single" w:color="auto"/>
          <w:color w:val="auto"/>
        </w:rPr>
        <w:t>Remote Meetings</w:t>
      </w:r>
      <w:r>
        <w:rPr>
          <w:rFonts w:ascii="Times New Roman" w:cs="Times New Roman" w:eastAsia="Times New Roman" w:hAnsi="Times New Roman"/>
          <w:sz w:val="14"/>
          <w:szCs w:val="14"/>
          <w:color w:val="auto"/>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spacing w:after="0" w:line="143" w:lineRule="exact"/>
        <w:rPr>
          <w:sz w:val="20"/>
          <w:szCs w:val="20"/>
          <w:color w:val="auto"/>
        </w:rPr>
      </w:pPr>
    </w:p>
    <w:p>
      <w:pPr>
        <w:jc w:val="both"/>
        <w:ind w:left="320" w:right="339"/>
        <w:spacing w:after="0" w:line="266" w:lineRule="auto"/>
        <w:rPr>
          <w:sz w:val="20"/>
          <w:szCs w:val="20"/>
          <w:color w:val="auto"/>
        </w:rPr>
      </w:pPr>
      <w:r>
        <w:rPr>
          <w:rFonts w:ascii="Times New Roman" w:cs="Times New Roman" w:eastAsia="Times New Roman" w:hAnsi="Times New Roman"/>
          <w:sz w:val="14"/>
          <w:szCs w:val="14"/>
          <w:color w:val="auto"/>
        </w:rPr>
        <w:t xml:space="preserve">Section 2.11. </w:t>
      </w:r>
      <w:r>
        <w:rPr>
          <w:rFonts w:ascii="Times New Roman" w:cs="Times New Roman" w:eastAsia="Times New Roman" w:hAnsi="Times New Roman"/>
          <w:sz w:val="14"/>
          <w:szCs w:val="14"/>
          <w:u w:val="single" w:color="auto"/>
          <w:color w:val="auto"/>
        </w:rPr>
        <w:t>Vacancies</w:t>
      </w:r>
      <w:r>
        <w:rPr>
          <w:rFonts w:ascii="Times New Roman" w:cs="Times New Roman" w:eastAsia="Times New Roman" w:hAnsi="Times New Roman"/>
          <w:sz w:val="14"/>
          <w:szCs w:val="14"/>
          <w:color w:val="auto"/>
        </w:rPr>
        <w:t>. When any vacancy occurs among the directors, the remaining members of the Board may appoint a director to fill such vacancy at any regular meeting of the Board, or at a special meeting called for that purpose.</w:t>
      </w:r>
    </w:p>
    <w:p>
      <w:pPr>
        <w:spacing w:after="0" w:line="30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u w:val="single" w:color="auto"/>
          <w:color w:val="auto"/>
        </w:rPr>
        <w:t>ARTICLE III</w:t>
      </w:r>
    </w:p>
    <w:p>
      <w:pPr>
        <w:spacing w:after="0" w:line="1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u w:val="single" w:color="auto"/>
          <w:color w:val="auto"/>
        </w:rPr>
        <w:t>Committees</w:t>
      </w:r>
    </w:p>
    <w:p>
      <w:pPr>
        <w:spacing w:after="0" w:line="156" w:lineRule="exact"/>
        <w:rPr>
          <w:sz w:val="20"/>
          <w:szCs w:val="20"/>
          <w:color w:val="auto"/>
        </w:rPr>
      </w:pPr>
    </w:p>
    <w:p>
      <w:pPr>
        <w:ind w:left="320" w:right="399"/>
        <w:spacing w:after="0" w:line="252" w:lineRule="auto"/>
        <w:rPr>
          <w:sz w:val="20"/>
          <w:szCs w:val="20"/>
          <w:color w:val="auto"/>
        </w:rPr>
      </w:pPr>
      <w:r>
        <w:rPr>
          <w:rFonts w:ascii="Times New Roman" w:cs="Times New Roman" w:eastAsia="Times New Roman" w:hAnsi="Times New Roman"/>
          <w:sz w:val="14"/>
          <w:szCs w:val="14"/>
          <w:color w:val="auto"/>
        </w:rPr>
        <w:t xml:space="preserve">Section 3.1. </w:t>
      </w:r>
      <w:r>
        <w:rPr>
          <w:rFonts w:ascii="Times New Roman" w:cs="Times New Roman" w:eastAsia="Times New Roman" w:hAnsi="Times New Roman"/>
          <w:sz w:val="14"/>
          <w:szCs w:val="14"/>
          <w:u w:val="single" w:color="auto"/>
          <w:color w:val="auto"/>
        </w:rPr>
        <w:t>Advisory Board of Directors</w:t>
      </w:r>
      <w:r>
        <w:rPr>
          <w:rFonts w:ascii="Times New Roman" w:cs="Times New Roman" w:eastAsia="Times New Roman" w:hAnsi="Times New Roman"/>
          <w:sz w:val="14"/>
          <w:szCs w:val="14"/>
          <w:color w:val="auto"/>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spacing w:after="0" w:line="145" w:lineRule="exact"/>
        <w:rPr>
          <w:sz w:val="20"/>
          <w:szCs w:val="20"/>
          <w:color w:val="auto"/>
        </w:rPr>
      </w:pPr>
    </w:p>
    <w:p>
      <w:pPr>
        <w:ind w:left="320" w:right="399"/>
        <w:spacing w:after="0" w:line="250" w:lineRule="auto"/>
        <w:rPr>
          <w:sz w:val="20"/>
          <w:szCs w:val="20"/>
          <w:color w:val="auto"/>
        </w:rPr>
      </w:pPr>
      <w:r>
        <w:rPr>
          <w:rFonts w:ascii="Times New Roman" w:cs="Times New Roman" w:eastAsia="Times New Roman" w:hAnsi="Times New Roman"/>
          <w:sz w:val="14"/>
          <w:szCs w:val="14"/>
          <w:color w:val="auto"/>
        </w:rPr>
        <w:t xml:space="preserve">Section 3.2. </w:t>
      </w:r>
      <w:r>
        <w:rPr>
          <w:rFonts w:ascii="Times New Roman" w:cs="Times New Roman" w:eastAsia="Times New Roman" w:hAnsi="Times New Roman"/>
          <w:sz w:val="14"/>
          <w:szCs w:val="14"/>
          <w:u w:val="single" w:color="auto"/>
          <w:color w:val="auto"/>
        </w:rPr>
        <w:t>Trust Audit Committee</w:t>
      </w:r>
      <w:r>
        <w:rPr>
          <w:rFonts w:ascii="Times New Roman" w:cs="Times New Roman" w:eastAsia="Times New Roman" w:hAnsi="Times New Roman"/>
          <w:sz w:val="14"/>
          <w:szCs w:val="14"/>
          <w:color w:val="auto"/>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The Audit Committee of the financial holding company that is the ultimate parent of this Association, fulfilling the function of the trust audit committee: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0" w:right="1440" w:bottom="1440" w:gutter="0" w:footer="0" w:header="0"/>
        </w:sectPr>
      </w:pPr>
    </w:p>
    <w:bookmarkStart w:id="119" w:name="page120"/>
    <w:bookmarkEnd w:id="119"/>
    <w:p>
      <w:pPr>
        <w:ind w:left="660" w:right="359" w:hanging="7"/>
        <w:spacing w:after="0" w:line="266" w:lineRule="auto"/>
        <w:tabs>
          <w:tab w:leader="none" w:pos="854"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Must not include any officers of the Association or an affiliate who participate significantly in the administration of the Association’s fiduciary activities; and</w:t>
      </w:r>
    </w:p>
    <w:p>
      <w:pPr>
        <w:spacing w:after="0" w:line="53" w:lineRule="exact"/>
        <w:rPr>
          <w:rFonts w:ascii="Times New Roman" w:cs="Times New Roman" w:eastAsia="Times New Roman" w:hAnsi="Times New Roman"/>
          <w:sz w:val="14"/>
          <w:szCs w:val="14"/>
          <w:color w:val="auto"/>
        </w:rPr>
      </w:pPr>
    </w:p>
    <w:p>
      <w:pPr>
        <w:ind w:left="660" w:right="539" w:hanging="7"/>
        <w:spacing w:after="0" w:line="266" w:lineRule="auto"/>
        <w:tabs>
          <w:tab w:leader="none" w:pos="854"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Must consist of a majority of members who are not also members of any committee to which the Board has delegated power to manage and control the fiduciary activities of the Association.</w:t>
      </w:r>
    </w:p>
    <w:p>
      <w:pPr>
        <w:spacing w:after="0" w:line="136" w:lineRule="exact"/>
        <w:rPr>
          <w:sz w:val="20"/>
          <w:szCs w:val="20"/>
          <w:color w:val="auto"/>
        </w:rPr>
      </w:pPr>
    </w:p>
    <w:p>
      <w:pPr>
        <w:jc w:val="both"/>
        <w:ind w:left="320" w:right="399"/>
        <w:spacing w:after="0" w:line="255" w:lineRule="auto"/>
        <w:rPr>
          <w:sz w:val="20"/>
          <w:szCs w:val="20"/>
          <w:color w:val="auto"/>
        </w:rPr>
      </w:pPr>
      <w:r>
        <w:rPr>
          <w:rFonts w:ascii="Times New Roman" w:cs="Times New Roman" w:eastAsia="Times New Roman" w:hAnsi="Times New Roman"/>
          <w:sz w:val="14"/>
          <w:szCs w:val="14"/>
          <w:color w:val="auto"/>
        </w:rPr>
        <w:t xml:space="preserve">Section 3.3. </w:t>
      </w:r>
      <w:r>
        <w:rPr>
          <w:rFonts w:ascii="Times New Roman" w:cs="Times New Roman" w:eastAsia="Times New Roman" w:hAnsi="Times New Roman"/>
          <w:sz w:val="14"/>
          <w:szCs w:val="14"/>
          <w:u w:val="single" w:color="auto"/>
          <w:color w:val="auto"/>
        </w:rPr>
        <w:t>Executive Committee</w:t>
      </w:r>
      <w:r>
        <w:rPr>
          <w:rFonts w:ascii="Times New Roman" w:cs="Times New Roman" w:eastAsia="Times New Roman" w:hAnsi="Times New Roman"/>
          <w:sz w:val="14"/>
          <w:szCs w:val="14"/>
          <w:color w:val="auto"/>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spacing w:after="0" w:line="143" w:lineRule="exact"/>
        <w:rPr>
          <w:sz w:val="20"/>
          <w:szCs w:val="20"/>
          <w:color w:val="auto"/>
        </w:rPr>
      </w:pPr>
    </w:p>
    <w:p>
      <w:pPr>
        <w:ind w:left="320" w:right="339"/>
        <w:spacing w:after="0" w:line="250" w:lineRule="auto"/>
        <w:rPr>
          <w:sz w:val="20"/>
          <w:szCs w:val="20"/>
          <w:color w:val="auto"/>
        </w:rPr>
      </w:pPr>
      <w:r>
        <w:rPr>
          <w:rFonts w:ascii="Times New Roman" w:cs="Times New Roman" w:eastAsia="Times New Roman" w:hAnsi="Times New Roman"/>
          <w:sz w:val="14"/>
          <w:szCs w:val="14"/>
          <w:color w:val="auto"/>
        </w:rPr>
        <w:t xml:space="preserve">Section 3.4. </w:t>
      </w:r>
      <w:r>
        <w:rPr>
          <w:rFonts w:ascii="Times New Roman" w:cs="Times New Roman" w:eastAsia="Times New Roman" w:hAnsi="Times New Roman"/>
          <w:sz w:val="14"/>
          <w:szCs w:val="14"/>
          <w:u w:val="single" w:color="auto"/>
          <w:color w:val="auto"/>
        </w:rPr>
        <w:t>Trust Management Committee</w:t>
      </w:r>
      <w:r>
        <w:rPr>
          <w:rFonts w:ascii="Times New Roman" w:cs="Times New Roman" w:eastAsia="Times New Roman" w:hAnsi="Times New Roman"/>
          <w:sz w:val="14"/>
          <w:szCs w:val="14"/>
          <w:color w:val="auto"/>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spacing w:after="0" w:line="146" w:lineRule="exact"/>
        <w:rPr>
          <w:sz w:val="20"/>
          <w:szCs w:val="20"/>
          <w:color w:val="auto"/>
        </w:rPr>
      </w:pPr>
    </w:p>
    <w:p>
      <w:pPr>
        <w:ind w:left="320" w:right="339"/>
        <w:spacing w:after="0" w:line="249" w:lineRule="auto"/>
        <w:rPr>
          <w:sz w:val="20"/>
          <w:szCs w:val="20"/>
          <w:color w:val="auto"/>
        </w:rPr>
      </w:pPr>
      <w:r>
        <w:rPr>
          <w:rFonts w:ascii="Times New Roman" w:cs="Times New Roman" w:eastAsia="Times New Roman" w:hAnsi="Times New Roman"/>
          <w:sz w:val="14"/>
          <w:szCs w:val="14"/>
          <w:color w:val="auto"/>
        </w:rPr>
        <w:t xml:space="preserve">Section 3.5. </w:t>
      </w:r>
      <w:r>
        <w:rPr>
          <w:rFonts w:ascii="Times New Roman" w:cs="Times New Roman" w:eastAsia="Times New Roman" w:hAnsi="Times New Roman"/>
          <w:sz w:val="14"/>
          <w:szCs w:val="14"/>
          <w:u w:val="single" w:color="auto"/>
          <w:color w:val="auto"/>
        </w:rPr>
        <w:t>Other Committees</w:t>
      </w:r>
      <w:r>
        <w:rPr>
          <w:rFonts w:ascii="Times New Roman" w:cs="Times New Roman" w:eastAsia="Times New Roman" w:hAnsi="Times New Roman"/>
          <w:sz w:val="14"/>
          <w:szCs w:val="14"/>
          <w:color w:val="auto"/>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spacing w:after="0" w:line="147" w:lineRule="exact"/>
        <w:rPr>
          <w:sz w:val="20"/>
          <w:szCs w:val="20"/>
          <w:color w:val="auto"/>
        </w:rPr>
      </w:pPr>
    </w:p>
    <w:p>
      <w:pPr>
        <w:ind w:left="320" w:right="439"/>
        <w:spacing w:after="0" w:line="252" w:lineRule="auto"/>
        <w:rPr>
          <w:sz w:val="20"/>
          <w:szCs w:val="20"/>
          <w:color w:val="auto"/>
        </w:rPr>
      </w:pPr>
      <w:r>
        <w:rPr>
          <w:rFonts w:ascii="Times New Roman" w:cs="Times New Roman" w:eastAsia="Times New Roman" w:hAnsi="Times New Roman"/>
          <w:sz w:val="14"/>
          <w:szCs w:val="14"/>
          <w:color w:val="auto"/>
        </w:rPr>
        <w:t xml:space="preserve">Section 3.6. </w:t>
      </w:r>
      <w:r>
        <w:rPr>
          <w:rFonts w:ascii="Times New Roman" w:cs="Times New Roman" w:eastAsia="Times New Roman" w:hAnsi="Times New Roman"/>
          <w:sz w:val="14"/>
          <w:szCs w:val="14"/>
          <w:u w:val="single" w:color="auto"/>
          <w:color w:val="auto"/>
        </w:rPr>
        <w:t>Meetings, Minutes and Rules</w:t>
      </w:r>
      <w:r>
        <w:rPr>
          <w:rFonts w:ascii="Times New Roman" w:cs="Times New Roman" w:eastAsia="Times New Roman" w:hAnsi="Times New Roman"/>
          <w:sz w:val="14"/>
          <w:szCs w:val="14"/>
          <w:color w:val="auto"/>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0" w:right="1440"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ARTICLE IV</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Officers</w:t>
      </w:r>
    </w:p>
    <w:p>
      <w:pPr>
        <w:spacing w:after="0" w:line="156" w:lineRule="exact"/>
        <w:rPr>
          <w:sz w:val="20"/>
          <w:szCs w:val="20"/>
          <w:color w:val="auto"/>
        </w:rPr>
      </w:pPr>
    </w:p>
    <w:p>
      <w:pPr>
        <w:ind w:left="320" w:right="359"/>
        <w:spacing w:after="0" w:line="249" w:lineRule="auto"/>
        <w:rPr>
          <w:sz w:val="20"/>
          <w:szCs w:val="20"/>
          <w:color w:val="auto"/>
        </w:rPr>
      </w:pPr>
      <w:r>
        <w:rPr>
          <w:rFonts w:ascii="Times New Roman" w:cs="Times New Roman" w:eastAsia="Times New Roman" w:hAnsi="Times New Roman"/>
          <w:sz w:val="14"/>
          <w:szCs w:val="14"/>
          <w:color w:val="auto"/>
        </w:rPr>
        <w:t>Section 4.1  Who Shall Constitut</w:t>
      </w:r>
      <w:r>
        <w:rPr>
          <w:rFonts w:ascii="Times New Roman" w:cs="Times New Roman" w:eastAsia="Times New Roman" w:hAnsi="Times New Roman"/>
          <w:sz w:val="14"/>
          <w:szCs w:val="14"/>
          <w:u w:val="single" w:color="auto"/>
          <w:color w:val="auto"/>
        </w:rPr>
        <w:t>e.</w:t>
      </w:r>
      <w:r>
        <w:rPr>
          <w:rFonts w:ascii="Times New Roman" w:cs="Times New Roman" w:eastAsia="Times New Roman" w:hAnsi="Times New Roman"/>
          <w:sz w:val="14"/>
          <w:szCs w:val="14"/>
          <w:color w:val="auto"/>
        </w:rPr>
        <w:t xml:space="preserve"> The Officers of the Association shall be a Chief Executive Officer, a President, a Secretary, and other officers such as Vice Chair, Executive Vice Presidents, Senior Vice Presidents, Vice Presidents, Assistant Vice Presidents, Assistant Secretaries, Trust Officers, Assistant Trust Officers, Controller, and Assistant Controller, as the Board may appoint from time to time. The Board may appoint or elect a person as a Vice Chair without regard to whether such person is a member of the Board. The Board may choose to delegate authority to elect officers other than the Chief Executive Officer, President, Secretary, Vice Chairs and Senior Executive Vice Presidents, to the President. Any person may hold two offices. The President shall at all times be a member of the Board of Directors.</w:t>
      </w:r>
    </w:p>
    <w:p>
      <w:pPr>
        <w:spacing w:after="0" w:line="147" w:lineRule="exact"/>
        <w:rPr>
          <w:sz w:val="20"/>
          <w:szCs w:val="20"/>
          <w:color w:val="auto"/>
        </w:rPr>
      </w:pPr>
    </w:p>
    <w:p>
      <w:pPr>
        <w:ind w:left="320" w:right="359"/>
        <w:spacing w:after="0" w:line="252" w:lineRule="auto"/>
        <w:rPr>
          <w:sz w:val="20"/>
          <w:szCs w:val="20"/>
          <w:color w:val="auto"/>
        </w:rPr>
      </w:pPr>
      <w:r>
        <w:rPr>
          <w:rFonts w:ascii="Times New Roman" w:cs="Times New Roman" w:eastAsia="Times New Roman" w:hAnsi="Times New Roman"/>
          <w:sz w:val="14"/>
          <w:szCs w:val="14"/>
          <w:color w:val="auto"/>
        </w:rPr>
        <w:t>Section 4.2  Term of Offic</w:t>
      </w:r>
      <w:r>
        <w:rPr>
          <w:rFonts w:ascii="Times New Roman" w:cs="Times New Roman" w:eastAsia="Times New Roman" w:hAnsi="Times New Roman"/>
          <w:sz w:val="14"/>
          <w:szCs w:val="14"/>
          <w:u w:val="single" w:color="auto"/>
          <w:color w:val="auto"/>
        </w:rPr>
        <w:t>e.</w:t>
      </w:r>
      <w:r>
        <w:rPr>
          <w:rFonts w:ascii="Times New Roman" w:cs="Times New Roman" w:eastAsia="Times New Roman" w:hAnsi="Times New Roman"/>
          <w:sz w:val="14"/>
          <w:szCs w:val="14"/>
          <w:color w:val="auto"/>
        </w:rPr>
        <w:t xml:space="preserve"> All officers shall be elected for and shall hold office until their respective successors are elected and qualified or until their earlier death, resignation, retirement, disqualification or removal from office, subject to the right of the Board of Directors in its sole discretion to discharge any officer at any time. The Board may choose to delegate authority to remove officers other than the Chairman, Chief Executive Officer, President, Secretary, Vice Chair and Senior Executive Vice Presidents, to the President.</w:t>
      </w:r>
    </w:p>
    <w:p>
      <w:pPr>
        <w:spacing w:after="0" w:line="145" w:lineRule="exact"/>
        <w:rPr>
          <w:sz w:val="20"/>
          <w:szCs w:val="20"/>
          <w:color w:val="auto"/>
        </w:rPr>
      </w:pPr>
    </w:p>
    <w:p>
      <w:pPr>
        <w:ind w:left="320" w:right="399"/>
        <w:spacing w:after="0" w:line="252" w:lineRule="auto"/>
        <w:rPr>
          <w:sz w:val="20"/>
          <w:szCs w:val="20"/>
          <w:color w:val="auto"/>
        </w:rPr>
      </w:pPr>
      <w:r>
        <w:rPr>
          <w:rFonts w:ascii="Times New Roman" w:cs="Times New Roman" w:eastAsia="Times New Roman" w:hAnsi="Times New Roman"/>
          <w:sz w:val="14"/>
          <w:szCs w:val="14"/>
          <w:color w:val="auto"/>
        </w:rPr>
        <w:t xml:space="preserve">Section 4.3. </w:t>
      </w:r>
      <w:r>
        <w:rPr>
          <w:rFonts w:ascii="Times New Roman" w:cs="Times New Roman" w:eastAsia="Times New Roman" w:hAnsi="Times New Roman"/>
          <w:sz w:val="14"/>
          <w:szCs w:val="14"/>
          <w:u w:val="single" w:color="auto"/>
          <w:color w:val="auto"/>
        </w:rPr>
        <w:t>Chairman of the Board</w:t>
      </w:r>
      <w:r>
        <w:rPr>
          <w:rFonts w:ascii="Times New Roman" w:cs="Times New Roman" w:eastAsia="Times New Roman" w:hAnsi="Times New Roman"/>
          <w:sz w:val="14"/>
          <w:szCs w:val="14"/>
          <w:color w:val="auto"/>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spacing w:after="0" w:line="145" w:lineRule="exact"/>
        <w:rPr>
          <w:sz w:val="20"/>
          <w:szCs w:val="20"/>
          <w:color w:val="auto"/>
        </w:rPr>
      </w:pPr>
    </w:p>
    <w:p>
      <w:pPr>
        <w:ind w:left="320" w:right="339"/>
        <w:spacing w:after="0" w:line="252" w:lineRule="auto"/>
        <w:rPr>
          <w:sz w:val="20"/>
          <w:szCs w:val="20"/>
          <w:color w:val="auto"/>
        </w:rPr>
      </w:pPr>
      <w:r>
        <w:rPr>
          <w:rFonts w:ascii="Times New Roman" w:cs="Times New Roman" w:eastAsia="Times New Roman" w:hAnsi="Times New Roman"/>
          <w:sz w:val="14"/>
          <w:szCs w:val="14"/>
          <w:color w:val="auto"/>
        </w:rPr>
        <w:t xml:space="preserve">Section 4.4. </w:t>
      </w:r>
      <w:r>
        <w:rPr>
          <w:rFonts w:ascii="Times New Roman" w:cs="Times New Roman" w:eastAsia="Times New Roman" w:hAnsi="Times New Roman"/>
          <w:sz w:val="14"/>
          <w:szCs w:val="14"/>
          <w:u w:val="single" w:color="auto"/>
          <w:color w:val="auto"/>
        </w:rPr>
        <w:t>President</w:t>
      </w:r>
      <w:r>
        <w:rPr>
          <w:rFonts w:ascii="Times New Roman" w:cs="Times New Roman" w:eastAsia="Times New Roman" w:hAnsi="Times New Roman"/>
          <w:sz w:val="14"/>
          <w:szCs w:val="14"/>
          <w:color w:val="auto"/>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spacing w:after="0" w:line="145" w:lineRule="exact"/>
        <w:rPr>
          <w:sz w:val="20"/>
          <w:szCs w:val="20"/>
          <w:color w:val="auto"/>
        </w:rPr>
      </w:pPr>
    </w:p>
    <w:p>
      <w:pPr>
        <w:jc w:val="center"/>
        <w:ind w:left="320" w:right="659"/>
        <w:spacing w:after="0" w:line="435" w:lineRule="auto"/>
        <w:rPr>
          <w:sz w:val="20"/>
          <w:szCs w:val="20"/>
          <w:color w:val="auto"/>
        </w:rPr>
      </w:pPr>
      <w:r>
        <w:rPr>
          <w:rFonts w:ascii="Times New Roman" w:cs="Times New Roman" w:eastAsia="Times New Roman" w:hAnsi="Times New Roman"/>
          <w:sz w:val="14"/>
          <w:szCs w:val="14"/>
          <w:color w:val="auto"/>
        </w:rPr>
        <w:t xml:space="preserve">Section 4.5. </w:t>
      </w:r>
      <w:r>
        <w:rPr>
          <w:rFonts w:ascii="Times New Roman" w:cs="Times New Roman" w:eastAsia="Times New Roman" w:hAnsi="Times New Roman"/>
          <w:sz w:val="14"/>
          <w:szCs w:val="14"/>
          <w:u w:val="single" w:color="auto"/>
          <w:color w:val="auto"/>
        </w:rPr>
        <w:t>Vice President</w:t>
      </w:r>
      <w:r>
        <w:rPr>
          <w:rFonts w:ascii="Times New Roman" w:cs="Times New Roman" w:eastAsia="Times New Roman" w:hAnsi="Times New Roman"/>
          <w:sz w:val="14"/>
          <w:szCs w:val="14"/>
          <w:color w:val="auto"/>
        </w:rPr>
        <w:t>. The Board may appoint one or more Vice Presidents who shall have such powers and duties as may be assigned by the 6</w:t>
      </w:r>
    </w:p>
    <w:p>
      <w:pPr>
        <w:sectPr>
          <w:pgSz w:w="11900" w:h="16838" w:orient="portrait"/>
          <w:cols w:equalWidth="0" w:num="1">
            <w:col w:w="9019"/>
          </w:cols>
          <w:pgMar w:left="1440" w:top="239" w:right="1440" w:bottom="1440" w:gutter="0" w:footer="0" w:header="0"/>
        </w:sectPr>
      </w:pPr>
    </w:p>
    <w:bookmarkStart w:id="121" w:name="page122"/>
    <w:bookmarkEnd w:id="121"/>
    <w:p>
      <w:pPr>
        <w:ind w:left="320" w:right="39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Board and to perform the duties of the President on those occasions when the President is absent, including presiding at any meeting of the Board in the absence of both the Chairman and President.</w:t>
      </w:r>
    </w:p>
    <w:p>
      <w:pPr>
        <w:spacing w:after="0" w:line="136" w:lineRule="exact"/>
        <w:rPr>
          <w:sz w:val="20"/>
          <w:szCs w:val="20"/>
          <w:color w:val="auto"/>
        </w:rPr>
      </w:pPr>
    </w:p>
    <w:p>
      <w:pPr>
        <w:ind w:left="320" w:right="359"/>
        <w:spacing w:after="0" w:line="248" w:lineRule="auto"/>
        <w:rPr>
          <w:sz w:val="20"/>
          <w:szCs w:val="20"/>
          <w:color w:val="auto"/>
        </w:rPr>
      </w:pPr>
      <w:r>
        <w:rPr>
          <w:rFonts w:ascii="Times New Roman" w:cs="Times New Roman" w:eastAsia="Times New Roman" w:hAnsi="Times New Roman"/>
          <w:sz w:val="14"/>
          <w:szCs w:val="14"/>
          <w:color w:val="auto"/>
        </w:rPr>
        <w:t xml:space="preserve">Section 4.6. </w:t>
      </w:r>
      <w:r>
        <w:rPr>
          <w:rFonts w:ascii="Times New Roman" w:cs="Times New Roman" w:eastAsia="Times New Roman" w:hAnsi="Times New Roman"/>
          <w:sz w:val="14"/>
          <w:szCs w:val="14"/>
          <w:u w:val="single" w:color="auto"/>
          <w:color w:val="auto"/>
        </w:rPr>
        <w:t>Secretary</w:t>
      </w:r>
      <w:r>
        <w:rPr>
          <w:rFonts w:ascii="Times New Roman" w:cs="Times New Roman" w:eastAsia="Times New Roman" w:hAnsi="Times New Roman"/>
          <w:sz w:val="14"/>
          <w:szCs w:val="14"/>
          <w:color w:val="auto"/>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spacing w:after="0" w:line="149" w:lineRule="exact"/>
        <w:rPr>
          <w:sz w:val="20"/>
          <w:szCs w:val="20"/>
          <w:color w:val="auto"/>
        </w:rPr>
      </w:pPr>
    </w:p>
    <w:p>
      <w:pPr>
        <w:ind w:left="320" w:right="439"/>
        <w:spacing w:after="0" w:line="255" w:lineRule="auto"/>
        <w:rPr>
          <w:sz w:val="20"/>
          <w:szCs w:val="20"/>
          <w:color w:val="auto"/>
        </w:rPr>
      </w:pPr>
      <w:r>
        <w:rPr>
          <w:rFonts w:ascii="Times New Roman" w:cs="Times New Roman" w:eastAsia="Times New Roman" w:hAnsi="Times New Roman"/>
          <w:sz w:val="14"/>
          <w:szCs w:val="14"/>
          <w:color w:val="auto"/>
        </w:rPr>
        <w:t xml:space="preserve">Section 4.7. </w:t>
      </w:r>
      <w:r>
        <w:rPr>
          <w:rFonts w:ascii="Times New Roman" w:cs="Times New Roman" w:eastAsia="Times New Roman" w:hAnsi="Times New Roman"/>
          <w:sz w:val="14"/>
          <w:szCs w:val="14"/>
          <w:u w:val="single" w:color="auto"/>
          <w:color w:val="auto"/>
        </w:rPr>
        <w:t>Other Officers</w:t>
      </w:r>
      <w:r>
        <w:rPr>
          <w:rFonts w:ascii="Times New Roman" w:cs="Times New Roman" w:eastAsia="Times New Roman" w:hAnsi="Times New Roman"/>
          <w:sz w:val="14"/>
          <w:szCs w:val="14"/>
          <w:color w:val="auto"/>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w:t>
      </w:r>
    </w:p>
    <w:p>
      <w:pPr>
        <w:spacing w:after="0" w:line="143" w:lineRule="exact"/>
        <w:rPr>
          <w:sz w:val="20"/>
          <w:szCs w:val="20"/>
          <w:color w:val="auto"/>
        </w:rPr>
      </w:pPr>
    </w:p>
    <w:p>
      <w:pPr>
        <w:ind w:left="320" w:right="419"/>
        <w:spacing w:after="0" w:line="266" w:lineRule="auto"/>
        <w:rPr>
          <w:sz w:val="20"/>
          <w:szCs w:val="20"/>
          <w:color w:val="auto"/>
        </w:rPr>
      </w:pPr>
      <w:r>
        <w:rPr>
          <w:rFonts w:ascii="Times New Roman" w:cs="Times New Roman" w:eastAsia="Times New Roman" w:hAnsi="Times New Roman"/>
          <w:sz w:val="14"/>
          <w:szCs w:val="14"/>
          <w:color w:val="auto"/>
        </w:rPr>
        <w:t>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ARTICLE V</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Stock</w:t>
      </w:r>
    </w:p>
    <w:p>
      <w:pPr>
        <w:spacing w:after="0" w:line="156" w:lineRule="exact"/>
        <w:rPr>
          <w:sz w:val="20"/>
          <w:szCs w:val="20"/>
          <w:color w:val="auto"/>
        </w:rPr>
      </w:pPr>
    </w:p>
    <w:p>
      <w:pPr>
        <w:ind w:left="320" w:right="339"/>
        <w:spacing w:after="0" w:line="270" w:lineRule="auto"/>
        <w:rPr>
          <w:sz w:val="20"/>
          <w:szCs w:val="20"/>
          <w:color w:val="auto"/>
        </w:rPr>
      </w:pPr>
      <w:r>
        <w:rPr>
          <w:rFonts w:ascii="Times New Roman" w:cs="Times New Roman" w:eastAsia="Times New Roman" w:hAnsi="Times New Roman"/>
          <w:sz w:val="13"/>
          <w:szCs w:val="13"/>
          <w:color w:val="auto"/>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0" w:right="1440" w:bottom="1440" w:gutter="0" w:footer="0" w:header="0"/>
        </w:sectPr>
      </w:pPr>
    </w:p>
    <w:bookmarkStart w:id="122" w:name="page123"/>
    <w:bookmarkEnd w:id="122"/>
    <w:p>
      <w:pPr>
        <w:ind w:left="4140"/>
        <w:spacing w:after="0"/>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ARTICLE VI</w:t>
      </w:r>
    </w:p>
    <w:p>
      <w:pPr>
        <w:spacing w:after="0" w:line="1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u w:val="single" w:color="auto"/>
          <w:color w:val="auto"/>
        </w:rPr>
        <w:t>Corporate Seal</w:t>
      </w:r>
    </w:p>
    <w:p>
      <w:pPr>
        <w:spacing w:after="0" w:line="156" w:lineRule="exact"/>
        <w:rPr>
          <w:sz w:val="20"/>
          <w:szCs w:val="20"/>
          <w:color w:val="auto"/>
        </w:rPr>
      </w:pPr>
    </w:p>
    <w:p>
      <w:pPr>
        <w:ind w:left="320" w:right="359"/>
        <w:spacing w:after="0" w:line="255" w:lineRule="auto"/>
        <w:rPr>
          <w:sz w:val="20"/>
          <w:szCs w:val="20"/>
          <w:color w:val="auto"/>
        </w:rPr>
      </w:pPr>
      <w:r>
        <w:rPr>
          <w:rFonts w:ascii="Times New Roman" w:cs="Times New Roman" w:eastAsia="Times New Roman" w:hAnsi="Times New Roman"/>
          <w:sz w:val="14"/>
          <w:szCs w:val="14"/>
          <w:color w:val="auto"/>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ARTICLE VII</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Miscellaneous Provisions</w:t>
      </w:r>
    </w:p>
    <w:p>
      <w:pPr>
        <w:spacing w:after="0" w:line="156" w:lineRule="exact"/>
        <w:rPr>
          <w:sz w:val="20"/>
          <w:szCs w:val="20"/>
          <w:color w:val="auto"/>
        </w:rPr>
      </w:pPr>
    </w:p>
    <w:p>
      <w:pPr>
        <w:ind w:left="320" w:right="339"/>
        <w:spacing w:after="0" w:line="248" w:lineRule="auto"/>
        <w:rPr>
          <w:sz w:val="20"/>
          <w:szCs w:val="20"/>
          <w:color w:val="auto"/>
        </w:rPr>
      </w:pPr>
      <w:r>
        <w:rPr>
          <w:rFonts w:ascii="Times New Roman" w:cs="Times New Roman" w:eastAsia="Times New Roman" w:hAnsi="Times New Roman"/>
          <w:sz w:val="14"/>
          <w:szCs w:val="14"/>
          <w:color w:val="auto"/>
        </w:rPr>
        <w:t xml:space="preserve">Section 7.1. </w:t>
      </w:r>
      <w:r>
        <w:rPr>
          <w:rFonts w:ascii="Times New Roman" w:cs="Times New Roman" w:eastAsia="Times New Roman" w:hAnsi="Times New Roman"/>
          <w:sz w:val="14"/>
          <w:szCs w:val="14"/>
          <w:u w:val="single" w:color="auto"/>
          <w:color w:val="auto"/>
        </w:rPr>
        <w:t>Execution of Instruments</w:t>
      </w:r>
      <w:r>
        <w:rPr>
          <w:rFonts w:ascii="Times New Roman" w:cs="Times New Roman" w:eastAsia="Times New Roman" w:hAnsi="Times New Roman"/>
          <w:sz w:val="14"/>
          <w:szCs w:val="14"/>
          <w:color w:val="auto"/>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spacing w:after="0" w:line="149" w:lineRule="exact"/>
        <w:rPr>
          <w:sz w:val="20"/>
          <w:szCs w:val="20"/>
          <w:color w:val="auto"/>
        </w:rPr>
      </w:pPr>
    </w:p>
    <w:p>
      <w:pPr>
        <w:ind w:left="320" w:right="399"/>
        <w:spacing w:after="0" w:line="255" w:lineRule="auto"/>
        <w:rPr>
          <w:sz w:val="20"/>
          <w:szCs w:val="20"/>
          <w:color w:val="auto"/>
        </w:rPr>
      </w:pPr>
      <w:r>
        <w:rPr>
          <w:rFonts w:ascii="Times New Roman" w:cs="Times New Roman" w:eastAsia="Times New Roman" w:hAnsi="Times New Roman"/>
          <w:sz w:val="14"/>
          <w:szCs w:val="14"/>
          <w:color w:val="auto"/>
        </w:rPr>
        <w:t xml:space="preserve">Section 7.2. </w:t>
      </w:r>
      <w:r>
        <w:rPr>
          <w:rFonts w:ascii="Times New Roman" w:cs="Times New Roman" w:eastAsia="Times New Roman" w:hAnsi="Times New Roman"/>
          <w:sz w:val="14"/>
          <w:szCs w:val="14"/>
          <w:u w:val="single" w:color="auto"/>
          <w:color w:val="auto"/>
        </w:rPr>
        <w:t>Records</w:t>
      </w:r>
      <w:r>
        <w:rPr>
          <w:rFonts w:ascii="Times New Roman" w:cs="Times New Roman" w:eastAsia="Times New Roman" w:hAnsi="Times New Roman"/>
          <w:sz w:val="14"/>
          <w:szCs w:val="14"/>
          <w:color w:val="auto"/>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spacing w:after="0" w:line="143" w:lineRule="exact"/>
        <w:rPr>
          <w:sz w:val="20"/>
          <w:szCs w:val="20"/>
          <w:color w:val="auto"/>
        </w:rPr>
      </w:pPr>
    </w:p>
    <w:p>
      <w:pPr>
        <w:ind w:left="320" w:right="359"/>
        <w:spacing w:after="0" w:line="266" w:lineRule="auto"/>
        <w:rPr>
          <w:sz w:val="20"/>
          <w:szCs w:val="20"/>
          <w:color w:val="auto"/>
        </w:rPr>
      </w:pPr>
      <w:r>
        <w:rPr>
          <w:rFonts w:ascii="Times New Roman" w:cs="Times New Roman" w:eastAsia="Times New Roman" w:hAnsi="Times New Roman"/>
          <w:sz w:val="14"/>
          <w:szCs w:val="14"/>
          <w:color w:val="auto"/>
        </w:rPr>
        <w:t xml:space="preserve">Section 7.3. </w:t>
      </w:r>
      <w:r>
        <w:rPr>
          <w:rFonts w:ascii="Times New Roman" w:cs="Times New Roman" w:eastAsia="Times New Roman" w:hAnsi="Times New Roman"/>
          <w:sz w:val="14"/>
          <w:szCs w:val="14"/>
          <w:u w:val="single" w:color="auto"/>
          <w:color w:val="auto"/>
        </w:rPr>
        <w:t>Trust Files</w:t>
      </w:r>
      <w:r>
        <w:rPr>
          <w:rFonts w:ascii="Times New Roman" w:cs="Times New Roman" w:eastAsia="Times New Roman" w:hAnsi="Times New Roman"/>
          <w:sz w:val="14"/>
          <w:szCs w:val="14"/>
          <w:color w:val="auto"/>
        </w:rPr>
        <w:t>. There shall be maintained in the Association files all fiduciary records necessary to assure that its fiduciary responsibilities have been properly undertaken and discharged.</w:t>
      </w:r>
    </w:p>
    <w:p>
      <w:pPr>
        <w:spacing w:after="0" w:line="136" w:lineRule="exact"/>
        <w:rPr>
          <w:sz w:val="20"/>
          <w:szCs w:val="20"/>
          <w:color w:val="auto"/>
        </w:rPr>
      </w:pPr>
    </w:p>
    <w:p>
      <w:pPr>
        <w:ind w:left="320" w:right="539"/>
        <w:spacing w:after="0" w:line="266" w:lineRule="auto"/>
        <w:rPr>
          <w:sz w:val="20"/>
          <w:szCs w:val="20"/>
          <w:color w:val="auto"/>
        </w:rPr>
      </w:pPr>
      <w:r>
        <w:rPr>
          <w:rFonts w:ascii="Times New Roman" w:cs="Times New Roman" w:eastAsia="Times New Roman" w:hAnsi="Times New Roman"/>
          <w:sz w:val="14"/>
          <w:szCs w:val="14"/>
          <w:color w:val="auto"/>
        </w:rPr>
        <w:t xml:space="preserve">Section 7.4. </w:t>
      </w:r>
      <w:r>
        <w:rPr>
          <w:rFonts w:ascii="Times New Roman" w:cs="Times New Roman" w:eastAsia="Times New Roman" w:hAnsi="Times New Roman"/>
          <w:sz w:val="14"/>
          <w:szCs w:val="14"/>
          <w:u w:val="single" w:color="auto"/>
          <w:color w:val="auto"/>
        </w:rPr>
        <w:t>Trust Investments</w:t>
      </w:r>
      <w:r>
        <w:rPr>
          <w:rFonts w:ascii="Times New Roman" w:cs="Times New Roman" w:eastAsia="Times New Roman" w:hAnsi="Times New Roman"/>
          <w:sz w:val="14"/>
          <w:szCs w:val="14"/>
          <w:color w:val="auto"/>
        </w:rPr>
        <w:t>. Funds held in a fiduciary capacity shall be invested according to the instrument establishing the fiduciary relationship and according to law. Where such instrument does not specify the character and class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sectPr>
      </w:pPr>
    </w:p>
    <w:bookmarkStart w:id="123" w:name="page124"/>
    <w:bookmarkEnd w:id="123"/>
    <w:p>
      <w:pPr>
        <w:ind w:left="320" w:right="599"/>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0">
                      <a:extLst>
                        <a:ext uri="{28A0092B-C50C-407E-A947-70E740481C1C}"/>
                      </a:extLst>
                    </a:blip>
                    <a:srcRect/>
                    <a:stretch>
                      <a:fillRect/>
                    </a:stretch>
                  </pic:blipFill>
                  <pic:spPr bwMode="auto">
                    <a:xfrm>
                      <a:off x="0" y="0"/>
                      <a:ext cx="7203440" cy="32385"/>
                    </a:xfrm>
                    <a:prstGeom prst="rect">
                      <a:avLst/>
                    </a:prstGeom>
                    <a:noFill/>
                  </pic:spPr>
                </pic:pic>
              </a:graphicData>
            </a:graphic>
          </wp:anchor>
        </w:drawing>
        <w:t>of investments to be made and does not vest in the Association a discretion in the matter, funds held pursuant to such instrument shall be invested in investments in which corporate fiduciaries may invest under law.</w:t>
      </w:r>
    </w:p>
    <w:p>
      <w:pPr>
        <w:spacing w:after="0" w:line="136" w:lineRule="exact"/>
        <w:rPr>
          <w:sz w:val="20"/>
          <w:szCs w:val="20"/>
          <w:color w:val="auto"/>
        </w:rPr>
      </w:pPr>
    </w:p>
    <w:p>
      <w:pPr>
        <w:jc w:val="both"/>
        <w:ind w:left="320" w:right="359"/>
        <w:spacing w:after="0" w:line="255" w:lineRule="auto"/>
        <w:rPr>
          <w:sz w:val="20"/>
          <w:szCs w:val="20"/>
          <w:color w:val="auto"/>
        </w:rPr>
      </w:pPr>
      <w:r>
        <w:rPr>
          <w:rFonts w:ascii="Times New Roman" w:cs="Times New Roman" w:eastAsia="Times New Roman" w:hAnsi="Times New Roman"/>
          <w:sz w:val="14"/>
          <w:szCs w:val="14"/>
          <w:color w:val="auto"/>
        </w:rPr>
        <w:t xml:space="preserve">Section 7.5. </w:t>
      </w:r>
      <w:r>
        <w:rPr>
          <w:rFonts w:ascii="Times New Roman" w:cs="Times New Roman" w:eastAsia="Times New Roman" w:hAnsi="Times New Roman"/>
          <w:sz w:val="14"/>
          <w:szCs w:val="14"/>
          <w:u w:val="single" w:color="auto"/>
          <w:color w:val="auto"/>
        </w:rPr>
        <w:t>Notice</w:t>
      </w:r>
      <w:r>
        <w:rPr>
          <w:rFonts w:ascii="Times New Roman" w:cs="Times New Roman" w:eastAsia="Times New Roman" w:hAnsi="Times New Roman"/>
          <w:sz w:val="14"/>
          <w:szCs w:val="14"/>
          <w:color w:val="auto"/>
        </w:rPr>
        <w:t>. Whenever notice is required by the Articles of Association, the Bylaws or law, such notice shall be by mail, postage prepaid, e-mail, in person, or by any other means by which such notice can reasonably be expected to be received, using the address of the person to receive such notice, or such other personal data, as may appear on the records of the Association.</w:t>
      </w:r>
    </w:p>
    <w:p>
      <w:pPr>
        <w:spacing w:after="0" w:line="143" w:lineRule="exact"/>
        <w:rPr>
          <w:sz w:val="20"/>
          <w:szCs w:val="20"/>
          <w:color w:val="auto"/>
        </w:rPr>
      </w:pPr>
    </w:p>
    <w:p>
      <w:pPr>
        <w:jc w:val="both"/>
        <w:ind w:left="320" w:right="359"/>
        <w:spacing w:after="0" w:line="266" w:lineRule="auto"/>
        <w:rPr>
          <w:sz w:val="20"/>
          <w:szCs w:val="20"/>
          <w:color w:val="auto"/>
        </w:rPr>
      </w:pPr>
      <w:r>
        <w:rPr>
          <w:rFonts w:ascii="Times New Roman" w:cs="Times New Roman" w:eastAsia="Times New Roman" w:hAnsi="Times New Roman"/>
          <w:sz w:val="14"/>
          <w:szCs w:val="14"/>
          <w:color w:val="auto"/>
        </w:rPr>
        <w:t>Except where specified otherwise in these Bylaws, prior notice shall be proper if given not more than 30 days nor less than 10 days prior to the event for which notice is given.</w:t>
      </w:r>
    </w:p>
    <w:p>
      <w:pPr>
        <w:spacing w:after="0" w:line="30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u w:val="single" w:color="auto"/>
          <w:color w:val="auto"/>
        </w:rPr>
        <w:t>ARTICLE VIII</w:t>
      </w:r>
    </w:p>
    <w:p>
      <w:pPr>
        <w:spacing w:after="0" w:line="1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u w:val="single" w:color="auto"/>
          <w:color w:val="auto"/>
        </w:rPr>
        <w:t>Indemnification</w:t>
      </w:r>
    </w:p>
    <w:p>
      <w:pPr>
        <w:spacing w:after="0" w:line="156" w:lineRule="exact"/>
        <w:rPr>
          <w:sz w:val="20"/>
          <w:szCs w:val="20"/>
          <w:color w:val="auto"/>
        </w:rPr>
      </w:pPr>
    </w:p>
    <w:p>
      <w:pPr>
        <w:ind w:left="320" w:right="439"/>
        <w:spacing w:after="0" w:line="249" w:lineRule="auto"/>
        <w:rPr>
          <w:sz w:val="20"/>
          <w:szCs w:val="20"/>
          <w:color w:val="auto"/>
        </w:rPr>
      </w:pPr>
      <w:r>
        <w:rPr>
          <w:rFonts w:ascii="Times New Roman" w:cs="Times New Roman" w:eastAsia="Times New Roman" w:hAnsi="Times New Roman"/>
          <w:sz w:val="14"/>
          <w:szCs w:val="14"/>
          <w:color w:val="auto"/>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spacing w:after="0" w:line="147" w:lineRule="exact"/>
        <w:rPr>
          <w:sz w:val="20"/>
          <w:szCs w:val="20"/>
          <w:color w:val="auto"/>
        </w:rPr>
      </w:pPr>
    </w:p>
    <w:p>
      <w:pPr>
        <w:ind w:left="320" w:right="339"/>
        <w:spacing w:after="0" w:line="274" w:lineRule="auto"/>
        <w:rPr>
          <w:sz w:val="20"/>
          <w:szCs w:val="20"/>
          <w:color w:val="auto"/>
        </w:rPr>
      </w:pPr>
      <w:r>
        <w:rPr>
          <w:rFonts w:ascii="Times New Roman" w:cs="Times New Roman" w:eastAsia="Times New Roman" w:hAnsi="Times New Roman"/>
          <w:sz w:val="13"/>
          <w:szCs w:val="13"/>
          <w:color w:val="auto"/>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0" w:right="1440" w:bottom="1440" w:gutter="0" w:footer="0" w:header="0"/>
        </w:sectPr>
      </w:pPr>
    </w:p>
    <w:bookmarkStart w:id="124" w:name="page125"/>
    <w:bookmarkEnd w:id="124"/>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1">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ARTICLE IX</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Bylaws: Interpretation and Amendment</w:t>
      </w:r>
    </w:p>
    <w:p>
      <w:pPr>
        <w:spacing w:after="0" w:line="156" w:lineRule="exact"/>
        <w:rPr>
          <w:sz w:val="20"/>
          <w:szCs w:val="20"/>
          <w:color w:val="auto"/>
        </w:rPr>
      </w:pPr>
    </w:p>
    <w:p>
      <w:pPr>
        <w:ind w:left="320" w:right="439"/>
        <w:spacing w:after="0" w:line="266" w:lineRule="auto"/>
        <w:rPr>
          <w:sz w:val="20"/>
          <w:szCs w:val="20"/>
          <w:color w:val="auto"/>
        </w:rPr>
      </w:pPr>
      <w:r>
        <w:rPr>
          <w:rFonts w:ascii="Times New Roman" w:cs="Times New Roman" w:eastAsia="Times New Roman" w:hAnsi="Times New Roman"/>
          <w:sz w:val="14"/>
          <w:szCs w:val="14"/>
          <w:color w:val="auto"/>
        </w:rPr>
        <w:t>Section 9.1. These Bylaws shall be interpreted in accordance with and subject to appropriate provisions of law, and may be added to, altered, amended, or repealed, at any regular or special meeting of the Board.</w:t>
      </w:r>
    </w:p>
    <w:p>
      <w:pPr>
        <w:spacing w:after="0" w:line="136" w:lineRule="exact"/>
        <w:rPr>
          <w:sz w:val="20"/>
          <w:szCs w:val="20"/>
          <w:color w:val="auto"/>
        </w:rPr>
      </w:pPr>
    </w:p>
    <w:p>
      <w:pPr>
        <w:ind w:left="320" w:right="359"/>
        <w:spacing w:after="0" w:line="266" w:lineRule="auto"/>
        <w:rPr>
          <w:sz w:val="20"/>
          <w:szCs w:val="20"/>
          <w:color w:val="auto"/>
        </w:rPr>
      </w:pPr>
      <w:r>
        <w:rPr>
          <w:rFonts w:ascii="Times New Roman" w:cs="Times New Roman" w:eastAsia="Times New Roman" w:hAnsi="Times New Roman"/>
          <w:sz w:val="14"/>
          <w:szCs w:val="14"/>
          <w:color w:val="auto"/>
        </w:rPr>
        <w:t>Section 9.2. A copy of the Bylaws and all amendments shall at all times be kept in a convenient place at the principal office of the Association, and shall be open for inspection to all shareholders during Association hours.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ARTICLE X</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Miscellaneous Provisions</w:t>
      </w:r>
    </w:p>
    <w:p>
      <w:pPr>
        <w:spacing w:after="0" w:line="156" w:lineRule="exact"/>
        <w:rPr>
          <w:sz w:val="20"/>
          <w:szCs w:val="20"/>
          <w:color w:val="auto"/>
        </w:rPr>
      </w:pPr>
    </w:p>
    <w:p>
      <w:pPr>
        <w:ind w:left="320" w:right="539"/>
        <w:spacing w:after="0" w:line="266" w:lineRule="auto"/>
        <w:rPr>
          <w:sz w:val="20"/>
          <w:szCs w:val="20"/>
          <w:color w:val="auto"/>
        </w:rPr>
      </w:pPr>
      <w:r>
        <w:rPr>
          <w:rFonts w:ascii="Times New Roman" w:cs="Times New Roman" w:eastAsia="Times New Roman" w:hAnsi="Times New Roman"/>
          <w:sz w:val="14"/>
          <w:szCs w:val="14"/>
          <w:color w:val="auto"/>
        </w:rPr>
        <w:t xml:space="preserve">Section 10.1. </w:t>
      </w:r>
      <w:r>
        <w:rPr>
          <w:rFonts w:ascii="Times New Roman" w:cs="Times New Roman" w:eastAsia="Times New Roman" w:hAnsi="Times New Roman"/>
          <w:sz w:val="14"/>
          <w:szCs w:val="14"/>
          <w:u w:val="single" w:color="auto"/>
          <w:color w:val="auto"/>
        </w:rPr>
        <w:t>Fiscal Year</w:t>
      </w:r>
      <w:r>
        <w:rPr>
          <w:rFonts w:ascii="Times New Roman" w:cs="Times New Roman" w:eastAsia="Times New Roman" w:hAnsi="Times New Roman"/>
          <w:sz w:val="14"/>
          <w:szCs w:val="14"/>
          <w:color w:val="auto"/>
        </w:rPr>
        <w:t>. The fiscal year of the Association shall begin on the first day of January in each year and shall end on the thirty-first day of December following.</w:t>
      </w:r>
    </w:p>
    <w:p>
      <w:pPr>
        <w:spacing w:after="0" w:line="136" w:lineRule="exact"/>
        <w:rPr>
          <w:sz w:val="20"/>
          <w:szCs w:val="20"/>
          <w:color w:val="auto"/>
        </w:rPr>
      </w:pPr>
    </w:p>
    <w:p>
      <w:pPr>
        <w:ind w:left="320" w:right="399"/>
        <w:spacing w:after="0" w:line="305" w:lineRule="auto"/>
        <w:rPr>
          <w:sz w:val="20"/>
          <w:szCs w:val="20"/>
          <w:color w:val="auto"/>
        </w:rPr>
      </w:pPr>
      <w:r>
        <w:rPr>
          <w:rFonts w:ascii="Times New Roman" w:cs="Times New Roman" w:eastAsia="Times New Roman" w:hAnsi="Times New Roman"/>
          <w:sz w:val="13"/>
          <w:szCs w:val="13"/>
          <w:color w:val="auto"/>
        </w:rPr>
        <w:t xml:space="preserve">Section 10.2. </w:t>
      </w:r>
      <w:r>
        <w:rPr>
          <w:rFonts w:ascii="Times New Roman" w:cs="Times New Roman" w:eastAsia="Times New Roman" w:hAnsi="Times New Roman"/>
          <w:sz w:val="13"/>
          <w:szCs w:val="13"/>
          <w:u w:val="single" w:color="auto"/>
          <w:color w:val="auto"/>
        </w:rPr>
        <w:t>Governing Law</w:t>
      </w:r>
      <w:r>
        <w:rPr>
          <w:rFonts w:ascii="Times New Roman" w:cs="Times New Roman" w:eastAsia="Times New Roman" w:hAnsi="Times New Roman"/>
          <w:sz w:val="13"/>
          <w:szCs w:val="13"/>
          <w:color w:val="auto"/>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right"/>
        <w:ind w:right="339"/>
        <w:spacing w:after="0"/>
        <w:rPr>
          <w:sz w:val="20"/>
          <w:szCs w:val="20"/>
          <w:color w:val="auto"/>
        </w:rPr>
      </w:pPr>
      <w:r>
        <w:rPr>
          <w:rFonts w:ascii="Times New Roman" w:cs="Times New Roman" w:eastAsia="Times New Roman" w:hAnsi="Times New Roman"/>
          <w:sz w:val="14"/>
          <w:szCs w:val="14"/>
          <w:color w:val="auto"/>
        </w:rPr>
        <w:t>(November 6, 2025)</w:t>
      </w:r>
    </w:p>
    <w:p>
      <w:pPr>
        <w:sectPr>
          <w:pgSz w:w="11900" w:h="16838" w:orient="portrait"/>
          <w:cols w:equalWidth="0" w:num="1">
            <w:col w:w="9019"/>
          </w:cols>
          <w:pgMar w:left="1440" w:top="240" w:right="1440" w:bottom="1440" w:gutter="0" w:footer="0" w:header="0"/>
        </w:sectPr>
      </w:pPr>
    </w:p>
    <w:bookmarkStart w:id="125" w:name="page126"/>
    <w:bookmarkEnd w:id="125"/>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2">
                      <a:extLst>
                        <a:ext uri="{28A0092B-C50C-407E-A947-70E740481C1C}"/>
                      </a:extLst>
                    </a:blip>
                    <a:srcRect/>
                    <a:stretch>
                      <a:fillRect/>
                    </a:stretch>
                  </pic:blipFill>
                  <pic:spPr bwMode="auto">
                    <a:xfrm>
                      <a:off x="0" y="0"/>
                      <a:ext cx="7203440" cy="32385"/>
                    </a:xfrm>
                    <a:prstGeom prst="rect">
                      <a:avLst/>
                    </a:prstGeom>
                    <a:noFill/>
                  </pic:spPr>
                </pic:pic>
              </a:graphicData>
            </a:graphic>
          </wp:anchor>
        </w:drawing>
        <w:t>Exhibit 6</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w:t>
      </w:r>
    </w:p>
    <w:p>
      <w:pPr>
        <w:spacing w:after="0" w:line="171" w:lineRule="exact"/>
        <w:rPr>
          <w:sz w:val="20"/>
          <w:szCs w:val="20"/>
          <w:color w:val="auto"/>
        </w:rPr>
      </w:pPr>
    </w:p>
    <w:p>
      <w:pPr>
        <w:ind w:left="320" w:right="399" w:firstLine="335"/>
        <w:spacing w:after="0" w:line="255" w:lineRule="auto"/>
        <w:rPr>
          <w:sz w:val="20"/>
          <w:szCs w:val="20"/>
          <w:color w:val="auto"/>
        </w:rPr>
      </w:pPr>
      <w:r>
        <w:rPr>
          <w:rFonts w:ascii="Times New Roman" w:cs="Times New Roman" w:eastAsia="Times New Roman" w:hAnsi="Times New Roman"/>
          <w:sz w:val="14"/>
          <w:szCs w:val="14"/>
          <w:color w:val="auto"/>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Dated: February 13, 2026</w:t>
      </w:r>
    </w:p>
    <w:p>
      <w:pPr>
        <w:spacing w:after="0" w:line="188" w:lineRule="exact"/>
        <w:rPr>
          <w:sz w:val="20"/>
          <w:szCs w:val="20"/>
          <w:color w:val="auto"/>
        </w:rPr>
      </w:pPr>
    </w:p>
    <w:p>
      <w:pPr>
        <w:ind w:left="5340"/>
        <w:spacing w:after="0"/>
        <w:tabs>
          <w:tab w:leader="none" w:pos="5740" w:val="left"/>
        </w:tabs>
        <w:rPr>
          <w:sz w:val="20"/>
          <w:szCs w:val="20"/>
          <w:color w:val="auto"/>
        </w:rPr>
      </w:pPr>
      <w:r>
        <w:rPr>
          <w:rFonts w:ascii="Times New Roman" w:cs="Times New Roman" w:eastAsia="Times New Roman" w:hAnsi="Times New Roman"/>
          <w:sz w:val="14"/>
          <w:szCs w:val="14"/>
          <w:color w:val="auto"/>
        </w:rPr>
        <w:t>By: </w:t>
        <w:tab/>
        <w:t>/s/ Joshua A.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3654425</wp:posOffset>
            </wp:positionH>
            <wp:positionV relativeFrom="paragraph">
              <wp:posOffset>10160</wp:posOffset>
            </wp:positionV>
            <wp:extent cx="1863090"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3">
                      <a:extLst>
                        <a:ext uri="{28A0092B-C50C-407E-A947-70E740481C1C}"/>
                      </a:extLst>
                    </a:blip>
                    <a:srcRect/>
                    <a:stretch>
                      <a:fillRect/>
                    </a:stretch>
                  </pic:blipFill>
                  <pic:spPr bwMode="auto">
                    <a:xfrm>
                      <a:off x="0" y="0"/>
                      <a:ext cx="1863090" cy="6350"/>
                    </a:xfrm>
                    <a:prstGeom prst="rect">
                      <a:avLst/>
                    </a:prstGeom>
                    <a:noFill/>
                  </pic:spPr>
                </pic:pic>
              </a:graphicData>
            </a:graphic>
          </wp:anchor>
        </w:drawing>
      </w:r>
    </w:p>
    <w:p>
      <w:pPr>
        <w:spacing w:after="0" w:line="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Joshua A. Hahn</w:t>
      </w:r>
    </w:p>
    <w:p>
      <w:pPr>
        <w:spacing w:after="0" w:line="1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Vice President</w:t>
      </w:r>
    </w:p>
    <w:p>
      <w:pPr>
        <w:sectPr>
          <w:pgSz w:w="11900" w:h="16838" w:orient="portrait"/>
          <w:cols w:equalWidth="0" w:num="1">
            <w:col w:w="9019"/>
          </w:cols>
          <w:pgMar w:left="1440" w:top="235" w:right="1440" w:bottom="1440" w:gutter="0" w:footer="0" w:header="0"/>
        </w:sectPr>
      </w:pPr>
    </w:p>
    <w:bookmarkStart w:id="126" w:name="page127"/>
    <w:bookmarkEnd w:id="126"/>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4">
                      <a:extLst>
                        <a:ext uri="{28A0092B-C50C-407E-A947-70E740481C1C}"/>
                      </a:extLst>
                    </a:blip>
                    <a:srcRect/>
                    <a:stretch>
                      <a:fillRect/>
                    </a:stretch>
                  </pic:blipFill>
                  <pic:spPr bwMode="auto">
                    <a:xfrm>
                      <a:off x="0" y="0"/>
                      <a:ext cx="7203440" cy="32385"/>
                    </a:xfrm>
                    <a:prstGeom prst="rect">
                      <a:avLst/>
                    </a:prstGeom>
                    <a:noFill/>
                  </pic:spPr>
                </pic:pic>
              </a:graphicData>
            </a:graphic>
          </wp:anchor>
        </w:drawing>
        <w:t>Exhibit 7</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 Bank Trust Company, National Association</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Statement of Financial Condition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of 12/31/2025</w:t>
      </w:r>
    </w:p>
    <w:p>
      <w:pPr>
        <w:spacing w:after="0" w:line="152" w:lineRule="exact"/>
        <w:rPr>
          <w:sz w:val="20"/>
          <w:szCs w:val="20"/>
          <w:color w:val="auto"/>
        </w:rPr>
      </w:pPr>
    </w:p>
    <w:tbl>
      <w:tblPr>
        <w:tblLayout w:type="fixed"/>
        <w:tblInd w:w="320" w:type="dxa"/>
        <w:tblCellMar>
          <w:top w:w="0" w:type="dxa"/>
          <w:left w:w="0" w:type="dxa"/>
          <w:bottom w:w="0" w:type="dxa"/>
          <w:right w:w="0" w:type="dxa"/>
        </w:tblCellMar>
      </w:tblPr>
      <w:tr>
        <w:trPr>
          <w:trHeight w:val="180"/>
        </w:trPr>
        <w:tc>
          <w:tcPr>
            <w:tcW w:w="3580" w:type="dxa"/>
            <w:vAlign w:val="bottom"/>
          </w:tcPr>
          <w:p>
            <w:pPr>
              <w:spacing w:after="0"/>
              <w:rPr>
                <w:sz w:val="15"/>
                <w:szCs w:val="15"/>
                <w:color w:val="auto"/>
              </w:rPr>
            </w:pPr>
          </w:p>
        </w:tc>
        <w:tc>
          <w:tcPr>
            <w:tcW w:w="4200" w:type="dxa"/>
            <w:vAlign w:val="bottom"/>
            <w:gridSpan w:val="2"/>
          </w:tcPr>
          <w:p>
            <w:pPr>
              <w:jc w:val="right"/>
              <w:ind w:right="3292"/>
              <w:spacing w:after="0"/>
              <w:rPr>
                <w:sz w:val="20"/>
                <w:szCs w:val="20"/>
                <w:color w:val="auto"/>
              </w:rPr>
            </w:pPr>
            <w:r>
              <w:rPr>
                <w:rFonts w:ascii="Times New Roman" w:cs="Times New Roman" w:eastAsia="Times New Roman" w:hAnsi="Times New Roman"/>
                <w:sz w:val="14"/>
                <w:szCs w:val="14"/>
                <w:b w:val="1"/>
                <w:bCs w:val="1"/>
                <w:color w:val="auto"/>
              </w:rPr>
              <w:t>($000’s)</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99"/>
        </w:trPr>
        <w:tc>
          <w:tcPr>
            <w:tcW w:w="3580" w:type="dxa"/>
            <w:vAlign w:val="bottom"/>
          </w:tcPr>
          <w:p>
            <w:pPr>
              <w:spacing w:after="0"/>
              <w:rPr>
                <w:sz w:val="24"/>
                <w:szCs w:val="24"/>
                <w:color w:val="auto"/>
              </w:rPr>
            </w:pPr>
          </w:p>
        </w:tc>
        <w:tc>
          <w:tcPr>
            <w:tcW w:w="4740" w:type="dxa"/>
            <w:vAlign w:val="bottom"/>
            <w:gridSpan w:val="3"/>
          </w:tcPr>
          <w:p>
            <w:pPr>
              <w:ind w:left="4180"/>
              <w:spacing w:after="0"/>
              <w:rPr>
                <w:sz w:val="20"/>
                <w:szCs w:val="20"/>
                <w:color w:val="auto"/>
              </w:rPr>
            </w:pPr>
            <w:r>
              <w:rPr>
                <w:rFonts w:ascii="Times New Roman" w:cs="Times New Roman" w:eastAsia="Times New Roman" w:hAnsi="Times New Roman"/>
                <w:sz w:val="11"/>
                <w:szCs w:val="11"/>
                <w:b w:val="1"/>
                <w:bCs w:val="1"/>
                <w:color w:val="auto"/>
              </w:rPr>
              <w:t>12/31/2025</w:t>
            </w:r>
          </w:p>
        </w:tc>
        <w:tc>
          <w:tcPr>
            <w:tcW w:w="40" w:type="dxa"/>
            <w:vAlign w:val="bottom"/>
          </w:tcPr>
          <w:p>
            <w:pPr>
              <w:spacing w:after="0"/>
              <w:rPr>
                <w:sz w:val="24"/>
                <w:szCs w:val="24"/>
                <w:color w:val="auto"/>
              </w:rPr>
            </w:pPr>
          </w:p>
        </w:tc>
      </w:tr>
      <w:tr>
        <w:trPr>
          <w:trHeight w:val="144"/>
        </w:trPr>
        <w:tc>
          <w:tcPr>
            <w:tcW w:w="3580" w:type="dxa"/>
            <w:vAlign w:val="bottom"/>
            <w:tcBorders>
              <w:top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Assets</w:t>
            </w:r>
          </w:p>
        </w:tc>
        <w:tc>
          <w:tcPr>
            <w:tcW w:w="4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64"/>
        </w:trPr>
        <w:tc>
          <w:tcPr>
            <w:tcW w:w="3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and Balances Due From Depository Institutions</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w w:val="92"/>
              </w:rPr>
              <w:t>2,035,855</w:t>
            </w:r>
          </w:p>
        </w:tc>
        <w:tc>
          <w:tcPr>
            <w:tcW w:w="40" w:type="dxa"/>
            <w:vAlign w:val="bottom"/>
          </w:tcPr>
          <w:p>
            <w:pPr>
              <w:spacing w:after="0"/>
              <w:rPr>
                <w:sz w:val="14"/>
                <w:szCs w:val="14"/>
                <w:color w:val="auto"/>
              </w:rPr>
            </w:pPr>
          </w:p>
        </w:tc>
      </w:tr>
      <w:tr>
        <w:trPr>
          <w:trHeight w:val="164"/>
        </w:trPr>
        <w:tc>
          <w:tcPr>
            <w:tcW w:w="3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Securities</w:t>
            </w:r>
          </w:p>
        </w:tc>
        <w:tc>
          <w:tcPr>
            <w:tcW w:w="4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4,696</w:t>
            </w:r>
          </w:p>
        </w:tc>
      </w:tr>
      <w:tr>
        <w:trPr>
          <w:trHeight w:val="164"/>
        </w:trPr>
        <w:tc>
          <w:tcPr>
            <w:tcW w:w="3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Federal Funds</w:t>
            </w:r>
          </w:p>
        </w:tc>
        <w:tc>
          <w:tcPr>
            <w:tcW w:w="4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4"/>
        </w:trPr>
        <w:tc>
          <w:tcPr>
            <w:tcW w:w="3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Loans &amp; Lease Financing Receivables</w:t>
            </w:r>
          </w:p>
        </w:tc>
        <w:tc>
          <w:tcPr>
            <w:tcW w:w="4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4"/>
        </w:trPr>
        <w:tc>
          <w:tcPr>
            <w:tcW w:w="3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Fixed Assets</w:t>
            </w:r>
          </w:p>
        </w:tc>
        <w:tc>
          <w:tcPr>
            <w:tcW w:w="4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623</w:t>
            </w:r>
          </w:p>
        </w:tc>
      </w:tr>
      <w:tr>
        <w:trPr>
          <w:trHeight w:val="164"/>
        </w:trPr>
        <w:tc>
          <w:tcPr>
            <w:tcW w:w="3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Intangible Assets</w:t>
            </w:r>
          </w:p>
        </w:tc>
        <w:tc>
          <w:tcPr>
            <w:tcW w:w="4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574,084</w:t>
            </w:r>
          </w:p>
        </w:tc>
      </w:tr>
      <w:tr>
        <w:trPr>
          <w:trHeight w:val="165"/>
        </w:trPr>
        <w:tc>
          <w:tcPr>
            <w:tcW w:w="3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Assets</w:t>
            </w:r>
          </w:p>
        </w:tc>
        <w:tc>
          <w:tcPr>
            <w:tcW w:w="4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173,370</w:t>
            </w:r>
          </w:p>
        </w:tc>
      </w:tr>
      <w:tr>
        <w:trPr>
          <w:trHeight w:val="164"/>
        </w:trPr>
        <w:tc>
          <w:tcPr>
            <w:tcW w:w="3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41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92"/>
              </w:rPr>
              <w:t>2,788,628</w:t>
            </w:r>
          </w:p>
        </w:tc>
        <w:tc>
          <w:tcPr>
            <w:tcW w:w="40" w:type="dxa"/>
            <w:vAlign w:val="bottom"/>
            <w:shd w:val="clear" w:color="auto" w:fill="CCEEFF"/>
          </w:tcPr>
          <w:p>
            <w:pPr>
              <w:spacing w:after="0"/>
              <w:rPr>
                <w:sz w:val="14"/>
                <w:szCs w:val="14"/>
                <w:color w:val="auto"/>
              </w:rPr>
            </w:pPr>
          </w:p>
        </w:tc>
      </w:tr>
      <w:tr>
        <w:trPr>
          <w:trHeight w:val="246"/>
        </w:trPr>
        <w:tc>
          <w:tcPr>
            <w:tcW w:w="3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4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65"/>
        </w:trPr>
        <w:tc>
          <w:tcPr>
            <w:tcW w:w="3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Deposits</w:t>
            </w:r>
          </w:p>
        </w:tc>
        <w:tc>
          <w:tcPr>
            <w:tcW w:w="4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4"/>
        </w:trPr>
        <w:tc>
          <w:tcPr>
            <w:tcW w:w="3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Fed Funds</w:t>
            </w:r>
          </w:p>
        </w:tc>
        <w:tc>
          <w:tcPr>
            <w:tcW w:w="4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4"/>
        </w:trPr>
        <w:tc>
          <w:tcPr>
            <w:tcW w:w="3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Treasury Demand Notes</w:t>
            </w:r>
          </w:p>
        </w:tc>
        <w:tc>
          <w:tcPr>
            <w:tcW w:w="4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4"/>
        </w:trPr>
        <w:tc>
          <w:tcPr>
            <w:tcW w:w="3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Trading Liabilities</w:t>
            </w:r>
          </w:p>
        </w:tc>
        <w:tc>
          <w:tcPr>
            <w:tcW w:w="4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4"/>
        </w:trPr>
        <w:tc>
          <w:tcPr>
            <w:tcW w:w="3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Borrowed Money</w:t>
            </w:r>
          </w:p>
        </w:tc>
        <w:tc>
          <w:tcPr>
            <w:tcW w:w="4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4"/>
        </w:trPr>
        <w:tc>
          <w:tcPr>
            <w:tcW w:w="3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Acceptances</w:t>
            </w:r>
          </w:p>
        </w:tc>
        <w:tc>
          <w:tcPr>
            <w:tcW w:w="4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4"/>
        </w:trPr>
        <w:tc>
          <w:tcPr>
            <w:tcW w:w="3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Subordinated Notes and Debentures</w:t>
            </w:r>
          </w:p>
        </w:tc>
        <w:tc>
          <w:tcPr>
            <w:tcW w:w="4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4"/>
        </w:trPr>
        <w:tc>
          <w:tcPr>
            <w:tcW w:w="3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Liabilities</w:t>
            </w:r>
          </w:p>
        </w:tc>
        <w:tc>
          <w:tcPr>
            <w:tcW w:w="4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237,596</w:t>
            </w:r>
          </w:p>
        </w:tc>
      </w:tr>
      <w:tr>
        <w:trPr>
          <w:trHeight w:val="21"/>
        </w:trPr>
        <w:tc>
          <w:tcPr>
            <w:tcW w:w="3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4"/>
        </w:trPr>
        <w:tc>
          <w:tcPr>
            <w:tcW w:w="3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4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237,596</w:t>
            </w:r>
          </w:p>
        </w:tc>
      </w:tr>
      <w:tr>
        <w:trPr>
          <w:trHeight w:val="246"/>
        </w:trPr>
        <w:tc>
          <w:tcPr>
            <w:tcW w:w="3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4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65"/>
        </w:trPr>
        <w:tc>
          <w:tcPr>
            <w:tcW w:w="3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Common and Preferred Stock</w:t>
            </w:r>
          </w:p>
        </w:tc>
        <w:tc>
          <w:tcPr>
            <w:tcW w:w="4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200</w:t>
            </w:r>
          </w:p>
        </w:tc>
      </w:tr>
      <w:tr>
        <w:trPr>
          <w:trHeight w:val="164"/>
        </w:trPr>
        <w:tc>
          <w:tcPr>
            <w:tcW w:w="3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Surplus</w:t>
            </w:r>
          </w:p>
        </w:tc>
        <w:tc>
          <w:tcPr>
            <w:tcW w:w="4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w w:val="92"/>
              </w:rPr>
              <w:t>1,171,635</w:t>
            </w:r>
          </w:p>
        </w:tc>
        <w:tc>
          <w:tcPr>
            <w:tcW w:w="40" w:type="dxa"/>
            <w:vAlign w:val="bottom"/>
          </w:tcPr>
          <w:p>
            <w:pPr>
              <w:spacing w:after="0"/>
              <w:rPr>
                <w:sz w:val="14"/>
                <w:szCs w:val="14"/>
                <w:color w:val="auto"/>
              </w:rPr>
            </w:pPr>
          </w:p>
        </w:tc>
      </w:tr>
      <w:tr>
        <w:trPr>
          <w:trHeight w:val="164"/>
        </w:trPr>
        <w:tc>
          <w:tcPr>
            <w:tcW w:w="3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Undivided Profits</w:t>
            </w:r>
          </w:p>
        </w:tc>
        <w:tc>
          <w:tcPr>
            <w:tcW w:w="4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2"/>
              </w:rPr>
              <w:t>1,379,197</w:t>
            </w:r>
          </w:p>
        </w:tc>
        <w:tc>
          <w:tcPr>
            <w:tcW w:w="40" w:type="dxa"/>
            <w:vAlign w:val="bottom"/>
            <w:shd w:val="clear" w:color="auto" w:fill="CCEEFF"/>
          </w:tcPr>
          <w:p>
            <w:pPr>
              <w:spacing w:after="0"/>
              <w:rPr>
                <w:sz w:val="14"/>
                <w:szCs w:val="14"/>
                <w:color w:val="auto"/>
              </w:rPr>
            </w:pPr>
          </w:p>
        </w:tc>
      </w:tr>
      <w:tr>
        <w:trPr>
          <w:trHeight w:val="165"/>
        </w:trPr>
        <w:tc>
          <w:tcPr>
            <w:tcW w:w="3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Minority Interest in Subsidiaries</w:t>
            </w:r>
          </w:p>
        </w:tc>
        <w:tc>
          <w:tcPr>
            <w:tcW w:w="4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r>
      <w:tr>
        <w:trPr>
          <w:trHeight w:val="164"/>
        </w:trPr>
        <w:tc>
          <w:tcPr>
            <w:tcW w:w="3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Total Equity Capital</w:t>
            </w:r>
          </w:p>
        </w:tc>
        <w:tc>
          <w:tcPr>
            <w:tcW w:w="41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92"/>
              </w:rPr>
              <w:t>2,551,032</w:t>
            </w:r>
          </w:p>
        </w:tc>
        <w:tc>
          <w:tcPr>
            <w:tcW w:w="40" w:type="dxa"/>
            <w:vAlign w:val="bottom"/>
            <w:shd w:val="clear" w:color="auto" w:fill="CCEEFF"/>
          </w:tcPr>
          <w:p>
            <w:pPr>
              <w:spacing w:after="0"/>
              <w:rPr>
                <w:sz w:val="14"/>
                <w:szCs w:val="14"/>
                <w:color w:val="auto"/>
              </w:rPr>
            </w:pPr>
          </w:p>
        </w:tc>
      </w:tr>
      <w:tr>
        <w:trPr>
          <w:trHeight w:val="245"/>
        </w:trPr>
        <w:tc>
          <w:tcPr>
            <w:tcW w:w="3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Equity Capital</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2"/>
              </w:rPr>
              <w:t>2,788,628</w:t>
            </w:r>
          </w:p>
        </w:tc>
        <w:tc>
          <w:tcPr>
            <w:tcW w:w="40" w:type="dxa"/>
            <w:vAlign w:val="bottom"/>
          </w:tcPr>
          <w:p>
            <w:pPr>
              <w:spacing w:after="0"/>
              <w:rPr>
                <w:sz w:val="21"/>
                <w:szCs w:val="21"/>
                <w:color w:val="auto"/>
              </w:rPr>
            </w:pPr>
          </w:p>
        </w:tc>
      </w:tr>
    </w:tbl>
    <w:p>
      <w:pPr>
        <w:sectPr>
          <w:pgSz w:w="11900" w:h="16838" w:orient="portrait"/>
          <w:cols w:equalWidth="0" w:num="1">
            <w:col w:w="9019"/>
          </w:cols>
          <w:pgMar w:left="1440" w:top="236" w:right="1440" w:bottom="1440" w:gutter="0" w:footer="0" w:header="0"/>
        </w:sectPr>
      </w:pPr>
    </w:p>
    <w:bookmarkStart w:id="127" w:name="page128"/>
    <w:bookmarkEnd w:id="127"/>
    <w:p>
      <w:pPr>
        <w:ind w:left="8100"/>
        <w:spacing w:after="0"/>
        <w:rPr>
          <w:sz w:val="20"/>
          <w:szCs w:val="20"/>
          <w:color w:val="auto"/>
        </w:rPr>
      </w:pPr>
      <w:r>
        <w:rPr>
          <w:rFonts w:ascii="Times New Roman" w:cs="Times New Roman" w:eastAsia="Times New Roman" w:hAnsi="Times New Roman"/>
          <w:sz w:val="13"/>
          <w:szCs w:val="13"/>
          <w:b w:val="1"/>
          <w:bCs w:val="1"/>
          <w:color w:val="auto"/>
        </w:rPr>
        <w:t>Exhibit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-83820</wp:posOffset>
            </wp:positionV>
            <wp:extent cx="377825" cy="13874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5">
                      <a:extLst>
                        <a:ext uri="{28A0092B-C50C-407E-A947-70E740481C1C}"/>
                      </a:extLst>
                    </a:blip>
                    <a:srcRect/>
                    <a:stretch>
                      <a:fillRect/>
                    </a:stretch>
                  </pic:blipFill>
                  <pic:spPr bwMode="auto">
                    <a:xfrm>
                      <a:off x="0" y="0"/>
                      <a:ext cx="377825" cy="1387475"/>
                    </a:xfrm>
                    <a:prstGeom prst="rect">
                      <a:avLst/>
                    </a:prstGeom>
                    <a:noFill/>
                  </pic:spPr>
                </pic:pic>
              </a:graphicData>
            </a:graphic>
          </wp:anchor>
        </w:drawing>
      </w:r>
    </w:p>
    <w:p>
      <w:pPr>
        <w:spacing w:after="0" w:line="17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4"/>
          <w:szCs w:val="14"/>
          <w:b w:val="1"/>
          <w:bCs w:val="1"/>
          <w:color w:val="auto"/>
        </w:rPr>
        <w:t>Eversheds Sutherland (US) LLP</w:t>
      </w:r>
    </w:p>
    <w:p>
      <w:pPr>
        <w:spacing w:after="0" w:line="1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4"/>
          <w:szCs w:val="14"/>
          <w:color w:val="auto"/>
        </w:rPr>
        <w:t>700 Sixth Street NW, Suite 700</w:t>
      </w:r>
    </w:p>
    <w:p>
      <w:pPr>
        <w:spacing w:after="0" w:line="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4"/>
          <w:szCs w:val="14"/>
          <w:color w:val="auto"/>
        </w:rPr>
        <w:t>Washington, DC 2001-3980</w:t>
      </w:r>
    </w:p>
    <w:p>
      <w:pPr>
        <w:spacing w:after="0" w:line="166"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4"/>
          <w:szCs w:val="14"/>
          <w:color w:val="auto"/>
        </w:rPr>
        <w:t>February 27, 2026</w:t>
      </w:r>
    </w:p>
    <w:p>
      <w:pPr>
        <w:spacing w:after="0" w:line="16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Fidus Investment Corporation</w:t>
      </w:r>
    </w:p>
    <w:p>
      <w:pPr>
        <w:spacing w:after="0" w:line="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1603 Orrington Avenue, Suite 1005</w:t>
      </w:r>
    </w:p>
    <w:p>
      <w:pPr>
        <w:spacing w:after="0" w:line="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Evanston, Illinois 60201</w:t>
      </w:r>
    </w:p>
    <w:p>
      <w:pPr>
        <w:spacing w:after="0" w:line="17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Re: Fidus Investment Corporation</w:t>
      </w:r>
    </w:p>
    <w:p>
      <w:pPr>
        <w:spacing w:after="0" w:line="15" w:lineRule="exact"/>
        <w:rPr>
          <w:sz w:val="20"/>
          <w:szCs w:val="20"/>
          <w:color w:val="auto"/>
        </w:rPr>
      </w:pPr>
    </w:p>
    <w:p>
      <w:pPr>
        <w:ind w:left="1880" w:hanging="280"/>
        <w:spacing w:after="0"/>
        <w:tabs>
          <w:tab w:leader="none" w:pos="18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Registration Statement on Form N-2</w:t>
      </w:r>
    </w:p>
    <w:p>
      <w:pPr>
        <w:spacing w:after="0" w:line="15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We have acted as counsel to Fidus Investment Corporation, a Maryland corporation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in connection with the</w:t>
      </w:r>
    </w:p>
    <w:p>
      <w:pPr>
        <w:spacing w:after="0" w:line="1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preparation and filing by the Company with the Securities and Exchange Commission of a registration statement on Form N-2 (the</w:t>
      </w:r>
    </w:p>
    <w:p>
      <w:pPr>
        <w:spacing w:after="0" w:line="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Registration Statement</w:t>
      </w:r>
      <w:r>
        <w:rPr>
          <w:rFonts w:ascii="Times New Roman" w:cs="Times New Roman" w:eastAsia="Times New Roman" w:hAnsi="Times New Roman"/>
          <w:sz w:val="13"/>
          <w:szCs w:val="13"/>
          <w:color w:val="auto"/>
        </w:rPr>
        <w:t>”) under the Securities Act of 1933, as amended (the “</w:t>
      </w:r>
      <w:r>
        <w:rPr>
          <w:rFonts w:ascii="Times New Roman" w:cs="Times New Roman" w:eastAsia="Times New Roman" w:hAnsi="Times New Roman"/>
          <w:sz w:val="13"/>
          <w:szCs w:val="13"/>
          <w:b w:val="1"/>
          <w:bCs w:val="1"/>
          <w:i w:val="1"/>
          <w:iCs w:val="1"/>
          <w:color w:val="auto"/>
        </w:rPr>
        <w:t>Securities Act</w:t>
      </w:r>
      <w:r>
        <w:rPr>
          <w:rFonts w:ascii="Times New Roman" w:cs="Times New Roman" w:eastAsia="Times New Roman" w:hAnsi="Times New Roman"/>
          <w:sz w:val="13"/>
          <w:szCs w:val="13"/>
          <w:color w:val="auto"/>
        </w:rPr>
        <w:t>”), with respect to the offer, issuance and</w:t>
      </w:r>
    </w:p>
    <w:p>
      <w:pPr>
        <w:spacing w:after="0" w:line="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sale from time to time, pursuant to Rule 415 under the Securities Act of the following securities (collectively, the “</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w:t>
      </w:r>
    </w:p>
    <w:p>
      <w:pPr>
        <w:spacing w:after="0" w:line="80" w:lineRule="exact"/>
        <w:rPr>
          <w:sz w:val="20"/>
          <w:szCs w:val="20"/>
          <w:color w:val="auto"/>
        </w:rPr>
      </w:pPr>
    </w:p>
    <w:p>
      <w:pPr>
        <w:ind w:left="1880" w:right="479" w:hanging="352"/>
        <w:spacing w:after="0" w:line="258" w:lineRule="auto"/>
        <w:tabs>
          <w:tab w:leader="none" w:pos="18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the Company’s common stock, par value $0.001 per share (the “</w:t>
      </w:r>
      <w:r>
        <w:rPr>
          <w:rFonts w:ascii="Times New Roman" w:cs="Times New Roman" w:eastAsia="Times New Roman" w:hAnsi="Times New Roman"/>
          <w:sz w:val="14"/>
          <w:szCs w:val="14"/>
          <w:b w:val="1"/>
          <w:bCs w:val="1"/>
          <w:i w:val="1"/>
          <w:iCs w:val="1"/>
          <w:color w:val="auto"/>
        </w:rPr>
        <w:t>Common Stock</w:t>
      </w:r>
      <w:r>
        <w:rPr>
          <w:rFonts w:ascii="Times New Roman" w:cs="Times New Roman" w:eastAsia="Times New Roman" w:hAnsi="Times New Roman"/>
          <w:sz w:val="14"/>
          <w:szCs w:val="14"/>
          <w:color w:val="auto"/>
        </w:rPr>
        <w:t>”), including shares of Common Stock to be issued upon exercise of the Rights (as defined below), the Debt Securities (as defined below), and/or the Warrants (as defined below) (the “</w:t>
      </w:r>
      <w:r>
        <w:rPr>
          <w:rFonts w:ascii="Times New Roman" w:cs="Times New Roman" w:eastAsia="Times New Roman" w:hAnsi="Times New Roman"/>
          <w:sz w:val="14"/>
          <w:szCs w:val="14"/>
          <w:b w:val="1"/>
          <w:bCs w:val="1"/>
          <w:i w:val="1"/>
          <w:iCs w:val="1"/>
          <w:color w:val="auto"/>
        </w:rPr>
        <w:t>Common Shares</w:t>
      </w:r>
      <w:r>
        <w:rPr>
          <w:rFonts w:ascii="Times New Roman" w:cs="Times New Roman" w:eastAsia="Times New Roman" w:hAnsi="Times New Roman"/>
          <w:sz w:val="14"/>
          <w:szCs w:val="14"/>
          <w:color w:val="auto"/>
        </w:rPr>
        <w:t>”);</w:t>
      </w:r>
    </w:p>
    <w:p>
      <w:pPr>
        <w:spacing w:after="0" w:line="65" w:lineRule="exact"/>
        <w:rPr>
          <w:rFonts w:ascii="Times New Roman" w:cs="Times New Roman" w:eastAsia="Times New Roman" w:hAnsi="Times New Roman"/>
          <w:sz w:val="14"/>
          <w:szCs w:val="14"/>
          <w:color w:val="auto"/>
        </w:rPr>
      </w:pPr>
    </w:p>
    <w:p>
      <w:pPr>
        <w:ind w:left="1880" w:right="439" w:hanging="352"/>
        <w:spacing w:after="0" w:line="272" w:lineRule="auto"/>
        <w:tabs>
          <w:tab w:leader="none" w:pos="18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the Company’s preferred stock, par value $0.001 per share (the “</w:t>
      </w:r>
      <w:r>
        <w:rPr>
          <w:rFonts w:ascii="Times New Roman" w:cs="Times New Roman" w:eastAsia="Times New Roman" w:hAnsi="Times New Roman"/>
          <w:sz w:val="14"/>
          <w:szCs w:val="14"/>
          <w:b w:val="1"/>
          <w:bCs w:val="1"/>
          <w:i w:val="1"/>
          <w:iCs w:val="1"/>
          <w:color w:val="auto"/>
        </w:rPr>
        <w:t>Preferred Stock</w:t>
      </w:r>
      <w:r>
        <w:rPr>
          <w:rFonts w:ascii="Times New Roman" w:cs="Times New Roman" w:eastAsia="Times New Roman" w:hAnsi="Times New Roman"/>
          <w:sz w:val="14"/>
          <w:szCs w:val="14"/>
          <w:color w:val="auto"/>
        </w:rPr>
        <w:t>”), including shares of Preferred Stock to be issued upon exercise of the Warrants (the “</w:t>
      </w:r>
      <w:r>
        <w:rPr>
          <w:rFonts w:ascii="Times New Roman" w:cs="Times New Roman" w:eastAsia="Times New Roman" w:hAnsi="Times New Roman"/>
          <w:sz w:val="14"/>
          <w:szCs w:val="14"/>
          <w:b w:val="1"/>
          <w:bCs w:val="1"/>
          <w:i w:val="1"/>
          <w:iCs w:val="1"/>
          <w:color w:val="auto"/>
        </w:rPr>
        <w:t>Preferred Shares</w:t>
      </w:r>
      <w:r>
        <w:rPr>
          <w:rFonts w:ascii="Times New Roman" w:cs="Times New Roman" w:eastAsia="Times New Roman" w:hAnsi="Times New Roman"/>
          <w:sz w:val="14"/>
          <w:szCs w:val="14"/>
          <w:color w:val="auto"/>
        </w:rPr>
        <w:t>”);</w:t>
      </w:r>
    </w:p>
    <w:p>
      <w:pPr>
        <w:spacing w:after="0" w:line="55" w:lineRule="exact"/>
        <w:rPr>
          <w:rFonts w:ascii="Times New Roman" w:cs="Times New Roman" w:eastAsia="Times New Roman" w:hAnsi="Times New Roman"/>
          <w:sz w:val="14"/>
          <w:szCs w:val="14"/>
          <w:color w:val="auto"/>
        </w:rPr>
      </w:pPr>
    </w:p>
    <w:p>
      <w:pPr>
        <w:ind w:left="1880" w:hanging="352"/>
        <w:spacing w:after="0"/>
        <w:tabs>
          <w:tab w:leader="none" w:pos="18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rights to purchase Common Stock (the “</w:t>
      </w:r>
      <w:r>
        <w:rPr>
          <w:rFonts w:ascii="Times New Roman" w:cs="Times New Roman" w:eastAsia="Times New Roman" w:hAnsi="Times New Roman"/>
          <w:sz w:val="14"/>
          <w:szCs w:val="14"/>
          <w:b w:val="1"/>
          <w:bCs w:val="1"/>
          <w:i w:val="1"/>
          <w:iCs w:val="1"/>
          <w:color w:val="auto"/>
        </w:rPr>
        <w:t>Rights</w:t>
      </w:r>
      <w:r>
        <w:rPr>
          <w:rFonts w:ascii="Times New Roman" w:cs="Times New Roman" w:eastAsia="Times New Roman" w:hAnsi="Times New Roman"/>
          <w:sz w:val="14"/>
          <w:szCs w:val="14"/>
          <w:color w:val="auto"/>
        </w:rPr>
        <w:t>”);</w:t>
      </w:r>
    </w:p>
    <w:p>
      <w:pPr>
        <w:spacing w:after="0" w:line="95" w:lineRule="exact"/>
        <w:rPr>
          <w:rFonts w:ascii="Times New Roman" w:cs="Times New Roman" w:eastAsia="Times New Roman" w:hAnsi="Times New Roman"/>
          <w:sz w:val="14"/>
          <w:szCs w:val="14"/>
          <w:color w:val="auto"/>
        </w:rPr>
      </w:pPr>
    </w:p>
    <w:p>
      <w:pPr>
        <w:ind w:left="1880" w:right="359" w:hanging="352"/>
        <w:spacing w:after="0" w:line="272" w:lineRule="auto"/>
        <w:tabs>
          <w:tab w:leader="none" w:pos="18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 of the Company, including debt securities to be issued upon exercise of the Warrants (the “</w:t>
      </w:r>
      <w:r>
        <w:rPr>
          <w:rFonts w:ascii="Times New Roman" w:cs="Times New Roman" w:eastAsia="Times New Roman" w:hAnsi="Times New Roman"/>
          <w:sz w:val="14"/>
          <w:szCs w:val="14"/>
          <w:b w:val="1"/>
          <w:bCs w:val="1"/>
          <w:i w:val="1"/>
          <w:iCs w:val="1"/>
          <w:color w:val="auto"/>
        </w:rPr>
        <w:t>Debt Securities</w:t>
      </w:r>
      <w:r>
        <w:rPr>
          <w:rFonts w:ascii="Times New Roman" w:cs="Times New Roman" w:eastAsia="Times New Roman" w:hAnsi="Times New Roman"/>
          <w:sz w:val="14"/>
          <w:szCs w:val="14"/>
          <w:color w:val="auto"/>
        </w:rPr>
        <w:t>”); and</w:t>
      </w:r>
    </w:p>
    <w:p>
      <w:pPr>
        <w:spacing w:after="0" w:line="55" w:lineRule="exact"/>
        <w:rPr>
          <w:rFonts w:ascii="Times New Roman" w:cs="Times New Roman" w:eastAsia="Times New Roman" w:hAnsi="Times New Roman"/>
          <w:sz w:val="14"/>
          <w:szCs w:val="14"/>
          <w:color w:val="auto"/>
        </w:rPr>
      </w:pPr>
    </w:p>
    <w:p>
      <w:pPr>
        <w:ind w:left="1880" w:hanging="352"/>
        <w:spacing w:after="0"/>
        <w:tabs>
          <w:tab w:leader="none" w:pos="18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representing rights to purchase Common Stock, Preferred Stock or Debt Securities (the “</w:t>
      </w:r>
      <w:r>
        <w:rPr>
          <w:rFonts w:ascii="Times New Roman" w:cs="Times New Roman" w:eastAsia="Times New Roman" w:hAnsi="Times New Roman"/>
          <w:sz w:val="14"/>
          <w:szCs w:val="14"/>
          <w:b w:val="1"/>
          <w:bCs w:val="1"/>
          <w:i w:val="1"/>
          <w:iCs w:val="1"/>
          <w:color w:val="auto"/>
        </w:rPr>
        <w:t>Warrants</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ind w:left="1320" w:right="339" w:firstLine="295"/>
        <w:spacing w:after="0" w:line="255" w:lineRule="auto"/>
        <w:rPr>
          <w:sz w:val="20"/>
          <w:szCs w:val="20"/>
          <w:color w:val="auto"/>
        </w:rPr>
      </w:pPr>
      <w:r>
        <w:rPr>
          <w:rFonts w:ascii="Times New Roman" w:cs="Times New Roman" w:eastAsia="Times New Roman" w:hAnsi="Times New Roman"/>
          <w:sz w:val="14"/>
          <w:szCs w:val="14"/>
          <w:color w:val="auto"/>
        </w:rPr>
        <w:t>The Registration Statement provides that the Securities may be issued from time to time in amounts, at prices, and on terms to be set forth in one or more supplements (each, a “</w:t>
      </w:r>
      <w:r>
        <w:rPr>
          <w:rFonts w:ascii="Times New Roman" w:cs="Times New Roman" w:eastAsia="Times New Roman" w:hAnsi="Times New Roman"/>
          <w:sz w:val="14"/>
          <w:szCs w:val="14"/>
          <w:b w:val="1"/>
          <w:bCs w:val="1"/>
          <w:i w:val="1"/>
          <w:iCs w:val="1"/>
          <w:color w:val="auto"/>
        </w:rPr>
        <w:t>Prospectus Supplement</w:t>
      </w:r>
      <w:r>
        <w:rPr>
          <w:rFonts w:ascii="Times New Roman" w:cs="Times New Roman" w:eastAsia="Times New Roman" w:hAnsi="Times New Roman"/>
          <w:sz w:val="14"/>
          <w:szCs w:val="14"/>
          <w:color w:val="auto"/>
        </w:rPr>
        <w:t>”) to the prospectus included in the Registration Statement at the time it becomes effective (the “</w:t>
      </w:r>
      <w:r>
        <w:rPr>
          <w:rFonts w:ascii="Times New Roman" w:cs="Times New Roman" w:eastAsia="Times New Roman" w:hAnsi="Times New Roman"/>
          <w:sz w:val="14"/>
          <w:szCs w:val="14"/>
          <w:b w:val="1"/>
          <w:bCs w:val="1"/>
          <w:i w:val="1"/>
          <w:iCs w:val="1"/>
          <w:color w:val="auto"/>
        </w:rPr>
        <w:t>Prospectus</w:t>
      </w:r>
      <w:r>
        <w:rPr>
          <w:rFonts w:ascii="Times New Roman" w:cs="Times New Roman" w:eastAsia="Times New Roman" w:hAnsi="Times New Roman"/>
          <w:sz w:val="14"/>
          <w:szCs w:val="14"/>
          <w:color w:val="auto"/>
        </w:rPr>
        <w:t>”).</w:t>
      </w:r>
    </w:p>
    <w:p>
      <w:pPr>
        <w:spacing w:after="0" w:line="1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The Debt Securities are to be issued in one or more series under (i) the indenture, dated February 2, 2018 (the “</w:t>
      </w:r>
      <w:r>
        <w:rPr>
          <w:rFonts w:ascii="Times New Roman" w:cs="Times New Roman" w:eastAsia="Times New Roman" w:hAnsi="Times New Roman"/>
          <w:sz w:val="14"/>
          <w:szCs w:val="14"/>
          <w:b w:val="1"/>
          <w:bCs w:val="1"/>
          <w:i w:val="1"/>
          <w:iCs w:val="1"/>
          <w:color w:val="auto"/>
        </w:rPr>
        <w:t>Bas</w:t>
      </w:r>
      <w:r>
        <w:rPr>
          <w:rFonts w:ascii="Times New Roman" w:cs="Times New Roman" w:eastAsia="Times New Roman" w:hAnsi="Times New Roman"/>
          <w:sz w:val="14"/>
          <w:szCs w:val="14"/>
          <w:i w:val="1"/>
          <w:iCs w:val="1"/>
          <w:color w:val="auto"/>
        </w:rPr>
        <w:t>e</w:t>
      </w:r>
    </w:p>
    <w:p>
      <w:pPr>
        <w:spacing w:after="0" w:line="1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Indenture</w:t>
      </w:r>
      <w:r>
        <w:rPr>
          <w:rFonts w:ascii="Times New Roman" w:cs="Times New Roman" w:eastAsia="Times New Roman" w:hAnsi="Times New Roman"/>
          <w:sz w:val="13"/>
          <w:szCs w:val="13"/>
          <w:color w:val="auto"/>
        </w:rPr>
        <w:t>”), by and between the Company and U.S. Bank Trust Company, National Association (as successor in interest to U.S. Bank</w:t>
      </w:r>
    </w:p>
    <w:p>
      <w:pPr>
        <w:spacing w:after="0" w:line="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National Association), as trustee (the “</w:t>
      </w:r>
      <w:r>
        <w:rPr>
          <w:rFonts w:ascii="Times New Roman" w:cs="Times New Roman" w:eastAsia="Times New Roman" w:hAnsi="Times New Roman"/>
          <w:sz w:val="14"/>
          <w:szCs w:val="14"/>
          <w:b w:val="1"/>
          <w:bCs w:val="1"/>
          <w:i w:val="1"/>
          <w:iCs w:val="1"/>
          <w:color w:val="auto"/>
        </w:rPr>
        <w:t>Trustee</w:t>
      </w:r>
      <w:r>
        <w:rPr>
          <w:rFonts w:ascii="Times New Roman" w:cs="Times New Roman" w:eastAsia="Times New Roman" w:hAnsi="Times New Roman"/>
          <w:sz w:val="14"/>
          <w:szCs w:val="14"/>
          <w:color w:val="auto"/>
        </w:rPr>
        <w:t>”) and (ii) one or more supplemental indentures containing the specific terms and</w:t>
      </w:r>
    </w:p>
    <w:p>
      <w:pPr>
        <w:spacing w:after="0" w:line="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conditions for each issuance of the Debt Securities (each a “</w:t>
      </w:r>
      <w:r>
        <w:rPr>
          <w:rFonts w:ascii="Times New Roman" w:cs="Times New Roman" w:eastAsia="Times New Roman" w:hAnsi="Times New Roman"/>
          <w:sz w:val="14"/>
          <w:szCs w:val="14"/>
          <w:b w:val="1"/>
          <w:bCs w:val="1"/>
          <w:i w:val="1"/>
          <w:iCs w:val="1"/>
          <w:color w:val="auto"/>
        </w:rPr>
        <w:t>Supplemental Indenture</w:t>
      </w:r>
      <w:r>
        <w:rPr>
          <w:rFonts w:ascii="Times New Roman" w:cs="Times New Roman" w:eastAsia="Times New Roman" w:hAnsi="Times New Roman"/>
          <w:sz w:val="14"/>
          <w:szCs w:val="14"/>
          <w:color w:val="auto"/>
        </w:rPr>
        <w:t>” and together with the Base Indenture, the</w:t>
      </w:r>
    </w:p>
    <w:p>
      <w:pPr>
        <w:spacing w:after="0" w:line="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Indenture</w:t>
      </w:r>
      <w:r>
        <w:rPr>
          <w:rFonts w:ascii="Times New Roman" w:cs="Times New Roman" w:eastAsia="Times New Roman" w:hAnsi="Times New Roman"/>
          <w:sz w:val="13"/>
          <w:szCs w:val="13"/>
          <w:color w:val="auto"/>
        </w:rPr>
        <w:t>”). The Rights are to be issued under rights agreements (each a “</w:t>
      </w:r>
      <w:r>
        <w:rPr>
          <w:rFonts w:ascii="Times New Roman" w:cs="Times New Roman" w:eastAsia="Times New Roman" w:hAnsi="Times New Roman"/>
          <w:sz w:val="13"/>
          <w:szCs w:val="13"/>
          <w:b w:val="1"/>
          <w:bCs w:val="1"/>
          <w:i w:val="1"/>
          <w:iCs w:val="1"/>
          <w:color w:val="auto"/>
        </w:rPr>
        <w:t>Rights Agreement</w:t>
      </w:r>
      <w:r>
        <w:rPr>
          <w:rFonts w:ascii="Times New Roman" w:cs="Times New Roman" w:eastAsia="Times New Roman" w:hAnsi="Times New Roman"/>
          <w:sz w:val="13"/>
          <w:szCs w:val="13"/>
          <w:color w:val="auto"/>
        </w:rPr>
        <w:t>”) to be entered into by and between the</w:t>
      </w:r>
    </w:p>
    <w:p>
      <w:pPr>
        <w:spacing w:after="0" w:line="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Company and the purchasers thereof or a rights agent to be identified in the applicable Rights Agreement. The Warrants are to be</w:t>
      </w:r>
    </w:p>
    <w:p>
      <w:pPr>
        <w:spacing w:after="0" w:line="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issued under warrant agreements (each a “</w:t>
      </w:r>
      <w:r>
        <w:rPr>
          <w:rFonts w:ascii="Times New Roman" w:cs="Times New Roman" w:eastAsia="Times New Roman" w:hAnsi="Times New Roman"/>
          <w:sz w:val="13"/>
          <w:szCs w:val="13"/>
          <w:b w:val="1"/>
          <w:bCs w:val="1"/>
          <w:i w:val="1"/>
          <w:iCs w:val="1"/>
          <w:color w:val="auto"/>
        </w:rPr>
        <w:t>Warrant Agreement</w:t>
      </w:r>
      <w:r>
        <w:rPr>
          <w:rFonts w:ascii="Times New Roman" w:cs="Times New Roman" w:eastAsia="Times New Roman" w:hAnsi="Times New Roman"/>
          <w:sz w:val="13"/>
          <w:szCs w:val="13"/>
          <w:color w:val="auto"/>
        </w:rPr>
        <w:t>”) to be entered into by and between the Company and the purchasers</w:t>
      </w:r>
    </w:p>
    <w:p>
      <w:pPr>
        <w:spacing w:after="0" w:line="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thereof or a warrant agent to be identified in the applicable Warrant Agreement.</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164" w:right="1440" w:bottom="1440" w:gutter="0" w:footer="0" w:header="0"/>
        </w:sectPr>
      </w:pPr>
    </w:p>
    <w:bookmarkStart w:id="128" w:name="page129"/>
    <w:bookmarkEnd w:id="128"/>
    <w:p>
      <w:pPr>
        <w:ind w:left="1320" w:right="779" w:firstLine="295"/>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6">
                      <a:extLst>
                        <a:ext uri="{28A0092B-C50C-407E-A947-70E740481C1C}"/>
                      </a:extLst>
                    </a:blip>
                    <a:srcRect/>
                    <a:stretch>
                      <a:fillRect/>
                    </a:stretch>
                  </pic:blipFill>
                  <pic:spPr bwMode="auto">
                    <a:xfrm>
                      <a:off x="0" y="0"/>
                      <a:ext cx="7203440" cy="32385"/>
                    </a:xfrm>
                    <a:prstGeom prst="rect">
                      <a:avLst/>
                    </a:prstGeom>
                    <a:noFill/>
                  </pic:spPr>
                </pic:pic>
              </a:graphicData>
            </a:graphic>
          </wp:anchor>
        </w:drawing>
        <w:t>As counsel to the Company, we have participated in the preparation of the Registration Statement and have examined the originals or copies, certified or otherwise identified to our satisfaction as being true copies, of the following:</w:t>
      </w:r>
    </w:p>
    <w:p>
      <w:pPr>
        <w:spacing w:after="0" w:line="60" w:lineRule="exact"/>
        <w:rPr>
          <w:sz w:val="20"/>
          <w:szCs w:val="20"/>
          <w:color w:val="auto"/>
        </w:rPr>
      </w:pPr>
    </w:p>
    <w:p>
      <w:pPr>
        <w:ind w:left="1880" w:right="679" w:hanging="352"/>
        <w:spacing w:after="0" w:line="272" w:lineRule="auto"/>
        <w:tabs>
          <w:tab w:leader="none" w:pos="18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Articles of Amendment and Restatement of the Company (the “</w:t>
      </w:r>
      <w:r>
        <w:rPr>
          <w:rFonts w:ascii="Times New Roman" w:cs="Times New Roman" w:eastAsia="Times New Roman" w:hAnsi="Times New Roman"/>
          <w:sz w:val="14"/>
          <w:szCs w:val="14"/>
          <w:b w:val="1"/>
          <w:bCs w:val="1"/>
          <w:i w:val="1"/>
          <w:iCs w:val="1"/>
          <w:color w:val="auto"/>
        </w:rPr>
        <w:t>Charter</w:t>
      </w:r>
      <w:r>
        <w:rPr>
          <w:rFonts w:ascii="Times New Roman" w:cs="Times New Roman" w:eastAsia="Times New Roman" w:hAnsi="Times New Roman"/>
          <w:sz w:val="14"/>
          <w:szCs w:val="14"/>
          <w:color w:val="auto"/>
        </w:rPr>
        <w:t>”), certified as of a recent date by the State Department of Assessments and Taxation of the State of Maryland (the “</w:t>
      </w:r>
      <w:r>
        <w:rPr>
          <w:rFonts w:ascii="Times New Roman" w:cs="Times New Roman" w:eastAsia="Times New Roman" w:hAnsi="Times New Roman"/>
          <w:sz w:val="14"/>
          <w:szCs w:val="14"/>
          <w:b w:val="1"/>
          <w:bCs w:val="1"/>
          <w:i w:val="1"/>
          <w:iCs w:val="1"/>
          <w:color w:val="auto"/>
        </w:rPr>
        <w:t>SDAT</w:t>
      </w:r>
      <w:r>
        <w:rPr>
          <w:rFonts w:ascii="Times New Roman" w:cs="Times New Roman" w:eastAsia="Times New Roman" w:hAnsi="Times New Roman"/>
          <w:sz w:val="14"/>
          <w:szCs w:val="14"/>
          <w:color w:val="auto"/>
        </w:rPr>
        <w:t>”);</w:t>
      </w:r>
    </w:p>
    <w:p>
      <w:pPr>
        <w:spacing w:after="0" w:line="55" w:lineRule="exact"/>
        <w:rPr>
          <w:rFonts w:ascii="Times New Roman" w:cs="Times New Roman" w:eastAsia="Times New Roman" w:hAnsi="Times New Roman"/>
          <w:sz w:val="14"/>
          <w:szCs w:val="14"/>
          <w:color w:val="auto"/>
        </w:rPr>
      </w:pPr>
    </w:p>
    <w:p>
      <w:pPr>
        <w:ind w:left="1880" w:hanging="352"/>
        <w:spacing w:after="0"/>
        <w:tabs>
          <w:tab w:leader="none" w:pos="18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Bylaws of the Company, certified as of the date hereof by an officer of the Company (the “</w:t>
      </w:r>
      <w:r>
        <w:rPr>
          <w:rFonts w:ascii="Times New Roman" w:cs="Times New Roman" w:eastAsia="Times New Roman" w:hAnsi="Times New Roman"/>
          <w:sz w:val="14"/>
          <w:szCs w:val="14"/>
          <w:b w:val="1"/>
          <w:bCs w:val="1"/>
          <w:i w:val="1"/>
          <w:iCs w:val="1"/>
          <w:color w:val="auto"/>
        </w:rPr>
        <w:t>Bylaws</w:t>
      </w:r>
      <w:r>
        <w:rPr>
          <w:rFonts w:ascii="Times New Roman" w:cs="Times New Roman" w:eastAsia="Times New Roman" w:hAnsi="Times New Roman"/>
          <w:sz w:val="14"/>
          <w:szCs w:val="14"/>
          <w:color w:val="auto"/>
        </w:rPr>
        <w:t>”);</w:t>
      </w:r>
    </w:p>
    <w:p>
      <w:pPr>
        <w:spacing w:after="0" w:line="99" w:lineRule="exact"/>
        <w:rPr>
          <w:rFonts w:ascii="Times New Roman" w:cs="Times New Roman" w:eastAsia="Times New Roman" w:hAnsi="Times New Roman"/>
          <w:sz w:val="14"/>
          <w:szCs w:val="14"/>
          <w:color w:val="auto"/>
        </w:rPr>
      </w:pPr>
    </w:p>
    <w:p>
      <w:pPr>
        <w:ind w:left="1880" w:hanging="352"/>
        <w:spacing w:after="0"/>
        <w:tabs>
          <w:tab w:leader="none" w:pos="18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Base Indenture;</w:t>
      </w:r>
    </w:p>
    <w:p>
      <w:pPr>
        <w:spacing w:after="0" w:line="91" w:lineRule="exact"/>
        <w:rPr>
          <w:rFonts w:ascii="Times New Roman" w:cs="Times New Roman" w:eastAsia="Times New Roman" w:hAnsi="Times New Roman"/>
          <w:sz w:val="14"/>
          <w:szCs w:val="14"/>
          <w:color w:val="auto"/>
        </w:rPr>
      </w:pPr>
    </w:p>
    <w:p>
      <w:pPr>
        <w:ind w:left="1880" w:right="639" w:hanging="352"/>
        <w:spacing w:after="0" w:line="272" w:lineRule="auto"/>
        <w:tabs>
          <w:tab w:leader="none" w:pos="18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Certificate of Good Standing with respect to the Company issued by the SDAT as of a recent date (the “</w:t>
      </w:r>
      <w:r>
        <w:rPr>
          <w:rFonts w:ascii="Times New Roman" w:cs="Times New Roman" w:eastAsia="Times New Roman" w:hAnsi="Times New Roman"/>
          <w:sz w:val="14"/>
          <w:szCs w:val="14"/>
          <w:b w:val="1"/>
          <w:bCs w:val="1"/>
          <w:i w:val="1"/>
          <w:iCs w:val="1"/>
          <w:color w:val="auto"/>
        </w:rPr>
        <w:t>Certificate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Good Standing</w:t>
      </w:r>
      <w:r>
        <w:rPr>
          <w:rFonts w:ascii="Times New Roman" w:cs="Times New Roman" w:eastAsia="Times New Roman" w:hAnsi="Times New Roman"/>
          <w:sz w:val="14"/>
          <w:szCs w:val="14"/>
          <w:color w:val="auto"/>
        </w:rPr>
        <w:t>”); and</w:t>
      </w:r>
    </w:p>
    <w:p>
      <w:pPr>
        <w:spacing w:after="0" w:line="55" w:lineRule="exact"/>
        <w:rPr>
          <w:rFonts w:ascii="Times New Roman" w:cs="Times New Roman" w:eastAsia="Times New Roman" w:hAnsi="Times New Roman"/>
          <w:sz w:val="14"/>
          <w:szCs w:val="14"/>
          <w:color w:val="auto"/>
        </w:rPr>
      </w:pPr>
    </w:p>
    <w:p>
      <w:pPr>
        <w:ind w:left="1880" w:right="379" w:hanging="352"/>
        <w:spacing w:after="0" w:line="279" w:lineRule="auto"/>
        <w:tabs>
          <w:tab w:leader="none" w:pos="188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resolutions of the board of directors of the Company (the “</w:t>
      </w:r>
      <w:r>
        <w:rPr>
          <w:rFonts w:ascii="Times New Roman" w:cs="Times New Roman" w:eastAsia="Times New Roman" w:hAnsi="Times New Roman"/>
          <w:sz w:val="13"/>
          <w:szCs w:val="13"/>
          <w:b w:val="1"/>
          <w:bCs w:val="1"/>
          <w:i w:val="1"/>
          <w:iCs w:val="1"/>
          <w:color w:val="auto"/>
        </w:rPr>
        <w:t>Board</w:t>
      </w:r>
      <w:r>
        <w:rPr>
          <w:rFonts w:ascii="Times New Roman" w:cs="Times New Roman" w:eastAsia="Times New Roman" w:hAnsi="Times New Roman"/>
          <w:sz w:val="13"/>
          <w:szCs w:val="13"/>
          <w:color w:val="auto"/>
        </w:rPr>
        <w:t>”) relating to, among other things, (a) the authorization and approval of the preparation and filing of the Registration Statement, (b) the authorization of the issuance, offer and sale of the Securities pursuant to the Registration Statement, and (c) the authorization, execution and delivery of the Base Indenture, certified as of the date hereof by an officer of the Company (collectively, the “</w:t>
      </w:r>
      <w:r>
        <w:rPr>
          <w:rFonts w:ascii="Times New Roman" w:cs="Times New Roman" w:eastAsia="Times New Roman" w:hAnsi="Times New Roman"/>
          <w:sz w:val="13"/>
          <w:szCs w:val="13"/>
          <w:b w:val="1"/>
          <w:bCs w:val="1"/>
          <w:i w:val="1"/>
          <w:iCs w:val="1"/>
          <w:color w:val="auto"/>
        </w:rPr>
        <w:t>Resolutions</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ind w:left="1320" w:right="339" w:firstLine="295"/>
        <w:spacing w:after="0" w:line="247" w:lineRule="auto"/>
        <w:rPr>
          <w:sz w:val="20"/>
          <w:szCs w:val="20"/>
          <w:color w:val="auto"/>
        </w:rPr>
      </w:pPr>
      <w:r>
        <w:rPr>
          <w:rFonts w:ascii="Times New Roman" w:cs="Times New Roman" w:eastAsia="Times New Roman" w:hAnsi="Times New Roman"/>
          <w:sz w:val="14"/>
          <w:szCs w:val="14"/>
          <w:color w:val="auto"/>
        </w:rPr>
        <w:t>With respect to such examination and our opinions expressed herein, we have assumed, without any independent investigation or verification, (i) the genuineness of all signatures on all documents submitted to us for examination, (ii) the legal capacity of all natural persons, (iii) the authenticity of all documents submitted to us as originals, (iv) the conformity to original documents of all documents submitted to us as conformed or reproduced copies and the authenticity of the originals of such copied documents, (v) that all certificates issued by public officials have been properly issued, (vi) that each Supplemental Indenture, the Rights Agreements and the Warrant Agreements will be governed by the laws of the State of New York and (vii) that the Indenture, the Rights Agreements and the Warrant Agreements will be a valid and legally binding obligation of all parties thereto (other than the Company). We also have assumed, without independent investigation or verification, the accuracy and completeness of all corporate records made available to us by the Company.</w:t>
      </w:r>
    </w:p>
    <w:p>
      <w:pPr>
        <w:spacing w:after="0" w:line="150" w:lineRule="exact"/>
        <w:rPr>
          <w:sz w:val="20"/>
          <w:szCs w:val="20"/>
          <w:color w:val="auto"/>
        </w:rPr>
      </w:pPr>
    </w:p>
    <w:p>
      <w:pPr>
        <w:ind w:left="1320" w:right="419" w:firstLine="295"/>
        <w:spacing w:after="0" w:line="252" w:lineRule="auto"/>
        <w:rPr>
          <w:sz w:val="20"/>
          <w:szCs w:val="20"/>
          <w:color w:val="auto"/>
        </w:rPr>
      </w:pPr>
      <w:r>
        <w:rPr>
          <w:rFonts w:ascii="Times New Roman" w:cs="Times New Roman" w:eastAsia="Times New Roman" w:hAnsi="Times New Roman"/>
          <w:sz w:val="14"/>
          <w:szCs w:val="14"/>
          <w:color w:val="auto"/>
        </w:rPr>
        <w:t>As to certain matters of fact relevant to the opinions in this opinion letter, we have relied upon certificates and confirmations of public officials (which we have assumed remain accurate as of the date of this opinion) and upon certificates of officers of the Company. We have not independently established the facts, or in the case of certificates or confirmations of public officials, the other statements, so relied upon.</w:t>
      </w:r>
    </w:p>
    <w:p>
      <w:pPr>
        <w:spacing w:after="0" w:line="141" w:lineRule="exact"/>
        <w:rPr>
          <w:sz w:val="20"/>
          <w:szCs w:val="20"/>
          <w:color w:val="auto"/>
        </w:rPr>
      </w:pPr>
    </w:p>
    <w:p>
      <w:pPr>
        <w:ind w:left="1320" w:right="459" w:firstLine="295"/>
        <w:spacing w:after="0" w:line="250" w:lineRule="auto"/>
        <w:rPr>
          <w:sz w:val="20"/>
          <w:szCs w:val="20"/>
          <w:color w:val="auto"/>
        </w:rPr>
      </w:pPr>
      <w:r>
        <w:rPr>
          <w:rFonts w:ascii="Times New Roman" w:cs="Times New Roman" w:eastAsia="Times New Roman" w:hAnsi="Times New Roman"/>
          <w:sz w:val="14"/>
          <w:szCs w:val="14"/>
          <w:color w:val="auto"/>
        </w:rPr>
        <w:t xml:space="preserve">The opinions set forth below are limited to the effect of the Maryland General Corporation Law (the </w:t>
      </w:r>
      <w:r>
        <w:rPr>
          <w:rFonts w:ascii="Times New Roman" w:cs="Times New Roman" w:eastAsia="Times New Roman" w:hAnsi="Times New Roman"/>
          <w:sz w:val="14"/>
          <w:szCs w:val="14"/>
          <w:b w:val="1"/>
          <w:bCs w:val="1"/>
          <w:i w:val="1"/>
          <w:iCs w:val="1"/>
          <w:color w:val="auto"/>
        </w:rPr>
        <w:t>“MGCL”</w:t>
      </w:r>
      <w:r>
        <w:rPr>
          <w:rFonts w:ascii="Times New Roman" w:cs="Times New Roman" w:eastAsia="Times New Roman" w:hAnsi="Times New Roman"/>
          <w:sz w:val="14"/>
          <w:szCs w:val="14"/>
          <w:color w:val="auto"/>
        </w:rPr>
        <w:t>), and, as to the Debt Securities, the Rights and the Warrants constituting valid and legally binding obligations of the Company, the contract laws of the State of New York, in each case, as in effect on the date hereof, and we express no opinion as to the applicability or effect of any other laws of Maryland or the laws of any other jurisdictions. Without limiting the preceding sentence, we express no opinion as to any federal or state securities or broker-dealer laws or regulations thereunder relating to the offer, issuance and sale of the Securities pursuant to the Registration Statement.</w:t>
      </w:r>
    </w:p>
    <w:p>
      <w:pPr>
        <w:spacing w:after="0" w:line="147" w:lineRule="exact"/>
        <w:rPr>
          <w:sz w:val="20"/>
          <w:szCs w:val="20"/>
          <w:color w:val="auto"/>
        </w:rPr>
      </w:pPr>
    </w:p>
    <w:p>
      <w:pPr>
        <w:ind w:left="1320" w:right="379" w:firstLine="295"/>
        <w:spacing w:after="0" w:line="255" w:lineRule="auto"/>
        <w:rPr>
          <w:sz w:val="20"/>
          <w:szCs w:val="20"/>
          <w:color w:val="auto"/>
        </w:rPr>
      </w:pPr>
      <w:r>
        <w:rPr>
          <w:rFonts w:ascii="Times New Roman" w:cs="Times New Roman" w:eastAsia="Times New Roman" w:hAnsi="Times New Roman"/>
          <w:sz w:val="14"/>
          <w:szCs w:val="14"/>
          <w:color w:val="auto"/>
        </w:rPr>
        <w:t>This opinion letter has been prepared, and should be interpreted, in accordance with customary practice followed in the preparation of opinion letters by lawyers who regularly give, and such customary practice followed by lawyers who on behalf of their clients regularly advise opinion recipients regarding, opinion letters of this kind.</w:t>
      </w:r>
    </w:p>
    <w:p>
      <w:pPr>
        <w:spacing w:after="0" w:line="143" w:lineRule="exact"/>
        <w:rPr>
          <w:sz w:val="20"/>
          <w:szCs w:val="20"/>
          <w:color w:val="auto"/>
        </w:rPr>
      </w:pPr>
    </w:p>
    <w:p>
      <w:pPr>
        <w:ind w:left="1320" w:right="379" w:firstLine="295"/>
        <w:spacing w:after="0" w:line="249" w:lineRule="auto"/>
        <w:rPr>
          <w:sz w:val="20"/>
          <w:szCs w:val="20"/>
          <w:color w:val="auto"/>
        </w:rPr>
      </w:pPr>
      <w:r>
        <w:rPr>
          <w:rFonts w:ascii="Times New Roman" w:cs="Times New Roman" w:eastAsia="Times New Roman" w:hAnsi="Times New Roman"/>
          <w:sz w:val="14"/>
          <w:szCs w:val="14"/>
          <w:color w:val="auto"/>
        </w:rPr>
        <w:t>The opinions expressed in paragraphs 3, 4 and 5 below are subject to the effect of (i) applicable bankruptcy, insolvency, reorganization, receivership, moratorium, fraudulent conveyance, and other similar laws affecting the rights and remedies of creditors generally, (ii) general principles of equity (including, without limitation, the availability of specific performance or injunctive relief and the application of concepts of materiality, reasonableness, good faith and fair dealing), regardless of whether considered in a proceeding at law or in equity and (iii) federal and state securities laws or principles of public policy that may limit enforcement of rights to indemnity, contribution and exculpation.</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81" w:right="1440" w:bottom="1440" w:gutter="0" w:footer="0" w:header="0"/>
        </w:sectPr>
      </w:pPr>
    </w:p>
    <w:bookmarkStart w:id="129" w:name="page130"/>
    <w:bookmarkEnd w:id="129"/>
    <w:p>
      <w:pPr>
        <w:ind w:left="1320" w:right="1079" w:firstLine="295"/>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7">
                      <a:extLst>
                        <a:ext uri="{28A0092B-C50C-407E-A947-70E740481C1C}"/>
                      </a:extLst>
                    </a:blip>
                    <a:srcRect/>
                    <a:stretch>
                      <a:fillRect/>
                    </a:stretch>
                  </pic:blipFill>
                  <pic:spPr bwMode="auto">
                    <a:xfrm>
                      <a:off x="0" y="0"/>
                      <a:ext cx="7203440" cy="32385"/>
                    </a:xfrm>
                    <a:prstGeom prst="rect">
                      <a:avLst/>
                    </a:prstGeom>
                    <a:noFill/>
                  </pic:spPr>
                </pic:pic>
              </a:graphicData>
            </a:graphic>
          </wp:anchor>
        </w:drawing>
        <w:t>On the basis of and subject to the foregoing, and in reliance thereon, and subject to the assumptions, limitations and qualifications set forth in this opinion letter, and further assuming that:</w:t>
      </w:r>
    </w:p>
    <w:p>
      <w:pPr>
        <w:spacing w:after="0" w:line="64" w:lineRule="exact"/>
        <w:rPr>
          <w:sz w:val="20"/>
          <w:szCs w:val="20"/>
          <w:color w:val="auto"/>
        </w:rPr>
      </w:pPr>
    </w:p>
    <w:p>
      <w:pPr>
        <w:ind w:left="1880" w:right="399" w:hanging="352"/>
        <w:spacing w:after="0" w:line="249" w:lineRule="auto"/>
        <w:tabs>
          <w:tab w:leader="none" w:pos="18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Articles Supplementary classifying and designating the number of shares and the terms of any class or series of the Preferred Stock to be issued by the Company (the </w:t>
      </w:r>
      <w:r>
        <w:rPr>
          <w:rFonts w:ascii="Times New Roman" w:cs="Times New Roman" w:eastAsia="Times New Roman" w:hAnsi="Times New Roman"/>
          <w:sz w:val="14"/>
          <w:szCs w:val="14"/>
          <w:b w:val="1"/>
          <w:bCs w:val="1"/>
          <w:i w:val="1"/>
          <w:iCs w:val="1"/>
          <w:color w:val="auto"/>
        </w:rPr>
        <w:t>“Articles Supplementary”</w:t>
      </w:r>
      <w:r>
        <w:rPr>
          <w:rFonts w:ascii="Times New Roman" w:cs="Times New Roman" w:eastAsia="Times New Roman" w:hAnsi="Times New Roman"/>
          <w:sz w:val="14"/>
          <w:szCs w:val="14"/>
          <w:color w:val="auto"/>
        </w:rPr>
        <w:t>) will have been duly authorized and determined or otherwise established by proper action of the Board or a duly authorized committee thereof in accordance with the Charter and the Bylaws and will have been filed with and accepted for record by the SDAT prior to the issuance of any such Preferred Stock, and such Articles Supplementary complies with the applicable requirements with respect thereto under the MGCL, the Charter and the Bylaws;</w:t>
      </w:r>
    </w:p>
    <w:p>
      <w:pPr>
        <w:spacing w:after="0" w:line="74" w:lineRule="exact"/>
        <w:rPr>
          <w:rFonts w:ascii="Times New Roman" w:cs="Times New Roman" w:eastAsia="Times New Roman" w:hAnsi="Times New Roman"/>
          <w:sz w:val="14"/>
          <w:szCs w:val="14"/>
          <w:color w:val="auto"/>
        </w:rPr>
      </w:pPr>
    </w:p>
    <w:p>
      <w:pPr>
        <w:ind w:left="1880" w:right="699" w:hanging="352"/>
        <w:spacing w:after="0" w:line="266" w:lineRule="auto"/>
        <w:tabs>
          <w:tab w:leader="none" w:pos="18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Supplemental Indenture will have been duly authorized, executed and delivered by each of the Company and the Trustee in accordance with the terms of the Base Indenture;</w:t>
      </w:r>
    </w:p>
    <w:p>
      <w:pPr>
        <w:spacing w:after="0" w:line="63" w:lineRule="exact"/>
        <w:rPr>
          <w:rFonts w:ascii="Times New Roman" w:cs="Times New Roman" w:eastAsia="Times New Roman" w:hAnsi="Times New Roman"/>
          <w:sz w:val="14"/>
          <w:szCs w:val="14"/>
          <w:color w:val="auto"/>
        </w:rPr>
      </w:pPr>
    </w:p>
    <w:p>
      <w:pPr>
        <w:ind w:left="1880" w:hanging="352"/>
        <w:spacing w:after="0"/>
        <w:tabs>
          <w:tab w:leader="none" w:pos="188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Supplemental Indenture will constitute a valid and legally binding obligation of each of the Company and the Trustee;</w:t>
      </w:r>
    </w:p>
    <w:p>
      <w:pPr>
        <w:spacing w:after="0" w:line="106" w:lineRule="exact"/>
        <w:rPr>
          <w:rFonts w:ascii="Times New Roman" w:cs="Times New Roman" w:eastAsia="Times New Roman" w:hAnsi="Times New Roman"/>
          <w:sz w:val="13"/>
          <w:szCs w:val="13"/>
          <w:color w:val="auto"/>
        </w:rPr>
      </w:pPr>
    </w:p>
    <w:p>
      <w:pPr>
        <w:jc w:val="both"/>
        <w:ind w:left="1880" w:right="439" w:hanging="352"/>
        <w:spacing w:after="0" w:line="255" w:lineRule="auto"/>
        <w:tabs>
          <w:tab w:leader="none" w:pos="18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Warrant Agreement, including any amendments or supplements thereto, and the Warrants issued thereunder will have been duly authorized, executed and delivered by each of the Company and the other parties thereto in accordance with the terms of such Warrant Agreement;</w:t>
      </w:r>
    </w:p>
    <w:p>
      <w:pPr>
        <w:spacing w:after="0" w:line="71" w:lineRule="exact"/>
        <w:rPr>
          <w:rFonts w:ascii="Times New Roman" w:cs="Times New Roman" w:eastAsia="Times New Roman" w:hAnsi="Times New Roman"/>
          <w:sz w:val="14"/>
          <w:szCs w:val="14"/>
          <w:color w:val="auto"/>
        </w:rPr>
      </w:pPr>
    </w:p>
    <w:p>
      <w:pPr>
        <w:ind w:left="1880" w:right="399" w:hanging="352"/>
        <w:spacing w:after="0" w:line="266" w:lineRule="auto"/>
        <w:tabs>
          <w:tab w:leader="none" w:pos="18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Warrant Agreement will constitute a valid and legally binding obligation of each of the Company and the other parties thereto;</w:t>
      </w:r>
    </w:p>
    <w:p>
      <w:pPr>
        <w:spacing w:after="0" w:line="63" w:lineRule="exact"/>
        <w:rPr>
          <w:rFonts w:ascii="Times New Roman" w:cs="Times New Roman" w:eastAsia="Times New Roman" w:hAnsi="Times New Roman"/>
          <w:sz w:val="14"/>
          <w:szCs w:val="14"/>
          <w:color w:val="auto"/>
        </w:rPr>
      </w:pPr>
    </w:p>
    <w:p>
      <w:pPr>
        <w:ind w:left="1880" w:right="359" w:hanging="352"/>
        <w:spacing w:after="0" w:line="255" w:lineRule="auto"/>
        <w:tabs>
          <w:tab w:leader="none" w:pos="18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Rights Agreement, including any amendments or supplements thereto, and the Rights issued thereunder will have been duly authorized, executed and delivered by each of the Company and the other parties thereto in accordance with the terms of the Rights Agreement;</w:t>
      </w:r>
    </w:p>
    <w:p>
      <w:pPr>
        <w:spacing w:after="0" w:line="71" w:lineRule="exact"/>
        <w:rPr>
          <w:rFonts w:ascii="Times New Roman" w:cs="Times New Roman" w:eastAsia="Times New Roman" w:hAnsi="Times New Roman"/>
          <w:sz w:val="14"/>
          <w:szCs w:val="14"/>
          <w:color w:val="auto"/>
        </w:rPr>
      </w:pPr>
    </w:p>
    <w:p>
      <w:pPr>
        <w:ind w:left="1880" w:right="479" w:hanging="352"/>
        <w:spacing w:after="0" w:line="266" w:lineRule="auto"/>
        <w:tabs>
          <w:tab w:leader="none" w:pos="18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Rights Agreement will constitute a valid and legally binding obligation of each of the Company and the other parties thereto;</w:t>
      </w:r>
    </w:p>
    <w:p>
      <w:pPr>
        <w:spacing w:after="0" w:line="63" w:lineRule="exact"/>
        <w:rPr>
          <w:rFonts w:ascii="Times New Roman" w:cs="Times New Roman" w:eastAsia="Times New Roman" w:hAnsi="Times New Roman"/>
          <w:sz w:val="14"/>
          <w:szCs w:val="14"/>
          <w:color w:val="auto"/>
        </w:rPr>
      </w:pPr>
    </w:p>
    <w:p>
      <w:pPr>
        <w:ind w:left="1880" w:right="339" w:hanging="352"/>
        <w:spacing w:after="0" w:line="247" w:lineRule="auto"/>
        <w:tabs>
          <w:tab w:leader="none" w:pos="18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offer and sale of the Securities from time to time and the final terms of such issuance, offer and sale, including those relating to price and amount of the Securities to be issued, offered and sold, and certain terms thereof, will have been duly authorized and determined or otherwise established by proper action of the Board or a duly authorized committee thereof in accordance with the Charter, if applicable, the Articles Supplementary, if applicable, the Indenture, if applicable, the Warrant Agreement, if applicable, the Rights Agreement, if applicable, and the Bylaws, if applicable, and are consistent with the terms and conditions for such issuance, offer and sale set forth in the Resolutions and the descriptions thereof in the Registration Statement, the Prospectus and the applicable Prospectus Supplement (such authorization or action being hereinafter referred to as the “</w:t>
      </w:r>
      <w:r>
        <w:rPr>
          <w:rFonts w:ascii="Times New Roman" w:cs="Times New Roman" w:eastAsia="Times New Roman" w:hAnsi="Times New Roman"/>
          <w:sz w:val="14"/>
          <w:szCs w:val="14"/>
          <w:b w:val="1"/>
          <w:bCs w:val="1"/>
          <w:i w:val="1"/>
          <w:iCs w:val="1"/>
          <w:color w:val="auto"/>
        </w:rPr>
        <w:t>Corporate Proceedings</w:t>
      </w:r>
      <w:r>
        <w:rPr>
          <w:rFonts w:ascii="Times New Roman" w:cs="Times New Roman" w:eastAsia="Times New Roman" w:hAnsi="Times New Roman"/>
          <w:sz w:val="14"/>
          <w:szCs w:val="14"/>
          <w:color w:val="auto"/>
        </w:rPr>
        <w:t>”);</w:t>
      </w:r>
    </w:p>
    <w:p>
      <w:pPr>
        <w:spacing w:after="0" w:line="79" w:lineRule="exact"/>
        <w:rPr>
          <w:rFonts w:ascii="Times New Roman" w:cs="Times New Roman" w:eastAsia="Times New Roman" w:hAnsi="Times New Roman"/>
          <w:sz w:val="14"/>
          <w:szCs w:val="14"/>
          <w:color w:val="auto"/>
        </w:rPr>
      </w:pPr>
    </w:p>
    <w:p>
      <w:pPr>
        <w:ind w:left="1880" w:hanging="352"/>
        <w:spacing w:after="0"/>
        <w:tabs>
          <w:tab w:leader="none" w:pos="188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terms of the Preferred Shares, the Debt Securities, the Warrants and the Rights as established and the issuance thereof</w:t>
      </w:r>
    </w:p>
    <w:p>
      <w:pPr>
        <w:spacing w:after="0" w:line="26" w:lineRule="exact"/>
        <w:rPr>
          <w:rFonts w:ascii="Times New Roman" w:cs="Times New Roman" w:eastAsia="Times New Roman" w:hAnsi="Times New Roman"/>
          <w:sz w:val="13"/>
          <w:szCs w:val="13"/>
          <w:color w:val="auto"/>
        </w:rPr>
      </w:pPr>
    </w:p>
    <w:p>
      <w:pPr>
        <w:ind w:left="1880" w:right="379"/>
        <w:spacing w:after="0" w:line="24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 will not violate any applicable law, (b) will not violate or result in a default under or breach of any agreement, instrument or other document binding upon the Company, and (c) will comply with all requirements or restrictions imposed by any court or governmental body having jurisdiction over the Company;</w:t>
      </w:r>
    </w:p>
    <w:p>
      <w:pPr>
        <w:spacing w:after="0" w:line="75" w:lineRule="exact"/>
        <w:rPr>
          <w:rFonts w:ascii="Times New Roman" w:cs="Times New Roman" w:eastAsia="Times New Roman" w:hAnsi="Times New Roman"/>
          <w:sz w:val="13"/>
          <w:szCs w:val="13"/>
          <w:color w:val="auto"/>
        </w:rPr>
      </w:pPr>
    </w:p>
    <w:p>
      <w:pPr>
        <w:ind w:left="1880" w:right="339" w:hanging="352"/>
        <w:spacing w:after="0" w:line="266" w:lineRule="auto"/>
        <w:tabs>
          <w:tab w:leader="none" w:pos="18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Preferred Shares, the Debt Securities, the Warrants or the Rights will include any provision that is unenforceable against the Company;</w:t>
      </w:r>
    </w:p>
    <w:p>
      <w:pPr>
        <w:spacing w:after="0" w:line="63" w:lineRule="exact"/>
        <w:rPr>
          <w:rFonts w:ascii="Times New Roman" w:cs="Times New Roman" w:eastAsia="Times New Roman" w:hAnsi="Times New Roman"/>
          <w:sz w:val="14"/>
          <w:szCs w:val="14"/>
          <w:color w:val="auto"/>
        </w:rPr>
      </w:pPr>
    </w:p>
    <w:p>
      <w:pPr>
        <w:ind w:left="1880" w:right="379" w:hanging="352"/>
        <w:spacing w:after="0" w:line="266" w:lineRule="auto"/>
        <w:tabs>
          <w:tab w:leader="none" w:pos="18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issuance of the Debt Securities will have been duly executed by the Company and duly authenticated by the Trustee in accordance with the Base Indenture, as supplemented by the applicable Supplemental Indenture;</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81" w:right="1440" w:bottom="1440" w:gutter="0" w:footer="0" w:header="0"/>
        </w:sectPr>
      </w:pPr>
    </w:p>
    <w:bookmarkStart w:id="130" w:name="page131"/>
    <w:bookmarkEnd w:id="130"/>
    <w:p>
      <w:pPr>
        <w:ind w:left="1880" w:right="419" w:hanging="352"/>
        <w:spacing w:after="0" w:line="266" w:lineRule="auto"/>
        <w:tabs>
          <w:tab w:leader="none" w:pos="18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8">
                      <a:extLst>
                        <a:ext uri="{28A0092B-C50C-407E-A947-70E740481C1C}"/>
                      </a:extLst>
                    </a:blip>
                    <a:srcRect/>
                    <a:stretch>
                      <a:fillRect/>
                    </a:stretch>
                  </pic:blipFill>
                  <pic:spPr bwMode="auto">
                    <a:xfrm>
                      <a:off x="0" y="0"/>
                      <a:ext cx="7203440" cy="32385"/>
                    </a:xfrm>
                    <a:prstGeom prst="rect">
                      <a:avLst/>
                    </a:prstGeom>
                    <a:noFill/>
                  </pic:spPr>
                </pic:pic>
              </a:graphicData>
            </a:graphic>
          </wp:anchor>
        </w:drawing>
        <w:t>each issuance of the Warrants will have been duly executed by the Company and duly authenticated in accordance with the Warrant Agreement;</w:t>
      </w:r>
    </w:p>
    <w:p>
      <w:pPr>
        <w:spacing w:after="0" w:line="63" w:lineRule="exact"/>
        <w:rPr>
          <w:rFonts w:ascii="Times New Roman" w:cs="Times New Roman" w:eastAsia="Times New Roman" w:hAnsi="Times New Roman"/>
          <w:sz w:val="14"/>
          <w:szCs w:val="14"/>
          <w:color w:val="auto"/>
        </w:rPr>
      </w:pPr>
    </w:p>
    <w:p>
      <w:pPr>
        <w:ind w:left="1880" w:right="539" w:hanging="352"/>
        <w:spacing w:after="0" w:line="266" w:lineRule="auto"/>
        <w:tabs>
          <w:tab w:leader="none" w:pos="18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issuance of the Rights will have been duly executed by the Company and duly authenticated in accordance with the Rights Agreement;</w:t>
      </w:r>
    </w:p>
    <w:p>
      <w:pPr>
        <w:spacing w:after="0" w:line="63" w:lineRule="exact"/>
        <w:rPr>
          <w:rFonts w:ascii="Times New Roman" w:cs="Times New Roman" w:eastAsia="Times New Roman" w:hAnsi="Times New Roman"/>
          <w:sz w:val="14"/>
          <w:szCs w:val="14"/>
          <w:color w:val="auto"/>
        </w:rPr>
      </w:pPr>
    </w:p>
    <w:p>
      <w:pPr>
        <w:ind w:left="1880" w:right="339" w:hanging="352"/>
        <w:spacing w:after="0" w:line="284" w:lineRule="auto"/>
        <w:tabs>
          <w:tab w:leader="none" w:pos="188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Common Shares, Preferred Shares, Warrants or Rights issued and sold pursuant to the Registration Statement, including upon the exercise of any Securities convertible into or exercisable for Common Shares or Preferred Shares, will have been delivered to, and the agreed consideration has been fully paid at the time of such delivery by, the purchasers thereof;</w:t>
      </w:r>
    </w:p>
    <w:p>
      <w:pPr>
        <w:spacing w:after="0" w:line="54" w:lineRule="exact"/>
        <w:rPr>
          <w:rFonts w:ascii="Times New Roman" w:cs="Times New Roman" w:eastAsia="Times New Roman" w:hAnsi="Times New Roman"/>
          <w:sz w:val="13"/>
          <w:szCs w:val="13"/>
          <w:color w:val="auto"/>
        </w:rPr>
      </w:pPr>
    </w:p>
    <w:p>
      <w:pPr>
        <w:ind w:left="1880" w:right="419" w:hanging="352"/>
        <w:spacing w:after="0" w:line="250" w:lineRule="auto"/>
        <w:tabs>
          <w:tab w:leader="none" w:pos="18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issuance of any Common Shares or Preferred Shares by the Company pursuant to the Registration Statement, including upon the exercise of any Securities convertible into or exercisable for Common Shares or Preferred Shares, the total number of shares of Common Stock or Preferred Stock, as applicable, issued and outstanding will not exceed the total number of shares of Common Stock or Preferred Stock, as applicable, that the Company is then authorized to issue under the Charter;</w:t>
      </w:r>
    </w:p>
    <w:p>
      <w:pPr>
        <w:spacing w:after="0" w:line="74" w:lineRule="exact"/>
        <w:rPr>
          <w:rFonts w:ascii="Times New Roman" w:cs="Times New Roman" w:eastAsia="Times New Roman" w:hAnsi="Times New Roman"/>
          <w:sz w:val="14"/>
          <w:szCs w:val="14"/>
          <w:color w:val="auto"/>
        </w:rPr>
      </w:pPr>
    </w:p>
    <w:p>
      <w:pPr>
        <w:ind w:left="1880" w:right="359" w:hanging="352"/>
        <w:spacing w:after="0" w:line="255" w:lineRule="auto"/>
        <w:tabs>
          <w:tab w:leader="none" w:pos="18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time of any issuance of the Debt Securities or Preferred Shares, after giving effect to such issuance, the Company will be in compliance with Section 18(a)(1)(A) of the Investment Company Act of 1940, as amended, giving effect to Section 61(a)(2) thereof; and</w:t>
      </w:r>
    </w:p>
    <w:p>
      <w:pPr>
        <w:spacing w:after="0" w:line="71" w:lineRule="exact"/>
        <w:rPr>
          <w:rFonts w:ascii="Times New Roman" w:cs="Times New Roman" w:eastAsia="Times New Roman" w:hAnsi="Times New Roman"/>
          <w:sz w:val="14"/>
          <w:szCs w:val="14"/>
          <w:color w:val="auto"/>
        </w:rPr>
      </w:pPr>
    </w:p>
    <w:p>
      <w:pPr>
        <w:ind w:left="1880" w:right="359" w:hanging="352"/>
        <w:spacing w:after="0" w:line="255" w:lineRule="auto"/>
        <w:tabs>
          <w:tab w:leader="none" w:pos="18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Certificate of Good Standing remains accurate, the Resolutions and the applicable Corporate Proceedings remain in effect, without amendment, and the Registration Statement will have become effective under the Securities Act and remains effective at the time of the issuance, offer and/or sale of the Securities,</w:t>
      </w:r>
    </w:p>
    <w:p>
      <w:pPr>
        <w:spacing w:after="0" w:line="1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we are of the opinion that:</w:t>
      </w:r>
    </w:p>
    <w:p>
      <w:pPr>
        <w:spacing w:after="0" w:line="95" w:lineRule="exact"/>
        <w:rPr>
          <w:sz w:val="20"/>
          <w:szCs w:val="20"/>
          <w:color w:val="auto"/>
        </w:rPr>
      </w:pPr>
    </w:p>
    <w:p>
      <w:pPr>
        <w:jc w:val="both"/>
        <w:ind w:left="1880" w:right="359" w:hanging="352"/>
        <w:spacing w:after="0" w:line="252" w:lineRule="auto"/>
        <w:tabs>
          <w:tab w:leader="none" w:pos="188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completion of all Corporate Proceedings relating thereto, the issuance of the Common Shares by the Company will be duly authorized and, when issued and paid for in accordance with the Registration Statement, the Prospectus, the applicable Prospectus Supplement, the Resolutions and all Corporate Proceedings relating thereto, the Common Shares will be validly issued, fully paid and non-assessable.</w:t>
      </w:r>
    </w:p>
    <w:p>
      <w:pPr>
        <w:spacing w:after="0" w:line="72" w:lineRule="exact"/>
        <w:rPr>
          <w:rFonts w:ascii="Times New Roman" w:cs="Times New Roman" w:eastAsia="Times New Roman" w:hAnsi="Times New Roman"/>
          <w:sz w:val="14"/>
          <w:szCs w:val="14"/>
          <w:color w:val="auto"/>
        </w:rPr>
      </w:pPr>
    </w:p>
    <w:p>
      <w:pPr>
        <w:ind w:left="1880" w:right="399" w:hanging="352"/>
        <w:spacing w:after="0" w:line="252" w:lineRule="auto"/>
        <w:tabs>
          <w:tab w:leader="none" w:pos="188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completion of all Corporate Proceedings relating thereto, the issuance of the Preferred Shares will be duly authorized and, when issued and paid for in accordance with the Registration Statement, the Prospectus, the applicable Prospectus Supplement, the Resolutions and all Corporate Proceedings relating thereto, the Preferred Shares will be validly issued, fully paid and non-assessable.</w:t>
      </w:r>
    </w:p>
    <w:p>
      <w:pPr>
        <w:spacing w:after="0" w:line="72" w:lineRule="exact"/>
        <w:rPr>
          <w:rFonts w:ascii="Times New Roman" w:cs="Times New Roman" w:eastAsia="Times New Roman" w:hAnsi="Times New Roman"/>
          <w:sz w:val="14"/>
          <w:szCs w:val="14"/>
          <w:color w:val="auto"/>
        </w:rPr>
      </w:pPr>
    </w:p>
    <w:p>
      <w:pPr>
        <w:ind w:left="1880" w:right="379" w:hanging="352"/>
        <w:spacing w:after="0" w:line="252" w:lineRule="auto"/>
        <w:tabs>
          <w:tab w:leader="none" w:pos="188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completion of all Corporate Proceedings relating thereto, the issuance of the Rights will be duly authorized and when issued and paid for in accordance with the applicable Rights Agreement, the Registration Statement, the Prospectus, the applicable Prospectus Supplement, the Resolutions, and all Corporate Proceedings relating thereto, the Rights will constitute valid and legally binding obligations of the Company.</w:t>
      </w:r>
    </w:p>
    <w:p>
      <w:pPr>
        <w:spacing w:after="0" w:line="72" w:lineRule="exact"/>
        <w:rPr>
          <w:rFonts w:ascii="Times New Roman" w:cs="Times New Roman" w:eastAsia="Times New Roman" w:hAnsi="Times New Roman"/>
          <w:sz w:val="14"/>
          <w:szCs w:val="14"/>
          <w:color w:val="auto"/>
        </w:rPr>
      </w:pPr>
    </w:p>
    <w:p>
      <w:pPr>
        <w:ind w:left="1880" w:right="459" w:hanging="352"/>
        <w:spacing w:after="0" w:line="277" w:lineRule="auto"/>
        <w:tabs>
          <w:tab w:leader="none" w:pos="188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completion of all Corporate Proceedings relating thereto, the issuance of the Debt Securities will be duly authorized and, when issued and paid for in accordance with the Base Indenture, the applicable Supplemental Indenture, the Registration Statement, the Prospectus, the applicable Prospectus Supplement, the Resolutions and all Corporate Proceedings relating thereto, the Debt Securities will constitute valid and legally binding obligations of the Company.</w:t>
      </w:r>
    </w:p>
    <w:p>
      <w:pPr>
        <w:spacing w:after="0" w:line="58" w:lineRule="exact"/>
        <w:rPr>
          <w:rFonts w:ascii="Times New Roman" w:cs="Times New Roman" w:eastAsia="Times New Roman" w:hAnsi="Times New Roman"/>
          <w:sz w:val="13"/>
          <w:szCs w:val="13"/>
          <w:color w:val="auto"/>
        </w:rPr>
      </w:pPr>
    </w:p>
    <w:p>
      <w:pPr>
        <w:ind w:left="1880" w:right="379" w:hanging="352"/>
        <w:spacing w:after="0" w:line="252" w:lineRule="auto"/>
        <w:tabs>
          <w:tab w:leader="none" w:pos="188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completion of all Corporate Proceedings relating thereto, the issuance of the Warrants will be duly authorized and, when issued and paid for in accordance with the applicable Warrant Agreement, the Registration Statement, the Prospectus, the applicable Prospectus Supplement, the Resolutions and all Corporate Proceedings relating thereto, the Warrants will constitute valid and legally binding obligations of the Company.</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81" w:right="1440" w:bottom="1440" w:gutter="0" w:footer="0" w:header="0"/>
        </w:sectPr>
      </w:pPr>
    </w:p>
    <w:bookmarkStart w:id="131" w:name="page132"/>
    <w:bookmarkEnd w:id="131"/>
    <w:p>
      <w:pPr>
        <w:ind w:left="1320" w:right="439" w:firstLine="295"/>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3440" cy="323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9">
                      <a:extLst>
                        <a:ext uri="{28A0092B-C50C-407E-A947-70E740481C1C}"/>
                      </a:extLst>
                    </a:blip>
                    <a:srcRect/>
                    <a:stretch>
                      <a:fillRect/>
                    </a:stretch>
                  </pic:blipFill>
                  <pic:spPr bwMode="auto">
                    <a:xfrm>
                      <a:off x="0" y="0"/>
                      <a:ext cx="7203440" cy="32385"/>
                    </a:xfrm>
                    <a:prstGeom prst="rect">
                      <a:avLst/>
                    </a:prstGeom>
                    <a:noFill/>
                  </pic:spPr>
                </pic:pic>
              </a:graphicData>
            </a:graphic>
          </wp:anchor>
        </w:drawing>
        <w:t>The opinions expressed in this opinion letter are (i) strictly limited to the matters stated in this opinion letter, and without limiting the foregoing, no other opinions are to be inferred and (ii) only as of the date of this opinion letter, and we are under no obligation, and do not undertake, to advise the Company or any other person or entity either of any change of law or fact that occurs, or of any fact that comes to our attention, after the date of this opinion letter, even though such change or such fact may affect the legal analysis or a legal conclusion in this opinion letter.</w:t>
      </w:r>
    </w:p>
    <w:p>
      <w:pPr>
        <w:spacing w:after="0" w:line="146" w:lineRule="exact"/>
        <w:rPr>
          <w:sz w:val="20"/>
          <w:szCs w:val="20"/>
          <w:color w:val="auto"/>
        </w:rPr>
      </w:pPr>
    </w:p>
    <w:p>
      <w:pPr>
        <w:ind w:left="1320" w:right="459" w:firstLine="295"/>
        <w:spacing w:after="0" w:line="255" w:lineRule="auto"/>
        <w:rPr>
          <w:sz w:val="20"/>
          <w:szCs w:val="20"/>
          <w:color w:val="auto"/>
        </w:rPr>
      </w:pPr>
      <w:r>
        <w:rPr>
          <w:rFonts w:ascii="Times New Roman" w:cs="Times New Roman" w:eastAsia="Times New Roman" w:hAnsi="Times New Roman"/>
          <w:sz w:val="14"/>
          <w:szCs w:val="14"/>
          <w:color w:val="auto"/>
        </w:rPr>
        <w:t>We hereby consent to the filing of this opinion letter as an exhibit to the Registration Statement and to the reference to our firm in the “Legal Matters” section of the Registration Statement. We do not admit by giving this consent that we are in the category of persons whose consent is required under Section 7 of the Securities Act.</w:t>
      </w:r>
    </w:p>
    <w:p>
      <w:pPr>
        <w:spacing w:after="0" w:line="16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Respectfully submitted,</w:t>
      </w:r>
    </w:p>
    <w:p>
      <w:pPr>
        <w:spacing w:after="0" w:line="16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 EVERSHEDS SUTHERLAND (US) LLP</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81" w:right="1440" w:bottom="1440" w:gutter="0" w:footer="0" w:header="0"/>
        </w:sectPr>
      </w:pPr>
    </w:p>
    <w:bookmarkStart w:id="132" w:name="page133"/>
    <w:bookmarkEnd w:id="132"/>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Exhibit (n)</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1" w:lineRule="exact"/>
        <w:rPr>
          <w:sz w:val="20"/>
          <w:szCs w:val="20"/>
          <w:color w:val="auto"/>
        </w:rPr>
      </w:pPr>
    </w:p>
    <w:p>
      <w:pPr>
        <w:ind w:left="320" w:right="379"/>
        <w:spacing w:after="0" w:line="252" w:lineRule="auto"/>
        <w:rPr>
          <w:sz w:val="20"/>
          <w:szCs w:val="20"/>
          <w:color w:val="auto"/>
        </w:rPr>
      </w:pPr>
      <w:r>
        <w:rPr>
          <w:rFonts w:ascii="Times New Roman" w:cs="Times New Roman" w:eastAsia="Times New Roman" w:hAnsi="Times New Roman"/>
          <w:sz w:val="14"/>
          <w:szCs w:val="14"/>
          <w:color w:val="auto"/>
        </w:rPr>
        <w:t>We consent to the incorporation by reference in this Registration Statement on Form N-2 and related Prospectus of Fidus Investment Corporation of our reports dated February 26, 2026, relating to the consolidated financial statements, including the senior securities table, and the effectiveness of internal control over financial reporting of Fidus Investment Corporation and Subsidiaries, appearing in the Annual Report on Form 10-K of Fidus Investment Corporation for the year ended December 31, 2025.</w:t>
      </w:r>
    </w:p>
    <w:p>
      <w:pPr>
        <w:spacing w:after="0" w:line="145" w:lineRule="exact"/>
        <w:rPr>
          <w:sz w:val="20"/>
          <w:szCs w:val="20"/>
          <w:color w:val="auto"/>
        </w:rPr>
      </w:pPr>
    </w:p>
    <w:p>
      <w:pPr>
        <w:ind w:left="320" w:right="479"/>
        <w:spacing w:after="0" w:line="266" w:lineRule="auto"/>
        <w:rPr>
          <w:sz w:val="20"/>
          <w:szCs w:val="20"/>
          <w:color w:val="auto"/>
        </w:rPr>
      </w:pPr>
      <w:r>
        <w:rPr>
          <w:rFonts w:ascii="Times New Roman" w:cs="Times New Roman" w:eastAsia="Times New Roman" w:hAnsi="Times New Roman"/>
          <w:sz w:val="14"/>
          <w:szCs w:val="14"/>
          <w:color w:val="auto"/>
        </w:rPr>
        <w:t>We also consent to the reference to our firm under the headings “Independent Registered Public Accounting Firm” and “Item 25. Financial Statements and Exhibits” in such Prospectus.</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 RSM US LLP</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Chicago, Illinois</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February 27, 2026</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123" w:right="1440" w:bottom="1440" w:gutter="0" w:footer="0" w:header="0"/>
        </w:sectPr>
      </w:pPr>
    </w:p>
    <w:bookmarkStart w:id="133" w:name="page134"/>
    <w:bookmarkEnd w:id="133"/>
    <w:p>
      <w:pPr>
        <w:ind w:left="3540"/>
        <w:spacing w:after="0"/>
        <w:rPr>
          <w:sz w:val="20"/>
          <w:szCs w:val="20"/>
          <w:color w:val="auto"/>
        </w:rPr>
      </w:pPr>
      <w:r>
        <w:rPr>
          <w:rFonts w:ascii="Arial" w:cs="Arial" w:eastAsia="Arial" w:hAnsi="Arial"/>
          <w:sz w:val="27"/>
          <w:szCs w:val="27"/>
          <w:b w:val="1"/>
          <w:bCs w:val="1"/>
          <w:color w:val="auto"/>
        </w:rPr>
        <w:t>Calculation of Filing Fee Tables</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N-2</w:t>
      </w:r>
    </w:p>
    <w:p>
      <w:pPr>
        <w:spacing w:after="0" w:line="100" w:lineRule="exact"/>
        <w:rPr>
          <w:sz w:val="20"/>
          <w:szCs w:val="20"/>
          <w:color w:val="auto"/>
        </w:rPr>
      </w:pPr>
    </w:p>
    <w:p>
      <w:pPr>
        <w:jc w:val="center"/>
        <w:ind w:right="200"/>
        <w:spacing w:after="0"/>
        <w:rPr>
          <w:sz w:val="20"/>
          <w:szCs w:val="20"/>
          <w:color w:val="auto"/>
        </w:rPr>
      </w:pPr>
      <w:r>
        <w:rPr>
          <w:rFonts w:ascii="Arial" w:cs="Arial" w:eastAsia="Arial" w:hAnsi="Arial"/>
          <w:sz w:val="27"/>
          <w:szCs w:val="27"/>
          <w:b w:val="1"/>
          <w:bCs w:val="1"/>
          <w:color w:val="auto"/>
        </w:rPr>
        <w:t>FIDUS INVESTMENT Corp</w:t>
      </w:r>
    </w:p>
    <w:p>
      <w:pPr>
        <w:spacing w:after="0" w:line="10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4640" w:type="dxa"/>
            <w:vAlign w:val="bottom"/>
            <w:tcBorders>
              <w:bottom w:val="single" w:sz="8" w:color="auto"/>
            </w:tcBorders>
            <w:gridSpan w:val="13"/>
          </w:tcPr>
          <w:p>
            <w:pPr>
              <w:ind w:left="40"/>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3"/>
          </w:tcPr>
          <w:p>
            <w:pPr>
              <w:ind w:left="42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ind w:left="19"/>
              <w:spacing w:after="0"/>
              <w:rPr>
                <w:sz w:val="20"/>
                <w:szCs w:val="20"/>
                <w:color w:val="auto"/>
              </w:rPr>
            </w:pPr>
            <w:r>
              <w:rPr>
                <w:rFonts w:ascii="Arial" w:cs="Arial" w:eastAsia="Arial" w:hAnsi="Arial"/>
                <w:sz w:val="16"/>
                <w:szCs w:val="16"/>
                <w:b w:val="1"/>
                <w:bCs w:val="1"/>
                <w:color w:val="auto"/>
              </w:rPr>
              <w:t>Fee</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Proposed</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Paid in</w:t>
            </w: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restart"/>
            <w:shd w:val="clear" w:color="auto" w:fill="9ADAF6"/>
          </w:tcPr>
          <w:p>
            <w:pPr>
              <w:jc w:val="right"/>
              <w:spacing w:after="0"/>
              <w:rPr>
                <w:sz w:val="20"/>
                <w:szCs w:val="20"/>
                <w:color w:val="auto"/>
              </w:rPr>
            </w:pPr>
            <w:r>
              <w:rPr>
                <w:rFonts w:ascii="Arial" w:cs="Arial" w:eastAsia="Arial" w:hAnsi="Arial"/>
                <w:sz w:val="16"/>
                <w:szCs w:val="16"/>
                <w:b w:val="1"/>
                <w:bCs w:val="1"/>
                <w:color w:val="auto"/>
              </w:rPr>
              <w:t>Amount of</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4"/>
                <w:szCs w:val="14"/>
                <w:color w:val="auto"/>
              </w:rPr>
            </w:pPr>
          </w:p>
        </w:tc>
        <w:tc>
          <w:tcPr>
            <w:tcW w:w="8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Connection</w:t>
            </w:r>
          </w:p>
        </w:tc>
        <w:tc>
          <w:tcPr>
            <w:tcW w:w="0" w:type="dxa"/>
            <w:vAlign w:val="bottom"/>
          </w:tcPr>
          <w:p>
            <w:pPr>
              <w:spacing w:after="0"/>
              <w:rPr>
                <w:sz w:val="1"/>
                <w:szCs w:val="1"/>
                <w:color w:val="auto"/>
              </w:rPr>
            </w:pPr>
          </w:p>
        </w:tc>
      </w:tr>
      <w:tr>
        <w:trPr>
          <w:trHeight w:val="112"/>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restart"/>
            <w:shd w:val="clear" w:color="auto" w:fill="9ADAF6"/>
          </w:tcPr>
          <w:p>
            <w:pPr>
              <w:ind w:left="120"/>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9"/>
                <w:szCs w:val="9"/>
                <w:color w:val="auto"/>
              </w:rPr>
            </w:pPr>
          </w:p>
        </w:tc>
        <w:tc>
          <w:tcPr>
            <w:tcW w:w="940" w:type="dxa"/>
            <w:vAlign w:val="bottom"/>
            <w:vMerge w:val="restart"/>
            <w:shd w:val="clear" w:color="auto" w:fill="9ADAF6"/>
          </w:tcPr>
          <w:p>
            <w:pPr>
              <w:ind w:left="140"/>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9"/>
                <w:szCs w:val="9"/>
                <w:color w:val="auto"/>
              </w:rPr>
            </w:pPr>
          </w:p>
        </w:tc>
        <w:tc>
          <w:tcPr>
            <w:tcW w:w="900" w:type="dxa"/>
            <w:vAlign w:val="bottom"/>
            <w:gridSpan w:val="2"/>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Calculation</w:t>
            </w:r>
          </w:p>
        </w:tc>
        <w:tc>
          <w:tcPr>
            <w:tcW w:w="20" w:type="dxa"/>
            <w:vAlign w:val="bottom"/>
          </w:tcPr>
          <w:p>
            <w:pPr>
              <w:spacing w:after="0"/>
              <w:rPr>
                <w:sz w:val="9"/>
                <w:szCs w:val="9"/>
                <w:color w:val="auto"/>
              </w:rPr>
            </w:pPr>
          </w:p>
        </w:tc>
        <w:tc>
          <w:tcPr>
            <w:tcW w:w="880" w:type="dxa"/>
            <w:vAlign w:val="bottom"/>
            <w:vMerge w:val="restart"/>
            <w:shd w:val="clear" w:color="auto" w:fill="9ADAF6"/>
          </w:tcPr>
          <w:p>
            <w:pPr>
              <w:jc w:val="right"/>
              <w:ind w:right="43"/>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9"/>
                <w:szCs w:val="9"/>
                <w:color w:val="auto"/>
              </w:rPr>
            </w:pPr>
          </w:p>
        </w:tc>
        <w:tc>
          <w:tcPr>
            <w:tcW w:w="78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Maximum</w:t>
            </w:r>
          </w:p>
        </w:tc>
        <w:tc>
          <w:tcPr>
            <w:tcW w:w="20" w:type="dxa"/>
            <w:vAlign w:val="bottom"/>
          </w:tcPr>
          <w:p>
            <w:pPr>
              <w:spacing w:after="0"/>
              <w:rPr>
                <w:sz w:val="9"/>
                <w:szCs w:val="9"/>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9"/>
                <w:szCs w:val="9"/>
                <w:color w:val="auto"/>
              </w:rPr>
            </w:pPr>
          </w:p>
        </w:tc>
        <w:tc>
          <w:tcPr>
            <w:tcW w:w="8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9"/>
                <w:szCs w:val="9"/>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9"/>
                <w:szCs w:val="9"/>
                <w:color w:val="auto"/>
              </w:rPr>
            </w:pPr>
          </w:p>
        </w:tc>
        <w:tc>
          <w:tcPr>
            <w:tcW w:w="86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9"/>
                <w:szCs w:val="9"/>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ind w:left="19"/>
              <w:spacing w:after="0" w:line="165" w:lineRule="exact"/>
              <w:rPr>
                <w:sz w:val="20"/>
                <w:szCs w:val="20"/>
                <w:color w:val="auto"/>
              </w:rPr>
            </w:pPr>
            <w:r>
              <w:rPr>
                <w:rFonts w:ascii="Arial" w:cs="Arial" w:eastAsia="Arial" w:hAnsi="Arial"/>
                <w:sz w:val="16"/>
                <w:szCs w:val="16"/>
                <w:b w:val="1"/>
                <w:bCs w:val="1"/>
                <w:color w:val="auto"/>
                <w:w w:val="99"/>
              </w:rPr>
              <w:t>or Carry</w:t>
            </w: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w w:val="99"/>
              </w:rPr>
              <w:t>Offering</w:t>
            </w:r>
          </w:p>
        </w:tc>
        <w:tc>
          <w:tcPr>
            <w:tcW w:w="20" w:type="dxa"/>
            <w:vAlign w:val="bottom"/>
          </w:tcPr>
          <w:p>
            <w:pPr>
              <w:spacing w:after="0"/>
              <w:rPr>
                <w:sz w:val="14"/>
                <w:szCs w:val="14"/>
                <w:color w:val="auto"/>
              </w:rPr>
            </w:pPr>
          </w:p>
        </w:tc>
        <w:tc>
          <w:tcPr>
            <w:tcW w:w="8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Fee Rate</w:t>
            </w:r>
          </w:p>
        </w:tc>
        <w:tc>
          <w:tcPr>
            <w:tcW w:w="20" w:type="dxa"/>
            <w:vAlign w:val="bottom"/>
          </w:tcPr>
          <w:p>
            <w:pPr>
              <w:spacing w:after="0"/>
              <w:rPr>
                <w:sz w:val="14"/>
                <w:szCs w:val="14"/>
                <w:color w:val="auto"/>
              </w:rPr>
            </w:pPr>
          </w:p>
        </w:tc>
        <w:tc>
          <w:tcPr>
            <w:tcW w:w="980" w:type="dxa"/>
            <w:vAlign w:val="bottom"/>
            <w:shd w:val="clear" w:color="auto" w:fill="9ADAF6"/>
          </w:tcPr>
          <w:p>
            <w:pPr>
              <w:jc w:val="right"/>
              <w:spacing w:after="0" w:line="165" w:lineRule="exact"/>
              <w:rPr>
                <w:sz w:val="20"/>
                <w:szCs w:val="20"/>
                <w:color w:val="auto"/>
              </w:rPr>
            </w:pPr>
            <w:r>
              <w:rPr>
                <w:rFonts w:ascii="Arial" w:cs="Arial" w:eastAsia="Arial" w:hAnsi="Arial"/>
                <w:sz w:val="16"/>
                <w:szCs w:val="16"/>
                <w:b w:val="1"/>
                <w:bCs w:val="1"/>
                <w:color w:val="auto"/>
              </w:rPr>
              <w:t>Registration</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4"/>
                <w:szCs w:val="14"/>
                <w:color w:val="auto"/>
              </w:rPr>
            </w:pPr>
          </w:p>
        </w:tc>
        <w:tc>
          <w:tcPr>
            <w:tcW w:w="94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ind w:left="260"/>
              <w:spacing w:after="0" w:line="113"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9"/>
                <w:szCs w:val="9"/>
                <w:color w:val="auto"/>
              </w:rPr>
            </w:pPr>
          </w:p>
        </w:tc>
        <w:tc>
          <w:tcPr>
            <w:tcW w:w="940" w:type="dxa"/>
            <w:vAlign w:val="bottom"/>
            <w:shd w:val="clear" w:color="auto" w:fill="9ADAF6"/>
          </w:tcPr>
          <w:p>
            <w:pPr>
              <w:ind w:left="60"/>
              <w:spacing w:after="0" w:line="113" w:lineRule="exact"/>
              <w:rPr>
                <w:sz w:val="20"/>
                <w:szCs w:val="20"/>
                <w:color w:val="auto"/>
              </w:rPr>
            </w:pPr>
            <w:r>
              <w:rPr>
                <w:rFonts w:ascii="Arial" w:cs="Arial" w:eastAsia="Arial" w:hAnsi="Arial"/>
                <w:sz w:val="13"/>
                <w:szCs w:val="13"/>
                <w:b w:val="1"/>
                <w:bCs w:val="1"/>
                <w:color w:val="auto"/>
              </w:rPr>
              <w:t>Class Title</w:t>
            </w:r>
          </w:p>
        </w:tc>
        <w:tc>
          <w:tcPr>
            <w:tcW w:w="20" w:type="dxa"/>
            <w:vAlign w:val="bottom"/>
          </w:tcPr>
          <w:p>
            <w:pPr>
              <w:spacing w:after="0"/>
              <w:rPr>
                <w:sz w:val="9"/>
                <w:szCs w:val="9"/>
                <w:color w:val="auto"/>
              </w:rPr>
            </w:pPr>
          </w:p>
        </w:tc>
        <w:tc>
          <w:tcPr>
            <w:tcW w:w="800" w:type="dxa"/>
            <w:vAlign w:val="bottom"/>
            <w:vMerge w:val="restart"/>
            <w:shd w:val="clear" w:color="auto" w:fill="9ADAF6"/>
          </w:tcPr>
          <w:p>
            <w:pPr>
              <w:jc w:val="center"/>
              <w:ind w:left="19"/>
              <w:spacing w:after="0"/>
              <w:rPr>
                <w:sz w:val="20"/>
                <w:szCs w:val="20"/>
                <w:color w:val="auto"/>
              </w:rPr>
            </w:pPr>
            <w:r>
              <w:rPr>
                <w:rFonts w:ascii="Arial" w:cs="Arial" w:eastAsia="Arial" w:hAnsi="Arial"/>
                <w:sz w:val="16"/>
                <w:szCs w:val="16"/>
                <w:b w:val="1"/>
                <w:bCs w:val="1"/>
                <w:color w:val="auto"/>
              </w:rPr>
              <w:t>Forward</w:t>
            </w:r>
          </w:p>
        </w:tc>
        <w:tc>
          <w:tcPr>
            <w:tcW w:w="1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9ADAF6"/>
          </w:tcPr>
          <w:p>
            <w:pPr>
              <w:jc w:val="right"/>
              <w:spacing w:after="0" w:line="113" w:lineRule="exact"/>
              <w:rPr>
                <w:sz w:val="20"/>
                <w:szCs w:val="20"/>
                <w:color w:val="auto"/>
              </w:rPr>
            </w:pPr>
            <w:r>
              <w:rPr>
                <w:rFonts w:ascii="Arial" w:cs="Arial" w:eastAsia="Arial" w:hAnsi="Arial"/>
                <w:sz w:val="13"/>
                <w:szCs w:val="13"/>
                <w:b w:val="1"/>
                <w:bCs w:val="1"/>
                <w:color w:val="auto"/>
              </w:rPr>
              <w:t>Registered</w:t>
            </w:r>
          </w:p>
        </w:tc>
        <w:tc>
          <w:tcPr>
            <w:tcW w:w="20" w:type="dxa"/>
            <w:vAlign w:val="bottom"/>
          </w:tcPr>
          <w:p>
            <w:pPr>
              <w:spacing w:after="0"/>
              <w:rPr>
                <w:sz w:val="9"/>
                <w:szCs w:val="9"/>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9"/>
                <w:szCs w:val="9"/>
                <w:color w:val="auto"/>
              </w:rPr>
            </w:pPr>
          </w:p>
        </w:tc>
        <w:tc>
          <w:tcPr>
            <w:tcW w:w="84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Offering</w:t>
            </w:r>
          </w:p>
        </w:tc>
        <w:tc>
          <w:tcPr>
            <w:tcW w:w="20" w:type="dxa"/>
            <w:vAlign w:val="bottom"/>
          </w:tcPr>
          <w:p>
            <w:pPr>
              <w:spacing w:after="0"/>
              <w:rPr>
                <w:sz w:val="9"/>
                <w:szCs w:val="9"/>
                <w:color w:val="auto"/>
              </w:rPr>
            </w:pPr>
          </w:p>
        </w:tc>
        <w:tc>
          <w:tcPr>
            <w:tcW w:w="8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vMerge w:val="restart"/>
            <w:shd w:val="clear" w:color="auto" w:fill="9ADAF6"/>
          </w:tcPr>
          <w:p>
            <w:pPr>
              <w:jc w:val="right"/>
              <w:ind w:right="258"/>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Form</w:t>
            </w: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File</w:t>
            </w:r>
          </w:p>
        </w:tc>
        <w:tc>
          <w:tcPr>
            <w:tcW w:w="20" w:type="dxa"/>
            <w:vAlign w:val="bottom"/>
          </w:tcPr>
          <w:p>
            <w:pPr>
              <w:spacing w:after="0"/>
              <w:rPr>
                <w:sz w:val="9"/>
                <w:szCs w:val="9"/>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20" w:type="dxa"/>
            <w:vAlign w:val="bottom"/>
          </w:tcPr>
          <w:p>
            <w:pPr>
              <w:spacing w:after="0"/>
              <w:rPr>
                <w:sz w:val="9"/>
                <w:szCs w:val="9"/>
                <w:color w:val="auto"/>
              </w:rPr>
            </w:pPr>
          </w:p>
        </w:tc>
        <w:tc>
          <w:tcPr>
            <w:tcW w:w="940" w:type="dxa"/>
            <w:vAlign w:val="bottom"/>
            <w:tcBorders>
              <w:right w:val="single" w:sz="8" w:color="auto"/>
            </w:tcBorders>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Unsold</w:t>
            </w: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Price</w:t>
            </w: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4"/>
                <w:szCs w:val="14"/>
                <w:color w:val="auto"/>
              </w:rPr>
            </w:pPr>
          </w:p>
        </w:tc>
        <w:tc>
          <w:tcPr>
            <w:tcW w:w="8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Securities</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ind w:left="19"/>
              <w:spacing w:after="0"/>
              <w:rPr>
                <w:sz w:val="20"/>
                <w:szCs w:val="20"/>
                <w:color w:val="auto"/>
              </w:rPr>
            </w:pPr>
            <w:r>
              <w:rPr>
                <w:rFonts w:ascii="Arial" w:cs="Arial" w:eastAsia="Arial" w:hAnsi="Arial"/>
                <w:sz w:val="16"/>
                <w:szCs w:val="16"/>
                <w:b w:val="1"/>
                <w:bCs w:val="1"/>
                <w:color w:val="auto"/>
                <w:w w:val="97"/>
              </w:rPr>
              <w:t>Rule</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Unit</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6"/>
                <w:szCs w:val="16"/>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to be</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Carried</w:t>
            </w: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gridSpan w:val="9"/>
          </w:tcPr>
          <w:p>
            <w:pPr>
              <w:jc w:val="right"/>
              <w:ind w:right="1258"/>
              <w:spacing w:after="0"/>
              <w:rPr>
                <w:sz w:val="20"/>
                <w:szCs w:val="20"/>
                <w:color w:val="auto"/>
              </w:rPr>
            </w:pPr>
            <w:r>
              <w:rPr>
                <w:rFonts w:ascii="Arial" w:cs="Arial" w:eastAsia="Arial" w:hAnsi="Arial"/>
                <w:sz w:val="16"/>
                <w:szCs w:val="16"/>
                <w:b w:val="1"/>
                <w:bCs w:val="1"/>
                <w:color w:val="auto"/>
              </w:rPr>
              <w:t>Newly Registered Securities</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line="180"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6"/>
                <w:szCs w:val="16"/>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16"/>
                <w:szCs w:val="16"/>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center"/>
              <w:ind w:left="19"/>
              <w:spacing w:after="0"/>
              <w:rPr>
                <w:sz w:val="20"/>
                <w:szCs w:val="20"/>
                <w:color w:val="auto"/>
              </w:rPr>
            </w:pPr>
            <w:r>
              <w:rPr>
                <w:rFonts w:ascii="Arial" w:cs="Arial" w:eastAsia="Arial" w:hAnsi="Arial"/>
                <w:sz w:val="16"/>
                <w:szCs w:val="16"/>
                <w:color w:val="auto"/>
                <w:w w:val="98"/>
              </w:rPr>
              <w:t>457(r)</w:t>
            </w: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$0.001 par</w:t>
            </w: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40" w:type="dxa"/>
            <w:vAlign w:val="bottom"/>
            <w:tcBorders>
              <w:left w:val="single" w:sz="8" w:color="auto"/>
            </w:tcBorders>
          </w:tcPr>
          <w:p>
            <w:pPr>
              <w:spacing w:after="0"/>
              <w:rPr>
                <w:sz w:val="5"/>
                <w:szCs w:val="5"/>
                <w:color w:val="auto"/>
              </w:rPr>
            </w:pPr>
          </w:p>
        </w:tc>
        <w:tc>
          <w:tcPr>
            <w:tcW w:w="7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20"/>
                <w:szCs w:val="20"/>
                <w:color w:val="auto"/>
              </w:rPr>
            </w:pPr>
            <w:r>
              <w:rPr>
                <w:rFonts w:ascii="Arial" w:cs="Arial" w:eastAsia="Arial" w:hAnsi="Arial"/>
                <w:sz w:val="16"/>
                <w:szCs w:val="16"/>
                <w:color w:val="auto"/>
              </w:rPr>
              <w:t>value</w:t>
            </w: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Preferred</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6"/>
                <w:szCs w:val="16"/>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2</w:t>
            </w:r>
          </w:p>
        </w:tc>
        <w:tc>
          <w:tcPr>
            <w:tcW w:w="20" w:type="dxa"/>
            <w:vAlign w:val="bottom"/>
          </w:tcPr>
          <w:p>
            <w:pPr>
              <w:spacing w:after="0"/>
              <w:rPr>
                <w:sz w:val="16"/>
                <w:szCs w:val="16"/>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center"/>
              <w:ind w:left="19"/>
              <w:spacing w:after="0"/>
              <w:rPr>
                <w:sz w:val="20"/>
                <w:szCs w:val="20"/>
                <w:color w:val="auto"/>
              </w:rPr>
            </w:pPr>
            <w:r>
              <w:rPr>
                <w:rFonts w:ascii="Arial" w:cs="Arial" w:eastAsia="Arial" w:hAnsi="Arial"/>
                <w:sz w:val="16"/>
                <w:szCs w:val="16"/>
                <w:color w:val="auto"/>
                <w:w w:val="98"/>
              </w:rPr>
              <w:t>457(r)</w:t>
            </w: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$0.001 par</w:t>
            </w: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40" w:type="dxa"/>
            <w:vAlign w:val="bottom"/>
            <w:tcBorders>
              <w:left w:val="single" w:sz="8" w:color="auto"/>
            </w:tcBorders>
          </w:tcPr>
          <w:p>
            <w:pPr>
              <w:spacing w:after="0"/>
              <w:rPr>
                <w:sz w:val="5"/>
                <w:szCs w:val="5"/>
                <w:color w:val="auto"/>
              </w:rPr>
            </w:pPr>
          </w:p>
        </w:tc>
        <w:tc>
          <w:tcPr>
            <w:tcW w:w="7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20"/>
                <w:szCs w:val="20"/>
                <w:color w:val="auto"/>
              </w:rPr>
            </w:pPr>
            <w:r>
              <w:rPr>
                <w:rFonts w:ascii="Arial" w:cs="Arial" w:eastAsia="Arial" w:hAnsi="Arial"/>
                <w:sz w:val="16"/>
                <w:szCs w:val="16"/>
                <w:color w:val="auto"/>
              </w:rPr>
              <w:t>value</w:t>
            </w: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3</w:t>
            </w:r>
          </w:p>
        </w:tc>
        <w:tc>
          <w:tcPr>
            <w:tcW w:w="20" w:type="dxa"/>
            <w:vAlign w:val="bottom"/>
          </w:tcPr>
          <w:p>
            <w:pPr>
              <w:spacing w:after="0"/>
              <w:rPr>
                <w:sz w:val="15"/>
                <w:szCs w:val="15"/>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5"/>
                <w:szCs w:val="15"/>
                <w:color w:val="auto"/>
              </w:rPr>
            </w:pPr>
          </w:p>
        </w:tc>
        <w:tc>
          <w:tcPr>
            <w:tcW w:w="94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Subscription</w:t>
            </w: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ind w:left="19"/>
              <w:spacing w:after="0"/>
              <w:rPr>
                <w:sz w:val="20"/>
                <w:szCs w:val="20"/>
                <w:color w:val="auto"/>
              </w:rPr>
            </w:pPr>
            <w:r>
              <w:rPr>
                <w:rFonts w:ascii="Arial" w:cs="Arial" w:eastAsia="Arial" w:hAnsi="Arial"/>
                <w:sz w:val="16"/>
                <w:szCs w:val="16"/>
                <w:color w:val="auto"/>
                <w:w w:val="98"/>
              </w:rPr>
              <w:t>457(r)</w:t>
            </w: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Rights</w:t>
            </w: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4</w:t>
            </w:r>
          </w:p>
        </w:tc>
        <w:tc>
          <w:tcPr>
            <w:tcW w:w="20" w:type="dxa"/>
            <w:vAlign w:val="bottom"/>
          </w:tcPr>
          <w:p>
            <w:pPr>
              <w:spacing w:after="0"/>
              <w:rPr>
                <w:sz w:val="15"/>
                <w:szCs w:val="15"/>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94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ind w:left="19"/>
              <w:spacing w:after="0"/>
              <w:rPr>
                <w:sz w:val="20"/>
                <w:szCs w:val="20"/>
                <w:color w:val="auto"/>
              </w:rPr>
            </w:pPr>
            <w:r>
              <w:rPr>
                <w:rFonts w:ascii="Arial" w:cs="Arial" w:eastAsia="Arial" w:hAnsi="Arial"/>
                <w:sz w:val="16"/>
                <w:szCs w:val="16"/>
                <w:color w:val="auto"/>
                <w:w w:val="98"/>
              </w:rPr>
              <w:t>457(r)</w:t>
            </w: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5</w:t>
            </w:r>
          </w:p>
        </w:tc>
        <w:tc>
          <w:tcPr>
            <w:tcW w:w="20" w:type="dxa"/>
            <w:vAlign w:val="bottom"/>
          </w:tcPr>
          <w:p>
            <w:pPr>
              <w:spacing w:after="0"/>
              <w:rPr>
                <w:sz w:val="15"/>
                <w:szCs w:val="15"/>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5"/>
                <w:szCs w:val="15"/>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ind w:left="19"/>
              <w:spacing w:after="0"/>
              <w:rPr>
                <w:sz w:val="20"/>
                <w:szCs w:val="20"/>
                <w:color w:val="auto"/>
              </w:rPr>
            </w:pPr>
            <w:r>
              <w:rPr>
                <w:rFonts w:ascii="Arial" w:cs="Arial" w:eastAsia="Arial" w:hAnsi="Arial"/>
                <w:sz w:val="16"/>
                <w:szCs w:val="16"/>
                <w:color w:val="auto"/>
                <w:w w:val="98"/>
              </w:rPr>
              <w:t>457(r)</w:t>
            </w: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60" w:type="dxa"/>
            <w:vAlign w:val="bottom"/>
            <w:gridSpan w:val="7"/>
          </w:tcPr>
          <w:p>
            <w:pPr>
              <w:jc w:val="right"/>
              <w:ind w:right="1378"/>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line="180"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restart"/>
            <w:shd w:val="clear" w:color="auto" w:fill="E7E7E2"/>
          </w:tcPr>
          <w:p>
            <w:pPr>
              <w:jc w:val="center"/>
              <w:ind w:left="19"/>
              <w:spacing w:after="0"/>
              <w:rPr>
                <w:sz w:val="20"/>
                <w:szCs w:val="20"/>
                <w:color w:val="auto"/>
              </w:rPr>
            </w:pPr>
            <w:r>
              <w:rPr>
                <w:rFonts w:ascii="Arial" w:cs="Arial" w:eastAsia="Arial" w:hAnsi="Arial"/>
                <w:sz w:val="16"/>
                <w:szCs w:val="16"/>
                <w:color w:val="auto"/>
              </w:rPr>
              <w:t>415(a)(6)</w:t>
            </w: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N-2</w:t>
            </w: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05/08/2024</w:t>
            </w:r>
          </w:p>
        </w:tc>
        <w:tc>
          <w:tcPr>
            <w:tcW w:w="20" w:type="dxa"/>
            <w:vAlign w:val="bottom"/>
          </w:tcPr>
          <w:p>
            <w:pPr>
              <w:spacing w:after="0"/>
              <w:rPr>
                <w:sz w:val="8"/>
                <w:szCs w:val="8"/>
                <w:color w:val="auto"/>
              </w:rPr>
            </w:pPr>
          </w:p>
        </w:tc>
        <w:tc>
          <w:tcPr>
            <w:tcW w:w="94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 w:type="dxa"/>
            <w:vAlign w:val="bottom"/>
            <w:tcBorders>
              <w:left w:val="single" w:sz="8" w:color="auto"/>
            </w:tcBorders>
          </w:tcPr>
          <w:p>
            <w:pPr>
              <w:spacing w:after="0"/>
              <w:rPr>
                <w:sz w:val="9"/>
                <w:szCs w:val="9"/>
                <w:color w:val="auto"/>
              </w:rPr>
            </w:pPr>
          </w:p>
        </w:tc>
        <w:tc>
          <w:tcPr>
            <w:tcW w:w="7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shd w:val="clear" w:color="auto" w:fill="E7E7E2"/>
          </w:tcPr>
          <w:p>
            <w:pPr>
              <w:spacing w:after="0" w:line="109" w:lineRule="exact"/>
              <w:rPr>
                <w:sz w:val="20"/>
                <w:szCs w:val="20"/>
                <w:color w:val="auto"/>
              </w:rPr>
            </w:pPr>
            <w:r>
              <w:rPr>
                <w:rFonts w:ascii="Arial" w:cs="Arial" w:eastAsia="Arial" w:hAnsi="Arial"/>
                <w:sz w:val="12"/>
                <w:szCs w:val="12"/>
                <w:color w:val="auto"/>
              </w:rPr>
              <w:t>$0.001 par</w:t>
            </w:r>
          </w:p>
        </w:tc>
        <w:tc>
          <w:tcPr>
            <w:tcW w:w="20" w:type="dxa"/>
            <w:vAlign w:val="bottom"/>
          </w:tcPr>
          <w:p>
            <w:pPr>
              <w:spacing w:after="0"/>
              <w:rPr>
                <w:sz w:val="9"/>
                <w:szCs w:val="9"/>
                <w:color w:val="auto"/>
              </w:rPr>
            </w:pPr>
          </w:p>
        </w:tc>
        <w:tc>
          <w:tcPr>
            <w:tcW w:w="800" w:type="dxa"/>
            <w:vAlign w:val="bottom"/>
            <w:vMerge w:val="continue"/>
            <w:shd w:val="clear" w:color="auto" w:fill="E7E7E2"/>
          </w:tcPr>
          <w:p>
            <w:pPr>
              <w:spacing w:after="0"/>
              <w:rPr>
                <w:sz w:val="9"/>
                <w:szCs w:val="9"/>
                <w:color w:val="auto"/>
              </w:rPr>
            </w:pPr>
          </w:p>
        </w:tc>
        <w:tc>
          <w:tcPr>
            <w:tcW w:w="1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jc w:val="center"/>
              <w:spacing w:after="0" w:line="109" w:lineRule="exact"/>
              <w:rPr>
                <w:sz w:val="20"/>
                <w:szCs w:val="20"/>
                <w:color w:val="auto"/>
              </w:rPr>
            </w:pPr>
            <w:r>
              <w:rPr>
                <w:rFonts w:ascii="Arial" w:cs="Arial" w:eastAsia="Arial" w:hAnsi="Arial"/>
                <w:sz w:val="12"/>
                <w:szCs w:val="12"/>
                <w:color w:val="auto"/>
              </w:rPr>
              <w:t>277540</w:t>
            </w:r>
          </w:p>
        </w:tc>
        <w:tc>
          <w:tcPr>
            <w:tcW w:w="20" w:type="dxa"/>
            <w:vAlign w:val="bottom"/>
          </w:tcPr>
          <w:p>
            <w:pPr>
              <w:spacing w:after="0"/>
              <w:rPr>
                <w:sz w:val="9"/>
                <w:szCs w:val="9"/>
                <w:color w:val="auto"/>
              </w:rPr>
            </w:pPr>
          </w:p>
        </w:tc>
        <w:tc>
          <w:tcPr>
            <w:tcW w:w="8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value</w:t>
            </w: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40" w:type="dxa"/>
            <w:vAlign w:val="bottom"/>
            <w:tcBorders>
              <w:left w:val="single" w:sz="8" w:color="auto"/>
            </w:tcBorders>
          </w:tcPr>
          <w:p>
            <w:pPr>
              <w:spacing w:after="0"/>
              <w:rPr>
                <w:sz w:val="6"/>
                <w:szCs w:val="6"/>
                <w:color w:val="auto"/>
              </w:rPr>
            </w:pPr>
          </w:p>
        </w:tc>
        <w:tc>
          <w:tcPr>
            <w:tcW w:w="78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vMerge w:val="continue"/>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shd w:val="clear" w:color="auto" w:fill="E7E7E2"/>
          </w:tcPr>
          <w:p>
            <w:pPr>
              <w:spacing w:after="0"/>
              <w:rPr>
                <w:sz w:val="6"/>
                <w:szCs w:val="6"/>
                <w:color w:val="auto"/>
              </w:rPr>
            </w:pPr>
          </w:p>
        </w:tc>
        <w:tc>
          <w:tcPr>
            <w:tcW w:w="10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Borders>
              <w:right w:val="single" w:sz="8" w:color="auto"/>
            </w:tcBorders>
            <w:shd w:val="clear" w:color="auto" w:fill="E7E7E2"/>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Preferred</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restart"/>
            <w:shd w:val="clear" w:color="auto" w:fill="E7E7E2"/>
          </w:tcPr>
          <w:p>
            <w:pPr>
              <w:jc w:val="center"/>
              <w:ind w:left="19"/>
              <w:spacing w:after="0"/>
              <w:rPr>
                <w:sz w:val="20"/>
                <w:szCs w:val="20"/>
                <w:color w:val="auto"/>
              </w:rPr>
            </w:pPr>
            <w:r>
              <w:rPr>
                <w:rFonts w:ascii="Arial" w:cs="Arial" w:eastAsia="Arial" w:hAnsi="Arial"/>
                <w:sz w:val="16"/>
                <w:szCs w:val="16"/>
                <w:color w:val="auto"/>
              </w:rPr>
              <w:t>415(a)(6)</w:t>
            </w: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N-2</w:t>
            </w: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05/08/2024</w:t>
            </w:r>
          </w:p>
        </w:tc>
        <w:tc>
          <w:tcPr>
            <w:tcW w:w="20" w:type="dxa"/>
            <w:vAlign w:val="bottom"/>
          </w:tcPr>
          <w:p>
            <w:pPr>
              <w:spacing w:after="0"/>
              <w:rPr>
                <w:sz w:val="8"/>
                <w:szCs w:val="8"/>
                <w:color w:val="auto"/>
              </w:rPr>
            </w:pPr>
          </w:p>
        </w:tc>
        <w:tc>
          <w:tcPr>
            <w:tcW w:w="94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E7E7E2"/>
          </w:tcPr>
          <w:p>
            <w:pPr>
              <w:spacing w:after="0" w:line="165" w:lineRule="exact"/>
              <w:rPr>
                <w:sz w:val="20"/>
                <w:szCs w:val="20"/>
                <w:color w:val="auto"/>
              </w:rPr>
            </w:pPr>
            <w:r>
              <w:rPr>
                <w:rFonts w:ascii="Arial" w:cs="Arial" w:eastAsia="Arial" w:hAnsi="Arial"/>
                <w:sz w:val="16"/>
                <w:szCs w:val="16"/>
                <w:color w:val="auto"/>
              </w:rPr>
              <w:t>$0.001 par</w:t>
            </w: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jc w:val="center"/>
              <w:spacing w:after="0" w:line="165" w:lineRule="exact"/>
              <w:rPr>
                <w:sz w:val="20"/>
                <w:szCs w:val="20"/>
                <w:color w:val="auto"/>
              </w:rPr>
            </w:pPr>
            <w:r>
              <w:rPr>
                <w:rFonts w:ascii="Arial" w:cs="Arial" w:eastAsia="Arial" w:hAnsi="Arial"/>
                <w:sz w:val="16"/>
                <w:szCs w:val="16"/>
                <w:color w:val="auto"/>
              </w:rPr>
              <w:t>277540</w:t>
            </w:r>
          </w:p>
        </w:tc>
        <w:tc>
          <w:tcPr>
            <w:tcW w:w="20" w:type="dxa"/>
            <w:vAlign w:val="bottom"/>
          </w:tcPr>
          <w:p>
            <w:pPr>
              <w:spacing w:after="0"/>
              <w:rPr>
                <w:sz w:val="14"/>
                <w:szCs w:val="14"/>
                <w:color w:val="auto"/>
              </w:rPr>
            </w:pPr>
          </w:p>
        </w:tc>
        <w:tc>
          <w:tcPr>
            <w:tcW w:w="8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80" w:type="dxa"/>
            <w:vAlign w:val="bottom"/>
            <w:tcBorders>
              <w:bottom w:val="single" w:sz="8" w:color="E7E7E2"/>
            </w:tcBorders>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0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bottom w:val="single" w:sz="8" w:color="E7E7E2"/>
            </w:tcBorders>
            <w:shd w:val="clear" w:color="auto" w:fill="E7E7E2"/>
          </w:tcPr>
          <w:p>
            <w:pPr>
              <w:spacing w:after="0"/>
              <w:rPr>
                <w:sz w:val="20"/>
                <w:szCs w:val="20"/>
                <w:color w:val="auto"/>
              </w:rPr>
            </w:pPr>
            <w:r>
              <w:rPr>
                <w:rFonts w:ascii="Arial" w:cs="Arial" w:eastAsia="Arial" w:hAnsi="Arial"/>
                <w:sz w:val="16"/>
                <w:szCs w:val="16"/>
                <w:color w:val="auto"/>
              </w:rPr>
              <w:t>value</w:t>
            </w:r>
          </w:p>
        </w:tc>
        <w:tc>
          <w:tcPr>
            <w:tcW w:w="20" w:type="dxa"/>
            <w:vAlign w:val="bottom"/>
          </w:tcPr>
          <w:p>
            <w:pPr>
              <w:spacing w:after="0"/>
              <w:rPr>
                <w:sz w:val="18"/>
                <w:szCs w:val="18"/>
                <w:color w:val="auto"/>
              </w:rPr>
            </w:pPr>
          </w:p>
        </w:tc>
        <w:tc>
          <w:tcPr>
            <w:tcW w:w="800" w:type="dxa"/>
            <w:vAlign w:val="bottom"/>
            <w:tcBorders>
              <w:bottom w:val="single" w:sz="8" w:color="E7E7E2"/>
            </w:tcBorders>
            <w:shd w:val="clear" w:color="auto" w:fill="E7E7E2"/>
          </w:tcPr>
          <w:p>
            <w:pPr>
              <w:spacing w:after="0"/>
              <w:rPr>
                <w:sz w:val="18"/>
                <w:szCs w:val="18"/>
                <w:color w:val="auto"/>
              </w:rPr>
            </w:pPr>
          </w:p>
        </w:tc>
        <w:tc>
          <w:tcPr>
            <w:tcW w:w="10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bottom w:val="single" w:sz="8" w:color="E7E7E2"/>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Subscription</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restart"/>
            <w:shd w:val="clear" w:color="auto" w:fill="E7E7E2"/>
          </w:tcPr>
          <w:p>
            <w:pPr>
              <w:jc w:val="center"/>
              <w:ind w:left="19"/>
              <w:spacing w:after="0"/>
              <w:rPr>
                <w:sz w:val="20"/>
                <w:szCs w:val="20"/>
                <w:color w:val="auto"/>
              </w:rPr>
            </w:pPr>
            <w:r>
              <w:rPr>
                <w:rFonts w:ascii="Arial" w:cs="Arial" w:eastAsia="Arial" w:hAnsi="Arial"/>
                <w:sz w:val="16"/>
                <w:szCs w:val="16"/>
                <w:color w:val="auto"/>
              </w:rPr>
              <w:t>415(a)(6)</w:t>
            </w: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N-2</w:t>
            </w: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05/08/2024</w:t>
            </w:r>
          </w:p>
        </w:tc>
        <w:tc>
          <w:tcPr>
            <w:tcW w:w="20" w:type="dxa"/>
            <w:vAlign w:val="bottom"/>
          </w:tcPr>
          <w:p>
            <w:pPr>
              <w:spacing w:after="0"/>
              <w:rPr>
                <w:sz w:val="8"/>
                <w:szCs w:val="8"/>
                <w:color w:val="auto"/>
              </w:rPr>
            </w:pPr>
          </w:p>
        </w:tc>
        <w:tc>
          <w:tcPr>
            <w:tcW w:w="94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E7E7E2"/>
          </w:tcPr>
          <w:p>
            <w:pPr>
              <w:spacing w:after="0" w:line="165" w:lineRule="exact"/>
              <w:rPr>
                <w:sz w:val="20"/>
                <w:szCs w:val="20"/>
                <w:color w:val="auto"/>
              </w:rPr>
            </w:pPr>
            <w:r>
              <w:rPr>
                <w:rFonts w:ascii="Arial" w:cs="Arial" w:eastAsia="Arial" w:hAnsi="Arial"/>
                <w:sz w:val="16"/>
                <w:szCs w:val="16"/>
                <w:color w:val="auto"/>
              </w:rPr>
              <w:t>Rights</w:t>
            </w: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jc w:val="center"/>
              <w:spacing w:after="0" w:line="165" w:lineRule="exact"/>
              <w:rPr>
                <w:sz w:val="20"/>
                <w:szCs w:val="20"/>
                <w:color w:val="auto"/>
              </w:rPr>
            </w:pPr>
            <w:r>
              <w:rPr>
                <w:rFonts w:ascii="Arial" w:cs="Arial" w:eastAsia="Arial" w:hAnsi="Arial"/>
                <w:sz w:val="16"/>
                <w:szCs w:val="16"/>
                <w:color w:val="auto"/>
              </w:rPr>
              <w:t>277540</w:t>
            </w:r>
          </w:p>
        </w:tc>
        <w:tc>
          <w:tcPr>
            <w:tcW w:w="20" w:type="dxa"/>
            <w:vAlign w:val="bottom"/>
          </w:tcPr>
          <w:p>
            <w:pPr>
              <w:spacing w:after="0"/>
              <w:rPr>
                <w:sz w:val="14"/>
                <w:szCs w:val="14"/>
                <w:color w:val="auto"/>
              </w:rPr>
            </w:pPr>
          </w:p>
        </w:tc>
        <w:tc>
          <w:tcPr>
            <w:tcW w:w="8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 w:type="dxa"/>
            <w:vAlign w:val="bottom"/>
            <w:tcBorders>
              <w:left w:val="single" w:sz="8" w:color="auto"/>
            </w:tcBorders>
          </w:tcPr>
          <w:p>
            <w:pPr>
              <w:spacing w:after="0"/>
              <w:rPr>
                <w:sz w:val="12"/>
                <w:szCs w:val="12"/>
                <w:color w:val="auto"/>
              </w:rPr>
            </w:pPr>
          </w:p>
        </w:tc>
        <w:tc>
          <w:tcPr>
            <w:tcW w:w="780" w:type="dxa"/>
            <w:vAlign w:val="bottom"/>
            <w:shd w:val="clear" w:color="auto" w:fill="E7E7E2"/>
          </w:tcPr>
          <w:p>
            <w:pPr>
              <w:spacing w:after="0" w:line="144"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2"/>
                <w:szCs w:val="12"/>
                <w:color w:val="auto"/>
              </w:rPr>
            </w:pPr>
          </w:p>
        </w:tc>
        <w:tc>
          <w:tcPr>
            <w:tcW w:w="1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1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right w:val="single" w:sz="8" w:color="auto"/>
            </w:tcBorders>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restart"/>
            <w:shd w:val="clear" w:color="auto" w:fill="E7E7E2"/>
          </w:tcPr>
          <w:p>
            <w:pPr>
              <w:jc w:val="center"/>
              <w:ind w:left="19"/>
              <w:spacing w:after="0"/>
              <w:rPr>
                <w:sz w:val="20"/>
                <w:szCs w:val="20"/>
                <w:color w:val="auto"/>
              </w:rPr>
            </w:pPr>
            <w:r>
              <w:rPr>
                <w:rFonts w:ascii="Arial" w:cs="Arial" w:eastAsia="Arial" w:hAnsi="Arial"/>
                <w:sz w:val="16"/>
                <w:szCs w:val="16"/>
                <w:color w:val="auto"/>
              </w:rPr>
              <w:t>415(a)(6)</w:t>
            </w: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N-2</w:t>
            </w: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05/08/2024</w:t>
            </w:r>
          </w:p>
        </w:tc>
        <w:tc>
          <w:tcPr>
            <w:tcW w:w="20" w:type="dxa"/>
            <w:vAlign w:val="bottom"/>
          </w:tcPr>
          <w:p>
            <w:pPr>
              <w:spacing w:after="0"/>
              <w:rPr>
                <w:sz w:val="8"/>
                <w:szCs w:val="8"/>
                <w:color w:val="auto"/>
              </w:rPr>
            </w:pPr>
          </w:p>
        </w:tc>
        <w:tc>
          <w:tcPr>
            <w:tcW w:w="94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E7E7E2"/>
          </w:tcPr>
          <w:p>
            <w:pPr>
              <w:spacing w:after="0" w:line="165"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jc w:val="center"/>
              <w:spacing w:after="0" w:line="165" w:lineRule="exact"/>
              <w:rPr>
                <w:sz w:val="20"/>
                <w:szCs w:val="20"/>
                <w:color w:val="auto"/>
              </w:rPr>
            </w:pPr>
            <w:r>
              <w:rPr>
                <w:rFonts w:ascii="Arial" w:cs="Arial" w:eastAsia="Arial" w:hAnsi="Arial"/>
                <w:sz w:val="16"/>
                <w:szCs w:val="16"/>
                <w:color w:val="auto"/>
              </w:rPr>
              <w:t>277540</w:t>
            </w:r>
          </w:p>
        </w:tc>
        <w:tc>
          <w:tcPr>
            <w:tcW w:w="20" w:type="dxa"/>
            <w:vAlign w:val="bottom"/>
          </w:tcPr>
          <w:p>
            <w:pPr>
              <w:spacing w:after="0"/>
              <w:rPr>
                <w:sz w:val="14"/>
                <w:szCs w:val="14"/>
                <w:color w:val="auto"/>
              </w:rPr>
            </w:pPr>
          </w:p>
        </w:tc>
        <w:tc>
          <w:tcPr>
            <w:tcW w:w="8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 w:type="dxa"/>
            <w:vAlign w:val="bottom"/>
            <w:tcBorders>
              <w:left w:val="single" w:sz="8" w:color="auto"/>
            </w:tcBorders>
          </w:tcPr>
          <w:p>
            <w:pPr>
              <w:spacing w:after="0"/>
              <w:rPr>
                <w:sz w:val="12"/>
                <w:szCs w:val="12"/>
                <w:color w:val="auto"/>
              </w:rPr>
            </w:pPr>
          </w:p>
        </w:tc>
        <w:tc>
          <w:tcPr>
            <w:tcW w:w="780" w:type="dxa"/>
            <w:vAlign w:val="bottom"/>
            <w:shd w:val="clear" w:color="auto" w:fill="E7E7E2"/>
          </w:tcPr>
          <w:p>
            <w:pPr>
              <w:spacing w:after="0" w:line="144"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2"/>
                <w:szCs w:val="12"/>
                <w:color w:val="auto"/>
              </w:rPr>
            </w:pPr>
          </w:p>
        </w:tc>
        <w:tc>
          <w:tcPr>
            <w:tcW w:w="1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1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right w:val="single" w:sz="8" w:color="auto"/>
            </w:tcBorders>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8"/>
                <w:szCs w:val="8"/>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8"/>
                <w:szCs w:val="8"/>
                <w:color w:val="auto"/>
              </w:rPr>
            </w:pPr>
          </w:p>
        </w:tc>
        <w:tc>
          <w:tcPr>
            <w:tcW w:w="800" w:type="dxa"/>
            <w:vAlign w:val="bottom"/>
            <w:vMerge w:val="restart"/>
            <w:shd w:val="clear" w:color="auto" w:fill="E7E7E2"/>
          </w:tcPr>
          <w:p>
            <w:pPr>
              <w:jc w:val="center"/>
              <w:ind w:left="19"/>
              <w:spacing w:after="0"/>
              <w:rPr>
                <w:sz w:val="20"/>
                <w:szCs w:val="20"/>
                <w:color w:val="auto"/>
              </w:rPr>
            </w:pPr>
            <w:r>
              <w:rPr>
                <w:rFonts w:ascii="Arial" w:cs="Arial" w:eastAsia="Arial" w:hAnsi="Arial"/>
                <w:sz w:val="16"/>
                <w:szCs w:val="16"/>
                <w:color w:val="auto"/>
              </w:rPr>
              <w:t>415(a)(6)</w:t>
            </w: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N-2</w:t>
            </w: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05/08/2024</w:t>
            </w:r>
          </w:p>
        </w:tc>
        <w:tc>
          <w:tcPr>
            <w:tcW w:w="20" w:type="dxa"/>
            <w:vAlign w:val="bottom"/>
          </w:tcPr>
          <w:p>
            <w:pPr>
              <w:spacing w:after="0"/>
              <w:rPr>
                <w:sz w:val="8"/>
                <w:szCs w:val="8"/>
                <w:color w:val="auto"/>
              </w:rPr>
            </w:pPr>
          </w:p>
        </w:tc>
        <w:tc>
          <w:tcPr>
            <w:tcW w:w="94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 w:type="dxa"/>
            <w:vAlign w:val="bottom"/>
            <w:tcBorders>
              <w:left w:val="single" w:sz="8" w:color="auto"/>
            </w:tcBorders>
          </w:tcPr>
          <w:p>
            <w:pPr>
              <w:spacing w:after="0"/>
              <w:rPr>
                <w:sz w:val="9"/>
                <w:szCs w:val="9"/>
                <w:color w:val="auto"/>
              </w:rPr>
            </w:pPr>
          </w:p>
        </w:tc>
        <w:tc>
          <w:tcPr>
            <w:tcW w:w="7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vMerge w:val="continue"/>
            <w:shd w:val="clear" w:color="auto" w:fill="E7E7E2"/>
          </w:tcPr>
          <w:p>
            <w:pPr>
              <w:spacing w:after="0"/>
              <w:rPr>
                <w:sz w:val="9"/>
                <w:szCs w:val="9"/>
                <w:color w:val="auto"/>
              </w:rPr>
            </w:pPr>
          </w:p>
        </w:tc>
        <w:tc>
          <w:tcPr>
            <w:tcW w:w="1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jc w:val="center"/>
              <w:spacing w:after="0" w:line="109" w:lineRule="exact"/>
              <w:rPr>
                <w:sz w:val="20"/>
                <w:szCs w:val="20"/>
                <w:color w:val="auto"/>
              </w:rPr>
            </w:pPr>
            <w:r>
              <w:rPr>
                <w:rFonts w:ascii="Arial" w:cs="Arial" w:eastAsia="Arial" w:hAnsi="Arial"/>
                <w:sz w:val="12"/>
                <w:szCs w:val="12"/>
                <w:color w:val="auto"/>
              </w:rPr>
              <w:t>277540</w:t>
            </w:r>
          </w:p>
        </w:tc>
        <w:tc>
          <w:tcPr>
            <w:tcW w:w="20" w:type="dxa"/>
            <w:vAlign w:val="bottom"/>
          </w:tcPr>
          <w:p>
            <w:pPr>
              <w:spacing w:after="0"/>
              <w:rPr>
                <w:sz w:val="9"/>
                <w:szCs w:val="9"/>
                <w:color w:val="auto"/>
              </w:rPr>
            </w:pPr>
          </w:p>
        </w:tc>
        <w:tc>
          <w:tcPr>
            <w:tcW w:w="8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ind w:left="20"/>
              <w:spacing w:after="0" w:line="174" w:lineRule="exact"/>
              <w:rPr>
                <w:sz w:val="20"/>
                <w:szCs w:val="20"/>
                <w:color w:val="auto"/>
              </w:rPr>
            </w:pPr>
            <w:r>
              <w:rPr>
                <w:rFonts w:ascii="Arial" w:cs="Arial" w:eastAsia="Arial" w:hAnsi="Arial"/>
                <w:sz w:val="16"/>
                <w:szCs w:val="16"/>
                <w:color w:val="auto"/>
              </w:rPr>
              <w:t>Unallocated</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8"/>
                <w:szCs w:val="8"/>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6</w:t>
            </w:r>
          </w:p>
        </w:tc>
        <w:tc>
          <w:tcPr>
            <w:tcW w:w="20" w:type="dxa"/>
            <w:vAlign w:val="bottom"/>
          </w:tcPr>
          <w:p>
            <w:pPr>
              <w:spacing w:after="0"/>
              <w:rPr>
                <w:sz w:val="8"/>
                <w:szCs w:val="8"/>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restart"/>
            <w:shd w:val="clear" w:color="auto" w:fill="E7E7E2"/>
          </w:tcPr>
          <w:p>
            <w:pPr>
              <w:jc w:val="center"/>
              <w:ind w:left="19"/>
              <w:spacing w:after="0"/>
              <w:rPr>
                <w:sz w:val="20"/>
                <w:szCs w:val="20"/>
                <w:color w:val="auto"/>
              </w:rPr>
            </w:pPr>
            <w:r>
              <w:rPr>
                <w:rFonts w:ascii="Arial" w:cs="Arial" w:eastAsia="Arial" w:hAnsi="Arial"/>
                <w:sz w:val="16"/>
                <w:szCs w:val="16"/>
                <w:color w:val="auto"/>
              </w:rPr>
              <w:t>415(a)(6)</w:t>
            </w: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N-2</w:t>
            </w: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05/08/2024</w:t>
            </w:r>
          </w:p>
        </w:tc>
        <w:tc>
          <w:tcPr>
            <w:tcW w:w="20" w:type="dxa"/>
            <w:vAlign w:val="bottom"/>
          </w:tcPr>
          <w:p>
            <w:pPr>
              <w:spacing w:after="0"/>
              <w:rPr>
                <w:sz w:val="8"/>
                <w:szCs w:val="8"/>
                <w:color w:val="auto"/>
              </w:rPr>
            </w:pPr>
          </w:p>
        </w:tc>
        <w:tc>
          <w:tcPr>
            <w:tcW w:w="940" w:type="dxa"/>
            <w:vAlign w:val="bottom"/>
            <w:tcBorders>
              <w:right w:val="single" w:sz="8" w:color="auto"/>
            </w:tcBorders>
            <w:vMerge w:val="restart"/>
            <w:shd w:val="clear" w:color="auto" w:fill="E7E7E2"/>
          </w:tcPr>
          <w:p>
            <w:pPr>
              <w:jc w:val="center"/>
              <w:spacing w:after="0"/>
              <w:rPr>
                <w:sz w:val="20"/>
                <w:szCs w:val="20"/>
                <w:color w:val="auto"/>
              </w:rPr>
            </w:pPr>
            <w:r>
              <w:rPr>
                <w:rFonts w:ascii="Arial" w:cs="Arial" w:eastAsia="Arial" w:hAnsi="Arial"/>
                <w:sz w:val="16"/>
                <w:szCs w:val="16"/>
                <w:color w:val="auto"/>
              </w:rPr>
              <w:t>$ 14,760.00</w:t>
            </w:r>
          </w:p>
        </w:tc>
        <w:tc>
          <w:tcPr>
            <w:tcW w:w="0" w:type="dxa"/>
            <w:vAlign w:val="bottom"/>
          </w:tcPr>
          <w:p>
            <w:pPr>
              <w:spacing w:after="0"/>
              <w:rPr>
                <w:sz w:val="1"/>
                <w:szCs w:val="1"/>
                <w:color w:val="auto"/>
              </w:rPr>
            </w:pPr>
          </w:p>
        </w:tc>
      </w:tr>
      <w:tr>
        <w:trPr>
          <w:trHeight w:val="108"/>
        </w:trPr>
        <w:tc>
          <w:tcPr>
            <w:tcW w:w="40" w:type="dxa"/>
            <w:vAlign w:val="bottom"/>
            <w:tcBorders>
              <w:left w:val="single" w:sz="8" w:color="auto"/>
            </w:tcBorders>
          </w:tcPr>
          <w:p>
            <w:pPr>
              <w:spacing w:after="0"/>
              <w:rPr>
                <w:sz w:val="9"/>
                <w:szCs w:val="9"/>
                <w:color w:val="auto"/>
              </w:rPr>
            </w:pPr>
          </w:p>
        </w:tc>
        <w:tc>
          <w:tcPr>
            <w:tcW w:w="7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vMerge w:val="continue"/>
            <w:shd w:val="clear" w:color="auto" w:fill="E7E7E2"/>
          </w:tcPr>
          <w:p>
            <w:pPr>
              <w:spacing w:after="0"/>
              <w:rPr>
                <w:sz w:val="9"/>
                <w:szCs w:val="9"/>
                <w:color w:val="auto"/>
              </w:rPr>
            </w:pPr>
          </w:p>
        </w:tc>
        <w:tc>
          <w:tcPr>
            <w:tcW w:w="1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jc w:val="center"/>
              <w:spacing w:after="0" w:line="109" w:lineRule="exact"/>
              <w:rPr>
                <w:sz w:val="20"/>
                <w:szCs w:val="20"/>
                <w:color w:val="auto"/>
              </w:rPr>
            </w:pPr>
            <w:r>
              <w:rPr>
                <w:rFonts w:ascii="Arial" w:cs="Arial" w:eastAsia="Arial" w:hAnsi="Arial"/>
                <w:sz w:val="12"/>
                <w:szCs w:val="12"/>
                <w:color w:val="auto"/>
              </w:rPr>
              <w:t>277540</w:t>
            </w:r>
          </w:p>
        </w:tc>
        <w:tc>
          <w:tcPr>
            <w:tcW w:w="20" w:type="dxa"/>
            <w:vAlign w:val="bottom"/>
          </w:tcPr>
          <w:p>
            <w:pPr>
              <w:spacing w:after="0"/>
              <w:rPr>
                <w:sz w:val="9"/>
                <w:szCs w:val="9"/>
                <w:color w:val="auto"/>
              </w:rPr>
            </w:pPr>
          </w:p>
        </w:tc>
        <w:tc>
          <w:tcPr>
            <w:tcW w:w="8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right w:val="single" w:sz="8" w:color="auto"/>
            </w:tcBorders>
            <w:vMerge w:val="continue"/>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ind w:left="20"/>
              <w:spacing w:after="0"/>
              <w:rPr>
                <w:sz w:val="20"/>
                <w:szCs w:val="20"/>
                <w:color w:val="auto"/>
              </w:rPr>
            </w:pPr>
            <w:r>
              <w:rPr>
                <w:rFonts w:ascii="Arial" w:cs="Arial" w:eastAsia="Arial" w:hAnsi="Arial"/>
                <w:sz w:val="16"/>
                <w:szCs w:val="16"/>
                <w:color w:val="auto"/>
              </w:rPr>
              <w:t>Shelf</w:t>
            </w:r>
          </w:p>
        </w:tc>
        <w:tc>
          <w:tcPr>
            <w:tcW w:w="20" w:type="dxa"/>
            <w:vAlign w:val="bottom"/>
          </w:tcPr>
          <w:p>
            <w:pPr>
              <w:spacing w:after="0"/>
              <w:rPr>
                <w:sz w:val="17"/>
                <w:szCs w:val="17"/>
                <w:color w:val="auto"/>
              </w:rPr>
            </w:pPr>
          </w:p>
        </w:tc>
        <w:tc>
          <w:tcPr>
            <w:tcW w:w="9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0" w:type="dxa"/>
            <w:vAlign w:val="bottom"/>
            <w:gridSpan w:val="4"/>
          </w:tcPr>
          <w:p>
            <w:pPr>
              <w:jc w:val="right"/>
              <w:spacing w:after="0"/>
              <w:rPr>
                <w:sz w:val="20"/>
                <w:szCs w:val="20"/>
                <w:color w:val="auto"/>
              </w:rPr>
            </w:pPr>
            <w:r>
              <w:rPr>
                <w:rFonts w:ascii="Arial" w:cs="Arial" w:eastAsia="Arial" w:hAnsi="Arial"/>
                <w:sz w:val="16"/>
                <w:szCs w:val="16"/>
                <w:color w:val="auto"/>
              </w:rPr>
              <w:t>Total Offering Amounts: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1820" w:type="dxa"/>
            <w:vAlign w:val="bottom"/>
            <w:gridSpan w:val="4"/>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60" w:type="dxa"/>
            <w:vAlign w:val="bottom"/>
            <w:gridSpan w:val="6"/>
          </w:tcPr>
          <w:p>
            <w:pPr>
              <w:jc w:val="right"/>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20" w:type="dxa"/>
            <w:vAlign w:val="bottom"/>
            <w:gridSpan w:val="4"/>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0" w:type="dxa"/>
            <w:vAlign w:val="bottom"/>
            <w:gridSpan w:val="4"/>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20" w:type="dxa"/>
            <w:vAlign w:val="bottom"/>
            <w:gridSpan w:val="4"/>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Net Fee Due:</w:t>
            </w: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13" w:lineRule="exact"/>
        <w:rPr>
          <w:sz w:val="20"/>
          <w:szCs w:val="20"/>
          <w:color w:val="auto"/>
        </w:rPr>
      </w:pPr>
    </w:p>
    <w:p>
      <w:pPr>
        <w:ind w:left="200" w:right="480" w:hanging="167"/>
        <w:spacing w:after="0" w:line="226" w:lineRule="auto"/>
        <w:tabs>
          <w:tab w:leader="none" w:pos="200" w:val="left"/>
        </w:tabs>
        <w:numPr>
          <w:ilvl w:val="0"/>
          <w:numId w:val="81"/>
        </w:numPr>
        <w:rPr>
          <w:rFonts w:ascii="Arial" w:cs="Arial" w:eastAsia="Arial" w:hAnsi="Arial"/>
          <w:sz w:val="21"/>
          <w:szCs w:val="21"/>
          <w:color w:val="auto"/>
          <w:vertAlign w:val="superscript"/>
        </w:rPr>
      </w:pPr>
      <w:r>
        <w:rPr>
          <w:rFonts w:ascii="Arial" w:cs="Arial" w:eastAsia="Arial" w:hAnsi="Arial"/>
          <w:sz w:val="16"/>
          <w:szCs w:val="16"/>
          <w:color w:val="auto"/>
        </w:rPr>
        <w:t>In accordance with Rule 456(b) and Rule 457(r) promulgated under the Securities Act of 1933, as amended (the "Securities Act"), Fidus Investment Corporation (the "Registrant") is deferring payment of all of the registration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1370"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0">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215" w:lineRule="exact"/>
        <w:rPr>
          <w:sz w:val="20"/>
          <w:szCs w:val="20"/>
          <w:color w:val="auto"/>
        </w:rPr>
      </w:pPr>
    </w:p>
    <w:p>
      <w:pPr>
        <w:ind w:left="200" w:right="480" w:hanging="167"/>
        <w:spacing w:after="0" w:line="226" w:lineRule="auto"/>
        <w:tabs>
          <w:tab w:leader="none" w:pos="200" w:val="left"/>
        </w:tabs>
        <w:numPr>
          <w:ilvl w:val="0"/>
          <w:numId w:val="82"/>
        </w:numPr>
        <w:rPr>
          <w:rFonts w:ascii="Arial" w:cs="Arial" w:eastAsia="Arial" w:hAnsi="Arial"/>
          <w:sz w:val="21"/>
          <w:szCs w:val="21"/>
          <w:color w:val="auto"/>
          <w:vertAlign w:val="superscript"/>
        </w:rPr>
      </w:pPr>
      <w:r>
        <w:rPr>
          <w:rFonts w:ascii="Arial" w:cs="Arial" w:eastAsia="Arial" w:hAnsi="Arial"/>
          <w:sz w:val="16"/>
          <w:szCs w:val="16"/>
          <w:color w:val="auto"/>
        </w:rPr>
        <w:t>In accordance with Rule 456(b) and Rule 457(r) promulgated under the Securities Act of 1933, as amended (the "Securities Act"), Fidus Investment Corporation (the "Registrant") is deferring payment of all of the registration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1370"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1">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215" w:lineRule="exact"/>
        <w:rPr>
          <w:sz w:val="20"/>
          <w:szCs w:val="20"/>
          <w:color w:val="auto"/>
        </w:rPr>
      </w:pPr>
    </w:p>
    <w:p>
      <w:pPr>
        <w:ind w:left="200" w:right="480" w:hanging="167"/>
        <w:spacing w:after="0" w:line="226" w:lineRule="auto"/>
        <w:tabs>
          <w:tab w:leader="none" w:pos="200" w:val="left"/>
        </w:tabs>
        <w:numPr>
          <w:ilvl w:val="0"/>
          <w:numId w:val="83"/>
        </w:numPr>
        <w:rPr>
          <w:rFonts w:ascii="Arial" w:cs="Arial" w:eastAsia="Arial" w:hAnsi="Arial"/>
          <w:sz w:val="21"/>
          <w:szCs w:val="21"/>
          <w:color w:val="auto"/>
          <w:vertAlign w:val="superscript"/>
        </w:rPr>
      </w:pPr>
      <w:r>
        <w:rPr>
          <w:rFonts w:ascii="Arial" w:cs="Arial" w:eastAsia="Arial" w:hAnsi="Arial"/>
          <w:sz w:val="16"/>
          <w:szCs w:val="16"/>
          <w:color w:val="auto"/>
        </w:rPr>
        <w:t>In accordance with Rule 456(b) and Rule 457(r) promulgated under the Securities Act of 1933, as amended (the "Securities Act"), Fidus Investment Corporation (the "Registrant") is deferring payment of all of the registration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1370"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2">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215" w:lineRule="exact"/>
        <w:rPr>
          <w:sz w:val="20"/>
          <w:szCs w:val="20"/>
          <w:color w:val="auto"/>
        </w:rPr>
      </w:pPr>
    </w:p>
    <w:p>
      <w:pPr>
        <w:ind w:left="200" w:right="480" w:hanging="167"/>
        <w:spacing w:after="0" w:line="226" w:lineRule="auto"/>
        <w:tabs>
          <w:tab w:leader="none" w:pos="200" w:val="left"/>
        </w:tabs>
        <w:numPr>
          <w:ilvl w:val="0"/>
          <w:numId w:val="84"/>
        </w:numPr>
        <w:rPr>
          <w:rFonts w:ascii="Arial" w:cs="Arial" w:eastAsia="Arial" w:hAnsi="Arial"/>
          <w:sz w:val="21"/>
          <w:szCs w:val="21"/>
          <w:color w:val="auto"/>
          <w:vertAlign w:val="superscript"/>
        </w:rPr>
      </w:pPr>
      <w:r>
        <w:rPr>
          <w:rFonts w:ascii="Arial" w:cs="Arial" w:eastAsia="Arial" w:hAnsi="Arial"/>
          <w:sz w:val="16"/>
          <w:szCs w:val="16"/>
          <w:color w:val="auto"/>
        </w:rPr>
        <w:t>In accordance with Rule 456(b) and Rule 457(r) promulgated under the Securities Act of 1933, as amended (the "Securities Act"), Fidus Investment Corporation (the "Registrant") is deferring payment of all of the registration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1370"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3">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215" w:lineRule="exact"/>
        <w:rPr>
          <w:sz w:val="20"/>
          <w:szCs w:val="20"/>
          <w:color w:val="auto"/>
        </w:rPr>
      </w:pPr>
    </w:p>
    <w:p>
      <w:pPr>
        <w:ind w:left="200" w:right="480" w:hanging="167"/>
        <w:spacing w:after="0" w:line="226" w:lineRule="auto"/>
        <w:tabs>
          <w:tab w:leader="none" w:pos="200" w:val="left"/>
        </w:tabs>
        <w:numPr>
          <w:ilvl w:val="0"/>
          <w:numId w:val="85"/>
        </w:numPr>
        <w:rPr>
          <w:rFonts w:ascii="Arial" w:cs="Arial" w:eastAsia="Arial" w:hAnsi="Arial"/>
          <w:sz w:val="21"/>
          <w:szCs w:val="21"/>
          <w:color w:val="auto"/>
          <w:vertAlign w:val="superscript"/>
        </w:rPr>
      </w:pPr>
      <w:r>
        <w:rPr>
          <w:rFonts w:ascii="Arial" w:cs="Arial" w:eastAsia="Arial" w:hAnsi="Arial"/>
          <w:sz w:val="16"/>
          <w:szCs w:val="16"/>
          <w:color w:val="auto"/>
        </w:rPr>
        <w:t>In accordance with Rule 456(b) and Rule 457(r) promulgated under the Securities Act of 1933, as amended (the "Securities Act"), Fidus Investment Corporation (the "Registrant") is deferring payment of all of the registration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51370"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4">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215" w:lineRule="exact"/>
        <w:rPr>
          <w:sz w:val="20"/>
          <w:szCs w:val="20"/>
          <w:color w:val="auto"/>
        </w:rPr>
      </w:pPr>
    </w:p>
    <w:p>
      <w:pPr>
        <w:ind w:left="200" w:right="240" w:hanging="167"/>
        <w:spacing w:after="0" w:line="230" w:lineRule="auto"/>
        <w:tabs>
          <w:tab w:leader="none" w:pos="200" w:val="left"/>
        </w:tabs>
        <w:numPr>
          <w:ilvl w:val="0"/>
          <w:numId w:val="86"/>
        </w:numPr>
        <w:rPr>
          <w:rFonts w:ascii="Arial" w:cs="Arial" w:eastAsia="Arial" w:hAnsi="Arial"/>
          <w:sz w:val="21"/>
          <w:szCs w:val="21"/>
          <w:color w:val="auto"/>
          <w:vertAlign w:val="superscript"/>
        </w:rPr>
      </w:pPr>
      <w:r>
        <w:rPr>
          <w:rFonts w:ascii="Arial" w:cs="Arial" w:eastAsia="Arial" w:hAnsi="Arial"/>
          <w:sz w:val="16"/>
          <w:szCs w:val="16"/>
          <w:color w:val="auto"/>
        </w:rPr>
        <w:t>Pursuant to Rule 415(a)(6) under the Securities Act, this Registration Statement includes $100,000,000 of unsold securities of the Registrant that were previously registered on the Registrant's Registration Statement on Form N-2 (File No. 333-277540) (the "Unsold Securities"), which was initially filed with the Securities and Exchange Commission (the "SEC") on February 29, 2024, as amended on May 8, 2024, and declared effective by the SEC on</w:t>
      </w:r>
    </w:p>
    <w:p>
      <w:pPr>
        <w:sectPr>
          <w:pgSz w:w="11900" w:h="16838" w:orient="portrait"/>
          <w:cols w:equalWidth="0" w:num="1">
            <w:col w:w="11360"/>
          </w:cols>
          <w:pgMar w:left="300" w:top="141" w:right="239" w:bottom="0" w:gutter="0" w:footer="0" w:header="0"/>
        </w:sectPr>
      </w:pPr>
    </w:p>
    <w:bookmarkStart w:id="134" w:name="page135"/>
    <w:bookmarkEnd w:id="134"/>
    <w:p>
      <w:pPr>
        <w:ind w:left="200" w:right="60"/>
        <w:spacing w:after="0" w:line="261" w:lineRule="auto"/>
        <w:rPr>
          <w:sz w:val="20"/>
          <w:szCs w:val="20"/>
          <w:color w:val="auto"/>
        </w:rPr>
      </w:pPr>
      <w:r>
        <w:rPr>
          <w:rFonts w:ascii="Arial" w:cs="Arial" w:eastAsia="Arial" w:hAnsi="Arial"/>
          <w:sz w:val="16"/>
          <w:szCs w:val="16"/>
          <w:color w:val="auto"/>
        </w:rPr>
        <w:t>May 8, 2024 (the "Prior Registration Statement"). The Registrant previously paid a filing fee in the aggregate of $14,760 relating to the Unsold Securities. Pursuant to Rule 415(a)(6), the offering of the Unsold Securities registered under the Prior Registration Statement will be deemed terminated as of the effective date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151370"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5">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399"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3420" w:type="dxa"/>
            <w:vAlign w:val="bottom"/>
            <w:tcBorders>
              <w:bottom w:val="single" w:sz="8" w:color="auto"/>
            </w:tcBorders>
            <w:gridSpan w:val="10"/>
          </w:tcPr>
          <w:p>
            <w:pPr>
              <w:ind w:left="40"/>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7"/>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4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3"/>
            <w:vMerge w:val="restart"/>
            <w:shd w:val="clear" w:color="auto" w:fill="9ADAF6"/>
          </w:tcPr>
          <w:p>
            <w:pPr>
              <w:jc w:val="right"/>
              <w:ind w:right="98"/>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Title</w:t>
            </w:r>
          </w:p>
        </w:tc>
        <w:tc>
          <w:tcPr>
            <w:tcW w:w="4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Paid</w:t>
            </w: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6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8"/>
                <w:szCs w:val="8"/>
                <w:color w:val="auto"/>
              </w:rPr>
            </w:pPr>
          </w:p>
        </w:tc>
        <w:tc>
          <w:tcPr>
            <w:tcW w:w="6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ind w:left="20"/>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40" w:type="dxa"/>
            <w:vAlign w:val="bottom"/>
          </w:tcPr>
          <w:p>
            <w:pPr>
              <w:spacing w:after="0"/>
              <w:rPr>
                <w:sz w:val="8"/>
                <w:szCs w:val="8"/>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with</w:t>
            </w:r>
          </w:p>
        </w:tc>
        <w:tc>
          <w:tcPr>
            <w:tcW w:w="2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60" w:type="dxa"/>
            <w:vAlign w:val="bottom"/>
            <w:tcBorders>
              <w:right w:val="single" w:sz="8" w:color="9ADAF6"/>
            </w:tcBorders>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6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Filing</w:t>
            </w:r>
          </w:p>
        </w:tc>
        <w:tc>
          <w:tcPr>
            <w:tcW w:w="4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shd w:val="clear" w:color="auto" w:fill="9ADAF6"/>
          </w:tcPr>
          <w:p>
            <w:pPr>
              <w:jc w:val="right"/>
              <w:ind w:right="18"/>
              <w:spacing w:after="0" w:line="16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40" w:type="dxa"/>
            <w:vAlign w:val="bottom"/>
            <w:shd w:val="clear" w:color="auto" w:fill="9ADAF6"/>
          </w:tcPr>
          <w:p>
            <w:pPr>
              <w:jc w:val="center"/>
              <w:ind w:right="158"/>
              <w:spacing w:after="0"/>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Number</w:t>
            </w: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4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6"/>
                <w:szCs w:val="16"/>
                <w:color w:val="auto"/>
              </w:rPr>
            </w:pPr>
          </w:p>
        </w:tc>
        <w:tc>
          <w:tcPr>
            <w:tcW w:w="660" w:type="dxa"/>
            <w:vAlign w:val="bottom"/>
            <w:gridSpan w:val="3"/>
            <w:shd w:val="clear" w:color="auto" w:fill="9ADAF6"/>
          </w:tcPr>
          <w:p>
            <w:pPr>
              <w:jc w:val="right"/>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4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60" w:type="dxa"/>
            <w:vAlign w:val="bottom"/>
            <w:tcBorders>
              <w:right w:val="single" w:sz="8" w:color="9ADAF6"/>
            </w:tcBorders>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6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3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00" w:type="dxa"/>
            <w:vAlign w:val="bottom"/>
            <w:gridSpan w:val="3"/>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40" w:type="dxa"/>
            <w:vAlign w:val="bottom"/>
          </w:tcPr>
          <w:p>
            <w:pPr>
              <w:spacing w:after="0"/>
              <w:rPr>
                <w:sz w:val="9"/>
                <w:szCs w:val="9"/>
                <w:color w:val="auto"/>
              </w:rPr>
            </w:pPr>
          </w:p>
        </w:tc>
        <w:tc>
          <w:tcPr>
            <w:tcW w:w="900" w:type="dxa"/>
            <w:vAlign w:val="bottom"/>
            <w:gridSpan w:val="3"/>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60" w:type="dxa"/>
            <w:vAlign w:val="bottom"/>
            <w:gridSpan w:val="3"/>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4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Source</w:t>
            </w: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3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60" w:type="dxa"/>
            <w:vAlign w:val="bottom"/>
            <w:tcBorders>
              <w:right w:val="single" w:sz="8" w:color="9ADAF6"/>
            </w:tcBorders>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6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10"/>
          </w:tcPr>
          <w:p>
            <w:pPr>
              <w:jc w:val="right"/>
              <w:ind w:right="38"/>
              <w:spacing w:after="0"/>
              <w:rPr>
                <w:sz w:val="20"/>
                <w:szCs w:val="20"/>
                <w:color w:val="auto"/>
              </w:rPr>
            </w:pPr>
            <w:r>
              <w:rPr>
                <w:rFonts w:ascii="Arial" w:cs="Arial" w:eastAsia="Arial" w:hAnsi="Arial"/>
                <w:sz w:val="16"/>
                <w:szCs w:val="16"/>
                <w:b w:val="1"/>
                <w:bCs w:val="1"/>
                <w:color w:val="auto"/>
              </w:rPr>
              <w:t>Rules 457(b) and 0-11(a)(2)</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80" w:type="dxa"/>
            <w:vAlign w:val="bottom"/>
            <w:vMerge w:val="restart"/>
            <w:shd w:val="clear" w:color="auto" w:fill="E7E7E2"/>
          </w:tcPr>
          <w:p>
            <w:pPr>
              <w:ind w:left="2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158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6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gridSpan w:val="3"/>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60" w:type="dxa"/>
            <w:vAlign w:val="bottom"/>
            <w:tcBorders>
              <w:right w:val="single" w:sz="8" w:color="E7E7E2"/>
            </w:tcBorders>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56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980" w:type="dxa"/>
            <w:vAlign w:val="bottom"/>
            <w:gridSpan w:val="3"/>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3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60" w:type="dxa"/>
            <w:vAlign w:val="bottom"/>
            <w:tcBorders>
              <w:right w:val="single" w:sz="8" w:color="E7E7E2"/>
            </w:tcBorders>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56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4"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80" w:type="dxa"/>
            <w:vAlign w:val="bottom"/>
            <w:vMerge w:val="restart"/>
            <w:shd w:val="clear" w:color="auto" w:fill="E7E7E2"/>
          </w:tcPr>
          <w:p>
            <w:pPr>
              <w:ind w:left="2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158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6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gridSpan w:val="3"/>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60" w:type="dxa"/>
            <w:vAlign w:val="bottom"/>
            <w:tcBorders>
              <w:right w:val="single" w:sz="8" w:color="E7E7E2"/>
            </w:tcBorders>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56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980" w:type="dxa"/>
            <w:vAlign w:val="bottom"/>
            <w:gridSpan w:val="3"/>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3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60" w:type="dxa"/>
            <w:vAlign w:val="bottom"/>
            <w:tcBorders>
              <w:right w:val="single" w:sz="8" w:color="E7E7E2"/>
            </w:tcBorders>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56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3"/>
          </w:tcPr>
          <w:p>
            <w:pPr>
              <w:ind w:left="300"/>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80" w:type="dxa"/>
            <w:vAlign w:val="bottom"/>
            <w:vMerge w:val="restart"/>
            <w:shd w:val="clear" w:color="auto" w:fill="E7E7E2"/>
          </w:tcPr>
          <w:p>
            <w:pPr>
              <w:ind w:left="2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158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6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gridSpan w:val="3"/>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60" w:type="dxa"/>
            <w:vAlign w:val="bottom"/>
            <w:tcBorders>
              <w:right w:val="single" w:sz="8" w:color="E7E7E2"/>
            </w:tcBorders>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56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980" w:type="dxa"/>
            <w:vAlign w:val="bottom"/>
            <w:gridSpan w:val="3"/>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3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60" w:type="dxa"/>
            <w:vAlign w:val="bottom"/>
            <w:tcBorders>
              <w:right w:val="single" w:sz="8" w:color="E7E7E2"/>
            </w:tcBorders>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56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4"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80" w:type="dxa"/>
            <w:vAlign w:val="bottom"/>
            <w:vMerge w:val="restart"/>
            <w:shd w:val="clear" w:color="auto" w:fill="E7E7E2"/>
          </w:tcPr>
          <w:p>
            <w:pPr>
              <w:ind w:left="2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158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6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gridSpan w:val="3"/>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60" w:type="dxa"/>
            <w:vAlign w:val="bottom"/>
            <w:tcBorders>
              <w:right w:val="single" w:sz="8" w:color="E7E7E2"/>
            </w:tcBorders>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56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980" w:type="dxa"/>
            <w:vAlign w:val="bottom"/>
            <w:gridSpan w:val="3"/>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3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60" w:type="dxa"/>
            <w:vAlign w:val="bottom"/>
            <w:tcBorders>
              <w:right w:val="single" w:sz="8" w:color="E7E7E2"/>
            </w:tcBorders>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56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3420" w:type="dxa"/>
            <w:vAlign w:val="bottom"/>
            <w:tcBorders>
              <w:bottom w:val="single" w:sz="8" w:color="auto"/>
            </w:tcBorders>
            <w:gridSpan w:val="10"/>
          </w:tcPr>
          <w:p>
            <w:pPr>
              <w:ind w:left="40"/>
              <w:spacing w:after="0"/>
              <w:rPr>
                <w:sz w:val="20"/>
                <w:szCs w:val="20"/>
                <w:color w:val="auto"/>
              </w:rPr>
            </w:pPr>
            <w:r>
              <w:rPr>
                <w:rFonts w:ascii="Arial" w:cs="Arial" w:eastAsia="Arial" w:hAnsi="Arial"/>
                <w:sz w:val="16"/>
                <w:szCs w:val="16"/>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7"/>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6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3"/>
            <w:shd w:val="clear" w:color="auto" w:fill="9ADAF6"/>
          </w:tcPr>
          <w:p>
            <w:pPr>
              <w:ind w:left="360"/>
              <w:spacing w:after="0"/>
              <w:rPr>
                <w:sz w:val="20"/>
                <w:szCs w:val="20"/>
                <w:color w:val="auto"/>
              </w:rPr>
            </w:pPr>
            <w:r>
              <w:rPr>
                <w:rFonts w:ascii="Arial" w:cs="Arial" w:eastAsia="Arial" w:hAnsi="Arial"/>
                <w:sz w:val="16"/>
                <w:szCs w:val="16"/>
                <w:b w:val="1"/>
                <w:bCs w:val="1"/>
                <w:color w:val="auto"/>
              </w:rPr>
              <w:t>Amount of</w:t>
            </w:r>
          </w:p>
        </w:tc>
        <w:tc>
          <w:tcPr>
            <w:tcW w:w="2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80" w:type="dxa"/>
            <w:vAlign w:val="bottom"/>
            <w:gridSpan w:val="2"/>
            <w:vMerge w:val="restart"/>
            <w:shd w:val="clear" w:color="auto" w:fill="9ADAF6"/>
          </w:tcPr>
          <w:p>
            <w:pPr>
              <w:jc w:val="center"/>
              <w:ind w:right="240"/>
              <w:spacing w:after="0"/>
              <w:rPr>
                <w:sz w:val="20"/>
                <w:szCs w:val="20"/>
                <w:color w:val="auto"/>
              </w:rPr>
            </w:pPr>
            <w:r>
              <w:rPr>
                <w:rFonts w:ascii="Arial" w:cs="Arial" w:eastAsia="Arial" w:hAnsi="Arial"/>
                <w:sz w:val="16"/>
                <w:szCs w:val="16"/>
                <w:b w:val="1"/>
                <w:bCs w:val="1"/>
                <w:color w:val="auto"/>
              </w:rPr>
              <w:t>Initial</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3"/>
            <w:vMerge w:val="restart"/>
            <w:shd w:val="clear" w:color="auto" w:fill="9ADAF6"/>
          </w:tcPr>
          <w:p>
            <w:pPr>
              <w:ind w:left="380"/>
              <w:spacing w:after="0"/>
              <w:rPr>
                <w:sz w:val="20"/>
                <w:szCs w:val="20"/>
                <w:color w:val="auto"/>
              </w:rPr>
            </w:pPr>
            <w:r>
              <w:rPr>
                <w:rFonts w:ascii="Arial" w:cs="Arial" w:eastAsia="Arial" w:hAnsi="Arial"/>
                <w:sz w:val="16"/>
                <w:szCs w:val="16"/>
                <w:b w:val="1"/>
                <w:bCs w:val="1"/>
                <w:color w:val="auto"/>
              </w:rPr>
              <w:t>Securities</w:t>
            </w: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80" w:type="dxa"/>
            <w:vAlign w:val="bottom"/>
            <w:gridSpan w:val="3"/>
            <w:vMerge w:val="restart"/>
            <w:shd w:val="clear" w:color="auto" w:fill="9ADAF6"/>
          </w:tcPr>
          <w:p>
            <w:pPr>
              <w:ind w:left="40"/>
              <w:spacing w:after="0"/>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restart"/>
            <w:shd w:val="clear" w:color="auto" w:fill="9ADAF6"/>
          </w:tcPr>
          <w:p>
            <w:pPr>
              <w:jc w:val="center"/>
              <w:ind w:right="40"/>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gridSpan w:val="2"/>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3"/>
            <w:vMerge w:val="restart"/>
            <w:shd w:val="clear" w:color="auto" w:fill="9ADAF6"/>
          </w:tcPr>
          <w:p>
            <w:pPr>
              <w:ind w:left="240"/>
              <w:spacing w:after="0"/>
              <w:rPr>
                <w:sz w:val="20"/>
                <w:szCs w:val="20"/>
                <w:color w:val="auto"/>
              </w:rPr>
            </w:pPr>
            <w:r>
              <w:rPr>
                <w:rFonts w:ascii="Arial" w:cs="Arial" w:eastAsia="Arial" w:hAnsi="Arial"/>
                <w:sz w:val="16"/>
                <w:szCs w:val="16"/>
                <w:b w:val="1"/>
                <w:bCs w:val="1"/>
                <w:color w:val="auto"/>
              </w:rPr>
              <w:t>Security Type</w:t>
            </w:r>
          </w:p>
        </w:tc>
        <w:tc>
          <w:tcPr>
            <w:tcW w:w="20" w:type="dxa"/>
            <w:vAlign w:val="bottom"/>
            <w:shd w:val="clear" w:color="auto" w:fill="9ADAF6"/>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40" w:type="dxa"/>
            <w:vAlign w:val="bottom"/>
            <w:gridSpan w:val="5"/>
            <w:vMerge w:val="restart"/>
            <w:shd w:val="clear" w:color="auto" w:fill="9ADAF6"/>
          </w:tcPr>
          <w:p>
            <w:pPr>
              <w:ind w:left="640"/>
              <w:spacing w:after="0"/>
              <w:rPr>
                <w:sz w:val="20"/>
                <w:szCs w:val="20"/>
                <w:color w:val="auto"/>
              </w:rPr>
            </w:pPr>
            <w:r>
              <w:rPr>
                <w:rFonts w:ascii="Arial" w:cs="Arial" w:eastAsia="Arial" w:hAnsi="Arial"/>
                <w:sz w:val="16"/>
                <w:szCs w:val="16"/>
                <w:b w:val="1"/>
                <w:bCs w:val="1"/>
                <w:color w:val="auto"/>
              </w:rPr>
              <w:t>Security Class Title</w:t>
            </w: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3"/>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80"/>
              <w:spacing w:after="0"/>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8"/>
                <w:szCs w:val="8"/>
                <w:color w:val="auto"/>
              </w:rPr>
            </w:pPr>
          </w:p>
        </w:tc>
        <w:tc>
          <w:tcPr>
            <w:tcW w:w="900" w:type="dxa"/>
            <w:vAlign w:val="bottom"/>
            <w:gridSpan w:val="4"/>
            <w:vMerge w:val="restart"/>
            <w:shd w:val="clear" w:color="auto" w:fill="9ADAF6"/>
          </w:tcPr>
          <w:p>
            <w:pPr>
              <w:jc w:val="center"/>
              <w:ind w:right="20"/>
              <w:spacing w:after="0"/>
              <w:rPr>
                <w:sz w:val="20"/>
                <w:szCs w:val="20"/>
                <w:color w:val="auto"/>
              </w:rPr>
            </w:pPr>
            <w:r>
              <w:rPr>
                <w:rFonts w:ascii="Arial" w:cs="Arial" w:eastAsia="Arial" w:hAnsi="Arial"/>
                <w:sz w:val="16"/>
                <w:szCs w:val="16"/>
                <w:b w:val="1"/>
                <w:bCs w:val="1"/>
                <w:color w:val="auto"/>
              </w:rPr>
              <w:t>Effective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3"/>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40" w:type="dxa"/>
            <w:vAlign w:val="bottom"/>
            <w:gridSpan w:val="5"/>
            <w:vMerge w:val="continue"/>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3"/>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Previously</w:t>
            </w: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20" w:type="dxa"/>
            <w:vAlign w:val="bottom"/>
            <w:vMerge w:val="restart"/>
            <w:shd w:val="clear" w:color="auto" w:fill="9ADAF6"/>
          </w:tcPr>
          <w:p>
            <w:pPr>
              <w:jc w:val="center"/>
              <w:ind w:right="80"/>
              <w:spacing w:after="0"/>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gridSpan w:val="4"/>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3"/>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gridSpan w:val="2"/>
            <w:vMerge w:val="restart"/>
            <w:shd w:val="clear" w:color="auto" w:fill="9ADAF6"/>
          </w:tcPr>
          <w:p>
            <w:pPr>
              <w:jc w:val="center"/>
              <w:ind w:right="240"/>
              <w:spacing w:after="0"/>
              <w:rPr>
                <w:sz w:val="20"/>
                <w:szCs w:val="20"/>
                <w:color w:val="auto"/>
              </w:rPr>
            </w:pPr>
            <w:r>
              <w:rPr>
                <w:rFonts w:ascii="Arial" w:cs="Arial" w:eastAsia="Arial" w:hAnsi="Arial"/>
                <w:sz w:val="16"/>
                <w:szCs w:val="16"/>
                <w:b w:val="1"/>
                <w:bCs w:val="1"/>
                <w:color w:val="auto"/>
              </w:rPr>
              <w:t>Date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60" w:type="dxa"/>
            <w:vAlign w:val="bottom"/>
            <w:tcBorders>
              <w:righ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3"/>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20" w:type="dxa"/>
            <w:vAlign w:val="bottom"/>
            <w:shd w:val="clear" w:color="auto" w:fill="9ADAF6"/>
          </w:tcPr>
          <w:p>
            <w:pPr>
              <w:spacing w:after="0"/>
              <w:rPr>
                <w:sz w:val="11"/>
                <w:szCs w:val="11"/>
                <w:color w:val="auto"/>
              </w:rPr>
            </w:pP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680" w:type="dxa"/>
            <w:vAlign w:val="bottom"/>
            <w:gridSpan w:val="3"/>
            <w:vMerge w:val="restart"/>
            <w:shd w:val="clear" w:color="auto" w:fill="9ADAF6"/>
          </w:tcPr>
          <w:p>
            <w:pPr>
              <w:jc w:val="center"/>
              <w:ind w:right="239"/>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80" w:type="dxa"/>
            <w:vAlign w:val="bottom"/>
            <w:gridSpan w:val="2"/>
            <w:vMerge w:val="continue"/>
            <w:shd w:val="clear" w:color="auto" w:fill="9ADAF6"/>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6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6"/>
                <w:szCs w:val="16"/>
                <w:color w:val="auto"/>
              </w:rPr>
              <w:t>N/A</w:t>
            </w:r>
          </w:p>
        </w:tc>
        <w:tc>
          <w:tcPr>
            <w:tcW w:w="20" w:type="dxa"/>
            <w:vAlign w:val="bottom"/>
            <w:vMerge w:val="continue"/>
          </w:tcPr>
          <w:p>
            <w:pPr>
              <w:spacing w:after="0"/>
              <w:rPr>
                <w:sz w:val="17"/>
                <w:szCs w:val="17"/>
                <w:color w:val="auto"/>
              </w:rPr>
            </w:pPr>
          </w:p>
        </w:tc>
        <w:tc>
          <w:tcPr>
            <w:tcW w:w="520" w:type="dxa"/>
            <w:vAlign w:val="bottom"/>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shd w:val="clear" w:color="auto" w:fill="E7E7E2"/>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2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shd w:val="clear" w:color="auto" w:fill="E7E7E2"/>
          </w:tcPr>
          <w:p>
            <w:pPr>
              <w:spacing w:after="0"/>
              <w:rPr>
                <w:sz w:val="17"/>
                <w:szCs w:val="17"/>
                <w:color w:val="auto"/>
              </w:rPr>
            </w:pPr>
          </w:p>
        </w:tc>
        <w:tc>
          <w:tcPr>
            <w:tcW w:w="6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60" w:type="dxa"/>
            <w:vAlign w:val="bottom"/>
            <w:tcBorders>
              <w:right w:val="single" w:sz="8" w:color="E7E7E2"/>
            </w:tcBorders>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E7E7E2"/>
          </w:tcPr>
          <w:p>
            <w:pPr>
              <w:spacing w:after="0"/>
              <w:rPr>
                <w:sz w:val="17"/>
                <w:szCs w:val="17"/>
                <w:color w:val="auto"/>
              </w:rPr>
            </w:pPr>
          </w:p>
        </w:tc>
        <w:tc>
          <w:tcPr>
            <w:tcW w:w="40" w:type="dxa"/>
            <w:vAlign w:val="bottom"/>
            <w:shd w:val="clear" w:color="auto" w:fill="E7E7E2"/>
          </w:tcPr>
          <w:p>
            <w:pPr>
              <w:spacing w:after="0"/>
              <w:rPr>
                <w:sz w:val="17"/>
                <w:szCs w:val="17"/>
                <w:color w:val="auto"/>
              </w:rPr>
            </w:pPr>
          </w:p>
        </w:tc>
        <w:tc>
          <w:tcPr>
            <w:tcW w:w="6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320" w:type="dxa"/>
            <w:vAlign w:val="bottom"/>
            <w:shd w:val="clear" w:color="auto" w:fill="E7E7E2"/>
          </w:tcPr>
          <w:p>
            <w:pPr>
              <w:ind w:left="40"/>
              <w:spacing w:after="0"/>
              <w:rPr>
                <w:sz w:val="20"/>
                <w:szCs w:val="20"/>
                <w:color w:val="auto"/>
              </w:rPr>
            </w:pPr>
            <w:r>
              <w:rPr>
                <w:rFonts w:ascii="Arial" w:cs="Arial" w:eastAsia="Arial" w:hAnsi="Arial"/>
                <w:sz w:val="16"/>
                <w:szCs w:val="16"/>
                <w:color w:val="auto"/>
                <w:w w:val="97"/>
              </w:rPr>
              <w:t>N/A</w:t>
            </w:r>
          </w:p>
        </w:tc>
        <w:tc>
          <w:tcPr>
            <w:tcW w:w="20" w:type="dxa"/>
            <w:vAlign w:val="bottom"/>
            <w:vMerge w:val="continue"/>
          </w:tcPr>
          <w:p>
            <w:pPr>
              <w:spacing w:after="0"/>
              <w:rPr>
                <w:sz w:val="17"/>
                <w:szCs w:val="17"/>
                <w:color w:val="auto"/>
              </w:rPr>
            </w:pPr>
          </w:p>
        </w:tc>
        <w:tc>
          <w:tcPr>
            <w:tcW w:w="3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90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760" w:type="dxa"/>
            <w:vAlign w:val="bottom"/>
            <w:shd w:val="clear" w:color="auto" w:fill="E7E7E2"/>
          </w:tcPr>
          <w:p>
            <w:pPr>
              <w:ind w:left="480"/>
              <w:spacing w:after="0"/>
              <w:rPr>
                <w:sz w:val="20"/>
                <w:szCs w:val="20"/>
                <w:color w:val="auto"/>
              </w:rPr>
            </w:pPr>
            <w:r>
              <w:rPr>
                <w:rFonts w:ascii="Arial" w:cs="Arial" w:eastAsia="Arial" w:hAnsi="Arial"/>
                <w:sz w:val="16"/>
                <w:szCs w:val="16"/>
                <w:color w:val="auto"/>
                <w:w w:val="97"/>
              </w:rPr>
              <w:t>N/A</w:t>
            </w:r>
          </w:p>
        </w:tc>
        <w:tc>
          <w:tcPr>
            <w:tcW w:w="20" w:type="dxa"/>
            <w:vAlign w:val="bottom"/>
            <w:vMerge w:val="continue"/>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40" w:type="dxa"/>
            <w:vAlign w:val="bottom"/>
            <w:shd w:val="clear" w:color="auto" w:fill="E7E7E2"/>
          </w:tcPr>
          <w:p>
            <w:pPr>
              <w:spacing w:after="0"/>
              <w:rPr>
                <w:sz w:val="17"/>
                <w:szCs w:val="17"/>
                <w:color w:val="auto"/>
              </w:rPr>
            </w:pPr>
          </w:p>
        </w:tc>
        <w:tc>
          <w:tcPr>
            <w:tcW w:w="520" w:type="dxa"/>
            <w:vAlign w:val="bottom"/>
            <w:shd w:val="clear" w:color="auto" w:fill="E7E7E2"/>
          </w:tcPr>
          <w:p>
            <w:pPr>
              <w:jc w:val="center"/>
              <w:ind w:right="8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36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740" w:type="dxa"/>
            <w:vAlign w:val="bottom"/>
            <w:shd w:val="clear" w:color="auto" w:fill="E7E7E2"/>
          </w:tcPr>
          <w:p>
            <w:pPr>
              <w:ind w:left="40"/>
              <w:spacing w:after="0"/>
              <w:rPr>
                <w:sz w:val="20"/>
                <w:szCs w:val="20"/>
                <w:color w:val="auto"/>
              </w:rPr>
            </w:pPr>
            <w:r>
              <w:rPr>
                <w:rFonts w:ascii="Arial" w:cs="Arial" w:eastAsia="Arial" w:hAnsi="Arial"/>
                <w:sz w:val="16"/>
                <w:szCs w:val="16"/>
                <w:color w:val="auto"/>
              </w:rPr>
              <w:t>N/A</w:t>
            </w:r>
          </w:p>
        </w:tc>
        <w:tc>
          <w:tcPr>
            <w:tcW w:w="20" w:type="dxa"/>
            <w:vAlign w:val="bottom"/>
            <w:vMerge w:val="continue"/>
          </w:tcPr>
          <w:p>
            <w:pPr>
              <w:spacing w:after="0"/>
              <w:rPr>
                <w:sz w:val="17"/>
                <w:szCs w:val="17"/>
                <w:color w:val="auto"/>
              </w:rPr>
            </w:pPr>
          </w:p>
        </w:tc>
        <w:tc>
          <w:tcPr>
            <w:tcW w:w="20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680" w:type="dxa"/>
            <w:vAlign w:val="bottom"/>
            <w:gridSpan w:val="2"/>
            <w:shd w:val="clear" w:color="auto" w:fill="E7E7E2"/>
          </w:tcPr>
          <w:p>
            <w:pPr>
              <w:jc w:val="center"/>
              <w:ind w:right="240"/>
              <w:spacing w:after="0"/>
              <w:rPr>
                <w:sz w:val="20"/>
                <w:szCs w:val="20"/>
                <w:color w:val="auto"/>
              </w:rPr>
            </w:pPr>
            <w:r>
              <w:rPr>
                <w:rFonts w:ascii="Arial" w:cs="Arial" w:eastAsia="Arial" w:hAnsi="Arial"/>
                <w:sz w:val="16"/>
                <w:szCs w:val="16"/>
                <w:color w:val="auto"/>
              </w:rPr>
              <w:t>N/A</w:t>
            </w:r>
          </w:p>
        </w:tc>
        <w:tc>
          <w:tcPr>
            <w:tcW w:w="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12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1)"/>
      <w:numFmt w:val="lowerLetter"/>
      <w:start w:val="1"/>
    </w:lvl>
  </w:abstractNum>
  <w:abstractNum w:abstractNumId="16">
    <w:nsid w:val="79A1DEAA"/>
    <w:multiLevelType w:val="hybridMultilevel"/>
    <w:lvl w:ilvl="0">
      <w:lvlJc w:val="left"/>
      <w:lvlText w:val="(%1)"/>
      <w:numFmt w:val="lowerLetter"/>
      <w:start w:val="19"/>
    </w:lvl>
  </w:abstractNum>
  <w:abstractNum w:abstractNumId="17">
    <w:nsid w:val="75C6C33A"/>
    <w:multiLevelType w:val="hybridMultilevel"/>
    <w:lvl w:ilvl="0">
      <w:lvlJc w:val="left"/>
      <w:lvlText w:val="(%1)"/>
      <w:numFmt w:val="lowerLetter"/>
      <w:start w:val="12"/>
    </w:lvl>
  </w:abstractNum>
  <w:abstractNum w:abstractNumId="18">
    <w:nsid w:val="12E685FB"/>
    <w:multiLevelType w:val="hybridMultilevel"/>
    <w:lvl w:ilvl="0">
      <w:lvlJc w:val="left"/>
      <w:lvlText w:val="(%1)"/>
      <w:numFmt w:val="lowerLetter"/>
      <w:start w:val="21"/>
    </w:lvl>
  </w:abstractNum>
  <w:abstractNum w:abstractNumId="19">
    <w:nsid w:val="70C6A529"/>
    <w:multiLevelType w:val="hybridMultilevel"/>
    <w:lvl w:ilvl="0">
      <w:lvlJc w:val="left"/>
      <w:lvlText w:val="(%1)"/>
      <w:numFmt w:val="lowerLetter"/>
      <w:start w:val="27"/>
    </w:lvl>
  </w:abstractNum>
  <w:abstractNum w:abstractNumId="20">
    <w:nsid w:val="520EEDD1"/>
    <w:multiLevelType w:val="hybridMultilevel"/>
    <w:lvl w:ilvl="0">
      <w:lvlJc w:val="left"/>
      <w:lvlText w:val="(%1)"/>
      <w:numFmt w:val="lowerLetter"/>
      <w:start w:val="28"/>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lvl w:ilvl="1">
      <w:lvlJc w:val="left"/>
      <w:lvlText w:val="•"/>
      <w:numFmt w:val="bullet"/>
      <w:start w:val="1"/>
    </w:lvl>
  </w:abstractNum>
  <w:abstractNum w:abstractNumId="26">
    <w:nsid w:val="39386575"/>
    <w:multiLevelType w:val="hybridMultilevel"/>
    <w:lvl w:ilvl="0">
      <w:lvlJc w:val="left"/>
      <w:lvlText w:val="(%1)"/>
      <w:numFmt w:val="lowerRoman"/>
      <w:start w:val="1"/>
    </w:lvl>
  </w:abstractNum>
  <w:abstractNum w:abstractNumId="27">
    <w:nsid w:val="1CF10FD8"/>
    <w:multiLevelType w:val="hybridMultilevel"/>
    <w:lvl w:ilvl="0">
      <w:lvlJc w:val="left"/>
      <w:lvlText w:val="(%1)"/>
      <w:numFmt w:val="decimal"/>
      <w:start w:val="1"/>
    </w:lvl>
  </w:abstractNum>
  <w:abstractNum w:abstractNumId="28">
    <w:nsid w:val="180115BE"/>
    <w:multiLevelType w:val="hybridMultilevel"/>
    <w:lvl w:ilvl="0">
      <w:lvlJc w:val="left"/>
      <w:lvlText w:val="(%1)"/>
      <w:numFmt w:val="decimal"/>
      <w:start w:val="1"/>
    </w:lvl>
  </w:abstractNum>
  <w:abstractNum w:abstractNumId="29">
    <w:nsid w:val="235BA861"/>
    <w:multiLevelType w:val="hybridMultilevel"/>
    <w:lvl w:ilvl="0">
      <w:lvlJc w:val="left"/>
      <w:lvlText w:val="(%1)"/>
      <w:numFmt w:val="lowerLetter"/>
      <w:start w:val="3"/>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
      <w:numFmt w:val="bullet"/>
      <w:start w:val="1"/>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
      <w:numFmt w:val="bullet"/>
      <w:start w:val="1"/>
    </w:lvl>
  </w:abstractNum>
  <w:abstractNum w:abstractNumId="46">
    <w:nsid w:val="4AD084E9"/>
    <w:multiLevelType w:val="hybridMultilevel"/>
    <w:lvl w:ilvl="0">
      <w:lvlJc w:val="left"/>
      <w:lvlText w:val="•"/>
      <w:numFmt w:val="bullet"/>
      <w:start w:val="1"/>
    </w:lvl>
  </w:abstractNum>
  <w:abstractNum w:abstractNumId="47">
    <w:nsid w:val="1F48EAA1"/>
    <w:multiLevelType w:val="hybridMultilevel"/>
    <w:lvl w:ilvl="0">
      <w:lvlJc w:val="left"/>
      <w:lvlText w:val="•"/>
      <w:numFmt w:val="bullet"/>
      <w:start w:val="1"/>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
      <w:numFmt w:val="bullet"/>
      <w:start w:val="1"/>
    </w:lvl>
  </w:abstractNum>
  <w:abstractNum w:abstractNumId="51">
    <w:nsid w:val="6590700B"/>
    <w:multiLevelType w:val="hybridMultilevel"/>
    <w:lvl w:ilvl="0">
      <w:lvlJc w:val="left"/>
      <w:lvlText w:val="•"/>
      <w:numFmt w:val="bullet"/>
      <w:start w:val="1"/>
    </w:lvl>
  </w:abstractNum>
  <w:abstractNum w:abstractNumId="52">
    <w:nsid w:val="15014ACB"/>
    <w:multiLevelType w:val="hybridMultilevel"/>
    <w:lvl w:ilvl="0">
      <w:lvlJc w:val="left"/>
      <w:lvlText w:val="•"/>
      <w:numFmt w:val="bullet"/>
      <w:start w:val="1"/>
    </w:lvl>
  </w:abstractNum>
  <w:abstractNum w:abstractNumId="53">
    <w:nsid w:val="5F5E7FD0"/>
    <w:multiLevelType w:val="hybridMultilevel"/>
    <w:lvl w:ilvl="0">
      <w:lvlJc w:val="left"/>
      <w:lvlText w:val="•"/>
      <w:numFmt w:val="bullet"/>
      <w:start w:val="1"/>
    </w:lvl>
  </w:abstractNum>
  <w:abstractNum w:abstractNumId="54">
    <w:nsid w:val="98A3148"/>
    <w:multiLevelType w:val="hybridMultilevel"/>
    <w:lvl w:ilvl="0">
      <w:lvlJc w:val="left"/>
      <w:lvlText w:val="•"/>
      <w:numFmt w:val="bullet"/>
      <w:start w:val="1"/>
    </w:lvl>
  </w:abstractNum>
  <w:abstractNum w:abstractNumId="55">
    <w:nsid w:val="799D0247"/>
    <w:multiLevelType w:val="hybridMultilevel"/>
    <w:lvl w:ilvl="0">
      <w:lvlJc w:val="left"/>
      <w:lvlText w:val="(%1)"/>
      <w:numFmt w:val="lowerLetter"/>
      <w:start w:val="3"/>
    </w:lvl>
  </w:abstractNum>
  <w:abstractNum w:abstractNumId="56">
    <w:nsid w:val="6B94764"/>
    <w:multiLevelType w:val="hybridMultilevel"/>
    <w:lvl w:ilvl="0">
      <w:lvlJc w:val="left"/>
      <w:lvlText w:val="(%1)"/>
      <w:numFmt w:val="lowerLetter"/>
      <w:start w:val="5"/>
    </w:lvl>
  </w:abstractNum>
  <w:abstractNum w:abstractNumId="57">
    <w:nsid w:val="42C296BD"/>
    <w:multiLevelType w:val="hybridMultilevel"/>
    <w:lvl w:ilvl="0">
      <w:lvlJc w:val="left"/>
      <w:lvlText w:val="(%1)"/>
      <w:numFmt w:val="lowerLetter"/>
      <w:start w:val="8"/>
    </w:lvl>
  </w:abstractNum>
  <w:abstractNum w:abstractNumId="58">
    <w:nsid w:val="168E121F"/>
    <w:multiLevelType w:val="hybridMultilevel"/>
    <w:lvl w:ilvl="0">
      <w:lvlJc w:val="left"/>
      <w:lvlText w:val="(%1)"/>
      <w:numFmt w:val="lowerLetter"/>
      <w:start w:val="12"/>
    </w:lvl>
  </w:abstractNum>
  <w:abstractNum w:abstractNumId="59">
    <w:nsid w:val="1EBA5D23"/>
    <w:multiLevelType w:val="hybridMultilevel"/>
    <w:lvl w:ilvl="0">
      <w:lvlJc w:val="left"/>
      <w:lvlText w:val="(%1)"/>
      <w:numFmt w:val="decimal"/>
      <w:start w:val="1"/>
    </w:lvl>
  </w:abstractNum>
  <w:abstractNum w:abstractNumId="60">
    <w:nsid w:val="661E3F1E"/>
    <w:multiLevelType w:val="hybridMultilevel"/>
    <w:lvl w:ilvl="0">
      <w:lvlJc w:val="left"/>
      <w:lvlText w:val="(%1)"/>
      <w:numFmt w:val="decimal"/>
      <w:start w:val="1"/>
    </w:lvl>
  </w:abstractNum>
  <w:abstractNum w:abstractNumId="61">
    <w:nsid w:val="5DC79EA8"/>
    <w:multiLevelType w:val="hybridMultilevel"/>
    <w:lvl w:ilvl="0">
      <w:lvlJc w:val="left"/>
      <w:lvlText w:val="(%1)"/>
      <w:numFmt w:val="decimal"/>
      <w:start w:val="1"/>
    </w:lvl>
  </w:abstractNum>
  <w:abstractNum w:abstractNumId="62">
    <w:nsid w:val="540A471C"/>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63">
    <w:nsid w:val="7BD3EE7B"/>
    <w:multiLevelType w:val="hybridMultilevel"/>
    <w:lvl w:ilvl="0">
      <w:lvlJc w:val="left"/>
      <w:lvlText w:val="(%1)"/>
      <w:numFmt w:val="decimal"/>
      <w:start w:val="1"/>
    </w:lvl>
    <w:lvl w:ilvl="1">
      <w:lvlJc w:val="left"/>
      <w:lvlText w:val="(%2)"/>
      <w:numFmt w:val="upperLetter"/>
      <w:start w:val="1"/>
    </w:lvl>
  </w:abstractNum>
  <w:abstractNum w:abstractNumId="64">
    <w:nsid w:val="51D9C564"/>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65">
    <w:nsid w:val="613EFDC5"/>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66">
    <w:nsid w:val="BF72B14"/>
    <w:multiLevelType w:val="hybridMultilevel"/>
    <w:lvl w:ilvl="0">
      <w:lvlJc w:val="left"/>
      <w:lvlText w:val="☐"/>
      <w:numFmt w:val="bullet"/>
      <w:start w:val="1"/>
    </w:lvl>
  </w:abstractNum>
  <w:abstractNum w:abstractNumId="67">
    <w:nsid w:val="11447B73"/>
    <w:multiLevelType w:val="hybridMultilevel"/>
    <w:lvl w:ilvl="0">
      <w:lvlJc w:val="left"/>
      <w:lvlText w:val="%1)"/>
      <w:numFmt w:val="lowerLetter"/>
      <w:start w:val="1"/>
    </w:lvl>
  </w:abstractNum>
  <w:abstractNum w:abstractNumId="68">
    <w:nsid w:val="42963E5A"/>
    <w:multiLevelType w:val="hybridMultilevel"/>
    <w:lvl w:ilvl="0">
      <w:lvlJc w:val="left"/>
      <w:lvlText w:val="%1."/>
      <w:numFmt w:val="decimal"/>
      <w:start w:val="1"/>
    </w:lvl>
  </w:abstractNum>
  <w:abstractNum w:abstractNumId="69">
    <w:nsid w:val="A0382C5"/>
    <w:multiLevelType w:val="hybridMultilevel"/>
    <w:lvl w:ilvl="0">
      <w:lvlJc w:val="left"/>
      <w:lvlText w:val="(%1)"/>
      <w:numFmt w:val="lowerRoman"/>
      <w:start w:val="3"/>
    </w:lvl>
  </w:abstractNum>
  <w:abstractNum w:abstractNumId="70">
    <w:nsid w:val="8F2B15E"/>
    <w:multiLevelType w:val="hybridMultilevel"/>
    <w:lvl w:ilvl="0">
      <w:lvlJc w:val="left"/>
      <w:lvlText w:val="(%1)"/>
      <w:numFmt w:val="decimal"/>
      <w:start w:val="1"/>
    </w:lvl>
  </w:abstractNum>
  <w:abstractNum w:abstractNumId="71">
    <w:nsid w:val="1A32234B"/>
    <w:multiLevelType w:val="hybridMultilevel"/>
    <w:lvl w:ilvl="0">
      <w:lvlJc w:val="left"/>
      <w:lvlText w:val="(%1)"/>
      <w:numFmt w:val="decimal"/>
      <w:start w:val="8"/>
    </w:lvl>
  </w:abstractNum>
  <w:abstractNum w:abstractNumId="72">
    <w:nsid w:val="3B0FD379"/>
    <w:multiLevelType w:val="hybridMultilevel"/>
    <w:lvl w:ilvl="0">
      <w:lvlJc w:val="left"/>
      <w:lvlText w:val="%1."/>
      <w:numFmt w:val="decimal"/>
      <w:start w:val="1"/>
    </w:lvl>
  </w:abstractNum>
  <w:abstractNum w:abstractNumId="73">
    <w:nsid w:val="68EB2F63"/>
    <w:multiLevelType w:val="hybridMultilevel"/>
    <w:lvl w:ilvl="0">
      <w:lvlJc w:val="left"/>
      <w:lvlText w:val="(%1)"/>
      <w:numFmt w:val="decimal"/>
      <w:start w:val="1"/>
    </w:lvl>
  </w:abstractNum>
  <w:abstractNum w:abstractNumId="74">
    <w:nsid w:val="4962813B"/>
    <w:multiLevelType w:val="hybridMultilevel"/>
    <w:lvl w:ilvl="0">
      <w:lvlJc w:val="left"/>
      <w:lvlText w:val=" "/>
      <w:numFmt w:val="bullet"/>
      <w:start w:val="1"/>
    </w:lvl>
  </w:abstractNum>
  <w:abstractNum w:abstractNumId="75">
    <w:nsid w:val="60B6DF70"/>
    <w:multiLevelType w:val="hybridMultilevel"/>
    <w:lvl w:ilvl="0">
      <w:lvlJc w:val="left"/>
      <w:lvlText w:val="(%1)"/>
      <w:numFmt w:val="lowerLetter"/>
      <w:start w:val="1"/>
    </w:lvl>
  </w:abstractNum>
  <w:abstractNum w:abstractNumId="76">
    <w:nsid w:val="6A5EE64"/>
    <w:multiLevelType w:val="hybridMultilevel"/>
    <w:lvl w:ilvl="0">
      <w:lvlJc w:val="left"/>
      <w:lvlText w:val="(%1)"/>
      <w:numFmt w:val="lowerRoman"/>
      <w:start w:val="1"/>
    </w:lvl>
  </w:abstractNum>
  <w:abstractNum w:abstractNumId="77">
    <w:nsid w:val="14330624"/>
    <w:multiLevelType w:val="hybridMultilevel"/>
    <w:lvl w:ilvl="0">
      <w:lvlJc w:val="left"/>
      <w:lvlText w:val="(%1)"/>
      <w:numFmt w:val="lowerRoman"/>
      <w:start w:val="1"/>
    </w:lvl>
  </w:abstractNum>
  <w:abstractNum w:abstractNumId="78">
    <w:nsid w:val="7FFFCA11"/>
    <w:multiLevelType w:val="hybridMultilevel"/>
    <w:lvl w:ilvl="0">
      <w:lvlJc w:val="left"/>
      <w:lvlText w:val="(%1)"/>
      <w:numFmt w:val="lowerRoman"/>
      <w:start w:val="12"/>
    </w:lvl>
  </w:abstractNum>
  <w:abstractNum w:abstractNumId="79">
    <w:nsid w:val="1A27709E"/>
    <w:multiLevelType w:val="hybridMultilevel"/>
    <w:lvl w:ilvl="0">
      <w:lvlJc w:val="left"/>
      <w:lvlText w:val="%1."/>
      <w:numFmt w:val="decimal"/>
      <w:start w:val="1"/>
    </w:lvl>
  </w:abstractNum>
  <w:abstractNum w:abstractNumId="80">
    <w:nsid w:val="71EA1109"/>
    <w:multiLevelType w:val="hybridMultilevel"/>
    <w:lvl w:ilvl="0">
      <w:lvlJc w:val="left"/>
      <w:lvlText w:val="1"/>
      <w:numFmt w:val="bullet"/>
      <w:start w:val="1"/>
    </w:lvl>
  </w:abstractNum>
  <w:abstractNum w:abstractNumId="81">
    <w:nsid w:val="100F59DC"/>
    <w:multiLevelType w:val="hybridMultilevel"/>
    <w:lvl w:ilvl="0">
      <w:lvlJc w:val="left"/>
      <w:lvlText w:val="2"/>
      <w:numFmt w:val="bullet"/>
      <w:start w:val="1"/>
    </w:lvl>
  </w:abstractNum>
  <w:abstractNum w:abstractNumId="82">
    <w:nsid w:val="7FB7E0AA"/>
    <w:multiLevelType w:val="hybridMultilevel"/>
    <w:lvl w:ilvl="0">
      <w:lvlJc w:val="left"/>
      <w:lvlText w:val="3"/>
      <w:numFmt w:val="bullet"/>
      <w:start w:val="1"/>
    </w:lvl>
  </w:abstractNum>
  <w:abstractNum w:abstractNumId="83">
    <w:nsid w:val="6EB5BD4"/>
    <w:multiLevelType w:val="hybridMultilevel"/>
    <w:lvl w:ilvl="0">
      <w:lvlJc w:val="left"/>
      <w:lvlText w:val="4"/>
      <w:numFmt w:val="bullet"/>
      <w:start w:val="1"/>
    </w:lvl>
  </w:abstractNum>
  <w:abstractNum w:abstractNumId="84">
    <w:nsid w:val="6F6DD9AC"/>
    <w:multiLevelType w:val="hybridMultilevel"/>
    <w:lvl w:ilvl="0">
      <w:lvlJc w:val="left"/>
      <w:lvlText w:val="5"/>
      <w:numFmt w:val="bullet"/>
      <w:start w:val="1"/>
    </w:lvl>
  </w:abstractNum>
  <w:abstractNum w:abstractNumId="85">
    <w:nsid w:val="94211F2"/>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jpe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97" Type="http://schemas.openxmlformats.org/officeDocument/2006/relationships/image" Target="media/image178.png"/><Relationship Id="rId210" Type="http://schemas.openxmlformats.org/officeDocument/2006/relationships/image" Target="media/image179.png"/><Relationship Id="rId212" Type="http://schemas.openxmlformats.org/officeDocument/2006/relationships/image" Target="media/image180.png"/><Relationship Id="rId213" Type="http://schemas.openxmlformats.org/officeDocument/2006/relationships/image" Target="media/image181.png"/><Relationship Id="rId214" Type="http://schemas.openxmlformats.org/officeDocument/2006/relationships/image" Target="media/image182.png"/><Relationship Id="rId215" Type="http://schemas.openxmlformats.org/officeDocument/2006/relationships/image" Target="media/image183.png"/><Relationship Id="rId216" Type="http://schemas.openxmlformats.org/officeDocument/2006/relationships/image" Target="media/image184.png"/><Relationship Id="rId217" Type="http://schemas.openxmlformats.org/officeDocument/2006/relationships/image" Target="media/image185.png"/><Relationship Id="rId218" Type="http://schemas.openxmlformats.org/officeDocument/2006/relationships/image" Target="media/image186.png"/><Relationship Id="rId219" Type="http://schemas.openxmlformats.org/officeDocument/2006/relationships/image" Target="media/image187.png"/><Relationship Id="rId220" Type="http://schemas.openxmlformats.org/officeDocument/2006/relationships/image" Target="media/image188.png"/><Relationship Id="rId221" Type="http://schemas.openxmlformats.org/officeDocument/2006/relationships/image" Target="media/image189.png"/><Relationship Id="rId222" Type="http://schemas.openxmlformats.org/officeDocument/2006/relationships/image" Target="media/image190.png"/><Relationship Id="rId223" Type="http://schemas.openxmlformats.org/officeDocument/2006/relationships/image" Target="media/image191.png"/><Relationship Id="rId224" Type="http://schemas.openxmlformats.org/officeDocument/2006/relationships/image" Target="media/image192.png"/><Relationship Id="rId225" Type="http://schemas.openxmlformats.org/officeDocument/2006/relationships/image" Target="media/image193.png"/><Relationship Id="rId226" Type="http://schemas.openxmlformats.org/officeDocument/2006/relationships/image" Target="media/image194.png"/><Relationship Id="rId227" Type="http://schemas.openxmlformats.org/officeDocument/2006/relationships/image" Target="media/image195.png"/><Relationship Id="rId228" Type="http://schemas.openxmlformats.org/officeDocument/2006/relationships/image" Target="media/image196.png"/><Relationship Id="rId229" Type="http://schemas.openxmlformats.org/officeDocument/2006/relationships/image" Target="media/image197.png"/><Relationship Id="rId230" Type="http://schemas.openxmlformats.org/officeDocument/2006/relationships/image" Target="media/image198.png"/><Relationship Id="rId231" Type="http://schemas.openxmlformats.org/officeDocument/2006/relationships/image" Target="media/image199.png"/><Relationship Id="rId232" Type="http://schemas.openxmlformats.org/officeDocument/2006/relationships/image" Target="media/image200.png"/><Relationship Id="rId233" Type="http://schemas.openxmlformats.org/officeDocument/2006/relationships/image" Target="media/image201.png"/><Relationship Id="rId234" Type="http://schemas.openxmlformats.org/officeDocument/2006/relationships/image" Target="media/image202.png"/><Relationship Id="rId235" Type="http://schemas.openxmlformats.org/officeDocument/2006/relationships/image" Target="media/image203.png"/><Relationship Id="rId236" Type="http://schemas.openxmlformats.org/officeDocument/2006/relationships/image" Target="media/image204.jpeg"/><Relationship Id="rId237" Type="http://schemas.openxmlformats.org/officeDocument/2006/relationships/image" Target="media/image205.png"/><Relationship Id="rId238" Type="http://schemas.openxmlformats.org/officeDocument/2006/relationships/image" Target="media/image206.jpeg"/><Relationship Id="rId239" Type="http://schemas.openxmlformats.org/officeDocument/2006/relationships/image" Target="media/image207.png"/><Relationship Id="rId240" Type="http://schemas.openxmlformats.org/officeDocument/2006/relationships/image" Target="media/image208.jpeg"/><Relationship Id="rId241" Type="http://schemas.openxmlformats.org/officeDocument/2006/relationships/image" Target="media/image209.png"/><Relationship Id="rId242" Type="http://schemas.openxmlformats.org/officeDocument/2006/relationships/image" Target="media/image210.jpeg"/><Relationship Id="rId243" Type="http://schemas.openxmlformats.org/officeDocument/2006/relationships/image" Target="media/image211.png"/><Relationship Id="rId244" Type="http://schemas.openxmlformats.org/officeDocument/2006/relationships/image" Target="media/image212.jpeg"/><Relationship Id="rId245" Type="http://schemas.openxmlformats.org/officeDocument/2006/relationships/image" Target="media/image213.png"/><Relationship Id="rId246" Type="http://schemas.openxmlformats.org/officeDocument/2006/relationships/image" Target="media/image214.jpeg"/><Relationship Id="rId247" Type="http://schemas.openxmlformats.org/officeDocument/2006/relationships/image" Target="media/image215.png"/><Relationship Id="rId248" Type="http://schemas.openxmlformats.org/officeDocument/2006/relationships/image" Target="media/image216.png"/><Relationship Id="rId249" Type="http://schemas.openxmlformats.org/officeDocument/2006/relationships/image" Target="media/image217.jpeg"/><Relationship Id="rId250" Type="http://schemas.openxmlformats.org/officeDocument/2006/relationships/image" Target="media/image218.jpeg"/><Relationship Id="rId251" Type="http://schemas.openxmlformats.org/officeDocument/2006/relationships/image" Target="media/image219.png"/><Relationship Id="rId252" Type="http://schemas.openxmlformats.org/officeDocument/2006/relationships/image" Target="media/image220.png"/><Relationship Id="rId253" Type="http://schemas.openxmlformats.org/officeDocument/2006/relationships/image" Target="media/image221.png"/><Relationship Id="rId254" Type="http://schemas.openxmlformats.org/officeDocument/2006/relationships/image" Target="media/image222.png"/><Relationship Id="rId255" Type="http://schemas.openxmlformats.org/officeDocument/2006/relationships/image" Target="media/image223.png"/><Relationship Id="rId256" Type="http://schemas.openxmlformats.org/officeDocument/2006/relationships/image" Target="media/image224.png"/><Relationship Id="rId257" Type="http://schemas.openxmlformats.org/officeDocument/2006/relationships/image" Target="media/image225.png"/><Relationship Id="rId258" Type="http://schemas.openxmlformats.org/officeDocument/2006/relationships/image" Target="media/image226.png"/><Relationship Id="rId259" Type="http://schemas.openxmlformats.org/officeDocument/2006/relationships/image" Target="media/image227.png"/><Relationship Id="rId260" Type="http://schemas.openxmlformats.org/officeDocument/2006/relationships/image" Target="media/image228.png"/><Relationship Id="rId261" Type="http://schemas.openxmlformats.org/officeDocument/2006/relationships/image" Target="media/image229.png"/><Relationship Id="rId262" Type="http://schemas.openxmlformats.org/officeDocument/2006/relationships/image" Target="media/image230.png"/><Relationship Id="rId263" Type="http://schemas.openxmlformats.org/officeDocument/2006/relationships/image" Target="media/image231.png"/><Relationship Id="rId264" Type="http://schemas.openxmlformats.org/officeDocument/2006/relationships/image" Target="media/image232.png"/><Relationship Id="rId265" Type="http://schemas.openxmlformats.org/officeDocument/2006/relationships/image" Target="media/image233.jpeg"/><Relationship Id="rId266" Type="http://schemas.openxmlformats.org/officeDocument/2006/relationships/image" Target="media/image234.png"/><Relationship Id="rId267" Type="http://schemas.openxmlformats.org/officeDocument/2006/relationships/image" Target="media/image235.png"/><Relationship Id="rId268" Type="http://schemas.openxmlformats.org/officeDocument/2006/relationships/image" Target="media/image236.png"/><Relationship Id="rId269" Type="http://schemas.openxmlformats.org/officeDocument/2006/relationships/image" Target="media/image237.png"/><Relationship Id="rId270" Type="http://schemas.openxmlformats.org/officeDocument/2006/relationships/image" Target="media/image238.png"/><Relationship Id="rId271" Type="http://schemas.openxmlformats.org/officeDocument/2006/relationships/image" Target="media/image239.png"/><Relationship Id="rId272" Type="http://schemas.openxmlformats.org/officeDocument/2006/relationships/image" Target="media/image240.png"/><Relationship Id="rId273" Type="http://schemas.openxmlformats.org/officeDocument/2006/relationships/image" Target="media/image241.png"/><Relationship Id="rId274" Type="http://schemas.openxmlformats.org/officeDocument/2006/relationships/image" Target="media/image242.png"/><Relationship Id="rId275" Type="http://schemas.openxmlformats.org/officeDocument/2006/relationships/image" Target="media/image243.png"/><Relationship Id="rId36" Type="http://schemas.openxmlformats.org/officeDocument/2006/relationships/hyperlink" Target="http://www.sec.gov/ix?doc=/Archives/edgar/data/0001513363/000119312526076572/fdus-20251231.htm" TargetMode="External"/><Relationship Id="rId121" Type="http://schemas.openxmlformats.org/officeDocument/2006/relationships/hyperlink" Target="http://www.sec.gov/ix?doc=/Archives/edgar/data/0001513363/000119312525060210/d835312ddef14a.htm" TargetMode="External"/><Relationship Id="rId178" Type="http://schemas.openxmlformats.org/officeDocument/2006/relationships/hyperlink" Target="http://www.sec.gov/ix?doc=/Archives/edgar/data/1513363/000095017024023065/fdus-20231231.htm" TargetMode="External"/><Relationship Id="rId179" Type="http://schemas.openxmlformats.org/officeDocument/2006/relationships/hyperlink" Target="http://www.sec.gov/Archives/edgar/data/1513363/000095012311059556/w83196e8va12b.htm" TargetMode="External"/><Relationship Id="rId189" Type="http://schemas.openxmlformats.org/officeDocument/2006/relationships/hyperlink" Target="http://www.sec.gov/Archives/edgar/data/1513363/000095012311041885/w81466a2exv99wxayx1y.htm" TargetMode="External"/><Relationship Id="rId190" Type="http://schemas.openxmlformats.org/officeDocument/2006/relationships/hyperlink" Target="http://www.sec.gov/Archives/edgar/data/1513363/000095012311041885/w81466a2exv99wxbyx1y.htm" TargetMode="External"/><Relationship Id="rId191" Type="http://schemas.openxmlformats.org/officeDocument/2006/relationships/hyperlink" Target="http://www.sec.gov/Archives/edgar/data/1513363/000095012311041885/w81466a2exv99wxdy.htm" TargetMode="External"/><Relationship Id="rId192" Type="http://schemas.openxmlformats.org/officeDocument/2006/relationships/hyperlink" Target="http://www.sec.gov/Archives/edgar/data/1513363/000119312512368556/d382647dex99d5.htm" TargetMode="External"/><Relationship Id="rId193" Type="http://schemas.openxmlformats.org/officeDocument/2006/relationships/hyperlink" Target="http://www.sec.gov/Archives/edgar/data/1513363/000119312521295460/d193806dex41.htm" TargetMode="External"/><Relationship Id="rId194" Type="http://schemas.openxmlformats.org/officeDocument/2006/relationships/hyperlink" Target="http://www.sec.gov/Archives/edgar/data/1513363/000119312525057824/d822632dex42.htm" TargetMode="External"/><Relationship Id="rId195" Type="http://schemas.openxmlformats.org/officeDocument/2006/relationships/hyperlink" Target="http://www.sec.gov/Archives/edgar/data/1513363/000119312512368556/d382647dex99e.htm" TargetMode="External"/><Relationship Id="rId196" Type="http://schemas.openxmlformats.org/officeDocument/2006/relationships/hyperlink" Target="http://www.sec.gov/Archives/edgar/data/1513363/000095012311054001/w81466a3exv99wxfyx1y.htm" TargetMode="External"/><Relationship Id="rId198" Type="http://schemas.openxmlformats.org/officeDocument/2006/relationships/hyperlink" Target="http://www.sec.gov/Archives/edgar/data/1513363/000095012311054001/w81466a3exv99wxfyx2y.htm" TargetMode="External"/><Relationship Id="rId199" Type="http://schemas.openxmlformats.org/officeDocument/2006/relationships/hyperlink" Target="http://www.sec.gov/Archives/edgar/data/1513363/000095012311041885/w81466a2exv99wxgy.htm" TargetMode="External"/><Relationship Id="rId200" Type="http://schemas.openxmlformats.org/officeDocument/2006/relationships/hyperlink" Target="http://www.sec.gov/Archives/edgar/data/1513363/000119312514086785/d685842dex107.htm" TargetMode="External"/><Relationship Id="rId201" Type="http://schemas.openxmlformats.org/officeDocument/2006/relationships/hyperlink" Target="http://www.sec.gov/Archives/edgar/data/1513363/000095012311041885/w81466a2exv99wxhy.htm" TargetMode="External"/><Relationship Id="rId202" Type="http://schemas.openxmlformats.org/officeDocument/2006/relationships/hyperlink" Target="http://www.sec.gov/Archives/edgar/data/1513363/000095012311054001/w81466a3exv99wxjy.htm" TargetMode="External"/><Relationship Id="rId203" Type="http://schemas.openxmlformats.org/officeDocument/2006/relationships/hyperlink" Target="http://www.sec.gov/Archives/edgar/data/1513363/000095012311041885/w81466a2exv99wxkyx1y.htm" TargetMode="External"/><Relationship Id="rId204" Type="http://schemas.openxmlformats.org/officeDocument/2006/relationships/hyperlink" Target="http://www.sec.gov/Archives/edgar/data/1513363/000095012311054001/w81466a3exv99wxkyx2y.htm" TargetMode="External"/><Relationship Id="rId205" Type="http://schemas.openxmlformats.org/officeDocument/2006/relationships/hyperlink" Target="http://www.sec.gov/Archives/edgar/data/1513363/000119312521237700/d197304dex101.htm" TargetMode="External"/><Relationship Id="rId206" Type="http://schemas.openxmlformats.org/officeDocument/2006/relationships/hyperlink" Target="http://www.sec.gov/Archives/edgar/data/1513363/000119312522282603/d386893dex101.htm" TargetMode="External"/><Relationship Id="rId207" Type="http://schemas.openxmlformats.org/officeDocument/2006/relationships/hyperlink" Target="http://www.sec.gov/Archives/edgar/data/1513363/000119312523210716/d518571dex101.htm" TargetMode="External"/><Relationship Id="rId208" Type="http://schemas.openxmlformats.org/officeDocument/2006/relationships/hyperlink" Target="http://www.sec.gov/Archives/edgar/data/1513363/000119312524053672/d803783dex101.htm" TargetMode="External"/><Relationship Id="rId209" Type="http://schemas.openxmlformats.org/officeDocument/2006/relationships/hyperlink" Target="http://www.sec.gov/Archives/edgar/data/0001513363/000119312525246762/d15780dex101.htm" TargetMode="External"/><Relationship Id="rId211" Type="http://schemas.openxmlformats.org/officeDocument/2006/relationships/hyperlink" Target="http://www.sec.gov/Archives/edgar/data/1513363/000095017024023065/fdus-ex1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2026-02-27T15:46:18Z</dcterms:created>
  <dcterms:modified xsi:type="dcterms:W3CDTF">2026-02-27T15:46:18Z</dcterms:modified>
</cp:coreProperties>
</file>