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333-277540</w:t>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Prospectus Dated May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47625</wp:posOffset>
            </wp:positionV>
            <wp:extent cx="120904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$300,000,000</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FIDUS INVESTMENT CORPORATION</w:t>
      </w: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149860</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8" w:lineRule="exact"/>
        <w:rPr>
          <w:sz w:val="24"/>
          <w:szCs w:val="24"/>
          <w:color w:val="auto"/>
        </w:rPr>
      </w:pPr>
    </w:p>
    <w:p>
      <w:pPr>
        <w:ind w:right="140" w:firstLine="330"/>
        <w:spacing w:after="0" w:line="223" w:lineRule="auto"/>
        <w:rPr>
          <w:sz w:val="20"/>
          <w:szCs w:val="20"/>
          <w:color w:val="auto"/>
        </w:rPr>
      </w:pPr>
      <w:r>
        <w:rPr>
          <w:rFonts w:ascii="Times New Roman" w:cs="Times New Roman" w:eastAsia="Times New Roman" w:hAnsi="Times New Roman"/>
          <w:sz w:val="13"/>
          <w:szCs w:val="13"/>
          <w:b w:val="1"/>
          <w:bCs w:val="1"/>
          <w:color w:val="auto"/>
        </w:rPr>
        <w:t>We are an externally managed, closed-end, non-diversified management investment company that has elected to be regulated as a business development company (“BDC”) under the Investment Company Act of 1940, as amended (the “1940 Act”).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 We generally invest in securities that would be rated below investment grade if they were rated by rating agencies. Below investment grade securities, which are often referred to as “high yield” or “junk,” have speculative characteristics with respect to the issuer’s capacity to pay interest and repay principal. Fidus Investment Advisors, LLC serves as our investment adviser (the “Adviser”) and as our administrator.</w:t>
      </w:r>
    </w:p>
    <w:p>
      <w:pPr>
        <w:spacing w:after="0" w:line="83" w:lineRule="exact"/>
        <w:rPr>
          <w:sz w:val="24"/>
          <w:szCs w:val="24"/>
          <w:color w:val="auto"/>
        </w:rPr>
      </w:pPr>
    </w:p>
    <w:p>
      <w:pPr>
        <w:ind w:right="120" w:firstLine="330"/>
        <w:spacing w:after="0" w:line="241" w:lineRule="auto"/>
        <w:rPr>
          <w:sz w:val="20"/>
          <w:szCs w:val="20"/>
          <w:color w:val="auto"/>
        </w:rPr>
      </w:pPr>
      <w:r>
        <w:rPr>
          <w:rFonts w:ascii="Times New Roman" w:cs="Times New Roman" w:eastAsia="Times New Roman" w:hAnsi="Times New Roman"/>
          <w:sz w:val="12"/>
          <w:szCs w:val="12"/>
          <w:color w:val="auto"/>
        </w:rPr>
        <w:t>We have entered into an equity distribution agreement, dated November 10, 2022, as amended on August 11, 2023 and February 29, 2024 (the “Equity Distribution Agreement”), with Raymond James &amp; Associates, Inc. and B. Riley Securities, Inc. (each a “Sales Agent” and, collectively the “Sales Agents”), relating to the shares of our common stock offered by this prospectus supplement and the accompanying prospectus (the “ATM Program). The Equity Distribution Agreement provides that we may offer and sell up to $300,000,000 of shares of our common stock from time to time through the Sales Agents in the ATM Program. Sales of shares of our common stock, if any, under this prospectus supplement and the accompanying prospectus may be made in negotiated transactions or transactions that are deemed to be “at the market,” as defined in Rule 415 under the Securities Act of 1933, as amended (the “Securities Act”), including, without limitation, sales made directly on or through the Nasdaq Global Select Market or similar securities exchange or sales made to or through a market maker other than on an exchange, at prices related to the prevailing market prices or at negotiated prices, but not at prices below the then current net asset value (“NAV”) per share of our common stock. Our Adviser may, from time to time, in its sole discretion, pay some or all of the Sale Agents’ commission in order to ensure that the sales price per share of our common stock in connection with all of the offerings made hereunder will not be less than the then current NAV per share of our common stock. Any such payments made by the Adviser will not be subject to reimbursement by us.</w:t>
      </w:r>
    </w:p>
    <w:p>
      <w:pPr>
        <w:spacing w:after="0" w:line="79" w:lineRule="exact"/>
        <w:rPr>
          <w:sz w:val="24"/>
          <w:szCs w:val="24"/>
          <w:color w:val="auto"/>
        </w:rPr>
      </w:pPr>
    </w:p>
    <w:p>
      <w:pPr>
        <w:ind w:right="20" w:firstLine="330"/>
        <w:spacing w:after="0" w:line="232" w:lineRule="auto"/>
        <w:rPr>
          <w:sz w:val="20"/>
          <w:szCs w:val="20"/>
          <w:color w:val="auto"/>
        </w:rPr>
      </w:pPr>
      <w:r>
        <w:rPr>
          <w:rFonts w:ascii="Times New Roman" w:cs="Times New Roman" w:eastAsia="Times New Roman" w:hAnsi="Times New Roman"/>
          <w:sz w:val="13"/>
          <w:szCs w:val="13"/>
          <w:color w:val="auto"/>
        </w:rPr>
        <w:t>Under the terms of the Equity Distribution Agreement, the Sales Agents will receive a commission from us of up to 1.50% of the gross sales price of any shares of our common stock sold through the Sales Agents under the Equity Distribution Agreement. The Sales Agents are not required to sell any specific number or dollar amount of common stock, but will use their commercially reasonable efforts consistent with their sales and trading practices to sell the shares of our common stock offered by this prospectus supplement and the accompanying prospectus. See “Plan of Distribution” in this prospectus supplement.</w:t>
      </w:r>
    </w:p>
    <w:p>
      <w:pPr>
        <w:spacing w:after="0" w:line="79" w:lineRule="exact"/>
        <w:rPr>
          <w:sz w:val="24"/>
          <w:szCs w:val="24"/>
          <w:color w:val="auto"/>
        </w:rPr>
      </w:pPr>
    </w:p>
    <w:p>
      <w:pPr>
        <w:ind w:right="20" w:firstLine="330"/>
        <w:spacing w:after="0" w:line="232" w:lineRule="auto"/>
        <w:rPr>
          <w:sz w:val="20"/>
          <w:szCs w:val="20"/>
          <w:color w:val="auto"/>
        </w:rPr>
      </w:pPr>
      <w:r>
        <w:rPr>
          <w:rFonts w:ascii="Times New Roman" w:cs="Times New Roman" w:eastAsia="Times New Roman" w:hAnsi="Times New Roman"/>
          <w:sz w:val="13"/>
          <w:szCs w:val="13"/>
          <w:color w:val="auto"/>
        </w:rPr>
        <w:t>From November 10, 2022 to March 31, 2024, we sold a total of 6,957,913 shares of our common stock under the ATM Program for gross proceeds of approximately $137.2 million and net proceeds of approximately $135.4 million, after deducting commissions to the Sales Agents on shares sold and offering expenses. As a result and as of the date hereof, up to approximately $162.8 million in aggregate amount of our common stock remains available for sale under the ATM Program.</w:t>
      </w:r>
    </w:p>
    <w:p>
      <w:pPr>
        <w:spacing w:after="0" w:line="79" w:lineRule="exact"/>
        <w:rPr>
          <w:sz w:val="24"/>
          <w:szCs w:val="24"/>
          <w:color w:val="auto"/>
        </w:rPr>
      </w:pPr>
    </w:p>
    <w:p>
      <w:pPr>
        <w:ind w:right="200" w:firstLine="330"/>
        <w:spacing w:after="0"/>
        <w:rPr>
          <w:sz w:val="20"/>
          <w:szCs w:val="20"/>
          <w:color w:val="auto"/>
        </w:rPr>
      </w:pPr>
      <w:r>
        <w:rPr>
          <w:rFonts w:ascii="Times New Roman" w:cs="Times New Roman" w:eastAsia="Times New Roman" w:hAnsi="Times New Roman"/>
          <w:sz w:val="13"/>
          <w:szCs w:val="13"/>
          <w:color w:val="auto"/>
        </w:rPr>
        <w:t>Our common stock is traded on the Nasdaq Global Select Market under the symbol “FDUS.” On May 6, 2024, the official close price of our common stock on the Nasdaq Global Select Market was $19.93 per share. The NAV per share of our common stock at March 31, 2024 (the last date prior to the date of this prospectus supplement on which we determined NAV) was $19.36.</w:t>
      </w:r>
    </w:p>
    <w:p>
      <w:pPr>
        <w:spacing w:after="0" w:line="77" w:lineRule="exact"/>
        <w:rPr>
          <w:sz w:val="24"/>
          <w:szCs w:val="24"/>
          <w:color w:val="auto"/>
        </w:rPr>
      </w:pPr>
    </w:p>
    <w:p>
      <w:pPr>
        <w:ind w:right="20" w:firstLine="330"/>
        <w:spacing w:after="0" w:line="221" w:lineRule="auto"/>
        <w:rPr>
          <w:sz w:val="20"/>
          <w:szCs w:val="20"/>
          <w:color w:val="auto"/>
        </w:rPr>
      </w:pPr>
      <w:r>
        <w:rPr>
          <w:rFonts w:ascii="Times New Roman" w:cs="Times New Roman" w:eastAsia="Times New Roman" w:hAnsi="Times New Roman"/>
          <w:sz w:val="13"/>
          <w:szCs w:val="13"/>
          <w:b w:val="1"/>
          <w:bCs w:val="1"/>
          <w:color w:val="auto"/>
        </w:rPr>
        <w:t>Shares of closed-end investment companies, including BDCs, frequently trade at a discount to their NAV. If our shares trade at a discount to our NAV, it will likely increase the risk of loss for purchasers in this offering. We are not generally able to issue and sell our common stock at a price below NAV per share. We may, however, sell our common stock, warrants, or rights to acquire our common stock, at a price below then-current NAV per share of our common stock if our board of directors determines that such sale is in our best interests, and if our stockholders approve such sale. At our 2023 annual meeting of stockholders, our stockholders voted to allow us to sell or otherwise issue common stock at a price below NAV per share for the period ending on the earlier of the one year anniversary of the date of our 2023 annual meeting of stockholders and the date of our 2024 annual meeting of stockholders. Accordingly, the authorization will expire on June 8, 2024. The proposal approved by our stockholders did not specify a maximum discount below NAV at which we are able to issue our common stock, although the cumulative number of shares sold pursuant to such authorization may not exceed 25% of our outstanding common stock immediately prior to each such sale. In addition, we cannot issue shares of our common stock below NAV unless our board of directors determines that it would be in our and our stockholders’ best interests to do so. Sales of common stock at prices below NAV per share dilute the interests of existing stockholders, have the effect of reducing our NAV per share and may reduce our market price per share. In addition, continuous sales of common stock below NAV may have a negative impact on total returns and could have a negative impact on the market price of our shares of common stock. Notwithstanding the foregoing authorization, we will not issue shares of our common stock below the then current NAV per share of our common stock in connection with this offering. See “Sales of Common Stock Below Net Asset Value” in the accompanying prospectus.</w:t>
      </w:r>
    </w:p>
    <w:p>
      <w:pPr>
        <w:spacing w:after="0" w:line="79" w:lineRule="exact"/>
        <w:rPr>
          <w:sz w:val="24"/>
          <w:szCs w:val="24"/>
          <w:color w:val="auto"/>
        </w:rPr>
      </w:pPr>
    </w:p>
    <w:p>
      <w:pPr>
        <w:ind w:right="40" w:firstLine="330"/>
        <w:spacing w:after="0" w:line="243" w:lineRule="auto"/>
        <w:rPr>
          <w:sz w:val="20"/>
          <w:szCs w:val="20"/>
          <w:color w:val="auto"/>
        </w:rPr>
      </w:pPr>
      <w:r>
        <w:rPr>
          <w:rFonts w:ascii="Times New Roman" w:cs="Times New Roman" w:eastAsia="Times New Roman" w:hAnsi="Times New Roman"/>
          <w:sz w:val="13"/>
          <w:szCs w:val="13"/>
          <w:b w:val="1"/>
          <w:bCs w:val="1"/>
          <w:color w:val="auto"/>
        </w:rPr>
        <w:t>Investing in our common stock involves risks. Before making a decision to invest in our common stock, you should carefully consider the matters discussed under “</w:t>
      </w:r>
      <w:r>
        <w:rPr>
          <w:rFonts w:ascii="Times New Roman" w:cs="Times New Roman" w:eastAsia="Times New Roman" w:hAnsi="Times New Roman"/>
          <w:sz w:val="13"/>
          <w:szCs w:val="13"/>
          <w:b w:val="1"/>
          <w:bCs w:val="1"/>
          <w:u w:val="single" w:color="auto"/>
          <w:color w:val="0000EE"/>
        </w:rPr>
        <w:t>Risk Factors</w:t>
      </w:r>
      <w:r>
        <w:rPr>
          <w:rFonts w:ascii="Times New Roman" w:cs="Times New Roman" w:eastAsia="Times New Roman" w:hAnsi="Times New Roman"/>
          <w:sz w:val="13"/>
          <w:szCs w:val="13"/>
          <w:b w:val="1"/>
          <w:bCs w:val="1"/>
          <w:color w:val="auto"/>
        </w:rPr>
        <w:t>” beginning on page 11 of the accompanying prospectus and in our most recent Annual Report on Form 10-K, our most recent Quarterly Report on Form 10-Q, as well as any of our subsequent SEC filings.</w:t>
      </w:r>
    </w:p>
    <w:p>
      <w:pPr>
        <w:spacing w:after="0" w:line="77" w:lineRule="exact"/>
        <w:rPr>
          <w:sz w:val="24"/>
          <w:szCs w:val="24"/>
          <w:color w:val="auto"/>
        </w:rPr>
      </w:pPr>
    </w:p>
    <w:p>
      <w:pPr>
        <w:ind w:right="20" w:firstLine="330"/>
        <w:spacing w:after="0" w:line="223" w:lineRule="auto"/>
        <w:rPr>
          <w:sz w:val="20"/>
          <w:szCs w:val="20"/>
          <w:color w:val="auto"/>
        </w:rPr>
      </w:pPr>
      <w:r>
        <w:rPr>
          <w:rFonts w:ascii="Times New Roman" w:cs="Times New Roman" w:eastAsia="Times New Roman" w:hAnsi="Times New Roman"/>
          <w:sz w:val="13"/>
          <w:szCs w:val="13"/>
          <w:color w:val="auto"/>
        </w:rPr>
        <w:t xml:space="preserve">This prospectus supplement, the accompanying prospectus, any free writing prospectus, and the information incorporated by reference in this prospectus supplement and the accompanying prospectus contain important information you should know before investing in our common stock, including 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www.sec.gov. This information is also available free of charge by contacting us at 1603 Orrington Avenue, Suite 1005, Evanston, Illinois, 60201, Attention: Investor Relations, by calling us at (847) 859-3940 or on our website at </w:t>
      </w:r>
      <w:r>
        <w:rPr>
          <w:rFonts w:ascii="Times New Roman" w:cs="Times New Roman" w:eastAsia="Times New Roman" w:hAnsi="Times New Roman"/>
          <w:sz w:val="13"/>
          <w:szCs w:val="13"/>
          <w:i w:val="1"/>
          <w:iCs w:val="1"/>
          <w:color w:val="auto"/>
        </w:rPr>
        <w:t>www.fdus.com</w:t>
      </w:r>
      <w:r>
        <w:rPr>
          <w:rFonts w:ascii="Times New Roman" w:cs="Times New Roman" w:eastAsia="Times New Roman" w:hAnsi="Times New Roman"/>
          <w:sz w:val="13"/>
          <w:szCs w:val="13"/>
          <w:color w:val="auto"/>
        </w:rPr>
        <w:t>, which, except for the documents incorporated by reference into this prospectus supplement and the accompanying prospectus, is not incorporated by reference into this prospectus supplement and the accompanying prospectus and you should not consider that information to be part of this prospectus supplement or the accompanying prospectus. See “Available Information” on page 91 of the accompanying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139700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2" w:lineRule="exact"/>
        <w:rPr>
          <w:sz w:val="24"/>
          <w:szCs w:val="24"/>
          <w:color w:val="auto"/>
        </w:rPr>
      </w:pPr>
    </w:p>
    <w:p>
      <w:pPr>
        <w:ind w:right="420" w:firstLine="330"/>
        <w:spacing w:after="0" w:line="243" w:lineRule="auto"/>
        <w:rPr>
          <w:sz w:val="20"/>
          <w:szCs w:val="20"/>
          <w:color w:val="auto"/>
        </w:rPr>
      </w:pPr>
      <w:r>
        <w:rPr>
          <w:rFonts w:ascii="Times New Roman" w:cs="Times New Roman" w:eastAsia="Times New Roman" w:hAnsi="Times New Roman"/>
          <w:sz w:val="13"/>
          <w:szCs w:val="13"/>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Raymond James</w:t>
            </w:r>
          </w:p>
        </w:tc>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ind w:left="2660"/>
              <w:spacing w:after="0"/>
              <w:rPr>
                <w:sz w:val="20"/>
                <w:szCs w:val="20"/>
                <w:color w:val="auto"/>
              </w:rPr>
            </w:pPr>
            <w:r>
              <w:rPr>
                <w:rFonts w:ascii="Times New Roman" w:cs="Times New Roman" w:eastAsia="Times New Roman" w:hAnsi="Times New Roman"/>
                <w:sz w:val="22"/>
                <w:szCs w:val="22"/>
                <w:b w:val="1"/>
                <w:bCs w:val="1"/>
                <w:color w:val="auto"/>
                <w:w w:val="97"/>
              </w:rPr>
              <w:t>B. Riley Securities</w:t>
            </w:r>
          </w:p>
        </w:tc>
      </w:tr>
      <w:tr>
        <w:trPr>
          <w:trHeight w:val="218"/>
        </w:trPr>
        <w:tc>
          <w:tcPr>
            <w:tcW w:w="2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360" w:type="dxa"/>
            <w:vAlign w:val="bottom"/>
          </w:tcPr>
          <w:p>
            <w:pPr>
              <w:spacing w:after="0"/>
              <w:rPr>
                <w:sz w:val="18"/>
                <w:szCs w:val="18"/>
                <w:color w:val="auto"/>
              </w:rPr>
            </w:pPr>
          </w:p>
        </w:tc>
      </w:tr>
      <w:tr>
        <w:trPr>
          <w:trHeight w:val="267"/>
        </w:trPr>
        <w:tc>
          <w:tcPr>
            <w:tcW w:w="2680" w:type="dxa"/>
            <w:vAlign w:val="bottom"/>
          </w:tcPr>
          <w:p>
            <w:pPr>
              <w:spacing w:after="0"/>
              <w:rPr>
                <w:sz w:val="23"/>
                <w:szCs w:val="23"/>
                <w:color w:val="auto"/>
              </w:rPr>
            </w:pPr>
          </w:p>
        </w:tc>
        <w:tc>
          <w:tcPr>
            <w:tcW w:w="8340" w:type="dxa"/>
            <w:vAlign w:val="bottom"/>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May 9, 2024</w:t>
            </w:r>
          </w:p>
        </w:tc>
      </w:tr>
    </w:tbl>
    <w:p>
      <w:pPr>
        <w:sectPr>
          <w:pgSz w:w="11900" w:h="16838" w:orient="portrait"/>
          <w:cols w:equalWidth="0" w:num="1">
            <w:col w:w="11020"/>
          </w:cols>
          <w:pgMar w:left="440" w:top="225" w:right="4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20" w:type="dxa"/>
            <w:vAlign w:val="bottom"/>
            <w:gridSpan w:val="8"/>
          </w:tcPr>
          <w:p>
            <w:pPr>
              <w:jc w:val="center"/>
              <w:ind w:right="4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10"/>
          </w:tcPr>
          <w:p>
            <w:pPr>
              <w:jc w:val="center"/>
              <w:ind w:right="34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7120" w:type="dxa"/>
            <w:vAlign w:val="bottom"/>
            <w:gridSpan w:val="12"/>
            <w:vMerge w:val="restart"/>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21"/>
            <w:vMerge w:val="continue"/>
          </w:tcPr>
          <w:p>
            <w:pPr>
              <w:spacing w:after="0"/>
              <w:rPr>
                <w:sz w:val="13"/>
                <w:szCs w:val="13"/>
                <w:color w:val="auto"/>
              </w:rPr>
            </w:pPr>
          </w:p>
        </w:tc>
        <w:tc>
          <w:tcPr>
            <w:tcW w:w="7120" w:type="dxa"/>
            <w:vAlign w:val="bottom"/>
            <w:gridSpan w:val="12"/>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6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PROSPECTUS SUPPLEMENT SUMMARY</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7"/>
          </w:tcPr>
          <w:p>
            <w:pPr>
              <w:spacing w:after="0"/>
              <w:rPr>
                <w:sz w:val="17"/>
                <w:szCs w:val="17"/>
                <w:color w:val="auto"/>
              </w:rPr>
            </w:pPr>
          </w:p>
        </w:tc>
        <w:tc>
          <w:tcPr>
            <w:tcW w:w="728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FEES AND EXPENSES</w:t>
            </w:r>
          </w:p>
        </w:tc>
        <w:tc>
          <w:tcPr>
            <w:tcW w:w="8760" w:type="dxa"/>
            <w:vAlign w:val="bottom"/>
            <w:gridSpan w:val="2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24"/>
          </w:tcPr>
          <w:p>
            <w:pPr>
              <w:spacing w:after="0"/>
              <w:rPr>
                <w:sz w:val="17"/>
                <w:szCs w:val="17"/>
                <w:color w:val="auto"/>
              </w:rPr>
            </w:pPr>
          </w:p>
        </w:tc>
        <w:tc>
          <w:tcPr>
            <w:tcW w:w="52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0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S-12</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2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669"/>
        </w:trPr>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4"/>
          </w:tcPr>
          <w:p>
            <w:pPr>
              <w:jc w:val="center"/>
              <w:ind w:right="44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9"/>
          </w:tcPr>
          <w:p>
            <w:pPr>
              <w:spacing w:after="0"/>
              <w:rPr>
                <w:sz w:val="17"/>
                <w:szCs w:val="17"/>
                <w:color w:val="auto"/>
              </w:rPr>
            </w:pPr>
          </w:p>
        </w:tc>
        <w:tc>
          <w:tcPr>
            <w:tcW w:w="8480" w:type="dxa"/>
            <w:vAlign w:val="bottom"/>
            <w:gridSpan w:val="2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780" w:type="dxa"/>
            <w:vAlign w:val="bottom"/>
            <w:gridSpan w:val="2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24"/>
          </w:tcPr>
          <w:p>
            <w:pPr>
              <w:spacing w:after="0"/>
              <w:rPr>
                <w:sz w:val="17"/>
                <w:szCs w:val="17"/>
                <w:color w:val="auto"/>
              </w:rPr>
            </w:pPr>
          </w:p>
        </w:tc>
        <w:tc>
          <w:tcPr>
            <w:tcW w:w="524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w:t>
            </w:r>
          </w:p>
        </w:tc>
        <w:tc>
          <w:tcPr>
            <w:tcW w:w="760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846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7180" w:type="dxa"/>
            <w:vAlign w:val="bottom"/>
            <w:tcBorders>
              <w:top w:val="single" w:sz="8" w:color="0000EE"/>
            </w:tcBorders>
            <w:gridSpan w:val="25"/>
          </w:tcPr>
          <w:p>
            <w:pPr>
              <w:spacing w:after="0"/>
              <w:rPr>
                <w:sz w:val="17"/>
                <w:szCs w:val="17"/>
                <w:color w:val="auto"/>
              </w:rPr>
            </w:pPr>
          </w:p>
        </w:tc>
        <w:tc>
          <w:tcPr>
            <w:tcW w:w="16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THE COMPANY</w:t>
            </w:r>
          </w:p>
        </w:tc>
        <w:tc>
          <w:tcPr>
            <w:tcW w:w="9280" w:type="dxa"/>
            <w:vAlign w:val="bottom"/>
            <w:gridSpan w:val="3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740" w:type="dxa"/>
            <w:vAlign w:val="bottom"/>
            <w:tcBorders>
              <w:top w:val="single" w:sz="8" w:color="0000EE"/>
            </w:tcBorders>
            <w:gridSpan w:val="6"/>
          </w:tcPr>
          <w:p>
            <w:pPr>
              <w:spacing w:after="0"/>
              <w:rPr>
                <w:sz w:val="17"/>
                <w:szCs w:val="17"/>
                <w:color w:val="auto"/>
              </w:rPr>
            </w:pPr>
          </w:p>
        </w:tc>
        <w:tc>
          <w:tcPr>
            <w:tcW w:w="8520" w:type="dxa"/>
            <w:vAlign w:val="bottom"/>
            <w:gridSpan w:val="2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MANAGEMENT AND OTHER AGREEMENTS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w:t>
            </w:r>
          </w:p>
        </w:tc>
        <w:tc>
          <w:tcPr>
            <w:tcW w:w="570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 PERSONS AND PRINCIPAL STOCKHOLDERS</w:t>
            </w:r>
          </w:p>
        </w:tc>
        <w:tc>
          <w:tcPr>
            <w:tcW w:w="602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SALES OF COMMON STOCK BELOW NET ASSET VALUE</w:t>
            </w:r>
          </w:p>
        </w:tc>
        <w:tc>
          <w:tcPr>
            <w:tcW w:w="592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74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CERTAIN U.S. FEDERAL INCOME TAX CONSIDERATIONS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586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800" w:type="dxa"/>
            <w:vAlign w:val="bottom"/>
            <w:gridSpan w:val="9"/>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668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712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REGULATION</w:t>
            </w:r>
          </w:p>
        </w:tc>
        <w:tc>
          <w:tcPr>
            <w:tcW w:w="1760" w:type="dxa"/>
            <w:vAlign w:val="bottom"/>
            <w:tcBorders>
              <w:top w:val="single" w:sz="8" w:color="0000EE"/>
            </w:tcBorders>
            <w:gridSpan w:val="17"/>
          </w:tcPr>
          <w:p>
            <w:pPr>
              <w:spacing w:after="0"/>
              <w:rPr>
                <w:sz w:val="17"/>
                <w:szCs w:val="17"/>
                <w:color w:val="auto"/>
              </w:rPr>
            </w:pPr>
          </w:p>
        </w:tc>
        <w:tc>
          <w:tcPr>
            <w:tcW w:w="766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0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DIVIDEND PAYING AGENT AND REGISTRAR</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1840" w:type="dxa"/>
            <w:vAlign w:val="bottom"/>
            <w:tcBorders>
              <w:top w:val="single" w:sz="8" w:color="0000EE"/>
            </w:tcBorders>
            <w:gridSpan w:val="7"/>
          </w:tcPr>
          <w:p>
            <w:pPr>
              <w:spacing w:after="0"/>
              <w:rPr>
                <w:sz w:val="17"/>
                <w:szCs w:val="17"/>
                <w:color w:val="auto"/>
              </w:rPr>
            </w:pPr>
          </w:p>
        </w:tc>
        <w:tc>
          <w:tcPr>
            <w:tcW w:w="434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00" w:type="dxa"/>
            <w:vAlign w:val="bottom"/>
            <w:gridSpan w:val="2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INDEPENDENT REGISTERED PUBLIC ACCOUNTING FIRM</w:t>
            </w:r>
          </w:p>
        </w:tc>
        <w:tc>
          <w:tcPr>
            <w:tcW w:w="576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2260" w:type="dxa"/>
            <w:vAlign w:val="bottom"/>
            <w:gridSpan w:val="14"/>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960" w:type="dxa"/>
            <w:vAlign w:val="bottom"/>
            <w:gridSpan w:val="18"/>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INFORMATION BY REFERENCE</w:t>
            </w: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0"/>
        </w:trPr>
        <w:tc>
          <w:tcPr>
            <w:tcW w:w="1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93"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ABOUT THIS PROSPECTUS SUPPLEMENT</w:t>
      </w:r>
    </w:p>
    <w:p>
      <w:pPr>
        <w:spacing w:after="0" w:line="229"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This document is in two parts. The first part is this prospectus supplement, which describes the specific details regarding this offering of our common stock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w:t>
      </w:r>
    </w:p>
    <w:p>
      <w:pPr>
        <w:spacing w:after="0" w:line="172"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This prospectus supplement includes summaries of certain provisions contained in some of the documents described in this prospectus supplement,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in the section titled “Available Information” in the accompanying prospectus.</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SUPPLEMENT AND THE ACCOMPANYING PROSPECTUS, INCLUDING THE INFORMATION INCORPORATED BY REFERENCE HEREIN AND THEREIN, AND ANY FREE WRITING PROSPECTUS PREPARED BY, OR ON BEHALF OF, US THAT RELATES TO THIS OFFERING OF THE COMMON STOCK. WE HAVE NOT, AND THE SALES AGENTS HAVE NOT, AUTHORIZED ANY OTHER PERSON TO PROVIDE YOU WITH DIFFERENT OR ADDITIONAL INFORMATION. IF ANYONE PROVIDES YOU WITH DIFFERENT OR ADDITIONAL INFORMATION, YOU SHOULD NOT RELY ON IT. WE TAKE NO RESPONSIBILITY FOR, AND CAN PROVIDE NO ASSURANCE AS TO THE RELIABILITY OF, ANY OTHER INFORMATION THAT OTHERS GIVE YOU. WE ARE NOT, AND THE SALES AGENTS ARE NOT, MAKING AN OFFER TO SELL COMMON STOCK IN ANY JURISDICTION WHERE THE OFFER OR SALE IS NOT PERMITTED. YOU SHOULD ASSUME THAT THE INFORMATION APPEARING IN THIS PROSPECTUS SUPPLEMENT AND THE ACCOMPANYING PROSPECTUS, INCLUDING THE INFORMATION INCORPORATED BY REFERENCE HEREIN AND THEREIN, AND ANY FREE WRITING PROSPECTUS PREPARED BY OR ON BEHALF OF US THAT RELATES TO THIS OFFERING OF COMMON STOCK IS ACCURATE ONLY AS OF ITS RESPECTIVE DATE, REGARDLESS OF THE TIME OF DELIVERY OF THIS PROSPECTUS SUPPLEMENT, THE ACCOMPANYING PROSPECTUS, ANY FREE WRITING PROSPECTUS OR ANY SALES OF OUR COMMON STOCK. OUR BUSINESS, FINANCIAL CONDITION, RESULTS OF OPERATIONS AND PROSPECTS MAY HAVE CHANGED SINCE THOSE DATES.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000"/>
          </w:cols>
          <w:pgMar w:left="440" w:top="293" w:right="45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56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56885"/>
                    </a:xfrm>
                    <a:prstGeom prst="rect">
                      <a:avLst/>
                    </a:prstGeom>
                    <a:noFill/>
                  </pic:spPr>
                </pic:pic>
              </a:graphicData>
            </a:graphic>
          </wp:anchor>
        </w:drawing>
        <w:t>PROSPECTUS SUPPLEMENT SUMMARY</w:t>
      </w:r>
    </w:p>
    <w:p>
      <w:pPr>
        <w:spacing w:after="0" w:line="227" w:lineRule="exact"/>
        <w:rPr>
          <w:sz w:val="20"/>
          <w:szCs w:val="20"/>
          <w:color w:val="auto"/>
        </w:rPr>
      </w:pPr>
    </w:p>
    <w:p>
      <w:pPr>
        <w:ind w:right="8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summary highlights some of the information included elsewhere, or incorporated by reference, in this prospectus supplement or the accompanying prospectus. It is not complete and may not contain all the information that you should consider before making your investment decision regarding the common stock offered hereby. To understand the terms of the common stock offered hereby before making your investment decision, you should carefully read this entire prospectus supplement and the accompanying prospectus, including the documents incorporated by reference herein or therein, and any free writing prospectus related to this offering, including “Risk Factors,” “Incorporation by Reference,” and “Use of Proceeds” and the financial statements incorporated by reference in this prospectus supplement and the accompanying prospectus. Together, these documents describe the specific terms of the common stock we are offering.</w:t>
      </w:r>
    </w:p>
    <w:p>
      <w:pPr>
        <w:spacing w:after="0" w:line="183" w:lineRule="exact"/>
        <w:rPr>
          <w:sz w:val="20"/>
          <w:szCs w:val="20"/>
          <w:color w:val="auto"/>
        </w:rPr>
      </w:pPr>
    </w:p>
    <w:p>
      <w:pPr>
        <w:ind w:right="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Fidus Investment Corporation (“FIC”), a Maryland Corporation, operates as an externally managed business development company (“BDC”) under the Investment Company Act of 1940, as amended (the “1940 Act”). FIC completed its initial public offering in June 2011. In addition, FIC has elected to be treated as a regulated investment company (“RIC”) under Subchapter M of the Internal Revenue Code of 1986, as amended (the “Code”). As of March 31, 2024, our shares were listed on the Nasdaq Global Select Market under the symbol “FDUS.”</w:t>
      </w:r>
    </w:p>
    <w:p>
      <w:pPr>
        <w:spacing w:after="0" w:line="180" w:lineRule="exact"/>
        <w:rPr>
          <w:sz w:val="20"/>
          <w:szCs w:val="20"/>
          <w:color w:val="auto"/>
        </w:rPr>
      </w:pPr>
    </w:p>
    <w:p>
      <w:pPr>
        <w:ind w:firstLine="426"/>
        <w:spacing w:after="0" w:line="271" w:lineRule="auto"/>
        <w:rPr>
          <w:sz w:val="20"/>
          <w:szCs w:val="20"/>
          <w:color w:val="auto"/>
        </w:rPr>
      </w:pPr>
      <w:r>
        <w:rPr>
          <w:rFonts w:ascii="Times New Roman" w:cs="Times New Roman" w:eastAsia="Times New Roman" w:hAnsi="Times New Roman"/>
          <w:sz w:val="17"/>
          <w:szCs w:val="17"/>
          <w:i w:val="1"/>
          <w:iCs w:val="1"/>
          <w:color w:val="auto"/>
        </w:rPr>
        <w:t>FIC may make investments directly or through its two wholly owned investment company subsidiaries, Fidus Mezzanine Capital II, L.P. (“Fund II”) and Fidus Mezzanine Capital III, L.P. (“Fund III”, and together with Fund II, the “Funds”). Fidus Investment GP, LLC, the general partner of the Funds, is also a wholly owned subsidiary of FIC. Fund III is licensed by the U.S. Small Business Administration (the “SBA”) as a small business investment company (“SBIC”). Fund III utilizes the proceeds of the issuance of SBA-guaranteed debentures (“SBA debentures”) to enhance returns to our stockholders. Fund II completed its wind-down plan, can no longer issue additional SBA debentures, and relinquished its SBIC license on March 7, 2024, which remains subject to the SBA’s approval. We believe that utilizing both FIC and Fund III as investment vehicles provides us with access to a broader array of investment opportunities. Given our access to lower cost capital through the SBA’s SBIC debenture program, we expect that we will continue to make investments through Fund III until Fund III reaches its borrowing limit under the SBA program. For three or more SBICs under common control, the maximum amount of outstanding SBA debentures cannot exceed $350.0 million.</w:t>
      </w:r>
    </w:p>
    <w:p>
      <w:pPr>
        <w:spacing w:after="0" w:line="173" w:lineRule="exact"/>
        <w:rPr>
          <w:sz w:val="20"/>
          <w:szCs w:val="20"/>
          <w:color w:val="auto"/>
        </w:rPr>
      </w:pPr>
    </w:p>
    <w:p>
      <w:pPr>
        <w:ind w:right="3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in this prospectus supplement, the terms “we,” “us,” “our,” the “Company,” “Fidus” and “FIC” refer to Fidus Investment Corporation and its consolidated subsidiaries.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As used in this prospectus supplement, the term “our investment advisor” or “the Adviser” refers to Fidus Investment Advisors, LLC.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121" w:lineRule="exact"/>
        <w:rPr>
          <w:sz w:val="20"/>
          <w:szCs w:val="20"/>
          <w:color w:val="auto"/>
        </w:rPr>
      </w:pPr>
    </w:p>
    <w:p>
      <w:pPr>
        <w:ind w:right="20" w:firstLine="426"/>
        <w:spacing w:after="0" w:line="256" w:lineRule="auto"/>
        <w:rPr>
          <w:sz w:val="20"/>
          <w:szCs w:val="20"/>
          <w:color w:val="auto"/>
        </w:rPr>
      </w:pPr>
      <w:r>
        <w:rPr>
          <w:rFonts w:ascii="Times New Roman" w:cs="Times New Roman" w:eastAsia="Times New Roman" w:hAnsi="Times New Roman"/>
          <w:sz w:val="18"/>
          <w:szCs w:val="18"/>
          <w:color w:val="auto"/>
        </w:rPr>
        <w:t>We provide customized debt and equity financing solutions to lower middle-market companies, which we define as U.S.-based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560"/>
          </w:cols>
          <w:pgMar w:left="620" w:top="482" w:right="719" w:bottom="1440" w:gutter="0" w:footer="0" w:header="0"/>
        </w:sectPr>
      </w:pPr>
    </w:p>
    <w:bookmarkStart w:id="4" w:name="page5"/>
    <w:bookmarkEnd w:id="4"/>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716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1716405"/>
                    </a:xfrm>
                    <a:prstGeom prst="rect">
                      <a:avLst/>
                    </a:prstGeom>
                    <a:noFill/>
                  </pic:spPr>
                </pic:pic>
              </a:graphicData>
            </a:graphic>
          </wp:anchor>
        </w:drawing>
        <w:t>We invest in companies that possess some or all of the following attributes: predictable revenues; positive cash flows; defensible and/or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leading market positions; diversified customer and supplier bases; and proven management teams with strong operating discipline. We target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in the lower middle-market with annual earnings, before interest, taxes, depreciation and amortization, or EBITDA,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and $30.0 million; however, we may from time to time opportunistically make investments in larger or smaller companies.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typically range between $5.0 million and $35.0 million per portfolio company.</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2024, we had debt and equity investments in 87 portfolio companies with an aggregate fair value of $1.0 billion.</w:t>
      </w:r>
    </w:p>
    <w:p>
      <w:pPr>
        <w:spacing w:after="0" w:line="225" w:lineRule="exact"/>
        <w:rPr>
          <w:sz w:val="20"/>
          <w:szCs w:val="20"/>
          <w:color w:val="auto"/>
        </w:rPr>
      </w:pPr>
    </w:p>
    <w:p>
      <w:pPr>
        <w:ind w:firstLine="426"/>
        <w:spacing w:after="0" w:line="282" w:lineRule="auto"/>
        <w:rPr>
          <w:sz w:val="20"/>
          <w:szCs w:val="20"/>
          <w:color w:val="auto"/>
        </w:rPr>
      </w:pPr>
      <w:r>
        <w:rPr>
          <w:rFonts w:ascii="Times New Roman" w:cs="Times New Roman" w:eastAsia="Times New Roman" w:hAnsi="Times New Roman"/>
          <w:sz w:val="18"/>
          <w:szCs w:val="18"/>
          <w:color w:val="auto"/>
        </w:rPr>
        <w:t>See “Business” in Part I, Item 1 in our most recent Annual Report on Form 10-K for additional information about us and our investment advisor.</w:t>
      </w:r>
    </w:p>
    <w:p>
      <w:pPr>
        <w:spacing w:after="0" w:line="27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220"/>
          </w:cols>
          <w:pgMar w:left="620" w:top="486" w:right="1059" w:bottom="1440" w:gutter="0" w:footer="0" w:header="0"/>
        </w:sectPr>
      </w:pPr>
    </w:p>
    <w:bookmarkStart w:id="5" w:name="page6"/>
    <w:bookmarkEnd w:id="5"/>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266" w:lineRule="exact"/>
        <w:rPr>
          <w:sz w:val="20"/>
          <w:szCs w:val="20"/>
          <w:color w:val="auto"/>
        </w:rPr>
      </w:pPr>
    </w:p>
    <w:p>
      <w:pPr>
        <w:spacing w:after="0" w:line="584" w:lineRule="auto"/>
        <w:rPr>
          <w:sz w:val="20"/>
          <w:szCs w:val="20"/>
          <w:color w:val="auto"/>
        </w:rPr>
      </w:pPr>
      <w:r>
        <w:rPr>
          <w:rFonts w:ascii="Times New Roman" w:cs="Times New Roman" w:eastAsia="Times New Roman" w:hAnsi="Times New Roman"/>
          <w:sz w:val="18"/>
          <w:szCs w:val="18"/>
          <w:b w:val="1"/>
          <w:bCs w:val="1"/>
          <w:color w:val="auto"/>
        </w:rPr>
        <w:t>Common stock outstanding as of May 6, 2024 Manner of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Symbol on the Nasdaq Global Select Market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-347980</wp:posOffset>
            </wp:positionV>
            <wp:extent cx="7174865" cy="6122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612267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$300,000,000.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31,553,663 shares</w:t>
      </w:r>
    </w:p>
    <w:p>
      <w:pPr>
        <w:spacing w:after="0" w:line="26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November 10, 2022, we established the ATM Program to which this prospectus supplement relates.</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“At the market offering” that may be made from time to time through the Sales Agents using commercially reasonable efforts. See “Plan of Distribution” in this prospectus supplement for more information.</w:t>
      </w:r>
    </w:p>
    <w:p>
      <w:pPr>
        <w:spacing w:after="0" w:line="20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From November 10, 2022 to March 31, 2024, we sold a total of 6,957,913 shares of our common stock under the ATM Program for gross proceeds of approximately</w:t>
      </w:r>
    </w:p>
    <w:p>
      <w:pPr>
        <w:spacing w:after="0" w:line="251" w:lineRule="auto"/>
        <w:rPr>
          <w:sz w:val="20"/>
          <w:szCs w:val="20"/>
          <w:color w:val="auto"/>
        </w:rPr>
      </w:pPr>
      <w:r>
        <w:rPr>
          <w:rFonts w:ascii="Times New Roman" w:cs="Times New Roman" w:eastAsia="Times New Roman" w:hAnsi="Times New Roman"/>
          <w:sz w:val="18"/>
          <w:szCs w:val="18"/>
          <w:color w:val="auto"/>
        </w:rPr>
        <w:t>$137.2 million and net proceeds of approximately $135.4 million, after deducting commissions to the Sales Agents on shares sold and offering expenses. Assuming the sale of the remaining $162.8 million in aggregate amount of our common stock available under the ATM Program pursuant to this prospectus supplement and the accompanying prospectus, we anticipate that the net proceeds of this offering remaining available to us will be approximately $159.8 million, after deducting the commissions payable to the Sales Agents and estimated offering expenses. We intend to use the net proceeds from this offering to repay certain outstanding indebtedness, invest in lower middle-market companies in accordance with our investment objective and strategies and for working capital and general corporate purposes. See “Use of Proceeds” on page S-11 of this prospectus supplement for more information.</w:t>
      </w:r>
    </w:p>
    <w:p>
      <w:pPr>
        <w:spacing w:after="0" w:line="21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“FDUS.”</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We pay quarterly distributions to our stockholders out of assets legally available for distribution. Our distributions, if any, will be determined by our board of directors. Our ability to declare distributions depends on our earnings, our overall financial condition (including our liquidity position), qualification for or maintenance of our RIC tax treatment and such other factors as our board of directors may deem relevant from time to time.</w:t>
      </w:r>
    </w:p>
    <w:p>
      <w:pPr>
        <w:spacing w:after="0" w:line="1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When we make distributions, we will be required to determine the extent to which such distributions are paid out of current or accumulated earnings, recognized capital gains or capital. To the extent there is a return of capital, investors will be required to reduce their basis in our stock for U.S. federal income tax purposes. In the future, our distributions may include a return of capital.</w:t>
      </w:r>
    </w:p>
    <w:p>
      <w:pPr>
        <w:spacing w:after="0" w:line="200" w:lineRule="exact"/>
        <w:rPr>
          <w:sz w:val="20"/>
          <w:szCs w:val="20"/>
          <w:color w:val="auto"/>
        </w:rPr>
      </w:pPr>
    </w:p>
    <w:p>
      <w:pPr>
        <w:sectPr>
          <w:pgSz w:w="11900" w:h="16838" w:orient="portrait"/>
          <w:cols w:equalWidth="0" w:num="2">
            <w:col w:w="3480" w:space="560"/>
            <w:col w:w="6580"/>
          </w:cols>
          <w:pgMar w:left="620" w:top="482" w:right="6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620"/>
          </w:cols>
          <w:pgMar w:left="620" w:top="482" w:right="659" w:bottom="1440" w:gutter="0" w:footer="0" w:header="0"/>
          <w:type w:val="continuous"/>
        </w:sectPr>
      </w:pPr>
    </w:p>
    <w:bookmarkStart w:id="6" w:name="page7"/>
    <w:bookmarkEnd w:id="6"/>
    <w:p>
      <w:pPr>
        <w:ind w:left="180"/>
        <w:spacing w:after="0"/>
        <w:tabs>
          <w:tab w:leader="none" w:pos="42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1051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105150"/>
                    </a:xfrm>
                    <a:prstGeom prst="rect">
                      <a:avLst/>
                    </a:prstGeom>
                    <a:noFill/>
                  </pic:spPr>
                </pic:pic>
              </a:graphicData>
            </a:graphic>
          </wp:anchor>
        </w:drawing>
        <w:t>Material U.S. Federal Income Tax Considerations</w:t>
      </w:r>
      <w:r>
        <w:rPr>
          <w:sz w:val="20"/>
          <w:szCs w:val="20"/>
          <w:color w:val="auto"/>
        </w:rPr>
        <w:tab/>
      </w:r>
      <w:r>
        <w:rPr>
          <w:rFonts w:ascii="Times New Roman" w:cs="Times New Roman" w:eastAsia="Times New Roman" w:hAnsi="Times New Roman"/>
          <w:sz w:val="17"/>
          <w:szCs w:val="17"/>
          <w:color w:val="auto"/>
        </w:rPr>
        <w:t>We have elected, and intend to qualify annually, to be treated for U.S. federal income tax</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7"/>
                <w:szCs w:val="17"/>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purposes as a RIC under Subchapter M of the Code. As a RIC, we generally will not have</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to pay corporate-level U.S. federal income tax on any ordinary income or capital gains that</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we timely distribute to our stockholders as dividends. To continue to maintain our RIC tax</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treatment, we must meet specified source-of-income and asset diversification requirements</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and distribute annually at least 90% of our realized net ordinary income and realized net</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short-term capital gains, if any, in excess of our net long-term capital losses. See “Certain</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U.S. Federal Income Tax Considerations” in the accompanying prospectus for more</w:t>
            </w:r>
          </w:p>
        </w:tc>
      </w:tr>
      <w:tr>
        <w:trPr>
          <w:trHeight w:val="234"/>
        </w:trPr>
        <w:tc>
          <w:tcPr>
            <w:tcW w:w="2680" w:type="dxa"/>
            <w:vAlign w:val="bottom"/>
          </w:tcPr>
          <w:p>
            <w:pPr>
              <w:spacing w:after="0"/>
              <w:rPr>
                <w:sz w:val="20"/>
                <w:szCs w:val="20"/>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information.</w:t>
            </w:r>
          </w:p>
        </w:tc>
      </w:tr>
      <w:tr>
        <w:trPr>
          <w:trHeight w:val="441"/>
        </w:trPr>
        <w:tc>
          <w:tcPr>
            <w:tcW w:w="2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An investment in our common stock is subject to risks and involves a heightened risk of</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total loss of investment. In addition, the companies in which we invest are subject to</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special risks. See “Risk Factors” in the accompanying prospectus, Part I, Item 1A of our</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most recent Annual Report on Form 10-K, which is incorporated by reference in this</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prospectus supplement and the accompanying prospectus, and in any free writing</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prospectuses we have authorized for use in connection with this offering, and under similar</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headings in the documents that are filed with the SEC on or after the date hereof and are</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incorporated by reference into this prospectus supplement and the accompanying</w:t>
            </w:r>
          </w:p>
        </w:tc>
      </w:tr>
      <w:tr>
        <w:trPr>
          <w:trHeight w:val="216"/>
        </w:trPr>
        <w:tc>
          <w:tcPr>
            <w:tcW w:w="2680" w:type="dxa"/>
            <w:vAlign w:val="bottom"/>
          </w:tcPr>
          <w:p>
            <w:pPr>
              <w:spacing w:after="0"/>
              <w:rPr>
                <w:sz w:val="18"/>
                <w:szCs w:val="18"/>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prospectus, to read about factors you should consider, including the risk of leverage, before</w:t>
            </w:r>
          </w:p>
        </w:tc>
      </w:tr>
      <w:tr>
        <w:trPr>
          <w:trHeight w:val="234"/>
        </w:trPr>
        <w:tc>
          <w:tcPr>
            <w:tcW w:w="2680" w:type="dxa"/>
            <w:vAlign w:val="bottom"/>
          </w:tcPr>
          <w:p>
            <w:pPr>
              <w:spacing w:after="0"/>
              <w:rPr>
                <w:sz w:val="20"/>
                <w:szCs w:val="20"/>
                <w:color w:val="auto"/>
              </w:rPr>
            </w:pPr>
          </w:p>
        </w:tc>
        <w:tc>
          <w:tcPr>
            <w:tcW w:w="83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investing in our common stock.</w:t>
            </w:r>
          </w:p>
        </w:tc>
      </w:tr>
      <w:tr>
        <w:trPr>
          <w:trHeight w:val="159"/>
        </w:trPr>
        <w:tc>
          <w:tcPr>
            <w:tcW w:w="2680" w:type="dxa"/>
            <w:vAlign w:val="bottom"/>
            <w:tcBorders>
              <w:bottom w:val="single" w:sz="8" w:color="auto"/>
            </w:tcBorders>
          </w:tcPr>
          <w:p>
            <w:pPr>
              <w:spacing w:after="0"/>
              <w:rPr>
                <w:sz w:val="13"/>
                <w:szCs w:val="13"/>
                <w:color w:val="auto"/>
              </w:rPr>
            </w:pPr>
          </w:p>
        </w:tc>
        <w:tc>
          <w:tcPr>
            <w:tcW w:w="8340" w:type="dxa"/>
            <w:vAlign w:val="bottom"/>
            <w:tcBorders>
              <w:bottom w:val="single" w:sz="8" w:color="auto"/>
            </w:tcBorders>
          </w:tcPr>
          <w:p>
            <w:pPr>
              <w:spacing w:after="0"/>
              <w:rPr>
                <w:sz w:val="13"/>
                <w:szCs w:val="13"/>
                <w:color w:val="auto"/>
              </w:rPr>
            </w:pPr>
          </w:p>
        </w:tc>
      </w:tr>
      <w:tr>
        <w:trPr>
          <w:trHeight w:val="361"/>
        </w:trPr>
        <w:tc>
          <w:tcPr>
            <w:tcW w:w="2680" w:type="dxa"/>
            <w:vAlign w:val="bottom"/>
          </w:tcPr>
          <w:p>
            <w:pPr>
              <w:spacing w:after="0"/>
              <w:rPr>
                <w:sz w:val="24"/>
                <w:szCs w:val="24"/>
                <w:color w:val="auto"/>
              </w:rPr>
            </w:pPr>
          </w:p>
        </w:tc>
        <w:tc>
          <w:tcPr>
            <w:tcW w:w="83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020"/>
          </w:cols>
          <w:pgMar w:left="440" w:top="482" w:right="439" w:bottom="1440" w:gutter="0" w:footer="0" w:header="0"/>
        </w:sectPr>
      </w:pPr>
    </w:p>
    <w:bookmarkStart w:id="7" w:name="page8"/>
    <w:bookmarkEnd w:id="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FEES AND EXPENSES</w:t>
      </w:r>
    </w:p>
    <w:p>
      <w:pPr>
        <w:spacing w:after="0" w:line="229"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We caution you that some of the percentages indicated in the table below are estimates and may vary. Moreover, the information set forth below does not include any transaction costs and expenses that investors will incur in connection with each offering of our securities pursuant to this prospectus supplement. Except where the context suggests otherwise, whenever this prospectus supplement or the accompanying prospectus contains a reference to fees or expenses paid by “us” or that “we” will pay fees or expenses, common stockholders will indirectly bear such fees or expenses.</w:t>
      </w:r>
    </w:p>
    <w:p>
      <w:pPr>
        <w:spacing w:after="0" w:line="229"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880" w:type="dxa"/>
            <w:vAlign w:val="bottom"/>
            <w:gridSpan w:val="4"/>
          </w:tcPr>
          <w:p>
            <w:pPr>
              <w:ind w:left="240"/>
              <w:spacing w:after="0" w:line="216" w:lineRule="exact"/>
              <w:rPr>
                <w:sz w:val="20"/>
                <w:szCs w:val="20"/>
                <w:color w:val="auto"/>
              </w:rPr>
            </w:pPr>
            <w:r>
              <w:rPr>
                <w:rFonts w:ascii="Times New Roman" w:cs="Times New Roman" w:eastAsia="Times New Roman" w:hAnsi="Times New Roman"/>
                <w:sz w:val="18"/>
                <w:szCs w:val="18"/>
                <w:color w:val="auto"/>
                <w:w w:val="97"/>
              </w:rPr>
              <w:t>1.50%</w:t>
            </w:r>
            <w:r>
              <w:rPr>
                <w:rFonts w:ascii="Times New Roman" w:cs="Times New Roman" w:eastAsia="Times New Roman" w:hAnsi="Times New Roman"/>
                <w:sz w:val="22"/>
                <w:szCs w:val="22"/>
                <w:color w:val="auto"/>
                <w:w w:val="97"/>
                <w:vertAlign w:val="superscript"/>
              </w:rPr>
              <w:t>(1)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born by us (as a percentage of offering price)</w:t>
            </w:r>
          </w:p>
        </w:tc>
        <w:tc>
          <w:tcPr>
            <w:tcW w:w="880" w:type="dxa"/>
            <w:vAlign w:val="bottom"/>
            <w:gridSpan w:val="4"/>
            <w:shd w:val="clear" w:color="auto" w:fill="CCEEFF"/>
          </w:tcPr>
          <w:p>
            <w:pPr>
              <w:ind w:left="240"/>
              <w:spacing w:after="0" w:line="216" w:lineRule="exact"/>
              <w:rPr>
                <w:sz w:val="20"/>
                <w:szCs w:val="20"/>
                <w:color w:val="auto"/>
              </w:rPr>
            </w:pPr>
            <w:r>
              <w:rPr>
                <w:rFonts w:ascii="Times New Roman" w:cs="Times New Roman" w:eastAsia="Times New Roman" w:hAnsi="Times New Roman"/>
                <w:sz w:val="18"/>
                <w:szCs w:val="18"/>
                <w:color w:val="auto"/>
                <w:w w:val="97"/>
              </w:rPr>
              <w:t>0.32%</w:t>
            </w:r>
            <w:r>
              <w:rPr>
                <w:rFonts w:ascii="Times New Roman" w:cs="Times New Roman" w:eastAsia="Times New Roman" w:hAnsi="Times New Roman"/>
                <w:sz w:val="22"/>
                <w:szCs w:val="22"/>
                <w:color w:val="auto"/>
                <w:w w:val="97"/>
                <w:vertAlign w:val="superscript"/>
              </w:rPr>
              <w:t>(2)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180" w:type="dxa"/>
            <w:vAlign w:val="bottom"/>
          </w:tcPr>
          <w:p>
            <w:pPr>
              <w:spacing w:after="0"/>
              <w:rPr>
                <w:sz w:val="18"/>
                <w:szCs w:val="18"/>
                <w:color w:val="auto"/>
              </w:rPr>
            </w:pPr>
          </w:p>
        </w:tc>
        <w:tc>
          <w:tcPr>
            <w:tcW w:w="700" w:type="dxa"/>
            <w:vAlign w:val="bottom"/>
            <w:gridSpan w:val="3"/>
          </w:tcPr>
          <w:p>
            <w:pPr>
              <w:jc w:val="right"/>
              <w:ind w:right="20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0"/>
                <w:szCs w:val="10"/>
                <w:color w:val="auto"/>
              </w:rPr>
              <w:t xml:space="preserve"> (3)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 transaction expenses paid by us (as a percentage of offering price)</w:t>
            </w: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Annual expenses (as a percentage of net assets attributable to common stock)</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1"/>
                <w:szCs w:val="11"/>
                <w:b w:val="1"/>
                <w:bCs w:val="1"/>
                <w:color w:val="auto"/>
              </w:rPr>
              <w:t>4</w:t>
            </w:r>
            <w:r>
              <w:rPr>
                <w:rFonts w:ascii="Times New Roman" w:cs="Times New Roman" w:eastAsia="Times New Roman" w:hAnsi="Times New Roman"/>
                <w:sz w:val="22"/>
                <w:szCs w:val="22"/>
                <w:b w:val="1"/>
                <w:bCs w:val="1"/>
                <w:color w:val="auto"/>
                <w:vertAlign w:val="superscript"/>
              </w:rPr>
              <w:t>)</w:t>
            </w:r>
            <w:r>
              <w:rPr>
                <w:rFonts w:ascii="Times New Roman" w:cs="Times New Roman" w:eastAsia="Times New Roman" w:hAnsi="Times New Roman"/>
                <w:sz w:val="18"/>
                <w:szCs w:val="18"/>
                <w:b w:val="1"/>
                <w:bCs w:val="1"/>
                <w:color w:val="auto"/>
              </w:rPr>
              <w:t>:</w:t>
            </w: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8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management fee</w:t>
            </w:r>
          </w:p>
        </w:tc>
        <w:tc>
          <w:tcPr>
            <w:tcW w:w="880" w:type="dxa"/>
            <w:vAlign w:val="bottom"/>
            <w:gridSpan w:val="4"/>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18"/>
                <w:szCs w:val="18"/>
                <w:color w:val="auto"/>
              </w:rPr>
              <w:t>2.96 %</w:t>
            </w:r>
            <w:r>
              <w:rPr>
                <w:rFonts w:ascii="Times New Roman" w:cs="Times New Roman" w:eastAsia="Times New Roman" w:hAnsi="Times New Roman"/>
                <w:sz w:val="22"/>
                <w:szCs w:val="22"/>
                <w:color w:val="auto"/>
                <w:vertAlign w:val="superscript"/>
              </w:rPr>
              <w:t>(5)</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payable under Investment Advisory Agreement</w:t>
            </w:r>
          </w:p>
        </w:tc>
        <w:tc>
          <w:tcPr>
            <w:tcW w:w="880" w:type="dxa"/>
            <w:vAlign w:val="bottom"/>
            <w:gridSpan w:val="4"/>
          </w:tcPr>
          <w:p>
            <w:pPr>
              <w:jc w:val="right"/>
              <w:ind w:right="160"/>
              <w:spacing w:after="0" w:line="243" w:lineRule="exact"/>
              <w:rPr>
                <w:sz w:val="20"/>
                <w:szCs w:val="20"/>
                <w:color w:val="auto"/>
              </w:rPr>
            </w:pPr>
            <w:r>
              <w:rPr>
                <w:rFonts w:ascii="Times New Roman" w:cs="Times New Roman" w:eastAsia="Times New Roman" w:hAnsi="Times New Roman"/>
                <w:sz w:val="18"/>
                <w:szCs w:val="18"/>
                <w:color w:val="auto"/>
              </w:rPr>
              <w:t>3.02 %</w:t>
            </w:r>
            <w:r>
              <w:rPr>
                <w:rFonts w:ascii="Times New Roman" w:cs="Times New Roman" w:eastAsia="Times New Roman" w:hAnsi="Times New Roman"/>
                <w:sz w:val="22"/>
                <w:szCs w:val="22"/>
                <w:color w:val="auto"/>
                <w:vertAlign w:val="superscript"/>
              </w:rPr>
              <w:t>(6)</w:t>
            </w:r>
          </w:p>
        </w:tc>
        <w:tc>
          <w:tcPr>
            <w:tcW w:w="0" w:type="dxa"/>
            <w:vAlign w:val="bottom"/>
          </w:tcPr>
          <w:p>
            <w:pPr>
              <w:spacing w:after="0"/>
              <w:rPr>
                <w:sz w:val="1"/>
                <w:szCs w:val="1"/>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880" w:type="dxa"/>
            <w:vAlign w:val="bottom"/>
            <w:gridSpan w:val="4"/>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18"/>
                <w:szCs w:val="18"/>
                <w:color w:val="auto"/>
              </w:rPr>
              <w:t>3.64 %</w:t>
            </w:r>
            <w:r>
              <w:rPr>
                <w:rFonts w:ascii="Times New Roman" w:cs="Times New Roman" w:eastAsia="Times New Roman" w:hAnsi="Times New Roman"/>
                <w:sz w:val="22"/>
                <w:szCs w:val="22"/>
                <w:color w:val="auto"/>
                <w:vertAlign w:val="superscript"/>
              </w:rPr>
              <w:t>(7)</w:t>
            </w:r>
          </w:p>
        </w:tc>
        <w:tc>
          <w:tcPr>
            <w:tcW w:w="0" w:type="dxa"/>
            <w:vAlign w:val="bottom"/>
          </w:tcPr>
          <w:p>
            <w:pPr>
              <w:spacing w:after="0"/>
              <w:rPr>
                <w:sz w:val="1"/>
                <w:szCs w:val="1"/>
                <w:color w:val="auto"/>
              </w:rPr>
            </w:pPr>
          </w:p>
        </w:tc>
      </w:tr>
      <w:tr>
        <w:trPr>
          <w:trHeight w:val="25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8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22"/>
                <w:szCs w:val="22"/>
                <w:color w:val="auto"/>
                <w:vertAlign w:val="superscript"/>
              </w:rPr>
              <w:t>(8)</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annual expenses, before base management fee waiver</w:t>
            </w:r>
          </w:p>
        </w:tc>
        <w:tc>
          <w:tcPr>
            <w:tcW w:w="880" w:type="dxa"/>
            <w:vAlign w:val="bottom"/>
            <w:gridSpan w:val="4"/>
            <w:shd w:val="clear" w:color="auto" w:fill="CCEEFF"/>
          </w:tcPr>
          <w:p>
            <w:pPr>
              <w:jc w:val="right"/>
              <w:ind w:right="160"/>
              <w:spacing w:after="0" w:line="243" w:lineRule="exact"/>
              <w:rPr>
                <w:sz w:val="20"/>
                <w:szCs w:val="20"/>
                <w:color w:val="auto"/>
              </w:rPr>
            </w:pPr>
            <w:r>
              <w:rPr>
                <w:rFonts w:ascii="Times New Roman" w:cs="Times New Roman" w:eastAsia="Times New Roman" w:hAnsi="Times New Roman"/>
                <w:sz w:val="18"/>
                <w:szCs w:val="18"/>
                <w:color w:val="auto"/>
                <w:w w:val="90"/>
              </w:rPr>
              <w:t>10.75 %</w:t>
            </w:r>
            <w:r>
              <w:rPr>
                <w:rFonts w:ascii="Times New Roman" w:cs="Times New Roman" w:eastAsia="Times New Roman" w:hAnsi="Times New Roman"/>
                <w:sz w:val="22"/>
                <w:szCs w:val="22"/>
                <w:color w:val="auto"/>
                <w:w w:val="90"/>
                <w:vertAlign w:val="superscript"/>
              </w:rPr>
              <w:t>(9)</w:t>
            </w:r>
          </w:p>
        </w:tc>
        <w:tc>
          <w:tcPr>
            <w:tcW w:w="0" w:type="dxa"/>
            <w:vAlign w:val="bottom"/>
          </w:tcPr>
          <w:p>
            <w:pPr>
              <w:spacing w:after="0"/>
              <w:rPr>
                <w:sz w:val="1"/>
                <w:szCs w:val="1"/>
                <w:color w:val="auto"/>
              </w:rPr>
            </w:pPr>
          </w:p>
        </w:tc>
      </w:tr>
      <w:tr>
        <w:trPr>
          <w:trHeight w:val="25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management fee waiver</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1"/>
              </w:rPr>
              <w:t>(0.05 %)</w:t>
            </w:r>
            <w:r>
              <w:rPr>
                <w:rFonts w:ascii="Times New Roman" w:cs="Times New Roman" w:eastAsia="Times New Roman" w:hAnsi="Times New Roman"/>
                <w:sz w:val="22"/>
                <w:szCs w:val="22"/>
                <w:color w:val="auto"/>
                <w:w w:val="91"/>
                <w:vertAlign w:val="superscript"/>
              </w:rPr>
              <w:t>(10)</w:t>
            </w:r>
          </w:p>
        </w:tc>
        <w:tc>
          <w:tcPr>
            <w:tcW w:w="0" w:type="dxa"/>
            <w:vAlign w:val="bottom"/>
          </w:tcPr>
          <w:p>
            <w:pPr>
              <w:spacing w:after="0"/>
              <w:rPr>
                <w:sz w:val="1"/>
                <w:szCs w:val="1"/>
                <w:color w:val="auto"/>
              </w:rPr>
            </w:pPr>
          </w:p>
        </w:tc>
      </w:tr>
      <w:tr>
        <w:trPr>
          <w:trHeight w:val="21"/>
        </w:trPr>
        <w:tc>
          <w:tcPr>
            <w:tcW w:w="74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annual expenses, net of base management fee waiver</w:t>
            </w:r>
          </w:p>
        </w:tc>
        <w:tc>
          <w:tcPr>
            <w:tcW w:w="880" w:type="dxa"/>
            <w:vAlign w:val="bottom"/>
            <w:gridSpan w:val="4"/>
            <w:shd w:val="clear" w:color="auto" w:fill="CCEEFF"/>
          </w:tcPr>
          <w:p>
            <w:pPr>
              <w:jc w:val="right"/>
              <w:ind w:right="120"/>
              <w:spacing w:after="0" w:line="243" w:lineRule="exact"/>
              <w:rPr>
                <w:sz w:val="20"/>
                <w:szCs w:val="20"/>
                <w:color w:val="auto"/>
              </w:rPr>
            </w:pPr>
            <w:r>
              <w:rPr>
                <w:rFonts w:ascii="Times New Roman" w:cs="Times New Roman" w:eastAsia="Times New Roman" w:hAnsi="Times New Roman"/>
                <w:sz w:val="18"/>
                <w:szCs w:val="18"/>
                <w:color w:val="auto"/>
                <w:w w:val="87"/>
              </w:rPr>
              <w:t>10.70 %</w:t>
            </w:r>
            <w:r>
              <w:rPr>
                <w:rFonts w:ascii="Times New Roman" w:cs="Times New Roman" w:eastAsia="Times New Roman" w:hAnsi="Times New Roman"/>
                <w:sz w:val="22"/>
                <w:szCs w:val="22"/>
                <w:color w:val="auto"/>
                <w:w w:val="87"/>
                <w:vertAlign w:val="superscript"/>
              </w:rPr>
              <w:t>(11)</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-556260</wp:posOffset>
            </wp:positionV>
            <wp:extent cx="34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-213995</wp:posOffset>
            </wp:positionV>
            <wp:extent cx="34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-24765</wp:posOffset>
            </wp:positionV>
            <wp:extent cx="342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-7620</wp:posOffset>
            </wp:positionV>
            <wp:extent cx="342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2" w:lineRule="exact"/>
        <w:rPr>
          <w:sz w:val="20"/>
          <w:szCs w:val="20"/>
          <w:color w:val="auto"/>
        </w:rPr>
      </w:pPr>
    </w:p>
    <w:p>
      <w:pPr>
        <w:ind w:left="544" w:right="380" w:hanging="544"/>
        <w:spacing w:after="0" w:line="261" w:lineRule="auto"/>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Sales Agents’ commission of up to 1.50% with respect to the shares of common stock being sold in this offering. There is no guarantee that there will be any sales of our common stock pursuant to this prospectus supplement and the accompanying prospectus.</w:t>
      </w:r>
    </w:p>
    <w:p>
      <w:pPr>
        <w:ind w:left="544" w:hanging="544"/>
        <w:spacing w:after="0"/>
        <w:tabs>
          <w:tab w:leader="none" w:pos="544"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offering expenses of this offering are estimated to be approximately $1.0 million, of which we have incurred $0.5 million as of May 6, 2024.</w:t>
      </w:r>
    </w:p>
    <w:p>
      <w:pPr>
        <w:spacing w:after="0" w:line="20" w:lineRule="exact"/>
        <w:rPr>
          <w:rFonts w:ascii="Times New Roman" w:cs="Times New Roman" w:eastAsia="Times New Roman" w:hAnsi="Times New Roman"/>
          <w:sz w:val="17"/>
          <w:szCs w:val="17"/>
          <w:color w:val="auto"/>
        </w:rPr>
      </w:pPr>
    </w:p>
    <w:p>
      <w:pPr>
        <w:ind w:left="544" w:hanging="544"/>
        <w:spacing w:after="0"/>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administering our dividend reinvestment plan are included in other expenses.</w:t>
      </w:r>
    </w:p>
    <w:p>
      <w:pPr>
        <w:spacing w:after="0" w:line="9" w:lineRule="exact"/>
        <w:rPr>
          <w:rFonts w:ascii="Times New Roman" w:cs="Times New Roman" w:eastAsia="Times New Roman" w:hAnsi="Times New Roman"/>
          <w:sz w:val="18"/>
          <w:szCs w:val="18"/>
          <w:color w:val="auto"/>
        </w:rPr>
      </w:pPr>
    </w:p>
    <w:p>
      <w:pPr>
        <w:ind w:left="544" w:right="440" w:hanging="544"/>
        <w:spacing w:after="0" w:line="250" w:lineRule="auto"/>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stock equals average net assets, which is calculated as the average of the net assets balances for the three months ended March 31, 2024.</w:t>
      </w:r>
    </w:p>
    <w:p>
      <w:pPr>
        <w:ind w:left="544" w:hanging="544"/>
        <w:spacing w:after="0" w:line="250" w:lineRule="auto"/>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base management fee is 1.75% of the average value of our total assets (other than cash and cash equivalents but including assets purchased with borrowed amounts). This item represents actual base management fees incurred for the three months ended March 31, 2024. We may from time to time decide it is appropriate to change the terms of the investment advisory and management agreement by and between the Company and the Adviser (the “Investment Advisory Agreement”). Under the 1940 Act, any material change to our Investment Advisory Agreement must be submitted to stockholders for approval. The 2.96% reflected in the table is calculated on our net assets (rather than our total assets). See Part I, Item 1. “Business - Management and Other Agreements-Investment Advisory Agreement” in our most recent Annual Report on Form 10-K.</w:t>
      </w:r>
    </w:p>
    <w:p>
      <w:pPr>
        <w:spacing w:after="0" w:line="2" w:lineRule="exact"/>
        <w:rPr>
          <w:rFonts w:ascii="Times New Roman" w:cs="Times New Roman" w:eastAsia="Times New Roman" w:hAnsi="Times New Roman"/>
          <w:sz w:val="18"/>
          <w:szCs w:val="18"/>
          <w:color w:val="auto"/>
        </w:rPr>
      </w:pPr>
    </w:p>
    <w:p>
      <w:pPr>
        <w:ind w:left="544" w:right="180" w:hanging="544"/>
        <w:spacing w:after="0" w:line="253" w:lineRule="auto"/>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represents actual fees incurred on pre-incentive fee net investment income (income incentive fee) and actual fees payable for the capital gains incentive fee for the three months ended March 31, 2024. The capital gains incentive fee payable as of March 31, 2024 was $0.2 million. For the three months ended March 31, 2024, we accrued capital gains incentive fees (reversal) of $0.5 million in accordance with U.S. GAAP, which equals 0.08% of average net assets attributable to common stock; such amount has not been included in the estimated expenses figure reflected in the table above.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04"/>
          </w:cols>
          <w:pgMar w:left="436" w:top="293" w:right="459" w:bottom="1440" w:gutter="0" w:footer="0" w:header="0"/>
        </w:sectPr>
      </w:pPr>
    </w:p>
    <w:bookmarkStart w:id="8" w:name="page9"/>
    <w:bookmarkEnd w:id="8"/>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incentive fee consists of two parts:</w:t>
      </w:r>
    </w:p>
    <w:p>
      <w:pPr>
        <w:spacing w:after="0" w:line="27" w:lineRule="exact"/>
        <w:rPr>
          <w:sz w:val="20"/>
          <w:szCs w:val="20"/>
          <w:color w:val="auto"/>
        </w:rPr>
      </w:pPr>
    </w:p>
    <w:p>
      <w:pPr>
        <w:ind w:left="544" w:right="80"/>
        <w:spacing w:after="0" w:line="250" w:lineRule="auto"/>
        <w:rPr>
          <w:sz w:val="20"/>
          <w:szCs w:val="20"/>
          <w:color w:val="auto"/>
        </w:rPr>
      </w:pPr>
      <w:r>
        <w:rPr>
          <w:rFonts w:ascii="Times New Roman" w:cs="Times New Roman" w:eastAsia="Times New Roman" w:hAnsi="Times New Roman"/>
          <w:sz w:val="18"/>
          <w:szCs w:val="18"/>
          <w:color w:val="auto"/>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 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 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 See Part I, Item 1. “Business - Management and Other Agreements-Investment Advisory Agreement” in our most recent Annual Report on Form 10-K.</w:t>
      </w:r>
    </w:p>
    <w:p>
      <w:pPr>
        <w:spacing w:after="0" w:line="5" w:lineRule="exact"/>
        <w:rPr>
          <w:sz w:val="20"/>
          <w:szCs w:val="20"/>
          <w:color w:val="auto"/>
        </w:rPr>
      </w:pPr>
    </w:p>
    <w:p>
      <w:pPr>
        <w:ind w:left="544" w:right="40" w:hanging="544"/>
        <w:spacing w:after="0" w:line="250"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had outstanding SBA debentures of $175.0 million; we had $125.0 million outstanding of our 4.75% notes due 2026 (the “January 2026 Notes”); we had $125.0 million outstanding of our 3.50% notes due 2026 (the “November 2026 Notes” and together with the January 2026 Notes, the “Notes”); we had outstanding borrowings of $22.5 million under our senior secured revolving credit agreement with certain lenders party thereto and ING Capital, LLC, as administrative agent (the “Credit Facility”), which has a total commitment of</w:t>
      </w:r>
    </w:p>
    <w:p>
      <w:pPr>
        <w:spacing w:after="0" w:line="1" w:lineRule="exact"/>
        <w:rPr>
          <w:rFonts w:ascii="Times New Roman" w:cs="Times New Roman" w:eastAsia="Times New Roman" w:hAnsi="Times New Roman"/>
          <w:sz w:val="18"/>
          <w:szCs w:val="18"/>
          <w:color w:val="auto"/>
        </w:rPr>
      </w:pPr>
    </w:p>
    <w:p>
      <w:pPr>
        <w:ind w:left="54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million. Interest payments on borrowed funds is based on estimated annual interest and fee expenses on outstanding SBA debentures and the Notes and outstanding borrowings under the Credit Facility as of March 31, 2024 with a weighted average stated interest rate of 4.568% as of that date. We also pay a commitment fee between 0.5% and 2.675% per annum based the unutilized commitment under our Credit Facility. We have estimated the annual interest expense on borrowed funds and caution you that our actual interest expense will depend on prevailing interest rates and our rate of borrowing, which may be substantially higher than the estimate provided in this table.</w:t>
      </w:r>
    </w:p>
    <w:p>
      <w:pPr>
        <w:spacing w:after="0" w:line="1" w:lineRule="exact"/>
        <w:rPr>
          <w:rFonts w:ascii="Times New Roman" w:cs="Times New Roman" w:eastAsia="Times New Roman" w:hAnsi="Times New Roman"/>
          <w:sz w:val="18"/>
          <w:szCs w:val="18"/>
          <w:color w:val="auto"/>
        </w:rPr>
      </w:pPr>
    </w:p>
    <w:p>
      <w:pPr>
        <w:ind w:left="544" w:right="20" w:hanging="544"/>
        <w:spacing w:after="0" w:line="265" w:lineRule="auto"/>
        <w:tabs>
          <w:tab w:leader="none" w:pos="5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represent our estimated annual operating expenses, as a percentage of net assets attributable to common shares estimated for the three months ended March 31, 2024, including professional fees, directors’ fees, insurance costs, expenses of our dividend reinvestment plan, payments under the administration agreement based on our allocable portion of overhead and other expenses incurred by our administrator, expenses incurred in a money market fund, and our income tax provision (benefit) relating to deferred and current tax provision (benefit) for U.S. federal income taxes and excise, state and other taxes. See Part I, Item 1. “Business - Management and Other Agreements-Administration Agreement” in our most recent Annual Report on Form 10-K. Other expenses exclude interest payments on borrowed funds and, for issuances of</w:t>
      </w:r>
    </w:p>
    <w:p>
      <w:pPr>
        <w:spacing w:after="0" w:line="1" w:lineRule="exact"/>
        <w:rPr>
          <w:sz w:val="20"/>
          <w:szCs w:val="20"/>
          <w:color w:val="auto"/>
        </w:rPr>
      </w:pPr>
    </w:p>
    <w:p>
      <w:pPr>
        <w:ind w:left="544" w:right="340"/>
        <w:spacing w:after="0" w:line="250" w:lineRule="auto"/>
        <w:rPr>
          <w:sz w:val="20"/>
          <w:szCs w:val="20"/>
          <w:color w:val="auto"/>
        </w:rPr>
      </w:pPr>
      <w:r>
        <w:rPr>
          <w:rFonts w:ascii="Times New Roman" w:cs="Times New Roman" w:eastAsia="Times New Roman" w:hAnsi="Times New Roman"/>
          <w:sz w:val="18"/>
          <w:szCs w:val="18"/>
          <w:color w:val="auto"/>
        </w:rPr>
        <w:t>debt securities or preferred stock, interest payments on debt securities and distributions with respect to preferred stock. “Other expenses” are based on actual other expenses for the three months ended March 31, 2024.</w:t>
      </w:r>
    </w:p>
    <w:p>
      <w:pPr>
        <w:spacing w:after="0" w:line="1" w:lineRule="exact"/>
        <w:rPr>
          <w:sz w:val="20"/>
          <w:szCs w:val="20"/>
          <w:color w:val="auto"/>
        </w:rPr>
      </w:pPr>
    </w:p>
    <w:p>
      <w:pPr>
        <w:ind w:left="544" w:right="100" w:hanging="544"/>
        <w:spacing w:after="0" w:line="250" w:lineRule="auto"/>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w:t>
      </w:r>
    </w:p>
    <w:p>
      <w:pPr>
        <w:spacing w:after="0" w:line="1" w:lineRule="exact"/>
        <w:rPr>
          <w:rFonts w:ascii="Times New Roman" w:cs="Times New Roman" w:eastAsia="Times New Roman" w:hAnsi="Times New Roman"/>
          <w:sz w:val="18"/>
          <w:szCs w:val="18"/>
          <w:color w:val="auto"/>
        </w:rPr>
      </w:pPr>
    </w:p>
    <w:p>
      <w:pPr>
        <w:ind w:left="544" w:right="40" w:hanging="544"/>
        <w:spacing w:after="0" w:line="255" w:lineRule="auto"/>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accepted a voluntary, non-contractual, and unconditional waiver from the Investment Advisor to permanently exclude any investments recorded as secured borrowings as defined under GAAP from the base management fee payable as of March 31, 2024. The base management fee waived as of March 31, 2024 was $0.1 million.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04"/>
          </w:cols>
          <w:pgMar w:left="436" w:top="297" w:right="459" w:bottom="1440" w:gutter="0" w:footer="0" w:header="0"/>
        </w:sectPr>
      </w:pPr>
    </w:p>
    <w:bookmarkStart w:id="9" w:name="page10"/>
    <w:bookmarkEnd w:id="9"/>
    <w:p>
      <w:pPr>
        <w:ind w:left="544" w:right="100" w:hanging="544"/>
        <w:spacing w:after="0" w:line="261" w:lineRule="auto"/>
        <w:tabs>
          <w:tab w:leader="none" w:pos="54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5.89% of average consolidated total assets.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jc w:val="both"/>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and that our annual operating expenses would remain at the levels set forth in the table above, including giving effect to the management fee waiver described in the table above. The stockholder transaction expenses described above are included in the following example.</w:t>
      </w:r>
    </w:p>
    <w:p>
      <w:pPr>
        <w:spacing w:after="0" w:line="200"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3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30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61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investment, assuming a 5.0%</w:t>
            </w:r>
          </w:p>
        </w:tc>
        <w:tc>
          <w:tcPr>
            <w:tcW w:w="3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annual return</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$ 122</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313</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482</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r>
      <w:tr>
        <w:trPr>
          <w:trHeight w:val="198"/>
        </w:trPr>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You would pay the following expenses on a $1,000 investment, assuming a 5.0%</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return resulting entirely from net realized capital gains (all of which is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subject to our incentive fee on capital gains)</w:t>
            </w: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$ 131</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335</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513</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863</w:t>
            </w:r>
          </w:p>
        </w:tc>
      </w:tr>
    </w:tbl>
    <w:p>
      <w:pPr>
        <w:spacing w:after="0" w:line="19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NAV,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w:t>
      </w:r>
    </w:p>
    <w:p>
      <w:pPr>
        <w:spacing w:after="0" w:line="184"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04"/>
          </w:cols>
          <w:pgMar w:left="436" w:top="297" w:right="4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Information included or incorporated by reference in this prospectus supplement, the accompanying prospectus and in any free writing prospectus relating to this offering of shares of common stock may contain “forward-looking statements.” These forward-looking statements are not historical facts, but rather are based on current expectations, estimates and projections about us, our current and prospective portfolio investments, our industry, our beliefs, and our assumptions. 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Words such as “anticipates,” “expects,” “intends,” “plans,” “will,” “may,” “continue,” “believes,” “seeks,” “estimates,” “would,” “should,” “targets,” “projects” and variations of these words and similar expressions are intended to identify forward-looking statements. The forward-looking statements contained in this prospectus supplement, the accompanying prospectus, and in any free writing prospectus relating to this offering of shares of common stock involve risks and uncertainties, including statements as to:</w:t>
      </w:r>
    </w:p>
    <w:p>
      <w:pPr>
        <w:spacing w:after="0" w:line="9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and lending markets;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 including our and their ability to achieve our respective objectives;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its impacts on the ability of our portfolio companies to operate and the investment opportunities available to us;</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conditions, including the ongoing conflict between Ukraine and Russia, the ongoing conflicts in the Middle East, and U.S. and China relations, and its impact on financial market volatility, global economic markets, and various sectors, industries and markets for commodities globally;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 and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locate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Adviser to attract and retain highly talented professionals;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treatment;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BDC and a RIC and Fund III to operate as an SBIC;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dividend distributions;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000"/>
          </w:cols>
          <w:pgMar w:left="440" w:top="293" w:right="459" w:bottom="1440" w:gutter="0" w:footer="0" w:header="0"/>
        </w:sectPr>
      </w:pPr>
    </w:p>
    <w:bookmarkStart w:id="11" w:name="page12"/>
    <w:bookmarkEnd w:id="11"/>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impact of interest rate volatility and the elevated level of inflation on our business and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any investments in portfolio companies, particularly those having no liquid trading market;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unrealized losses.</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1" w:lineRule="exact"/>
        <w:rPr>
          <w:sz w:val="20"/>
          <w:szCs w:val="20"/>
          <w:color w:val="auto"/>
        </w:rPr>
      </w:pPr>
    </w:p>
    <w:p>
      <w:pPr>
        <w:ind w:left="960" w:right="20" w:hanging="424"/>
        <w:spacing w:after="0" w:line="266"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could impair our lending and investment activities;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could adversely affect our results, particularly because we use leverage as part of our investment strategy;</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elevated level of inflation could adversely affect our business, results of operations and financial condition of our portfolio companies, which may, in turn, impact the valuation of such portfolio companies; and</w:t>
      </w:r>
    </w:p>
    <w:p>
      <w:pPr>
        <w:spacing w:after="0" w:line="67" w:lineRule="exact"/>
        <w:rPr>
          <w:rFonts w:ascii="Times New Roman" w:cs="Times New Roman" w:eastAsia="Times New Roman" w:hAnsi="Times New Roman"/>
          <w:sz w:val="18"/>
          <w:szCs w:val="18"/>
          <w:color w:val="auto"/>
        </w:rPr>
      </w:pPr>
    </w:p>
    <w:p>
      <w:pPr>
        <w:ind w:left="960" w:right="3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titled “Risk Factors” in this prospectus and in Part I, Item 1A of our most recent Annual Report on Form 10-K and those discussed in other documents we file with the SEC.</w:t>
      </w:r>
    </w:p>
    <w:p>
      <w:pPr>
        <w:spacing w:after="0" w:line="16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caution readers not to place undue reliance on any such forward-looking statements, which speak only as of the date made. Actual results could differ materially from those anticipated in our forward-looking statements and future results could differ materially from our historical performance. Except as required by law, we undertake no obligation to publicly update or revise any forward-looking statements, whether as a result of new information, future events or otherwise, after the date of this prospectus supplement. Although we undertake no obligation to revise or update any forward-looking statements, whether as a result of new information, future events, or otherwise, you are advised to consult any additional disclosures that we may make directly to you or through reports or other documents we have filed, or in the future may file, with the SEC, including subsequent annual reports on Form 10-K, quarterly reports on Form 10-Q and current reports on Form 8-K.</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20"/>
          </w:cols>
          <w:pgMar w:left="440" w:top="297" w:right="5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USE OF PROCEEDS</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Sales of shares of our common stock, if any, under this prospectus supplement and the accompanying prospectus may be made in negotiated transactions or transactions that are deemed to be “at the market,” as defined in Rule 415 under the Securities Act of 1933, as amended (the “Securities Act”), including sales made directly on or through Nasdaq Global Select Market or sales made to or through a market maker other than on an exchange. There is no guarantee that there will be any sales of shares of our common stock pursuant to this prospectus supplement and the accompanying prospectus. Actual sales, if any, of shares of our common stock under this prospectus supplement and the accompanying prospectus may be less than as set forth in this paragraph depending on the market price of our common stock at the time of any such sale. As a result, the actual net proceeds we receive, if any, may be more or less than the amount of net proceeds estimated in this prospectus supplement. However, the sales price per share of our common stock offered by this prospectus supplement and the accompanying prospectus, less the Sales Agents’ commission, will not be less than the NAV per share of our common stock at the time of such sale. The Adviser may from time to time, in its sole discretion, pay some or all of the Sales Agents’ commission. Any such payments made by the Adviser will not be subject to reimbursement by us. Assuming the sale of the remaining $162.8 million in aggregate amount of our common stock available under the ATM Program pursuant to this prospectus supplement and the accompanying prospectus, we anticipate that the net proceeds of this offering remaining available to us will be approximately $159.8 million, after deducting the commissions payable to the Sales Agents and estimated offering expenses.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intend to use any net proceeds from this offering to repay outstanding indebtedness (including the Credit Facility), invest in lower middle-market companies in accordance with our investment objective and strategies and for working capital and general corporate purposes. Pending such uses we will invest the net proceeds primarily in high quality, short-term debt securities consistent with our BDC election and our election to be taxed as a RIC. The Credit Facility matures on August 17, 2027, and borrowings under the Credit Facility currently bear interest at a rate per annum equal to SOFR plus (a) 2.675% prior to satisfying certain step-down conditions or (b) 2.50% after satisfying certain step-down conditions, with commensurate reductions in the applicable margins for base rate loans.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000"/>
          </w:cols>
          <w:pgMar w:left="440" w:top="293" w:right="45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PLAN OF DISTRIBUTION</w:t>
      </w:r>
    </w:p>
    <w:p>
      <w:pPr>
        <w:spacing w:after="0" w:line="229"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We have entered into the Equity Distribution Agreement with the Sales Agents, under which we may issue and sell shares of our common stock from time to time through the Sales Agents acting as agents, that have an aggregate offering price of up to $300,000,000 pursuant to this prospectus supplement and the accompanying prospectus. From November 10, 2022 to March 31, 2024, we sold a total of 6,957,913 shares of our common stock under the ATM Program for gross proceeds of approximately $137.2 million and net proceeds of approximately $135.4 million, after deducting commissions to the Sales Agents on shares sold and offering expenses. As a result and as of the date hereof, up to approximately $162.8 million in aggregate amount of our common stock remains available for sale under the ATM Program.</w:t>
      </w:r>
    </w:p>
    <w:p>
      <w:pPr>
        <w:spacing w:after="0" w:line="187"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Upon written instructions from us and subject to the terms and conditions of the Equity Distribution Agreement, the Sales Agents will use their commercially reasonable efforts consistent with their sales and trading practices to sell by any method permitted by law and deemed to be part of an “at the market offering” as defined in Rule 415(a)(4) promulgated under the Securities Act, at market prevailing prices prevailing at the time of sale, at prices related to prevailing market prices or at negotiated prices. We will instruct each Sales Agent as to the amount of common stock to be sold by it. We may instruct the Sales Agents not to sell common stock if the sales cannot be effected at or above the price designated by us in any instruction. The Adviser may from time to time, in its sole discretion, pay some or all of the Sales Agents’ commissions. Any such payments made by the Adviser will not be subject to reimbursement by us. We or the Sales Agents may suspend the offering of shares of common stock upon proper notice and subject to other conditions.</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applicable Sales Agent(s) will provide written confirmation of a sale to us no later than the opening of the trading day on the Nasdaq Global Select Market following each trading day in which shares of our common stock are sold under the Equity Distribution Agreement. Each confirmation will include the number of shares of common stock sold on the preceding day, the amount of any Adviser contribution in connection with such sale, the net proceeds to us and the compensation payable by us to the Sales Agent(s) in connection with the sales.</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Equity Distribution Agreement, the Sales Agents will be entitled to compensation of up to 1.50% of the gross sales price of shares of our common stock sold through them as sales agents. We estimate that the total expenses for the offering, excluding compensation payable to the Sales Agents under the terms of the Equity Distribution Agreement, will be approximately $1.0 million (of which we have incurred approximately $0.5 million as of May 6, 2024), which includes our legal, accounting and printing costs and various other fees associated with the offering, and certain ongoing expenses.</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Settlement for sales of shares of common stock will occur on the second trading day following the date on which such sales are made, or on some other date that is agreed upon by us and the applicable Sales Agent in connection with a particular transaction, in each case in accordance with applicable rules and regulations, in return for payment of the net proceeds to us. There is no arrangement for funds to be received in an escrow, trust or similar arrangement.</w:t>
      </w:r>
    </w:p>
    <w:p>
      <w:pPr>
        <w:spacing w:after="0" w:line="180"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We will report at least quarterly the number of shares of our common stock sold through the Sales Agents under the Equity Distribution Agreement and the net proceeds to us.</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common stock on our behalf, each Sales Agent may be deemed to be an “underwriter” within the meaning of the Securities Act, and the compensation of the Sales Agents may be deemed to be underwriting commissions or discounts. We have agreed to provide indemnification and contribution to the Sales Agents with respect to certain civil liabilities, including liabilities under the Securities Act.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00"/>
          </w:cols>
          <w:pgMar w:left="440" w:top="293" w:right="459" w:bottom="1440" w:gutter="0" w:footer="0" w:header="0"/>
        </w:sectPr>
      </w:pPr>
    </w:p>
    <w:bookmarkStart w:id="14" w:name="page15"/>
    <w:bookmarkEnd w:id="14"/>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offering of our shares of common stock pursuant to the Equity Distribution Agreement will terminate upon the earlier of (i) the sale of all common stock subject to the Equity Distribution Agreement or (ii) the termination of the Equity Distribution Agreement as permitted therein.</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Equity Distribution Agreement does not purport to be a complete statement of its terms and conditions. A copy of the Equity Distribution Agreement was incorporated by reference as an exhibit to our most recent Annual Report on Form 10-K and is incorporated into this prospectus supplement by reference.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Sales Agents and their affiliates may in the future provide various investment banking, commercial banking and other financial services for us and our affiliates, for which services they may in the future receive customary fees. In the course of their business, the Sales Agents may actively trade our securities for their own accounts or for the accounts of customers, and, accordingly, the Sales Agents may at any time hold long or short positions in such securities.</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principal business addresses of the Sales Agents are: Raymond James &amp; Associates, Inc., 880 Carillon Parkway St. Petersburg, FL 33716; and B. Riley Securities, Inc., 299 Park Avenue, 21st Floor, New York, New York 10171.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Sales Agents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00"/>
          </w:cols>
          <w:pgMar w:left="440" w:top="297" w:right="459" w:bottom="1440" w:gutter="0" w:footer="0" w:header="0"/>
        </w:sectPr>
      </w:pPr>
    </w:p>
    <w:bookmarkStart w:id="15" w:name="page16"/>
    <w:bookmarkEnd w:id="1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LEGAL MATTERS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regarding the shares of common stock offered hereby will be passed upon for us by Eversheds Sutherland (US) LLP, Washington, D.C. Certain legal matters regarding the shares of common stock offered hereby will be passed upon for the Sales Agents by Dechert LLP, Washington, D.C.</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900"/>
          </w:cols>
          <w:pgMar w:left="440" w:top="293" w:right="5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INCORPORATION BY REFERENCE</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 this prospectus supplement the documents listed below and any future reports and other documents we file with the SEC pursuant to Sections 13(a), 13(c), 14 or 15(d) of the Exchange Act,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 Form 8-K, or other information “furnished” to the SEC pursuant to the Exchange Act will not be incorporated by reference into this prospectus supplement:</w:t>
      </w:r>
    </w:p>
    <w:p>
      <w:pPr>
        <w:spacing w:after="0" w:line="214"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fiscal year ended December 31, 2023, filed with the SEC on February 29, 2024;</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2">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filed with the SEC on May 2, 2024;</w:t>
      </w:r>
    </w:p>
    <w:p>
      <w:pPr>
        <w:spacing w:after="0" w:line="130"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33">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(but only with respect to information required by Part III of the Company’s Annual Report on Form 10-K for the fiscal year ended December 31, 2023), filed with the SEC on March 22, 2024;</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8-K (other than information furnished rather than filed in accordance with the SEC rules) filed with the SEC on </w:t>
      </w:r>
      <w:hyperlink r:id="rId34">
        <w:r>
          <w:rPr>
            <w:rFonts w:ascii="Times New Roman" w:cs="Times New Roman" w:eastAsia="Times New Roman" w:hAnsi="Times New Roman"/>
            <w:sz w:val="18"/>
            <w:szCs w:val="18"/>
            <w:u w:val="single" w:color="auto"/>
            <w:color w:val="0000EE"/>
          </w:rPr>
          <w:t>February 29, 2024</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jc w:val="both"/>
        <w:ind w:left="960" w:right="160" w:hanging="424"/>
        <w:spacing w:after="0" w:line="266"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3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001-35207), filed with the SEC on June 16, 2011, as such description has been updated and superseded by the description of our securities contained in </w:t>
      </w:r>
      <w:hyperlink r:id="rId36">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2021, filed with the SEC on March 3, 2022.</w:t>
      </w:r>
    </w:p>
    <w:p>
      <w:pPr>
        <w:spacing w:after="0" w:line="176" w:lineRule="exact"/>
        <w:rPr>
          <w:rFonts w:ascii="Times New Roman" w:cs="Times New Roman" w:eastAsia="Times New Roman" w:hAnsi="Times New Roman"/>
          <w:sz w:val="18"/>
          <w:szCs w:val="18"/>
          <w:color w:val="auto"/>
        </w:rPr>
      </w:pPr>
    </w:p>
    <w:p>
      <w:pPr>
        <w:ind w:right="620" w:firstLine="440"/>
        <w:spacing w:after="0" w:line="289" w:lineRule="auto"/>
        <w:rPr>
          <w:sz w:val="20"/>
          <w:szCs w:val="20"/>
          <w:color w:val="auto"/>
        </w:rPr>
      </w:pPr>
      <w:r>
        <w:rPr>
          <w:rFonts w:ascii="Times New Roman" w:cs="Times New Roman" w:eastAsia="Times New Roman" w:hAnsi="Times New Roman"/>
          <w:sz w:val="17"/>
          <w:szCs w:val="17"/>
          <w:color w:val="auto"/>
        </w:rPr>
        <w:t>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and the accompanying prospectus or incorporated by reference into this prospectus supplement and the accompanying prospectus.</w:t>
      </w:r>
    </w:p>
    <w:p>
      <w:pPr>
        <w:spacing w:after="0" w:line="158"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 in the accompanying prospectus.</w:t>
      </w:r>
    </w:p>
    <w:p>
      <w:pPr>
        <w:spacing w:after="0" w:line="158" w:lineRule="exact"/>
        <w:rPr>
          <w:rFonts w:ascii="Times New Roman" w:cs="Times New Roman" w:eastAsia="Times New Roman" w:hAnsi="Times New Roman"/>
          <w:sz w:val="18"/>
          <w:szCs w:val="18"/>
          <w:color w:val="auto"/>
        </w:rPr>
      </w:pPr>
    </w:p>
    <w:p>
      <w:pPr>
        <w:ind w:left="5340"/>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00"/>
          </w:cols>
          <w:pgMar w:left="440" w:top="293"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PROSPECTUS</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78105</wp:posOffset>
            </wp:positionV>
            <wp:extent cx="1209040" cy="617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Preferred Stock</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Subscription Rights</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Debt Securities</w:t>
      </w:r>
    </w:p>
    <w:p>
      <w:pPr>
        <w:jc w:val="center"/>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141605</wp:posOffset>
            </wp:positionV>
            <wp:extent cx="1474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2" w:lineRule="exact"/>
        <w:rPr>
          <w:sz w:val="20"/>
          <w:szCs w:val="20"/>
          <w:color w:val="auto"/>
        </w:rPr>
      </w:pPr>
    </w:p>
    <w:p>
      <w:pPr>
        <w:ind w:right="20" w:firstLine="440"/>
        <w:spacing w:after="0" w:line="233" w:lineRule="auto"/>
        <w:rPr>
          <w:sz w:val="20"/>
          <w:szCs w:val="20"/>
          <w:color w:val="auto"/>
        </w:rPr>
      </w:pPr>
      <w:r>
        <w:rPr>
          <w:rFonts w:ascii="Times New Roman" w:cs="Times New Roman" w:eastAsia="Times New Roman" w:hAnsi="Times New Roman"/>
          <w:sz w:val="14"/>
          <w:szCs w:val="14"/>
          <w:color w:val="auto"/>
        </w:rPr>
        <w:t>We may offer, from time to time, in one or more offerings or series, together or separately, up to $600,000,000 of our common stock, preferred stock, subscription rights, debt securities, or warrants representing rights to purchase shares of our common stock, preferred stock, or debt securities,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w:t>
      </w:r>
    </w:p>
    <w:p>
      <w:pPr>
        <w:spacing w:after="0" w:line="69" w:lineRule="exact"/>
        <w:rPr>
          <w:sz w:val="20"/>
          <w:szCs w:val="20"/>
          <w:color w:val="auto"/>
        </w:rPr>
      </w:pPr>
    </w:p>
    <w:p>
      <w:pPr>
        <w:ind w:right="20" w:firstLine="440"/>
        <w:spacing w:after="0" w:line="231" w:lineRule="auto"/>
        <w:rPr>
          <w:sz w:val="20"/>
          <w:szCs w:val="20"/>
          <w:color w:val="auto"/>
        </w:rPr>
      </w:pPr>
      <w:r>
        <w:rPr>
          <w:rFonts w:ascii="Times New Roman" w:cs="Times New Roman" w:eastAsia="Times New Roman" w:hAnsi="Times New Roman"/>
          <w:sz w:val="14"/>
          <w:szCs w:val="14"/>
          <w:color w:val="auto"/>
        </w:rPr>
        <w:t>We may offer shares of common stock at a discount to net asset value per share in certain circumstances. On June 8, 2023, our common stockholders voted to allow us to sell or otherwise issue common stock at a price below net asset value per share for a period of one year ending on the earlier of June 8, 2024 or the date of our 2024 Annual Meeting of Stockholders. Our stockholders are being asked to consider and approve a similar proposal at our 2024 Annual Meeting of Stockholders. Sales of common stock at prices below net asset value per share dilute the interests of existing stockholders, have the effect of reducing our net asset value per share and may reduce our market price per share. In addition, continuous sales of common stock below net asset value may have a negative impact on total returns and could have a negative impact on the market price of our shares of common stock. See “Risk Factors” in Part I, Item 1A in our most recent Annual Report on Form 10-K and in Part II, Item 1A of our most recent Quarterly Report on Form 10-Q for more information.</w:t>
      </w:r>
    </w:p>
    <w:p>
      <w:pPr>
        <w:spacing w:after="0" w:line="69" w:lineRule="exact"/>
        <w:rPr>
          <w:sz w:val="20"/>
          <w:szCs w:val="20"/>
          <w:color w:val="auto"/>
        </w:rPr>
      </w:pPr>
    </w:p>
    <w:p>
      <w:pPr>
        <w:ind w:right="80" w:firstLine="440"/>
        <w:spacing w:after="0" w:line="233" w:lineRule="auto"/>
        <w:rPr>
          <w:sz w:val="20"/>
          <w:szCs w:val="20"/>
          <w:color w:val="auto"/>
        </w:rPr>
      </w:pPr>
      <w:r>
        <w:rPr>
          <w:rFonts w:ascii="Times New Roman" w:cs="Times New Roman" w:eastAsia="Times New Roman" w:hAnsi="Times New Roman"/>
          <w:sz w:val="14"/>
          <w:szCs w:val="14"/>
          <w:color w:val="auto"/>
        </w:rPr>
        <w:t>Our stockholders specified that the cumulative number of shares sold in each offering during the one-year period ending on the earlier of June 8, 2024 or the date of our 2024 Annual Meeting of Stockholders may not exceed 25.0% of our outstanding common stock immediately prior to such sale. In addition, we cannot issue shares of our common stock below net asset value unless our board of directors determines that it would be in our and our stockholders’ best interests to do so. Shares of closed-end investment companies such as us frequently trade at a discount to their net asset value. This risk is separate and distinct from the risk that our net asset value per share may decline. We cannot predict whether our common stock will trade above, at or below net asset value. You should read this prospectus and the applicable prospectus supplement carefully before you invest in our common stock.</w:t>
      </w:r>
    </w:p>
    <w:p>
      <w:pPr>
        <w:spacing w:after="0" w:line="69" w:lineRule="exact"/>
        <w:rPr>
          <w:sz w:val="20"/>
          <w:szCs w:val="20"/>
          <w:color w:val="auto"/>
        </w:rPr>
      </w:pPr>
    </w:p>
    <w:p>
      <w:pPr>
        <w:ind w:firstLine="440"/>
        <w:spacing w:after="0" w:line="231" w:lineRule="auto"/>
        <w:rPr>
          <w:sz w:val="20"/>
          <w:szCs w:val="20"/>
          <w:color w:val="auto"/>
        </w:rPr>
      </w:pPr>
      <w:r>
        <w:rPr>
          <w:rFonts w:ascii="Times New Roman" w:cs="Times New Roman" w:eastAsia="Times New Roman" w:hAnsi="Times New Roman"/>
          <w:sz w:val="14"/>
          <w:szCs w:val="14"/>
          <w:color w:val="auto"/>
        </w:rPr>
        <w:t>We provide customized debt and equity financing solutions to lower middle-market companies, which we define as U.S. based companies having revenues between $10.0 million and $150.0 million. We are an externally managed, closed-end, non-diversified management investment company that has elected to be regulated as a business development company under the Investment Company Act of 1940, as amended.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6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b w:val="1"/>
          <w:bCs w:val="1"/>
          <w:color w:val="auto"/>
        </w:rPr>
        <w:t>We generally invest in securities that would be rated below investment grade if they were rated. Below investment grade securities, which are often referred to as “high yield” or “junk,” have speculative characteristics with respect to our capacity to pay interest and repay principal. See “Risk Factors” in Part I, Item 1A in our most recent Annual Report on Form 10-K and in Part II, Item 1A of our most recent Quarterly Report on Form 10-Q for more information.</w:t>
      </w:r>
    </w:p>
    <w:p>
      <w:pPr>
        <w:spacing w:after="0" w:line="6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“FDUS.” On May 3, 2024, the last reported sale price of our common stock on the Nasdaq Global Select Market was $19.98 per share.</w:t>
      </w:r>
    </w:p>
    <w:p>
      <w:pPr>
        <w:spacing w:after="0" w:line="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Fidus Investment Advisors, LLC serves as our investment advisor and as our administrator.</w:t>
      </w:r>
    </w:p>
    <w:p>
      <w:pPr>
        <w:spacing w:after="0" w:line="96" w:lineRule="exact"/>
        <w:rPr>
          <w:sz w:val="20"/>
          <w:szCs w:val="20"/>
          <w:color w:val="auto"/>
        </w:rPr>
      </w:pPr>
    </w:p>
    <w:p>
      <w:pPr>
        <w:ind w:right="60" w:firstLine="440"/>
        <w:spacing w:after="0" w:line="227" w:lineRule="auto"/>
        <w:rPr>
          <w:sz w:val="20"/>
          <w:szCs w:val="20"/>
          <w:color w:val="auto"/>
        </w:rPr>
      </w:pPr>
      <w:r>
        <w:rPr>
          <w:rFonts w:ascii="Times New Roman" w:cs="Times New Roman" w:eastAsia="Times New Roman" w:hAnsi="Times New Roman"/>
          <w:sz w:val="14"/>
          <w:szCs w:val="14"/>
          <w:color w:val="auto"/>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and the documents incorporated by reference, before buying any of the securities being offered. We file annual, quarterly and current reports, proxy statements and other information with the Securities and Exchange Commission, which is available free of charge upon written or oral request by contacting us by mail at 1603 Orrington Avenue, Suite 1005, Evanston, Illinois 60201, Attention: Investor Relations, by accessing our website at </w:t>
      </w:r>
      <w:r>
        <w:rPr>
          <w:rFonts w:ascii="Times New Roman" w:cs="Times New Roman" w:eastAsia="Times New Roman" w:hAnsi="Times New Roman"/>
          <w:sz w:val="14"/>
          <w:szCs w:val="14"/>
          <w:i w:val="1"/>
          <w:iCs w:val="1"/>
          <w:color w:val="auto"/>
        </w:rPr>
        <w:t>http://www.fdus.com</w:t>
      </w:r>
      <w:r>
        <w:rPr>
          <w:rFonts w:ascii="Times New Roman" w:cs="Times New Roman" w:eastAsia="Times New Roman" w:hAnsi="Times New Roman"/>
          <w:sz w:val="14"/>
          <w:szCs w:val="14"/>
          <w:color w:val="auto"/>
        </w:rPr>
        <w:t xml:space="preserve">, by calling us collect at (847) 859-3940 or by sending an e-mail to us at investorrelations@fdus.com. The Securities and Exchange Commission also maintains a website at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 xml:space="preserve"> that contains such information, including the documents incorporated by reference into this prospectus. Information contained on our website is not incorporated by reference into this prospectus or any supplements to this prospectus, and you should not consider that information to be part of this prospectus or any supplements to this prospectus. The contact information provided above may be used by you to make investor inquiries. This prospectus should be retained for future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144780</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2" w:lineRule="exact"/>
        <w:rPr>
          <w:sz w:val="20"/>
          <w:szCs w:val="20"/>
          <w:color w:val="auto"/>
        </w:rPr>
      </w:pPr>
    </w:p>
    <w:p>
      <w:pPr>
        <w:ind w:right="280" w:firstLine="440"/>
        <w:spacing w:after="0" w:line="272" w:lineRule="auto"/>
        <w:rPr>
          <w:sz w:val="20"/>
          <w:szCs w:val="20"/>
          <w:color w:val="auto"/>
        </w:rPr>
      </w:pPr>
      <w:r>
        <w:rPr>
          <w:rFonts w:ascii="Times New Roman" w:cs="Times New Roman" w:eastAsia="Times New Roman" w:hAnsi="Times New Roman"/>
          <w:sz w:val="16"/>
          <w:szCs w:val="16"/>
          <w:b w:val="1"/>
          <w:bCs w:val="1"/>
          <w:i w:val="1"/>
          <w:iCs w:val="1"/>
          <w:color w:val="auto"/>
        </w:rPr>
        <w:t>An investment in our securities is very risky and highly speculative. Shares of closed-end investment companies, including BDCs, frequently trade at a discount to their net asset value. In addition, the companies in which we invest are subject to special risks. See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beginning on page 11 of this prospectus, in Part I, Item 1A of our most recent Annual Report on Form 10-K, in Part II, Item 1A of our most recent Quarterly Report on Form 10-Q and in, or incorporated by reference into, the applicable prospectus supplement and in any free writing prospectuses we may authorize for use in connection with a specific offering, and under similar headings in the other documents that are incorporated by reference into this prospectus, to read about factors you should consider, including the risk of leverage, before investing in our securities.</w:t>
      </w:r>
    </w:p>
    <w:p>
      <w:pPr>
        <w:spacing w:after="0" w:line="65" w:lineRule="exact"/>
        <w:rPr>
          <w:sz w:val="20"/>
          <w:szCs w:val="20"/>
          <w:color w:val="auto"/>
        </w:rPr>
      </w:pPr>
    </w:p>
    <w:p>
      <w:pPr>
        <w:ind w:right="28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sales of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153670</wp:posOffset>
            </wp:positionV>
            <wp:extent cx="147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May 8, 2024</w:t>
      </w:r>
    </w:p>
    <w:p>
      <w:pPr>
        <w:sectPr>
          <w:pgSz w:w="11900" w:h="16838" w:orient="portrait"/>
          <w:cols w:equalWidth="0" w:num="1">
            <w:col w:w="11000"/>
          </w:cols>
          <w:pgMar w:left="440" w:top="506" w:right="4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18"/>
        </w:trPr>
        <w:tc>
          <w:tcPr>
            <w:tcW w:w="86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9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Offering</w:t>
            </w:r>
          </w:p>
        </w:tc>
        <w:tc>
          <w:tcPr>
            <w:tcW w:w="560" w:type="dxa"/>
            <w:vAlign w:val="bottom"/>
            <w:tcBorders>
              <w:top w:val="single" w:sz="8" w:color="0000EE"/>
            </w:tcBorders>
            <w:gridSpan w:val="8"/>
          </w:tcPr>
          <w:p>
            <w:pPr>
              <w:spacing w:after="0"/>
              <w:rPr>
                <w:sz w:val="17"/>
                <w:szCs w:val="17"/>
                <w:color w:val="auto"/>
              </w:rPr>
            </w:pPr>
          </w:p>
        </w:tc>
        <w:tc>
          <w:tcPr>
            <w:tcW w:w="7100" w:type="dxa"/>
            <w:vAlign w:val="bottom"/>
            <w:gridSpan w:val="1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3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Fees and Expenses</w:t>
            </w:r>
          </w:p>
        </w:tc>
        <w:tc>
          <w:tcPr>
            <w:tcW w:w="7260" w:type="dxa"/>
            <w:vAlign w:val="bottom"/>
            <w:gridSpan w:val="2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4740" w:type="dxa"/>
            <w:vAlign w:val="bottom"/>
            <w:gridSpan w:val="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2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Price Range of Common Stock</w:t>
            </w:r>
          </w:p>
        </w:tc>
        <w:tc>
          <w:tcPr>
            <w:tcW w:w="6380" w:type="dxa"/>
            <w:vAlign w:val="bottom"/>
            <w:gridSpan w:val="1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196"/>
        </w:trPr>
        <w:tc>
          <w:tcPr>
            <w:tcW w:w="14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7140" w:type="dxa"/>
            <w:vAlign w:val="bottom"/>
            <w:gridSpan w:val="2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646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16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Senior Securities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2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The Company</w:t>
            </w:r>
          </w:p>
        </w:tc>
        <w:tc>
          <w:tcPr>
            <w:tcW w:w="7400" w:type="dxa"/>
            <w:vAlign w:val="bottom"/>
            <w:gridSpan w:val="2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7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15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Companies</w:t>
            </w:r>
          </w:p>
        </w:tc>
        <w:tc>
          <w:tcPr>
            <w:tcW w:w="7120" w:type="dxa"/>
            <w:vAlign w:val="bottom"/>
            <w:gridSpan w:val="19"/>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9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Management</w:t>
            </w:r>
          </w:p>
        </w:tc>
        <w:tc>
          <w:tcPr>
            <w:tcW w:w="7680" w:type="dxa"/>
            <w:vAlign w:val="bottom"/>
            <w:gridSpan w:val="2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Management and Other Agreements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78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314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 Persons and Principal Stockholders</w:t>
            </w:r>
          </w:p>
        </w:tc>
        <w:tc>
          <w:tcPr>
            <w:tcW w:w="260" w:type="dxa"/>
            <w:vAlign w:val="bottom"/>
            <w:tcBorders>
              <w:top w:val="single" w:sz="8" w:color="0000EE"/>
            </w:tcBorders>
          </w:tcPr>
          <w:p>
            <w:pPr>
              <w:spacing w:after="0"/>
              <w:rPr>
                <w:sz w:val="17"/>
                <w:szCs w:val="17"/>
                <w:color w:val="auto"/>
              </w:rPr>
            </w:pPr>
          </w:p>
        </w:tc>
        <w:tc>
          <w:tcPr>
            <w:tcW w:w="5220" w:type="dxa"/>
            <w:vAlign w:val="bottom"/>
            <w:gridSpan w:val="8"/>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34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Sales of Common Stock Below Net Asset Value</w:t>
            </w:r>
          </w:p>
        </w:tc>
        <w:tc>
          <w:tcPr>
            <w:tcW w:w="5160" w:type="dxa"/>
            <w:vAlign w:val="bottom"/>
            <w:gridSpan w:val="7"/>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Dividend Reinvestment Plan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20"/>
        </w:trPr>
        <w:tc>
          <w:tcPr>
            <w:tcW w:w="78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U.S. Federal Income Tax Considerations</w:t>
            </w:r>
          </w:p>
        </w:tc>
        <w:tc>
          <w:tcPr>
            <w:tcW w:w="512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196"/>
        </w:trPr>
        <w:tc>
          <w:tcPr>
            <w:tcW w:w="2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Our Capital Stock</w:t>
            </w:r>
          </w:p>
        </w:tc>
        <w:tc>
          <w:tcPr>
            <w:tcW w:w="6240" w:type="dxa"/>
            <w:vAlign w:val="bottom"/>
            <w:gridSpan w:val="14"/>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78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Subscription Rights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282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5800" w:type="dxa"/>
            <w:vAlign w:val="bottom"/>
            <w:gridSpan w:val="11"/>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25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Warrants</w:t>
            </w:r>
          </w:p>
        </w:tc>
        <w:tc>
          <w:tcPr>
            <w:tcW w:w="6100" w:type="dxa"/>
            <w:vAlign w:val="bottom"/>
            <w:gridSpan w:val="13"/>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196"/>
        </w:trPr>
        <w:tc>
          <w:tcPr>
            <w:tcW w:w="20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Regulation</w:t>
            </w:r>
          </w:p>
        </w:tc>
        <w:tc>
          <w:tcPr>
            <w:tcW w:w="6560" w:type="dxa"/>
            <w:vAlign w:val="bottom"/>
            <w:gridSpan w:val="1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r>
      <w:tr>
        <w:trPr>
          <w:trHeight w:val="20"/>
        </w:trPr>
        <w:tc>
          <w:tcPr>
            <w:tcW w:w="780" w:type="dxa"/>
            <w:vAlign w:val="bottom"/>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gridSpan w:val="4"/>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20" w:type="dxa"/>
            <w:vAlign w:val="bottom"/>
            <w:gridSpan w:val="7"/>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Custodian, Transfer and Dividend Paying Agent and Registrar</w:t>
            </w:r>
          </w:p>
        </w:tc>
        <w:tc>
          <w:tcPr>
            <w:tcW w:w="4140" w:type="dxa"/>
            <w:vAlign w:val="bottom"/>
            <w:gridSpan w:val="2"/>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87</w:t>
            </w: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Brokerage Allocation and Other Practices</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r>
      <w:tr>
        <w:trPr>
          <w:trHeight w:val="196"/>
        </w:trPr>
        <w:tc>
          <w:tcPr>
            <w:tcW w:w="300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620" w:type="dxa"/>
            <w:vAlign w:val="bottom"/>
            <w:gridSpan w:val="10"/>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348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Available Information</w:t>
            </w:r>
          </w:p>
        </w:tc>
        <w:tc>
          <w:tcPr>
            <w:tcW w:w="5140" w:type="dxa"/>
            <w:vAlign w:val="bottom"/>
            <w:gridSpan w:val="6"/>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20"/>
        </w:trPr>
        <w:tc>
          <w:tcPr>
            <w:tcW w:w="1580" w:type="dxa"/>
            <w:vAlign w:val="bottom"/>
            <w:gridSpan w:val="13"/>
            <w:shd w:val="clear" w:color="auto" w:fill="0000EE"/>
          </w:tcPr>
          <w:p>
            <w:pPr>
              <w:spacing w:after="0" w:line="20" w:lineRule="exact"/>
              <w:rPr>
                <w:sz w:val="1"/>
                <w:szCs w:val="1"/>
                <w:color w:val="auto"/>
              </w:rPr>
            </w:pPr>
          </w:p>
        </w:tc>
        <w:tc>
          <w:tcPr>
            <w:tcW w:w="2060" w:type="dxa"/>
            <w:vAlign w:val="bottom"/>
            <w:gridSpan w:val="13"/>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62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93"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ABOUT THIS PROSPECTUS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using the “shelf” registration process. Under this shelf registration statement, we may offer, from time to time, in one or more offerings, up to $600,000,000 of our common stock, preferred stock, subscription rights to purchase shares of our common stock, debt securities or warrants representing rights to purchase shares of our common stock, preferred stock or debt securities, on terms to be determined at the time of the offering. Our securities may be offered at prices and on terms described in one or more supplements to this prospectus. This prospectus provides you with a general description of our securities and the offerings thereof that we may make pursuant to this prospectus. Each time we use this prospectus to offer our securities, we will provide a prospectus supplement that will contain specific information about the terms of that offering. We may also authorize one or more free writing prospectuses to be provided to you that may contain material information relating to such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you should carefully read both this prospectus and the applicable prospectus supplement and any related free writing prospectus, together with any exhibits and the additional information described in the sections titled “Available Information,” “Incorporation of Certain Information by Reference,” “Summary” and “Risk Factors” in this prospectus.</w:t>
      </w:r>
    </w:p>
    <w:p>
      <w:pPr>
        <w:spacing w:after="0" w:line="197"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This prospectus may contain estimates and information concerning our industry, including market size and growth rates of the markets in which we participate, that are based on industry publications and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in this prospectus, in Part I, Item 1A of our most recent Annual Report on Form 10-K and in Part II, Item 1A of our most recent Quarterly Report on Form 10-Q, that could cause results to differ materially from those expressed in these publications and reports.</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the section titled “Available Information” in this prospectus.</w:t>
      </w:r>
    </w:p>
    <w:p>
      <w:pPr>
        <w:spacing w:after="0" w:line="176"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included or incorporated by reference in this prospectus, any prospectus supplement or in any free writing prospectus prepared by or on behalf of us or to which we have referred you. We have not authorized any dealer, salesperson or other person to provide you with different information or to make representations as to matters not stated in this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This prospectus, any applicable prospectus supplement and any free writing prospectus prepared by or on behalf of us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the information included or incorporated by reference in this prospectus or any prospectus supplement or in any such free writing prospectus is accurate as of any date other than their respective dates.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93" w:right="45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37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74865" cy="6379845"/>
                    </a:xfrm>
                    <a:prstGeom prst="rect">
                      <a:avLst/>
                    </a:prstGeom>
                    <a:noFill/>
                  </pic:spPr>
                </pic:pic>
              </a:graphicData>
            </a:graphic>
          </wp:anchor>
        </w:drawing>
        <w:t>PROSPECTUS SUMMARY</w:t>
      </w:r>
    </w:p>
    <w:p>
      <w:pPr>
        <w:spacing w:after="0" w:line="227" w:lineRule="exact"/>
        <w:rPr>
          <w:sz w:val="20"/>
          <w:szCs w:val="20"/>
          <w:color w:val="auto"/>
        </w:rPr>
      </w:pPr>
    </w:p>
    <w:p>
      <w:pPr>
        <w:ind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offerings pursuant to this prospectus. It may not contain all the information that is important to you. For a more complete understanding of offerings pursuant to this prospectus, we encourage you to read this entire prospectus and the documents to which we have referred in this prospectus, together with any accompanying prospectus supplements or free writing prospectuses, including the risks set forth under the caption “Risk Factors” in Part I, Item 1A of our most recent Annual Report on Form 10-K, in Part II, Item 1A of our most recent Quarterly Report on Form 10-Q, in this prospectus, the applicable prospectus supplement and any related free writing prospectus, and under similar headings in any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as provided in sections titled “Available Information” and “Incorporation of Certain Information by Reference” in this prospectus.</w:t>
      </w:r>
    </w:p>
    <w:p>
      <w:pPr>
        <w:spacing w:after="0" w:line="188" w:lineRule="exact"/>
        <w:rPr>
          <w:sz w:val="20"/>
          <w:szCs w:val="20"/>
          <w:color w:val="auto"/>
        </w:rPr>
      </w:pPr>
    </w:p>
    <w:p>
      <w:pPr>
        <w:ind w:right="100" w:firstLine="426"/>
        <w:spacing w:after="0" w:line="281" w:lineRule="auto"/>
        <w:rPr>
          <w:sz w:val="20"/>
          <w:szCs w:val="20"/>
          <w:color w:val="auto"/>
        </w:rPr>
      </w:pPr>
      <w:r>
        <w:rPr>
          <w:rFonts w:ascii="Times New Roman" w:cs="Times New Roman" w:eastAsia="Times New Roman" w:hAnsi="Times New Roman"/>
          <w:sz w:val="17"/>
          <w:szCs w:val="17"/>
          <w:i w:val="1"/>
          <w:iCs w:val="1"/>
          <w:color w:val="auto"/>
        </w:rPr>
        <w:t>Fidus Investment Corporation (“FIC”), a Maryland Corporation, operates as an externally managed business development company (“BDC”) under the Investment Company Act of 1940, as amended (the “1940 Act”). FIC completed its initial public offering, or IPO, in June 2011. In addition, FIC has elected to be treated as a regulated investment company (“RIC”) under Subchapter M of the Internal Revenue Code of 1986, as amended (the “Code”). As of March 31, 2024, our shares were listed on the NASDAQ Global Select Market under the symbol “FDUS.”</w:t>
      </w:r>
    </w:p>
    <w:p>
      <w:pPr>
        <w:spacing w:after="0" w:line="164" w:lineRule="exact"/>
        <w:rPr>
          <w:sz w:val="20"/>
          <w:szCs w:val="20"/>
          <w:color w:val="auto"/>
        </w:rPr>
      </w:pPr>
    </w:p>
    <w:p>
      <w:pPr>
        <w:ind w:right="22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FIC may make investments directly or through its two wholly-owned investment company subsidiaries, Fidus Mezzanine Capital II, L.P. (“Fund II”) and Fidus Mezzanine Capital III, L.P. (“Fund III”) (collectively Fund II and Fund III are referred to as the “Funds”). Fidus Investment GP, LLC, the general partner of the Funds, is also a wholly owned subsidiary of FIC. Fund III is licensed by the U.S. Small Business Administration (the “SBA”) as a small business investment company (“SBIC”). Fund III utilizes the proceeds of the issuance</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i w:val="1"/>
          <w:iCs w:val="1"/>
          <w:color w:val="auto"/>
        </w:rPr>
        <w:t>of SBA-guaranteed debentures to enhance returns to our stockholders. Fund II completed its wind-down plan, can no longer issue additional SBA debentures, and relinquished its SBIC license on March 7, 2024, which remains subject to the SBA’s approval. We believe that utilizing both FIC and Fund III as investment vehicles provides us with access to a broader array of investment opportunities. Given our access to lower cost capital through the SBA’s SBIC debenture program, we expect that we will continue to make investments through Fund III until Fund III reach their borrowing limit under the program. For three or more SBICs under common control, the maximum amount of outstanding SBA debentures cannot exceed $350.0 million.</w:t>
      </w:r>
    </w:p>
    <w:p>
      <w:pPr>
        <w:spacing w:after="0" w:line="188" w:lineRule="exact"/>
        <w:rPr>
          <w:sz w:val="20"/>
          <w:szCs w:val="20"/>
          <w:color w:val="auto"/>
        </w:rPr>
      </w:pPr>
    </w:p>
    <w:p>
      <w:pPr>
        <w:ind w:right="3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in this prospectus, the terms “we,” “us,” “our,” the “Company,” “Fidus” and “FIC” refer to Fidus Investment Corporation and its consolidated subsidiaries.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As used in this prospectus, the term “our investment advisor” refers to Fidus Investment Advisors, LLC.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Fidus Investment Corporation</w:t>
      </w:r>
    </w:p>
    <w:p>
      <w:pPr>
        <w:spacing w:after="0" w:line="121" w:lineRule="exact"/>
        <w:rPr>
          <w:sz w:val="20"/>
          <w:szCs w:val="20"/>
          <w:color w:val="auto"/>
        </w:rPr>
      </w:pPr>
    </w:p>
    <w:p>
      <w:pPr>
        <w:ind w:right="60" w:firstLine="426"/>
        <w:spacing w:after="0" w:line="256" w:lineRule="auto"/>
        <w:rPr>
          <w:sz w:val="20"/>
          <w:szCs w:val="20"/>
          <w:color w:val="auto"/>
        </w:rPr>
      </w:pPr>
      <w:r>
        <w:rPr>
          <w:rFonts w:ascii="Times New Roman" w:cs="Times New Roman" w:eastAsia="Times New Roman" w:hAnsi="Times New Roman"/>
          <w:sz w:val="18"/>
          <w:szCs w:val="18"/>
          <w:color w:val="auto"/>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p>
    <w:p>
      <w:pPr>
        <w:spacing w:after="0" w:line="187" w:lineRule="exact"/>
        <w:rPr>
          <w:sz w:val="20"/>
          <w:szCs w:val="20"/>
          <w:color w:val="auto"/>
        </w:rPr>
      </w:pPr>
    </w:p>
    <w:p>
      <w:pPr>
        <w:ind w:right="420" w:firstLine="426"/>
        <w:spacing w:after="0" w:line="282" w:lineRule="auto"/>
        <w:rPr>
          <w:sz w:val="20"/>
          <w:szCs w:val="20"/>
          <w:color w:val="auto"/>
        </w:rPr>
      </w:pPr>
      <w:r>
        <w:rPr>
          <w:rFonts w:ascii="Times New Roman" w:cs="Times New Roman" w:eastAsia="Times New Roman" w:hAnsi="Times New Roman"/>
          <w:sz w:val="18"/>
          <w:szCs w:val="18"/>
          <w:color w:val="auto"/>
        </w:rPr>
        <w:t>We invest in companies that possess some or all of the following attributes: predictable revenues; positive cash flows; defensible and/or leading market positions; diversified customer and supplier bases; and proven</w:t>
      </w: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600"/>
          </w:cols>
          <w:pgMar w:left="620" w:top="482" w:right="679" w:bottom="1440" w:gutter="0" w:footer="0" w:header="0"/>
        </w:sectPr>
      </w:pPr>
    </w:p>
    <w:bookmarkStart w:id="21" w:name="page22"/>
    <w:bookmarkEnd w:id="21"/>
    <w:p>
      <w:pPr>
        <w:jc w:val="both"/>
        <w:ind w:left="2" w:right="1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225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74865" cy="3225165"/>
                    </a:xfrm>
                    <a:prstGeom prst="rect">
                      <a:avLst/>
                    </a:prstGeom>
                    <a:noFill/>
                  </pic:spPr>
                </pic:pic>
              </a:graphicData>
            </a:graphic>
          </wp:anchor>
        </w:drawing>
        <w:t>management teams with strong operating discipline. We target companies in the lower middle-market with annual earnings, before interest, taxes, depreciation and amortization, or EBITDA, between $5.0 million and $30.0 million; however, we may from time to time opportunistically make investments in larger or smaller companies. Our investments typically range between $5.0 million and $35.0 million per portfolio company.</w:t>
      </w:r>
    </w:p>
    <w:p>
      <w:pPr>
        <w:spacing w:after="0" w:line="158"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8"/>
          <w:szCs w:val="18"/>
          <w:color w:val="auto"/>
        </w:rPr>
        <w:t>As of March 31, 2024, we had debt and equity investments in 87 portfolio companies with an aggregate fair value of $1.0 billion.</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See “Business” in Part I, Item 1 in our most recent Annual Report on Form 10-K for additional information about us.</w:t>
      </w:r>
    </w:p>
    <w:p>
      <w:pPr>
        <w:spacing w:after="0" w:line="3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Risk Associated with Our Business</w:t>
      </w:r>
    </w:p>
    <w:p>
      <w:pPr>
        <w:spacing w:after="0" w:line="121" w:lineRule="exact"/>
        <w:rPr>
          <w:sz w:val="20"/>
          <w:szCs w:val="20"/>
          <w:color w:val="auto"/>
        </w:rPr>
      </w:pPr>
    </w:p>
    <w:p>
      <w:pPr>
        <w:ind w:left="2" w:firstLine="426"/>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as described in the section titled “Risk Factors” in the applicable prospectus supplement and in any free writing prospectuses we have authorized for use in connection with a specific offering, and under similar headings in the documents that are incorporated by reference into this prospectus, including the section titled “Risk Factors” included in our most recent Annual Report on Form 10-K, in our most recent Quarterly Report on Form 10-Q, as well as in any of our subsequent SEC filings.</w:t>
      </w:r>
    </w:p>
    <w:p>
      <w:pPr>
        <w:spacing w:after="0" w:line="2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422"/>
        <w:spacing w:after="0"/>
        <w:rPr>
          <w:sz w:val="20"/>
          <w:szCs w:val="20"/>
          <w:color w:val="auto"/>
        </w:rPr>
      </w:pPr>
      <w:r>
        <w:rPr>
          <w:rFonts w:ascii="Times New Roman" w:cs="Times New Roman" w:eastAsia="Times New Roman" w:hAnsi="Times New Roman"/>
          <w:sz w:val="18"/>
          <w:szCs w:val="18"/>
          <w:color w:val="auto"/>
        </w:rPr>
        <w:t>Our principal executive offices are located at 1603 Orrington Avenue, Suite 1005, Evanston, Illinois 60201, and our telephone number is</w:t>
      </w:r>
    </w:p>
    <w:p>
      <w:pPr>
        <w:spacing w:after="0" w:line="27" w:lineRule="exact"/>
        <w:rPr>
          <w:sz w:val="20"/>
          <w:szCs w:val="20"/>
          <w:color w:val="auto"/>
        </w:rPr>
      </w:pPr>
    </w:p>
    <w:p>
      <w:pPr>
        <w:ind w:left="2" w:right="280" w:hanging="2"/>
        <w:spacing w:after="0" w:line="255" w:lineRule="auto"/>
        <w:tabs>
          <w:tab w:leader="none" w:pos="4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859-3940. Our corporate website is located at </w:t>
      </w:r>
      <w:r>
        <w:rPr>
          <w:rFonts w:ascii="Times New Roman" w:cs="Times New Roman" w:eastAsia="Times New Roman" w:hAnsi="Times New Roman"/>
          <w:sz w:val="18"/>
          <w:szCs w:val="18"/>
          <w:i w:val="1"/>
          <w:iCs w:val="1"/>
          <w:color w:val="auto"/>
        </w:rPr>
        <w:t>http://www.fdus.com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that information to be part of this prospectus or any supplements to this prospectus.</w:t>
      </w:r>
    </w:p>
    <w:p>
      <w:pPr>
        <w:spacing w:after="0" w:line="29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42"/>
          </w:cols>
          <w:pgMar w:left="618" w:top="486" w:right="6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165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74865" cy="6165850"/>
                    </a:xfrm>
                    <a:prstGeom prst="rect">
                      <a:avLst/>
                    </a:prstGeom>
                    <a:noFill/>
                  </pic:spPr>
                </pic:pic>
              </a:graphicData>
            </a:graphic>
          </wp:anchor>
        </w:drawing>
        <w:t>THE OFFERING</w:t>
      </w:r>
    </w:p>
    <w:p>
      <w:pPr>
        <w:spacing w:after="0" w:line="229" w:lineRule="exact"/>
        <w:rPr>
          <w:sz w:val="20"/>
          <w:szCs w:val="20"/>
          <w:color w:val="auto"/>
        </w:rPr>
      </w:pPr>
    </w:p>
    <w:p>
      <w:pPr>
        <w:ind w:left="180" w:right="400" w:firstLine="426"/>
        <w:spacing w:after="0" w:line="281" w:lineRule="auto"/>
        <w:rPr>
          <w:sz w:val="20"/>
          <w:szCs w:val="20"/>
          <w:color w:val="auto"/>
        </w:rPr>
      </w:pPr>
      <w:r>
        <w:rPr>
          <w:rFonts w:ascii="Times New Roman" w:cs="Times New Roman" w:eastAsia="Times New Roman" w:hAnsi="Times New Roman"/>
          <w:sz w:val="17"/>
          <w:szCs w:val="17"/>
          <w:color w:val="auto"/>
        </w:rPr>
        <w:t>We may offer, from time to time, in one or more offerings, up to $600,000,000 of our common stock, preferred stock, subscription rights to purchase shares of our common stock, debt securities, or warrants representing rights to purchase shares of our common stock, preferred stock or debt securities on terms to be determined at the time of each offering and set forth in one or more supplements to this prospectus. Our securities may be offered at prices and on terms to be disclosed in one or more supplements to this prospectus and any related free writing prospectus.</w:t>
      </w:r>
    </w:p>
    <w:p>
      <w:pPr>
        <w:spacing w:after="0" w:line="164" w:lineRule="exact"/>
        <w:rPr>
          <w:sz w:val="20"/>
          <w:szCs w:val="20"/>
          <w:color w:val="auto"/>
        </w:rPr>
      </w:pPr>
    </w:p>
    <w:p>
      <w:pPr>
        <w:ind w:left="180" w:right="280" w:firstLine="426"/>
        <w:spacing w:after="0" w:line="254" w:lineRule="auto"/>
        <w:rPr>
          <w:sz w:val="20"/>
          <w:szCs w:val="20"/>
          <w:color w:val="auto"/>
        </w:rPr>
      </w:pPr>
      <w:r>
        <w:rPr>
          <w:rFonts w:ascii="Times New Roman" w:cs="Times New Roman" w:eastAsia="Times New Roman" w:hAnsi="Times New Roman"/>
          <w:sz w:val="18"/>
          <w:szCs w:val="18"/>
          <w:color w:val="auto"/>
        </w:rPr>
        <w:t>We may sell or otherwise issue shares of common stock at a discount to net asset value per share at prices approximating market value less selling expenses upon approval, in certain circumstances, of our board of directors, including a majority of our directors that are not “interested persons” of the Company, as defined in the 1940 Act. On June 8, 2023, our stockholders voted to allow us to issue common stock at a price below net asset value per share for a period of one year ended on the earlier of June 8, 2024 or the date of our 2024 Annual Meeting of Stockholders. Our stockholders are being asked to consider and approve a similar proposal at our 2024 Annual Meeting of Stockholders. Sales or other issuances of common stock at prices below net asset value per share dilute the interests of existing stockholders, have the effect of reducing our net asset value per share and may reduce our market price per share. See “Sales of Common Stock Below Net Asset Value” in this prospectus and in any accompanying prospectus supplement, if applicable.</w:t>
      </w:r>
    </w:p>
    <w:p>
      <w:pPr>
        <w:spacing w:after="0" w:line="192" w:lineRule="exact"/>
        <w:rPr>
          <w:sz w:val="20"/>
          <w:szCs w:val="20"/>
          <w:color w:val="auto"/>
        </w:rPr>
      </w:pPr>
    </w:p>
    <w:p>
      <w:pPr>
        <w:ind w:left="180" w:right="240" w:firstLine="426"/>
        <w:spacing w:after="0" w:line="261" w:lineRule="auto"/>
        <w:rPr>
          <w:sz w:val="20"/>
          <w:szCs w:val="20"/>
          <w:color w:val="auto"/>
        </w:rPr>
      </w:pPr>
      <w:r>
        <w:rPr>
          <w:rFonts w:ascii="Times New Roman" w:cs="Times New Roman" w:eastAsia="Times New Roman" w:hAnsi="Times New Roman"/>
          <w:sz w:val="18"/>
          <w:szCs w:val="18"/>
          <w:color w:val="auto"/>
        </w:rPr>
        <w:t>Our stockholders did not specify a maximum discount below net asset value at which we are able to sell or otherwise issue our common stock; however, we do not intend to sell or otherwise issue shares of our common stock below net asset value unless our board of directors determines that it would be in our stockholders’ best interest to do so. The level of net asset value dilution that could result from such an offering is not limited.</w:t>
      </w:r>
    </w:p>
    <w:p>
      <w:pPr>
        <w:spacing w:after="0" w:line="180" w:lineRule="exact"/>
        <w:rPr>
          <w:sz w:val="20"/>
          <w:szCs w:val="20"/>
          <w:color w:val="auto"/>
        </w:rPr>
      </w:pPr>
    </w:p>
    <w:p>
      <w:pPr>
        <w:ind w:left="180" w:right="240" w:firstLine="426"/>
        <w:spacing w:after="0" w:line="255" w:lineRule="auto"/>
        <w:rPr>
          <w:sz w:val="20"/>
          <w:szCs w:val="20"/>
          <w:color w:val="auto"/>
        </w:rPr>
      </w:pPr>
      <w:r>
        <w:rPr>
          <w:rFonts w:ascii="Times New Roman" w:cs="Times New Roman" w:eastAsia="Times New Roman" w:hAnsi="Times New Roman"/>
          <w:sz w:val="18"/>
          <w:szCs w:val="18"/>
          <w:color w:val="auto"/>
        </w:rPr>
        <w:t>Our securities may be offered directly to one or more purchasers, including to existing stockholders in a rights offering, by us or through agents designated from time to time by us, or to or through underwriters or dealers. The prospectus supplement relating to an offering and any free writing prospectus will disclose the terms of such offering, including the name or names of any agents or underwriters involved in the sale of our securities by us, the purchase price, and any fee, commission or discount arrangement between us and our agents or underwriters or among our underwriters or the basis upon which such amount may be calculated. See “Plan of Distribution” in this prospectus. We may not sell any of our securities through agents, underwriters or dealers without delivery of this prospectus and a prospectus supplement describing the method and terms of the offering of our securities.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Nasdaq Global Select Market Symbol</w:t>
            </w: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“FDUS”</w:t>
            </w:r>
          </w:p>
        </w:tc>
      </w:tr>
      <w:tr>
        <w:trPr>
          <w:trHeight w:val="45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We intend to use the net proceeds from selling our securities to invest in lower middle-</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market companies in accordance with our investment objective and strategies, to repay the</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outstanding indebtedness under our Credit Facility (as defined below) and/or our unsecured</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debt, if any, and for working capital and general corporate purposes. See “Use of</w:t>
            </w:r>
          </w:p>
        </w:tc>
      </w:tr>
      <w:tr>
        <w:trPr>
          <w:trHeight w:val="234"/>
        </w:trPr>
        <w:tc>
          <w:tcPr>
            <w:tcW w:w="3720" w:type="dxa"/>
            <w:vAlign w:val="bottom"/>
          </w:tcPr>
          <w:p>
            <w:pPr>
              <w:spacing w:after="0"/>
              <w:rPr>
                <w:sz w:val="20"/>
                <w:szCs w:val="20"/>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w:t>
            </w:r>
          </w:p>
        </w:tc>
      </w:tr>
      <w:tr>
        <w:trPr>
          <w:trHeight w:val="441"/>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and Distributions</w:t>
            </w: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We pay quarterly distributions to our stockholders out of assets legally available for</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distribution. Our distributions, if any, will be determined by our board of directors. Our</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ability to declare distributions depends on our earnings, our overall financial condition</w:t>
            </w:r>
          </w:p>
        </w:tc>
      </w:tr>
      <w:tr>
        <w:trPr>
          <w:trHeight w:val="216"/>
        </w:trPr>
        <w:tc>
          <w:tcPr>
            <w:tcW w:w="3720" w:type="dxa"/>
            <w:vAlign w:val="bottom"/>
          </w:tcPr>
          <w:p>
            <w:pPr>
              <w:spacing w:after="0"/>
              <w:rPr>
                <w:sz w:val="18"/>
                <w:szCs w:val="18"/>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(including our liquidity position), qualification for or maintenance of our RIC status and</w:t>
            </w:r>
          </w:p>
        </w:tc>
      </w:tr>
      <w:tr>
        <w:trPr>
          <w:trHeight w:val="234"/>
        </w:trPr>
        <w:tc>
          <w:tcPr>
            <w:tcW w:w="3720" w:type="dxa"/>
            <w:vAlign w:val="bottom"/>
          </w:tcPr>
          <w:p>
            <w:pPr>
              <w:spacing w:after="0"/>
              <w:rPr>
                <w:sz w:val="20"/>
                <w:szCs w:val="20"/>
                <w:color w:val="auto"/>
              </w:rPr>
            </w:pPr>
          </w:p>
        </w:tc>
        <w:tc>
          <w:tcPr>
            <w:tcW w:w="73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such other factors as our board of directors may deem relevant from time to time.</w:t>
            </w:r>
          </w:p>
        </w:tc>
      </w:tr>
      <w:tr>
        <w:trPr>
          <w:trHeight w:val="159"/>
        </w:trPr>
        <w:tc>
          <w:tcPr>
            <w:tcW w:w="3720" w:type="dxa"/>
            <w:vAlign w:val="bottom"/>
            <w:tcBorders>
              <w:bottom w:val="single" w:sz="8" w:color="auto"/>
            </w:tcBorders>
          </w:tcPr>
          <w:p>
            <w:pPr>
              <w:spacing w:after="0"/>
              <w:rPr>
                <w:sz w:val="13"/>
                <w:szCs w:val="13"/>
                <w:color w:val="auto"/>
              </w:rPr>
            </w:pPr>
          </w:p>
        </w:tc>
        <w:tc>
          <w:tcPr>
            <w:tcW w:w="7300" w:type="dxa"/>
            <w:vAlign w:val="bottom"/>
            <w:tcBorders>
              <w:bottom w:val="single" w:sz="8" w:color="auto"/>
            </w:tcBorders>
          </w:tcPr>
          <w:p>
            <w:pPr>
              <w:spacing w:after="0"/>
              <w:rPr>
                <w:sz w:val="13"/>
                <w:szCs w:val="13"/>
                <w:color w:val="auto"/>
              </w:rPr>
            </w:pPr>
          </w:p>
        </w:tc>
      </w:tr>
      <w:tr>
        <w:trPr>
          <w:trHeight w:val="361"/>
        </w:trPr>
        <w:tc>
          <w:tcPr>
            <w:tcW w:w="3720" w:type="dxa"/>
            <w:vAlign w:val="bottom"/>
          </w:tcPr>
          <w:p>
            <w:pPr>
              <w:spacing w:after="0"/>
              <w:rPr>
                <w:sz w:val="24"/>
                <w:szCs w:val="24"/>
                <w:color w:val="auto"/>
              </w:rPr>
            </w:pPr>
          </w:p>
        </w:tc>
        <w:tc>
          <w:tcPr>
            <w:tcW w:w="73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020"/>
          </w:cols>
          <w:pgMar w:left="440" w:top="482" w:right="4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0"/>
        </w:trPr>
        <w:tc>
          <w:tcPr>
            <w:tcW w:w="3320" w:type="dxa"/>
            <w:vAlign w:val="bottom"/>
            <w:tcBorders>
              <w:top w:val="single" w:sz="8" w:color="auto"/>
              <w:left w:val="single" w:sz="8" w:color="auto"/>
            </w:tcBorders>
          </w:tcPr>
          <w:p>
            <w:pPr>
              <w:spacing w:after="0"/>
              <w:rPr>
                <w:sz w:val="24"/>
                <w:szCs w:val="24"/>
                <w:color w:val="auto"/>
              </w:rPr>
            </w:pPr>
          </w:p>
        </w:tc>
        <w:tc>
          <w:tcPr>
            <w:tcW w:w="7700" w:type="dxa"/>
            <w:vAlign w:val="bottom"/>
            <w:tcBorders>
              <w:top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When we make distributions, we will be required to determine the extent to which such</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distributions are paid out of current or accumulated earnings, recognized capital gains or</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capital. To the extent there is a return of capital, investors will be required to reduce their</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basis in our stock for U.S. federal income tax purposes. In the future, our distributions may</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include a return of capital.</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Reinvestment Plan</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We have adopted a dividend reinvestment plan for our common stockholders, which is an</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“opt out” dividend reinvestment plan. Under this plan, if we declare a cash distribution, our</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stockholders who have not opted out of our dividend reinvestment plan will have their cash</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distribution automatically reinvested in additional shares of our common stock, rather than</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receiving the cash distribution. If a stockholder opts out, that stockholder will receive cash</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distributions. Stockholders who receive distributions in the form of shares of common</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stock generally are subject to the same U.S. federal income tax consequences as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stockholders who elect to receive their distributions in cash; however, since their cash</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distributions will be reinvested, such stockholders will not receive cash with which to pay</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any applicable taxes on reinvested distributions. See “Dividend Reinvestment Plan.”</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Taxation</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Accordingly,</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we generally will not be subject to U.S. federal income tax on any net ordinary income or</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capital gains that we timely distribute to our stockholders. To maintain our tax treatment as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a RIC and the associated tax benefits, we must meet specified source-of-income and asset</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diversification requirements and generally distribute annually at least 90% of our realized</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net ordinary income and realized net short-term capital gains, if any, in excess of our net</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long-term capital losses. In order to meet the 90% income requirement, we have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established several subsidiaries that are treated as corporations for U.S. federal income tax</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purposes, and in the future may establish additional such subsidiaries, to hold assets from</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which we do not anticipate earning dividends, interest or other qualifying income under the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90% income requirement (the “Taxable Subsidiaries”). Each Taxable Subsidiary generally</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is subject to U.S. federal income tax imposed at corporate rates, and therefore we can</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expect to achieve a reduced after-tax yield on investments held through a Taxable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Subsidiary. See “Price Range of Common Stock” and “Certain U.S. Federal Income Tax</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Considerations.”</w:t>
            </w:r>
          </w:p>
        </w:tc>
      </w:tr>
      <w:tr>
        <w:trPr>
          <w:trHeight w:val="441"/>
        </w:trPr>
        <w:tc>
          <w:tcPr>
            <w:tcW w:w="33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Effective Trading at a Discount</w:t>
            </w: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Shares of closed-end investment companies, including business development companies,</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frequently trade at a discount to their net asset value. The risk that our shares may trade at a</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discount to our net asset value is separate and distinct from the risk that our net asset value</w:t>
            </w:r>
          </w:p>
        </w:tc>
      </w:tr>
      <w:tr>
        <w:trPr>
          <w:trHeight w:val="216"/>
        </w:trPr>
        <w:tc>
          <w:tcPr>
            <w:tcW w:w="3320" w:type="dxa"/>
            <w:vAlign w:val="bottom"/>
            <w:tcBorders>
              <w:left w:val="single" w:sz="8" w:color="auto"/>
            </w:tcBorders>
          </w:tcPr>
          <w:p>
            <w:pPr>
              <w:spacing w:after="0"/>
              <w:rPr>
                <w:sz w:val="18"/>
                <w:szCs w:val="18"/>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per share may decline. We cannot predict whether our shares will trade above, at or below</w:t>
            </w:r>
          </w:p>
        </w:tc>
      </w:tr>
      <w:tr>
        <w:trPr>
          <w:trHeight w:val="234"/>
        </w:trPr>
        <w:tc>
          <w:tcPr>
            <w:tcW w:w="3320" w:type="dxa"/>
            <w:vAlign w:val="bottom"/>
            <w:tcBorders>
              <w:left w:val="single" w:sz="8" w:color="auto"/>
            </w:tcBorders>
          </w:tcPr>
          <w:p>
            <w:pPr>
              <w:spacing w:after="0"/>
              <w:rPr>
                <w:sz w:val="20"/>
                <w:szCs w:val="20"/>
                <w:color w:val="auto"/>
              </w:rPr>
            </w:pPr>
          </w:p>
        </w:tc>
        <w:tc>
          <w:tcPr>
            <w:tcW w:w="770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net asset value. See “Risk Factors.”</w:t>
            </w:r>
          </w:p>
        </w:tc>
      </w:tr>
      <w:tr>
        <w:trPr>
          <w:trHeight w:val="159"/>
        </w:trPr>
        <w:tc>
          <w:tcPr>
            <w:tcW w:w="3320" w:type="dxa"/>
            <w:vAlign w:val="bottom"/>
            <w:tcBorders>
              <w:left w:val="single" w:sz="8" w:color="auto"/>
              <w:bottom w:val="single" w:sz="8" w:color="auto"/>
            </w:tcBorders>
          </w:tcPr>
          <w:p>
            <w:pPr>
              <w:spacing w:after="0"/>
              <w:rPr>
                <w:sz w:val="13"/>
                <w:szCs w:val="13"/>
                <w:color w:val="auto"/>
              </w:rPr>
            </w:pPr>
          </w:p>
        </w:tc>
        <w:tc>
          <w:tcPr>
            <w:tcW w:w="7700" w:type="dxa"/>
            <w:vAlign w:val="bottom"/>
            <w:tcBorders>
              <w:bottom w:val="single" w:sz="8" w:color="auto"/>
              <w:right w:val="single" w:sz="8" w:color="auto"/>
            </w:tcBorders>
          </w:tcPr>
          <w:p>
            <w:pPr>
              <w:spacing w:after="0"/>
              <w:rPr>
                <w:sz w:val="13"/>
                <w:szCs w:val="13"/>
                <w:color w:val="auto"/>
              </w:rPr>
            </w:pPr>
          </w:p>
        </w:tc>
      </w:tr>
      <w:tr>
        <w:trPr>
          <w:trHeight w:val="361"/>
        </w:trPr>
        <w:tc>
          <w:tcPr>
            <w:tcW w:w="3320" w:type="dxa"/>
            <w:vAlign w:val="bottom"/>
          </w:tcPr>
          <w:p>
            <w:pPr>
              <w:spacing w:after="0"/>
              <w:rPr>
                <w:sz w:val="24"/>
                <w:szCs w:val="24"/>
                <w:color w:val="auto"/>
              </w:rPr>
            </w:pPr>
          </w:p>
        </w:tc>
        <w:tc>
          <w:tcPr>
            <w:tcW w:w="770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020"/>
          </w:cols>
          <w:pgMar w:left="440" w:top="292" w:right="439" w:bottom="1440" w:gutter="0" w:footer="0" w:header="0"/>
        </w:sectPr>
      </w:pPr>
    </w:p>
    <w:bookmarkStart w:id="24" w:name="page25"/>
    <w:bookmarkEnd w:id="2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0"/>
        </w:trPr>
        <w:tc>
          <w:tcPr>
            <w:tcW w:w="39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Sales of Common Stock Below Net Asset Value</w:t>
            </w:r>
          </w:p>
        </w:tc>
        <w:tc>
          <w:tcPr>
            <w:tcW w:w="710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Generally, the offering price per share of our common stock, exclusive of any underwriting</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commissions or discounts, may not be less than the net asset value per share of our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common stock at the time we make the offering except (1) in connection with a rights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offering to our existing stockholders, (2) with the consent of the majority of our common</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stockholders and approval of our board of directors, or (3) under such circumstances as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SEC may permit. On June 8, 2023, our common stockholders voted to allow us to sell or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otherwise issue common stock at a price below net asset value per share for a period of one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year ending on the earlier of June 8, 2024 or our 2024 Annual Meeting of Stockholders.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Our stockholders are being asked to consider and approve a similar proposal at our 2024</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Annual Meeting of Stockholders. Sales or other issuances by us of our common stock at a</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discount from our net asset value pose potential risks for our existing stockholders whether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or not they participate in the offering, as well as for new investors who participate in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offering. See “Sales of Common Stock Below Net Asset Value” in this prospectus and in</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prospectus supplement, if applicable.</w:t>
            </w:r>
          </w:p>
        </w:tc>
      </w:tr>
      <w:tr>
        <w:trPr>
          <w:trHeight w:val="441"/>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Leverage</w:t>
            </w: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 borrow funds to make additional investments. We use this practice, which is known as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“leverage,” to attempt to increase returns to our stockholders, but it involves significant</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risks. See “Risk Factors,” “Senior Securities,” and “Regulation” below. We are currently</w:t>
            </w:r>
          </w:p>
        </w:tc>
      </w:tr>
      <w:tr>
        <w:trPr>
          <w:trHeight w:val="214"/>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allowed to borrow amounts such that our asset coverage, as calculated pursuant to the 1940</w:t>
            </w:r>
          </w:p>
        </w:tc>
      </w:tr>
      <w:tr>
        <w:trPr>
          <w:trHeight w:val="218"/>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Act, equals at least 150% after such borrowing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we are able to borrow up to two</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dollars for every dollar we have in assets less all liabilities and indebtedness not</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represented by senior securities issued by us). See “Management’s Discussion and Analysis</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of Financial Condition and Results of Operations” in Part II, Item 7 our most recent Annual</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Report on Form 10-K.</w:t>
            </w:r>
          </w:p>
        </w:tc>
      </w:tr>
      <w:tr>
        <w:trPr>
          <w:trHeight w:val="441"/>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 amount of leverage that we employ at any particular time will depend on our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investment advisor’s investment committee’s and our board of directors’ assessment of</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market and other factors at the time of any proposed borrowing. In addition, the SBA</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regulations currently limit the amount that is available to be borrowed by any SBIC and</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guaranteed by the SBA to 300% of an SBIC’s regulatory capital or $175.0 million,</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whichever is less. For three or more SBICs under common control, the maximum amount</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of outstanding SBA debentures cannot exceed $350.0 million.</w:t>
            </w:r>
          </w:p>
        </w:tc>
      </w:tr>
      <w:tr>
        <w:trPr>
          <w:trHeight w:val="441"/>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For more information, see “Risk Factors” in Part I, Item 1A of our most recent Annual</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Report on Form 10-K and “Business — Regulation” in Part I, Item 1 in our most recent</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441"/>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Available Information</w:t>
            </w: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is a part, under the Securities Act. This</w:t>
            </w:r>
          </w:p>
        </w:tc>
      </w:tr>
      <w:tr>
        <w:trPr>
          <w:trHeight w:val="159"/>
        </w:trPr>
        <w:tc>
          <w:tcPr>
            <w:tcW w:w="3920" w:type="dxa"/>
            <w:vAlign w:val="bottom"/>
            <w:tcBorders>
              <w:left w:val="single" w:sz="8" w:color="auto"/>
              <w:bottom w:val="single" w:sz="8" w:color="auto"/>
            </w:tcBorders>
          </w:tcPr>
          <w:p>
            <w:pPr>
              <w:spacing w:after="0"/>
              <w:rPr>
                <w:sz w:val="13"/>
                <w:szCs w:val="13"/>
                <w:color w:val="auto"/>
              </w:rPr>
            </w:pPr>
          </w:p>
        </w:tc>
        <w:tc>
          <w:tcPr>
            <w:tcW w:w="7100" w:type="dxa"/>
            <w:vAlign w:val="bottom"/>
            <w:tcBorders>
              <w:bottom w:val="single" w:sz="8" w:color="auto"/>
              <w:right w:val="single" w:sz="8" w:color="auto"/>
            </w:tcBorders>
          </w:tcPr>
          <w:p>
            <w:pPr>
              <w:spacing w:after="0"/>
              <w:rPr>
                <w:sz w:val="13"/>
                <w:szCs w:val="13"/>
                <w:color w:val="auto"/>
              </w:rPr>
            </w:pPr>
          </w:p>
        </w:tc>
      </w:tr>
      <w:tr>
        <w:trPr>
          <w:trHeight w:val="361"/>
        </w:trPr>
        <w:tc>
          <w:tcPr>
            <w:tcW w:w="3920" w:type="dxa"/>
            <w:vAlign w:val="bottom"/>
          </w:tcPr>
          <w:p>
            <w:pPr>
              <w:spacing w:after="0"/>
              <w:rPr>
                <w:sz w:val="24"/>
                <w:szCs w:val="24"/>
                <w:color w:val="auto"/>
              </w:rPr>
            </w:pPr>
          </w:p>
        </w:tc>
        <w:tc>
          <w:tcPr>
            <w:tcW w:w="71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020"/>
          </w:cols>
          <w:pgMar w:left="440" w:top="292" w:right="4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390"/>
        </w:trPr>
        <w:tc>
          <w:tcPr>
            <w:tcW w:w="4020" w:type="dxa"/>
            <w:vAlign w:val="bottom"/>
            <w:tcBorders>
              <w:top w:val="single" w:sz="8" w:color="auto"/>
              <w:left w:val="single" w:sz="8" w:color="auto"/>
            </w:tcBorders>
          </w:tcPr>
          <w:p>
            <w:pPr>
              <w:spacing w:after="0"/>
              <w:rPr>
                <w:sz w:val="24"/>
                <w:szCs w:val="24"/>
                <w:color w:val="auto"/>
              </w:rPr>
            </w:pPr>
          </w:p>
        </w:tc>
        <w:tc>
          <w:tcPr>
            <w:tcW w:w="700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registration statement contains additional information about us and the securities being</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offered by this prospectus. We are also required to file periodic reports, current reports,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proxy statements and other information with the SEC. This information is available on the</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SEC’s website at http://www.sec.gov.</w:t>
            </w:r>
          </w:p>
        </w:tc>
      </w:tr>
      <w:tr>
        <w:trPr>
          <w:trHeight w:val="454"/>
        </w:trPr>
        <w:tc>
          <w:tcPr>
            <w:tcW w:w="4020" w:type="dxa"/>
            <w:vAlign w:val="bottom"/>
            <w:tcBorders>
              <w:left w:val="single" w:sz="8" w:color="auto"/>
            </w:tcBorders>
          </w:tcPr>
          <w:p>
            <w:pPr>
              <w:spacing w:after="0"/>
              <w:rPr>
                <w:sz w:val="24"/>
                <w:szCs w:val="24"/>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 xml:space="preserve">We maintain a website at </w:t>
            </w:r>
            <w:r>
              <w:rPr>
                <w:rFonts w:ascii="Times New Roman" w:cs="Times New Roman" w:eastAsia="Times New Roman" w:hAnsi="Times New Roman"/>
                <w:sz w:val="18"/>
                <w:szCs w:val="18"/>
                <w:i w:val="1"/>
                <w:iCs w:val="1"/>
                <w:color w:val="auto"/>
              </w:rPr>
              <w:t>www.fdus.com</w:t>
            </w:r>
            <w:r>
              <w:rPr>
                <w:rFonts w:ascii="Times New Roman" w:cs="Times New Roman" w:eastAsia="Times New Roman" w:hAnsi="Times New Roman"/>
                <w:sz w:val="18"/>
                <w:szCs w:val="18"/>
                <w:color w:val="auto"/>
              </w:rPr>
              <w:t xml:space="preserve"> and make all of our periodic and current reports,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proxy statements and other information available, free of charge, on or through our</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website. Information contained on our website is not incorporated by reference into this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prospectus or any supplements to this prospectus, and you should not consider that</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information to be part of this prospectus or any supplements to this prospectus. You may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also obtain such information free of charge by contacting us by mail at 1603 Orrington</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Avenue, Suite 1005, Evanston, Illinois 60201, Attention: Investor Relations, by calling us</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collect at (847) 859-3940 or by sending an e-mail to us at investorrelations@fdus.com.</w:t>
            </w:r>
          </w:p>
        </w:tc>
      </w:tr>
      <w:tr>
        <w:trPr>
          <w:trHeight w:val="441"/>
        </w:trPr>
        <w:tc>
          <w:tcPr>
            <w:tcW w:w="40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Incorporation of Certain Information by Reference</w:t>
            </w: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We may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“incorporate by reference” the information that we file with the SEC, which means that we</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can disclose important information to you by referring you to those documents. The</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information incorporated by reference is considered to comprise a part of this prospectus</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from the date we file that information. We incorporate by reference into this prospectus any</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filings under Section 13(a), 13(c), 14, or 15(d) of the Exchange Act filed by us with the</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SEC subsequent to the date of the initial registration statement and prior to effectiveness of</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the registration statement, and subsequent to the date of this prospectus until all of the</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securities offered by this prospectus and any accompanying prospectus supplement have</w:t>
            </w:r>
          </w:p>
        </w:tc>
      </w:tr>
      <w:tr>
        <w:trPr>
          <w:trHeight w:val="216"/>
        </w:trPr>
        <w:tc>
          <w:tcPr>
            <w:tcW w:w="4020" w:type="dxa"/>
            <w:vAlign w:val="bottom"/>
            <w:tcBorders>
              <w:left w:val="single" w:sz="8" w:color="auto"/>
            </w:tcBorders>
          </w:tcPr>
          <w:p>
            <w:pPr>
              <w:spacing w:after="0"/>
              <w:rPr>
                <w:sz w:val="18"/>
                <w:szCs w:val="18"/>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been sold or we otherwise terminate the offering of these securities. See “Incorporation of</w:t>
            </w:r>
          </w:p>
        </w:tc>
      </w:tr>
      <w:tr>
        <w:trPr>
          <w:trHeight w:val="234"/>
        </w:trPr>
        <w:tc>
          <w:tcPr>
            <w:tcW w:w="4020" w:type="dxa"/>
            <w:vAlign w:val="bottom"/>
            <w:tcBorders>
              <w:left w:val="single" w:sz="8" w:color="auto"/>
            </w:tcBorders>
          </w:tcPr>
          <w:p>
            <w:pPr>
              <w:spacing w:after="0"/>
              <w:rPr>
                <w:sz w:val="20"/>
                <w:szCs w:val="20"/>
                <w:color w:val="auto"/>
              </w:rPr>
            </w:pPr>
          </w:p>
        </w:tc>
        <w:tc>
          <w:tcPr>
            <w:tcW w:w="700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Certain Information by Reference” in this prospectus for more information.</w:t>
            </w:r>
          </w:p>
        </w:tc>
      </w:tr>
      <w:tr>
        <w:trPr>
          <w:trHeight w:val="159"/>
        </w:trPr>
        <w:tc>
          <w:tcPr>
            <w:tcW w:w="4020" w:type="dxa"/>
            <w:vAlign w:val="bottom"/>
            <w:tcBorders>
              <w:left w:val="single" w:sz="8" w:color="auto"/>
              <w:bottom w:val="single" w:sz="8" w:color="auto"/>
            </w:tcBorders>
          </w:tcPr>
          <w:p>
            <w:pPr>
              <w:spacing w:after="0"/>
              <w:rPr>
                <w:sz w:val="13"/>
                <w:szCs w:val="13"/>
                <w:color w:val="auto"/>
              </w:rPr>
            </w:pPr>
          </w:p>
        </w:tc>
        <w:tc>
          <w:tcPr>
            <w:tcW w:w="7000" w:type="dxa"/>
            <w:vAlign w:val="bottom"/>
            <w:tcBorders>
              <w:bottom w:val="single" w:sz="8" w:color="auto"/>
              <w:right w:val="single" w:sz="8" w:color="auto"/>
            </w:tcBorders>
          </w:tcPr>
          <w:p>
            <w:pPr>
              <w:spacing w:after="0"/>
              <w:rPr>
                <w:sz w:val="13"/>
                <w:szCs w:val="13"/>
                <w:color w:val="auto"/>
              </w:rPr>
            </w:pPr>
          </w:p>
        </w:tc>
      </w:tr>
      <w:tr>
        <w:trPr>
          <w:trHeight w:val="361"/>
        </w:trPr>
        <w:tc>
          <w:tcPr>
            <w:tcW w:w="4020" w:type="dxa"/>
            <w:vAlign w:val="bottom"/>
          </w:tcPr>
          <w:p>
            <w:pPr>
              <w:spacing w:after="0"/>
              <w:rPr>
                <w:sz w:val="24"/>
                <w:szCs w:val="24"/>
                <w:color w:val="auto"/>
              </w:rPr>
            </w:pPr>
          </w:p>
        </w:tc>
        <w:tc>
          <w:tcPr>
            <w:tcW w:w="70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020"/>
          </w:cols>
          <w:pgMar w:left="440" w:top="292" w:right="439" w:bottom="1440" w:gutter="0" w:footer="0" w:header="0"/>
        </w:sectPr>
      </w:pPr>
    </w:p>
    <w:bookmarkStart w:id="26" w:name="page27"/>
    <w:bookmarkEnd w:id="26"/>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FEES AND EXPENSES</w:t>
      </w:r>
    </w:p>
    <w:p>
      <w:pPr>
        <w:spacing w:after="0" w:line="22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an offering will bear directly or indirectly. We caution you that some of the percentages indicated in the table below are estimates and may vary. Except where the context suggests otherwise, whenever there is a reference to fees or expenses paid by “you,” “us,” “the Company” or “Fidus,” or that “we” will pay fees or expenses, stockholders will indirectly bear such fees or expenses as investors in us.</w:t>
      </w:r>
    </w:p>
    <w:p>
      <w:pPr>
        <w:spacing w:after="0" w:line="225" w:lineRule="exact"/>
        <w:rPr>
          <w:sz w:val="20"/>
          <w:szCs w:val="20"/>
          <w:color w:val="auto"/>
        </w:rPr>
      </w:pPr>
    </w:p>
    <w:tbl>
      <w:tblPr>
        <w:tblLayout w:type="fixed"/>
        <w:tblInd w:w="1324" w:type="dxa"/>
        <w:tblCellMar>
          <w:top w:w="0" w:type="dxa"/>
          <w:left w:w="0" w:type="dxa"/>
          <w:bottom w:w="0" w:type="dxa"/>
          <w:right w:w="0" w:type="dxa"/>
        </w:tblCellMar>
      </w:tblP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400" w:type="dxa"/>
            <w:vAlign w:val="bottom"/>
          </w:tcPr>
          <w:p>
            <w:pPr>
              <w:spacing w:after="0"/>
              <w:rPr>
                <w:sz w:val="18"/>
                <w:szCs w:val="18"/>
                <w:color w:val="auto"/>
              </w:rPr>
            </w:pPr>
          </w:p>
        </w:tc>
        <w:tc>
          <w:tcPr>
            <w:tcW w:w="480" w:type="dxa"/>
            <w:vAlign w:val="bottom"/>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0"/>
                <w:szCs w:val="10"/>
                <w:color w:val="auto"/>
              </w:rPr>
              <w:t xml:space="preserve"> (1)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born by us (as a percentage of offering price)</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0"/>
                <w:szCs w:val="10"/>
                <w:color w:val="auto"/>
              </w:rPr>
              <w:t xml:space="preserve"> (2)</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400" w:type="dxa"/>
            <w:vAlign w:val="bottom"/>
          </w:tcPr>
          <w:p>
            <w:pPr>
              <w:spacing w:after="0"/>
              <w:rPr>
                <w:sz w:val="18"/>
                <w:szCs w:val="18"/>
                <w:color w:val="auto"/>
              </w:rPr>
            </w:pPr>
          </w:p>
        </w:tc>
        <w:tc>
          <w:tcPr>
            <w:tcW w:w="480" w:type="dxa"/>
            <w:vAlign w:val="bottom"/>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0"/>
                <w:szCs w:val="10"/>
                <w:color w:val="auto"/>
              </w:rPr>
              <w:t xml:space="preserve"> (3)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 transaction expenses paid by us (as a percentage of offering price)</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0"/>
                <w:szCs w:val="10"/>
                <w:color w:val="auto"/>
              </w:rPr>
              <w:t xml:space="preserve"> (4)</w:t>
            </w:r>
          </w:p>
        </w:tc>
      </w:tr>
      <w:tr>
        <w:trPr>
          <w:trHeight w:val="51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Annual expenses (as a percentage of net assets attributable to common stock)</w:t>
            </w:r>
            <w:r>
              <w:rPr>
                <w:rFonts w:ascii="Times New Roman" w:cs="Times New Roman" w:eastAsia="Times New Roman" w:hAnsi="Times New Roman"/>
                <w:sz w:val="22"/>
                <w:szCs w:val="22"/>
                <w:b w:val="1"/>
                <w:bCs w:val="1"/>
                <w:color w:val="auto"/>
                <w:vertAlign w:val="superscript"/>
              </w:rPr>
              <w:t>(5)</w:t>
            </w:r>
            <w:r>
              <w:rPr>
                <w:rFonts w:ascii="Times New Roman" w:cs="Times New Roman" w:eastAsia="Times New Roman" w:hAnsi="Times New Roman"/>
                <w:sz w:val="18"/>
                <w:szCs w:val="18"/>
                <w:b w:val="1"/>
                <w:bCs w:val="1"/>
                <w:color w:val="auto"/>
              </w:rPr>
              <w:t>:</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management fee</w:t>
            </w:r>
          </w:p>
        </w:tc>
        <w:tc>
          <w:tcPr>
            <w:tcW w:w="880" w:type="dxa"/>
            <w:vAlign w:val="bottom"/>
            <w:gridSpan w:val="2"/>
            <w:shd w:val="clear" w:color="auto" w:fill="CCEEFF"/>
          </w:tcPr>
          <w:p>
            <w:pPr>
              <w:jc w:val="right"/>
              <w:ind w:right="111"/>
              <w:spacing w:after="0" w:line="243" w:lineRule="exact"/>
              <w:rPr>
                <w:sz w:val="20"/>
                <w:szCs w:val="20"/>
                <w:color w:val="auto"/>
              </w:rPr>
            </w:pPr>
            <w:r>
              <w:rPr>
                <w:rFonts w:ascii="Times New Roman" w:cs="Times New Roman" w:eastAsia="Times New Roman" w:hAnsi="Times New Roman"/>
                <w:sz w:val="18"/>
                <w:szCs w:val="18"/>
                <w:color w:val="auto"/>
              </w:rPr>
              <w:t>2.96 %</w:t>
            </w:r>
            <w:r>
              <w:rPr>
                <w:rFonts w:ascii="Times New Roman" w:cs="Times New Roman" w:eastAsia="Times New Roman" w:hAnsi="Times New Roman"/>
                <w:sz w:val="22"/>
                <w:szCs w:val="22"/>
                <w:color w:val="auto"/>
                <w:vertAlign w:val="superscript"/>
              </w:rPr>
              <w:t>(6)</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payable under Investment Advisory Agreement</w:t>
            </w:r>
          </w:p>
        </w:tc>
        <w:tc>
          <w:tcPr>
            <w:tcW w:w="880" w:type="dxa"/>
            <w:vAlign w:val="bottom"/>
            <w:gridSpan w:val="2"/>
          </w:tcPr>
          <w:p>
            <w:pPr>
              <w:jc w:val="right"/>
              <w:ind w:right="111"/>
              <w:spacing w:after="0" w:line="243" w:lineRule="exact"/>
              <w:rPr>
                <w:sz w:val="20"/>
                <w:szCs w:val="20"/>
                <w:color w:val="auto"/>
              </w:rPr>
            </w:pPr>
            <w:r>
              <w:rPr>
                <w:rFonts w:ascii="Times New Roman" w:cs="Times New Roman" w:eastAsia="Times New Roman" w:hAnsi="Times New Roman"/>
                <w:sz w:val="18"/>
                <w:szCs w:val="18"/>
                <w:color w:val="auto"/>
              </w:rPr>
              <w:t>3.02 %</w:t>
            </w:r>
            <w:r>
              <w:rPr>
                <w:rFonts w:ascii="Times New Roman" w:cs="Times New Roman" w:eastAsia="Times New Roman" w:hAnsi="Times New Roman"/>
                <w:sz w:val="22"/>
                <w:szCs w:val="22"/>
                <w:color w:val="auto"/>
                <w:vertAlign w:val="superscript"/>
              </w:rPr>
              <w:t>(7)</w:t>
            </w:r>
          </w:p>
        </w:tc>
      </w:tr>
      <w:tr>
        <w:trPr>
          <w:trHeight w:val="24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880" w:type="dxa"/>
            <w:vAlign w:val="bottom"/>
            <w:gridSpan w:val="2"/>
            <w:shd w:val="clear" w:color="auto" w:fill="CCEEFF"/>
          </w:tcPr>
          <w:p>
            <w:pPr>
              <w:jc w:val="right"/>
              <w:ind w:right="111"/>
              <w:spacing w:after="0" w:line="243" w:lineRule="exact"/>
              <w:rPr>
                <w:sz w:val="20"/>
                <w:szCs w:val="20"/>
                <w:color w:val="auto"/>
              </w:rPr>
            </w:pPr>
            <w:r>
              <w:rPr>
                <w:rFonts w:ascii="Times New Roman" w:cs="Times New Roman" w:eastAsia="Times New Roman" w:hAnsi="Times New Roman"/>
                <w:sz w:val="18"/>
                <w:szCs w:val="18"/>
                <w:color w:val="auto"/>
              </w:rPr>
              <w:t>3.64 %</w:t>
            </w:r>
            <w:r>
              <w:rPr>
                <w:rFonts w:ascii="Times New Roman" w:cs="Times New Roman" w:eastAsia="Times New Roman" w:hAnsi="Times New Roman"/>
                <w:sz w:val="22"/>
                <w:szCs w:val="22"/>
                <w:color w:val="auto"/>
                <w:vertAlign w:val="superscript"/>
              </w:rPr>
              <w:t>(8)</w:t>
            </w:r>
          </w:p>
        </w:tc>
      </w:tr>
      <w:tr>
        <w:trPr>
          <w:trHeight w:val="25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88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22"/>
                <w:szCs w:val="22"/>
                <w:color w:val="auto"/>
                <w:vertAlign w:val="superscript"/>
              </w:rPr>
              <w:t>(9)</w:t>
            </w:r>
          </w:p>
        </w:tc>
      </w:tr>
      <w:tr>
        <w:trPr>
          <w:trHeight w:val="21"/>
        </w:trPr>
        <w:tc>
          <w:tcPr>
            <w:tcW w:w="74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annual expenses, before base management fee waiver</w:t>
            </w:r>
          </w:p>
        </w:tc>
        <w:tc>
          <w:tcPr>
            <w:tcW w:w="880" w:type="dxa"/>
            <w:vAlign w:val="bottom"/>
            <w:gridSpan w:val="2"/>
            <w:shd w:val="clear" w:color="auto" w:fill="CCEEFF"/>
          </w:tcPr>
          <w:p>
            <w:pPr>
              <w:jc w:val="right"/>
              <w:ind w:right="71"/>
              <w:spacing w:after="0" w:line="243" w:lineRule="exact"/>
              <w:rPr>
                <w:sz w:val="20"/>
                <w:szCs w:val="20"/>
                <w:color w:val="auto"/>
              </w:rPr>
            </w:pPr>
            <w:r>
              <w:rPr>
                <w:rFonts w:ascii="Times New Roman" w:cs="Times New Roman" w:eastAsia="Times New Roman" w:hAnsi="Times New Roman"/>
                <w:sz w:val="18"/>
                <w:szCs w:val="18"/>
                <w:color w:val="auto"/>
                <w:w w:val="87"/>
              </w:rPr>
              <w:t>10.75 %</w:t>
            </w:r>
            <w:r>
              <w:rPr>
                <w:rFonts w:ascii="Times New Roman" w:cs="Times New Roman" w:eastAsia="Times New Roman" w:hAnsi="Times New Roman"/>
                <w:sz w:val="22"/>
                <w:szCs w:val="22"/>
                <w:color w:val="auto"/>
                <w:w w:val="87"/>
                <w:vertAlign w:val="superscript"/>
              </w:rPr>
              <w:t>(10)</w:t>
            </w:r>
          </w:p>
        </w:tc>
      </w:tr>
      <w:tr>
        <w:trPr>
          <w:trHeight w:val="257"/>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management fee waiver</w:t>
            </w:r>
          </w:p>
        </w:tc>
        <w:tc>
          <w:tcPr>
            <w:tcW w:w="88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w w:val="91"/>
              </w:rPr>
              <w:t>(0.05 %)</w:t>
            </w:r>
            <w:r>
              <w:rPr>
                <w:rFonts w:ascii="Times New Roman" w:cs="Times New Roman" w:eastAsia="Times New Roman" w:hAnsi="Times New Roman"/>
                <w:sz w:val="22"/>
                <w:szCs w:val="22"/>
                <w:color w:val="auto"/>
                <w:w w:val="91"/>
                <w:vertAlign w:val="superscript"/>
              </w:rPr>
              <w:t>(11)</w:t>
            </w:r>
          </w:p>
        </w:tc>
      </w:tr>
      <w:tr>
        <w:trPr>
          <w:trHeight w:val="21"/>
        </w:trPr>
        <w:tc>
          <w:tcPr>
            <w:tcW w:w="74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4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annual expenses, net of base management fee waiver</w:t>
            </w:r>
          </w:p>
        </w:tc>
        <w:tc>
          <w:tcPr>
            <w:tcW w:w="880" w:type="dxa"/>
            <w:vAlign w:val="bottom"/>
            <w:gridSpan w:val="2"/>
            <w:shd w:val="clear" w:color="auto" w:fill="CCEEFF"/>
          </w:tcPr>
          <w:p>
            <w:pPr>
              <w:jc w:val="right"/>
              <w:ind w:right="71"/>
              <w:spacing w:after="0" w:line="243" w:lineRule="exact"/>
              <w:rPr>
                <w:sz w:val="20"/>
                <w:szCs w:val="20"/>
                <w:color w:val="auto"/>
              </w:rPr>
            </w:pPr>
            <w:r>
              <w:rPr>
                <w:rFonts w:ascii="Times New Roman" w:cs="Times New Roman" w:eastAsia="Times New Roman" w:hAnsi="Times New Roman"/>
                <w:sz w:val="18"/>
                <w:szCs w:val="18"/>
                <w:color w:val="auto"/>
                <w:w w:val="87"/>
              </w:rPr>
              <w:t>10.70 %</w:t>
            </w:r>
            <w:r>
              <w:rPr>
                <w:rFonts w:ascii="Times New Roman" w:cs="Times New Roman" w:eastAsia="Times New Roman" w:hAnsi="Times New Roman"/>
                <w:sz w:val="22"/>
                <w:szCs w:val="22"/>
                <w:color w:val="auto"/>
                <w:w w:val="87"/>
                <w:vertAlign w:val="superscript"/>
              </w:rPr>
              <w:t>(12)</w:t>
            </w:r>
          </w:p>
        </w:tc>
      </w:tr>
      <w:tr>
        <w:trPr>
          <w:trHeight w:val="20"/>
        </w:trPr>
        <w:tc>
          <w:tcPr>
            <w:tcW w:w="7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0"/>
        </w:trPr>
        <w:tc>
          <w:tcPr>
            <w:tcW w:w="7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5537835</wp:posOffset>
            </wp:positionH>
            <wp:positionV relativeFrom="paragraph">
              <wp:posOffset>-556895</wp:posOffset>
            </wp:positionV>
            <wp:extent cx="34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-213995</wp:posOffset>
            </wp:positionV>
            <wp:extent cx="342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-25400</wp:posOffset>
            </wp:positionV>
            <wp:extent cx="342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5537835</wp:posOffset>
            </wp:positionH>
            <wp:positionV relativeFrom="paragraph">
              <wp:posOffset>-7620</wp:posOffset>
            </wp:positionV>
            <wp:extent cx="342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2" w:lineRule="exact"/>
        <w:rPr>
          <w:sz w:val="20"/>
          <w:szCs w:val="20"/>
          <w:color w:val="auto"/>
        </w:rPr>
      </w:pPr>
    </w:p>
    <w:p>
      <w:pPr>
        <w:ind w:left="544" w:hanging="544"/>
        <w:spacing w:after="0"/>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securities are sold to or through underwriters, a corresponding prospectus supplement will disclose the applicable sales load.</w:t>
      </w:r>
    </w:p>
    <w:p>
      <w:pPr>
        <w:spacing w:after="0" w:line="27" w:lineRule="exact"/>
        <w:rPr>
          <w:rFonts w:ascii="Times New Roman" w:cs="Times New Roman" w:eastAsia="Times New Roman" w:hAnsi="Times New Roman"/>
          <w:sz w:val="18"/>
          <w:szCs w:val="18"/>
          <w:color w:val="auto"/>
        </w:rPr>
      </w:pPr>
    </w:p>
    <w:p>
      <w:pPr>
        <w:ind w:left="544" w:right="320" w:hanging="544"/>
        <w:spacing w:after="0" w:line="250"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conduct an offering of any of our securities, a corresponding prospectus supplement will disclose the estimated offering expenses because they will be ultimately borne by the Company (and indirectly by our stockholders).</w:t>
      </w:r>
    </w:p>
    <w:p>
      <w:pPr>
        <w:ind w:left="544" w:hanging="544"/>
        <w:spacing w:after="0"/>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administering our dividend reinvestment plan are included in other expenses.</w:t>
      </w:r>
    </w:p>
    <w:p>
      <w:pPr>
        <w:spacing w:after="0" w:line="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transaction expenses may include a sales load and will be disclosed in a future prospectus supplement, if any.</w:t>
      </w:r>
    </w:p>
    <w:p>
      <w:pPr>
        <w:spacing w:after="0" w:line="9" w:lineRule="exact"/>
        <w:rPr>
          <w:rFonts w:ascii="Times New Roman" w:cs="Times New Roman" w:eastAsia="Times New Roman" w:hAnsi="Times New Roman"/>
          <w:sz w:val="18"/>
          <w:szCs w:val="18"/>
          <w:color w:val="auto"/>
        </w:rPr>
      </w:pPr>
    </w:p>
    <w:p>
      <w:pPr>
        <w:ind w:left="544" w:right="380" w:hanging="544"/>
        <w:spacing w:after="0" w:line="250"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stock equals average net assets, which is calculated as the average of the net assets balances for the three months ended March 31, 2024.</w:t>
      </w:r>
    </w:p>
    <w:p>
      <w:pPr>
        <w:ind w:left="544" w:right="60" w:hanging="544"/>
        <w:spacing w:after="0" w:line="250"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base management fee is 1.75% of the average value of our total assets (other than cash and cash equivalents but including assets purchased with borrowed amounts). This item represents actual base management fees incurred for the three months ended March 31, 2024. We may from time to time decide it is appropriate to change the terms of the investment advisory and management agreement by and between the Company and our investment advisor (the “Investment Advisory Agreement”). Under the 1940 Act, any material change to our Investment Advisory Agreement must be submitted to stockholders for approval. The 2.96% reflected in the table is calculated on our net assets (rather than our total assets). See Part I, Item 1. “Business - Management and Other Agreements-Investment Advisory Agreement” in our most recent Annual Report on Form 10-K.</w:t>
      </w:r>
    </w:p>
    <w:p>
      <w:pPr>
        <w:spacing w:after="0" w:line="2" w:lineRule="exact"/>
        <w:rPr>
          <w:rFonts w:ascii="Times New Roman" w:cs="Times New Roman" w:eastAsia="Times New Roman" w:hAnsi="Times New Roman"/>
          <w:sz w:val="18"/>
          <w:szCs w:val="18"/>
          <w:color w:val="auto"/>
        </w:rPr>
      </w:pPr>
    </w:p>
    <w:p>
      <w:pPr>
        <w:ind w:left="544" w:right="220" w:hanging="544"/>
        <w:spacing w:after="0" w:line="253" w:lineRule="auto"/>
        <w:tabs>
          <w:tab w:leader="none" w:pos="5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item represents actual fees incurred on pre-incentive fee net investment income (income incentive fee) and actual fees payable for the capital gains incentive fee for the three months ended March 31, 2024. The capital gains incentive fee payable as of March 31, 2024 was $0.2 million. For the three months ended March 31, 2024, we accrued capital gains incentive fees (reversal) of $0.5 million in accordance with U.S. GAAP, which equals 0.08% of average net assets attributable to common stock; such amount has not been included in the estimated expenses figure reflected in the table above.</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4"/>
          </w:cols>
          <w:pgMar w:left="436" w:top="293" w:right="519" w:bottom="1440" w:gutter="0" w:footer="0" w:header="0"/>
        </w:sectPr>
      </w:pPr>
    </w:p>
    <w:bookmarkStart w:id="27" w:name="page28"/>
    <w:bookmarkEnd w:id="27"/>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incentive fee consists of two parts:</w:t>
      </w:r>
    </w:p>
    <w:p>
      <w:pPr>
        <w:spacing w:after="0" w:line="117" w:lineRule="exact"/>
        <w:rPr>
          <w:sz w:val="20"/>
          <w:szCs w:val="20"/>
          <w:color w:val="auto"/>
        </w:rPr>
      </w:pPr>
    </w:p>
    <w:p>
      <w:pPr>
        <w:ind w:left="544" w:right="60"/>
        <w:spacing w:after="0" w:line="255" w:lineRule="auto"/>
        <w:rPr>
          <w:sz w:val="20"/>
          <w:szCs w:val="20"/>
          <w:color w:val="auto"/>
        </w:rPr>
      </w:pPr>
      <w:r>
        <w:rPr>
          <w:rFonts w:ascii="Times New Roman" w:cs="Times New Roman" w:eastAsia="Times New Roman" w:hAnsi="Times New Roman"/>
          <w:sz w:val="18"/>
          <w:szCs w:val="18"/>
          <w:color w:val="auto"/>
        </w:rPr>
        <w:t>The first, payable quarterly in arrears, equals 20.0% of our pre-incentive fee net investment income, expressed as a rate of return on the value of our net assets (including interest that is accrued but not yet received in cash), subject to a 2.0% quarterly (8.0% annualized) hurdle rate and a “catch-up” provision measured as of the end of each calendar quarter. Under this provision, in any calendar quarter, our investment advisor receives no incentive fee until our pre-incentive fee net investment income equals the hurdle rate of 2.0% but then receives, as a “catch-up,” 100.0% of our pre-incentive fee net investment income with respect to that portion of such pre-incentive fee net investment income, if any, that exceeds the hurdle rate but is less than 2.5%. The effect of this provision is that, if pre-incentive fee net investment income exceeds 2.5% in any calendar quarter, our investment advisor will receive 20.0% of our pre-incentive fee net investment income as if a hurdle rate did not apply.</w:t>
      </w:r>
    </w:p>
    <w:p>
      <w:pPr>
        <w:spacing w:after="0" w:line="81" w:lineRule="exact"/>
        <w:rPr>
          <w:sz w:val="20"/>
          <w:szCs w:val="20"/>
          <w:color w:val="auto"/>
        </w:rPr>
      </w:pPr>
    </w:p>
    <w:p>
      <w:pPr>
        <w:ind w:left="544" w:right="60"/>
        <w:spacing w:after="0" w:line="272" w:lineRule="auto"/>
        <w:rPr>
          <w:sz w:val="20"/>
          <w:szCs w:val="20"/>
          <w:color w:val="auto"/>
        </w:rPr>
      </w:pPr>
      <w:r>
        <w:rPr>
          <w:rFonts w:ascii="Times New Roman" w:cs="Times New Roman" w:eastAsia="Times New Roman" w:hAnsi="Times New Roman"/>
          <w:sz w:val="17"/>
          <w:szCs w:val="17"/>
          <w:color w:val="auto"/>
        </w:rPr>
        <w:t>The second part, payable annually in arrears, equals 20.0% of our realized capital gains net of realized capital losses and unrealized capital depreciation, if any, on a cumulative basis from inception through the end of the fiscal year (or upon the termination of the Investment Advisory Agreement, as of the termination date), less the aggregate amount of any previously paid capital gain incentive fees. In accordance with</w:t>
      </w:r>
    </w:p>
    <w:p>
      <w:pPr>
        <w:spacing w:after="0" w:line="2" w:lineRule="exact"/>
        <w:rPr>
          <w:sz w:val="20"/>
          <w:szCs w:val="20"/>
          <w:color w:val="auto"/>
        </w:rPr>
      </w:pPr>
    </w:p>
    <w:p>
      <w:pPr>
        <w:ind w:left="544"/>
        <w:spacing w:after="0" w:line="265" w:lineRule="auto"/>
        <w:rPr>
          <w:sz w:val="20"/>
          <w:szCs w:val="20"/>
          <w:color w:val="auto"/>
        </w:rPr>
      </w:pPr>
      <w:r>
        <w:rPr>
          <w:rFonts w:ascii="Times New Roman" w:cs="Times New Roman" w:eastAsia="Times New Roman" w:hAnsi="Times New Roman"/>
          <w:sz w:val="17"/>
          <w:szCs w:val="17"/>
          <w:color w:val="auto"/>
        </w:rPr>
        <w:t>U.S. GAAP, we accrue the capital gains incentive fee in our consolidated financial statements considering the fair value of investments on that date (i.e., the amount of fee which would be payable under a hypothetical liquidation based on the fair value of investments as of that date), which differs from the calculation of the amount payable in cash by the inclusion of unrealized capital appreciation. See Part I, Item 1. “Business</w:t>
      </w:r>
    </w:p>
    <w:p>
      <w:pPr>
        <w:ind w:left="664" w:hanging="113"/>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Other Agreements-Investment Advisory Agreement” in our most recent Annual Report on Form 10-K.</w:t>
      </w:r>
    </w:p>
    <w:p>
      <w:pPr>
        <w:spacing w:after="0" w:line="233" w:lineRule="exact"/>
        <w:rPr>
          <w:rFonts w:ascii="Times New Roman" w:cs="Times New Roman" w:eastAsia="Times New Roman" w:hAnsi="Times New Roman"/>
          <w:sz w:val="18"/>
          <w:szCs w:val="18"/>
          <w:color w:val="auto"/>
        </w:rPr>
      </w:pPr>
    </w:p>
    <w:p>
      <w:pPr>
        <w:ind w:left="544" w:right="20" w:hanging="544"/>
        <w:spacing w:after="0" w:line="252" w:lineRule="auto"/>
        <w:tabs>
          <w:tab w:leader="none" w:pos="5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had outstanding SBA debentures of $175.0 million; we had $125.0 million outstanding of our 4.75% notes due 2026 (the “January 2026 Notes”); we had $125.0 million outstanding of our 3.50% notes due 2026 (the “November 2026 Notes” and together with the January 2026 Notes, the “Notes”); we had outstanding borrowings of $22.5 million under our senior secured revolving credit agreement with certain lenders party thereto and ING Capital, LLC, as administrative agent (the “Credit Facility”), which has a total commitment of $100.0 million. Interest payments on borrowed funds is based on estimated annual interest and fee expenses on outstanding SBA debentures and the Notes and outstanding borrowings under the Credit Facility as of March 31, 2024 with a weighted average stated interest rate of 4.568% as of that date. We also pay a commitment fee between 0.5% and 2.675% per annum based the unutilized commitment under our Credit Facility. We have estimated the annual interest expense on borrowed funds and caution you that our actual interest expense will depend on prevailing interest rates and our rate of borrowing, which may be substantially higher than the estimate provided in this table.</w:t>
      </w:r>
    </w:p>
    <w:p>
      <w:pPr>
        <w:spacing w:after="0" w:line="6" w:lineRule="exact"/>
        <w:rPr>
          <w:rFonts w:ascii="Times New Roman" w:cs="Times New Roman" w:eastAsia="Times New Roman" w:hAnsi="Times New Roman"/>
          <w:sz w:val="18"/>
          <w:szCs w:val="18"/>
          <w:color w:val="auto"/>
        </w:rPr>
      </w:pPr>
    </w:p>
    <w:p>
      <w:pPr>
        <w:ind w:left="544" w:hanging="544"/>
        <w:spacing w:after="0" w:line="250" w:lineRule="auto"/>
        <w:tabs>
          <w:tab w:leader="none" w:pos="5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represent our estimated annual operating expenses, as a percentage of net assets attributable to common shares estimated for the three months ended March 31, 2024, including professional fees, directors’ fees, insurance costs, expenses of our dividend reinvestment plan, payments under the Administration Agreement based on our allocable portion of overhead and other expenses incurred by our administrator, expenses incurred in a money market fund, and our income tax provision (benefit) relating to deferred and current tax provision (benefit) for U.S. federal income taxes and excise, state and other taxes. See Part I, Item 1. “Business - Management and Other Agreements-Administration Agreement” in our most recent Annual Report on Form 10-K. Other expenses exclude interest payments on borrowed funds and, for issuances of debt securities or preferred stock, interest payments on debt securities and distributions with respect to preferred stock. “Other expenses” are based on actual other expenses for the three months ended March 31, 2024.</w:t>
      </w:r>
    </w:p>
    <w:p>
      <w:pPr>
        <w:spacing w:after="0" w:line="3" w:lineRule="exact"/>
        <w:rPr>
          <w:rFonts w:ascii="Times New Roman" w:cs="Times New Roman" w:eastAsia="Times New Roman" w:hAnsi="Times New Roman"/>
          <w:sz w:val="18"/>
          <w:szCs w:val="18"/>
          <w:color w:val="auto"/>
        </w:rPr>
      </w:pPr>
    </w:p>
    <w:p>
      <w:pPr>
        <w:ind w:left="544" w:right="80" w:hanging="544"/>
        <w:spacing w:after="0" w:line="250" w:lineRule="auto"/>
        <w:tabs>
          <w:tab w:leader="none" w:pos="5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annual expenses, before base management fee waiver” as a percentage of consolidated net assets attributable to common stock are higher than the total annual expenses percentage would be for a company that is not leveraged. We borrow money to leverage our net assets and increase our total assets.</w:t>
      </w:r>
    </w:p>
    <w:p>
      <w:pPr>
        <w:spacing w:after="0" w:line="1" w:lineRule="exact"/>
        <w:rPr>
          <w:rFonts w:ascii="Times New Roman" w:cs="Times New Roman" w:eastAsia="Times New Roman" w:hAnsi="Times New Roman"/>
          <w:sz w:val="18"/>
          <w:szCs w:val="18"/>
          <w:color w:val="auto"/>
        </w:rPr>
      </w:pPr>
    </w:p>
    <w:p>
      <w:pPr>
        <w:ind w:left="544" w:right="240" w:hanging="544"/>
        <w:spacing w:after="0" w:line="260" w:lineRule="auto"/>
        <w:tabs>
          <w:tab w:leader="none" w:pos="5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accepted a voluntary, non-contractual, and unconditional waiver from the Investment Advisor to permanently exclude any investments recorded as secured borrowings as defined</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97" w:right="479" w:bottom="1440" w:gutter="0" w:footer="0" w:header="0"/>
        </w:sectPr>
      </w:pPr>
    </w:p>
    <w:bookmarkStart w:id="28" w:name="page29"/>
    <w:bookmarkEnd w:id="28"/>
    <w:p>
      <w:pPr>
        <w:ind w:left="544"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under GAAP from the base management fee payable as of March 31, 2024. The base management fee waived as of March 31, 2024 was $0.1 million.</w:t>
      </w:r>
    </w:p>
    <w:p>
      <w:pPr>
        <w:ind w:left="544" w:right="100" w:hanging="544"/>
        <w:spacing w:after="0" w:line="253" w:lineRule="auto"/>
        <w:tabs>
          <w:tab w:leader="none" w:pos="5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requires that the “total annual expenses, net of base management fee waiver” percentage be calculated as a percentage of net assets (defined as total assets less total liabilities), rather than the total assets, including assets that have been purchased with borrowed amounts. If the “total annual expenses, net of base management fee waiver” percentage were calculated instead as a percentage of average consolidated total assets, our “total annual expenses, net of base management fee waiver” would be 5.89% of average consolidated total assets.</w:t>
      </w: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us. In calculating the following expense amounts, we have assumed we would have no additional leverage and that our annual operating expenses would remain at the levels set forth in the table above, including giving effect to the management fee waiver described in the table above. Transaction expenses are not included in the following example.</w:t>
      </w:r>
    </w:p>
    <w:p>
      <w:pPr>
        <w:spacing w:after="0" w:line="200"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30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300" w:type="dxa"/>
            <w:vAlign w:val="bottom"/>
          </w:tcPr>
          <w:p>
            <w:pPr>
              <w:spacing w:after="0"/>
              <w:rPr>
                <w:sz w:val="15"/>
                <w:szCs w:val="15"/>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61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investment, assuming a 5%</w:t>
            </w:r>
          </w:p>
        </w:tc>
        <w:tc>
          <w:tcPr>
            <w:tcW w:w="3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4"/>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annual return</w:t>
            </w:r>
          </w:p>
        </w:tc>
        <w:tc>
          <w:tcPr>
            <w:tcW w:w="10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$ 104</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295</w:t>
            </w:r>
          </w:p>
        </w:tc>
        <w:tc>
          <w:tcPr>
            <w:tcW w:w="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465</w:t>
            </w:r>
          </w:p>
        </w:tc>
        <w:tc>
          <w:tcPr>
            <w:tcW w:w="4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811</w:t>
            </w:r>
          </w:p>
        </w:tc>
      </w:tr>
      <w:tr>
        <w:trPr>
          <w:trHeight w:val="198"/>
        </w:trPr>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You would pay the following expenses on a $1,000 investment, assuming a 5.0%</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return resulting entirely from net realized capital gains (all of which is</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subject to our incentive fee on capital gains)</w:t>
            </w: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$ 113</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318</w:t>
            </w:r>
          </w:p>
        </w:tc>
        <w:tc>
          <w:tcPr>
            <w:tcW w:w="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496</w:t>
            </w:r>
          </w:p>
        </w:tc>
        <w:tc>
          <w:tcPr>
            <w:tcW w:w="4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845</w:t>
            </w:r>
          </w:p>
        </w:tc>
      </w:tr>
    </w:tbl>
    <w:p>
      <w:pPr>
        <w:spacing w:after="0" w:line="19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5.0% annual return, our performance will vary and may result in a return greater or less than 5.0%. Assuming a 5.0% annual return, the incentive fee under the Investment Advisory Agreement would either not be payable or have an insignificant impact on the expense amounts shown above. If we achieve sufficient returns on our investments, including through the realization of capital gains, to trigger an incentive fee of a material amount, our expenses, and returns to our investors, would be higher. In addition, while the example assumes reinvestment of all distributions at net asset value, if our board of directors authorizes and we declare a cash dividend, participants in our dividend reinvestment plan who have not otherwise elected to receive cash will receive a number of shares of our common stock, determined by dividing the total dollar amount of the distribution payable to a participant by the market price per share of our common stock at the close of trading on the valuation date for the distribution.</w:t>
      </w:r>
    </w:p>
    <w:p>
      <w:pPr>
        <w:spacing w:after="0" w:line="188"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97" w:right="45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RISK FACTORS</w:t>
      </w:r>
    </w:p>
    <w:p>
      <w:pPr>
        <w:spacing w:after="0" w:line="229" w:lineRule="exact"/>
        <w:rPr>
          <w:sz w:val="20"/>
          <w:szCs w:val="20"/>
          <w:color w:val="auto"/>
        </w:rPr>
      </w:pPr>
    </w:p>
    <w:p>
      <w:pPr>
        <w:ind w:firstLine="4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Investing in our securities involves a number of significant risks. In addition to the other information contained in this prospectus and any accompanying prospectus supplement, you should consider carefully the following information before making an investment in our securities. Before deciding whether to invest in our securities, you should carefully consider the risks and uncertainties described in the section titled “Risk Factors” in the applicable prospectus supplement and any related free writing prospectus, and discussed in the section titled “Risk Factors” in Part I, Item 1A of our most recent </w:t>
      </w:r>
      <w:hyperlink r:id="rId3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any subsequent filings we have made with the SEC that are incorporated by reference into this prospectus or any prospectus supplement, together with other information in this prospectus, the documents incorporated by reference in this prospectus or any prospectus supplement, and any free writing prospectus that we may authorize for use in connection with this offering. The risks and uncertainties described in these documents could materially adversely affect our business, financial condition and results of operations. The risks described in these documents are not the only ones we face. Additional risks and uncertainties that we are unaware of, or that we currently believe are not material, also may become important factors that could adversely affect our business.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net asset value and the trading price of our securities to decline, resulting in a loss of all or part of your investment. Please also read carefully the section titled “Special Note Regarding Forward-Looking Statements” in this prospectus.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93" w:right="45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“should,” “targets,” “projects” and variations of these words and similar expressions are intended to identify forward-looking statements. The forward-looking statements contained in this report involve risks and uncertainties, including statements as to:</w:t>
      </w:r>
    </w:p>
    <w:p>
      <w:pPr>
        <w:spacing w:after="0" w:line="89"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financial and lending markets;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 including our and their ability to achieve our respective objectives;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its impacts on the ability of our portfolio companies to operate and the investment opportunities available to us;</w:t>
      </w:r>
    </w:p>
    <w:p>
      <w:pPr>
        <w:spacing w:after="0" w:line="130"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conditions, including the ongoing conflict between Ukraine and Russia, and the ongoing war in the Middle East, and U.S. and China relations, and its impact on financial market volatility, global economic markets, and various sectors, industries and markets for commodities globally;</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 and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advisor to identify suitable investments for us and to monitor and administer our investments;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advisor to attract and retain highly talented professionals;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treatment;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BDC, and a RIC and Fund III to operate as an SBIC;</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form and amount of any dividend distributions;</w:t>
      </w:r>
    </w:p>
    <w:p>
      <w:pPr>
        <w:spacing w:after="0" w:line="130" w:lineRule="exact"/>
        <w:rPr>
          <w:rFonts w:ascii="Times New Roman" w:cs="Times New Roman" w:eastAsia="Times New Roman" w:hAnsi="Times New Roman"/>
          <w:sz w:val="18"/>
          <w:szCs w:val="18"/>
          <w:color w:val="auto"/>
        </w:rPr>
      </w:pPr>
    </w:p>
    <w:p>
      <w:pPr>
        <w:ind w:left="960" w:right="38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volatility, including the replacement of LIBOR with alternate rates and rising interest rates, and the elevated level of inflation on our business and portfolio companies;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any investments in portfolio companies, particularly those having no liquid trading market;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unrealized losses.</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81" w:lineRule="exact"/>
        <w:rPr>
          <w:sz w:val="20"/>
          <w:szCs w:val="20"/>
          <w:color w:val="auto"/>
        </w:rPr>
      </w:pPr>
    </w:p>
    <w:p>
      <w:pPr>
        <w:ind w:left="960" w:right="400" w:hanging="424"/>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and significant disruptions to our portfolio companies, including supply chain disruptions and labor shortages, could impair our portfolio companies’ ability to continue to operate, which could lead to the loss of value in of some or all of our investments in such portfolio companies;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93" w:right="459" w:bottom="1440" w:gutter="0" w:footer="0" w:header="0"/>
        </w:sectPr>
      </w:pPr>
    </w:p>
    <w:bookmarkStart w:id="31" w:name="page32"/>
    <w:bookmarkEnd w:id="31"/>
    <w:p>
      <w:pPr>
        <w:ind w:left="960" w:hanging="424"/>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 contraction of available credit and/or an inability to access the equity markets could impair our lending and investment activities;</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including rising interest rates, could adversely affect our results, particularly because we use leverage as part of our investment strategy;</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alternative reference rates that have replaced LIBOR may not yield the same or similar economic results as LIBOR over the life of such transaction;</w:t>
      </w:r>
    </w:p>
    <w:p>
      <w:pPr>
        <w:spacing w:after="0" w:line="67"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elevated level of inflation could adversely affect our business, results of operations and financial condition of our portfolio companies, which may, in turn, impact the valuation of such portfolio companies; and,</w:t>
      </w:r>
    </w:p>
    <w:p>
      <w:pPr>
        <w:spacing w:after="0" w:line="67" w:lineRule="exact"/>
        <w:rPr>
          <w:rFonts w:ascii="Times New Roman" w:cs="Times New Roman" w:eastAsia="Times New Roman" w:hAnsi="Times New Roman"/>
          <w:sz w:val="18"/>
          <w:szCs w:val="18"/>
          <w:color w:val="auto"/>
        </w:rPr>
      </w:pPr>
    </w:p>
    <w:p>
      <w:pPr>
        <w:ind w:left="960" w:right="200" w:hanging="424"/>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titled “Risk Factors” in this prospectus and in Part I, Item 1A of our most recent Annual Report on Form 10-K, in Part II, Item 1A of our most recent Quarterly Report on Form 10-Q, and those discussed in other documents we file with the SEC.</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 These risks and uncertainties include those described or identified in “Risk Factors” in Part I, Item 1A of our most recent Annual Report on Form 10-K, in Part II, Item 1A of our most recent Quarterly Report on Form 10-Q, and elsewhere in this prospectus, any applicable prospectus supplement or free writing prospectus, including the documents we incorporate by reference. You should not place undue reliance on these forward-looking statements, which are based on information available to us as of the applicable date of this prospectus, any applicable prospectus supplement or free writing prospectus, including any documents incorporated by reference, and while we believe such information forms, or will form,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on these statements. Except as otherwise required by federal securities laws, we do not undertake to publicly update or revise any forward-looking statements, whether as a result of new information, future events or otherwise. These forward-looking statements do not meet the safe harbor for forward-looking statements pursuant to Section 27A of the Securities Act or Section 21E of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97" w:right="45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USE OF PROCEEDS</w:t>
      </w:r>
    </w:p>
    <w:p>
      <w:pPr>
        <w:spacing w:after="0" w:line="229" w:lineRule="exact"/>
        <w:rPr>
          <w:sz w:val="20"/>
          <w:szCs w:val="20"/>
          <w:color w:val="auto"/>
        </w:rPr>
      </w:pPr>
    </w:p>
    <w:p>
      <w:pPr>
        <w:ind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in any prospectus supplement accompanying this prospectus, we intend to use the net proceeds from the sale of our securities to invest in lower middle-market companies in accordance with our investment objective and strategies, to repay the outstanding indebtedness under our Credit Facility and/or our unsecured debt, if any, and for working capital and general corporate purposes. We also will pay operating expenses, including management, incentive and administrative fees, and may pay other expenses, from the net proceeds of any offering. We plan to raise new equity when we have attractive investment opportunities available. Pending such use, we will invest the net proceeds of any offering primarily in short-term securities consistent with our BDC election and our election to be taxed as a RIC. See “Business — Regulation — Temporary Investments” in Part I, Item 1 in our most recent </w:t>
      </w:r>
      <w:hyperlink r:id="rId3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additional information about temporary investments we may make while waiting to make longer-term investments in pursuit of our investment objective.</w:t>
      </w:r>
    </w:p>
    <w:p>
      <w:pPr>
        <w:spacing w:after="0" w:line="192" w:lineRule="exact"/>
        <w:rPr>
          <w:sz w:val="20"/>
          <w:szCs w:val="20"/>
          <w:color w:val="auto"/>
        </w:rPr>
      </w:pPr>
    </w:p>
    <w:p>
      <w:pPr>
        <w:ind w:right="80" w:firstLine="4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Pending such use, we will invest the net proceeds of this offering primarily in cash, cash equivalents, U.S. Government securities and other high-quality debt instruments that mature in one year or less, or “temporary investments,” as appropriate. These securities may have lower yields than our other investments and accordingly result in lower distributions, if any, by us during such period. See “Business — Regulation — Temporary Investments” in Part I, Item 1 in our most recent </w:t>
      </w:r>
      <w:hyperlink r:id="rId31">
        <w:r>
          <w:rPr>
            <w:rFonts w:ascii="Times New Roman" w:cs="Times New Roman" w:eastAsia="Times New Roman" w:hAnsi="Times New Roman"/>
            <w:sz w:val="18"/>
            <w:szCs w:val="18"/>
            <w:u w:val="single" w:color="auto"/>
            <w:color w:val="0000EE"/>
          </w:rPr>
          <w:t>Annual Report on Form 10-K</w:t>
        </w:r>
      </w:hyperlink>
      <w:r>
        <w:rPr>
          <w:rFonts w:ascii="Times New Roman" w:cs="Times New Roman" w:eastAsia="Times New Roman" w:hAnsi="Times New Roman"/>
          <w:sz w:val="18"/>
          <w:szCs w:val="18"/>
          <w:color w:val="auto"/>
        </w:rPr>
        <w:t>. Our ability to achieve our investment objective may be limited to the extent that the net proceeds from the offering, pending full investment, are held in interest bearing deposits or other short-term instruments that produce income at a rate less than our cost of capital.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93" w:right="459" w:bottom="1440" w:gutter="0" w:footer="0" w:header="0"/>
        </w:sectPr>
      </w:pPr>
    </w:p>
    <w:bookmarkStart w:id="33" w:name="page34"/>
    <w:bookmarkEnd w:id="33"/>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PRICE RANGE OF COMMON STOCK</w:t>
      </w:r>
    </w:p>
    <w:p>
      <w:pPr>
        <w:spacing w:after="0" w:line="229" w:lineRule="exact"/>
        <w:rPr>
          <w:sz w:val="20"/>
          <w:szCs w:val="20"/>
          <w:color w:val="auto"/>
        </w:rPr>
      </w:pPr>
    </w:p>
    <w:p>
      <w:pPr>
        <w:ind w:left="4" w:right="240" w:firstLine="4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“Item 5. Market for Registrant’s Common Equity, Related Stockholder Matters and Issuer Purchases of Equity Securities — Issuer Purchases of Equity Securities” in Part II of our most recent </w:t>
      </w:r>
      <w:hyperlink r:id="rId3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by reference herein.</w:t>
      </w:r>
    </w:p>
    <w:p>
      <w:pPr>
        <w:spacing w:after="0" w:line="162"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began trading on June 21, 2011 on the NASDAQ Global Market under the symbol “FDUS.” Effective January 3, 2012, our common stock was included in the Nasdaq Global Select Market. The last reported price for our common stock on May 3, 2024 was $19.98 per share. As of May 3, 2024, we had 20 stockholders of record.</w:t>
      </w:r>
    </w:p>
    <w:p>
      <w:pPr>
        <w:spacing w:after="0" w:line="17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lists the high and low closing sale price for our common stock, and the closing sale price as a percentage of net asset value, or NAV, on our common stock for each fiscal quarter during the last two most recently completed fiscal years and each full fiscal quarter since the beginning of the current fiscal year.</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High Closing</w:t>
            </w:r>
          </w:p>
        </w:tc>
        <w:tc>
          <w:tcPr>
            <w:tcW w:w="13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Low Closing</w:t>
            </w:r>
          </w:p>
        </w:tc>
        <w:tc>
          <w:tcPr>
            <w:tcW w:w="20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Premium / (Discount)</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 / (Discount) of</w:t>
            </w:r>
          </w:p>
        </w:tc>
        <w:tc>
          <w:tcPr>
            <w:tcW w:w="0" w:type="dxa"/>
            <w:vAlign w:val="bottom"/>
          </w:tcPr>
          <w:p>
            <w:pPr>
              <w:spacing w:after="0"/>
              <w:rPr>
                <w:sz w:val="1"/>
                <w:szCs w:val="1"/>
                <w:color w:val="auto"/>
              </w:rPr>
            </w:pPr>
          </w:p>
        </w:tc>
      </w:tr>
      <w:tr>
        <w:trPr>
          <w:trHeight w:val="148"/>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8"/>
                <w:szCs w:val="8"/>
                <w:b w:val="1"/>
                <w:bCs w:val="1"/>
                <w:color w:val="auto"/>
              </w:rPr>
              <w:t>(1)</w:t>
            </w:r>
          </w:p>
        </w:tc>
        <w:tc>
          <w:tcPr>
            <w:tcW w:w="14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6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of High Sales Price to</w:t>
            </w:r>
          </w:p>
        </w:tc>
        <w:tc>
          <w:tcPr>
            <w:tcW w:w="2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Low Sales Price to</w:t>
            </w:r>
          </w:p>
        </w:tc>
        <w:tc>
          <w:tcPr>
            <w:tcW w:w="0" w:type="dxa"/>
            <w:vAlign w:val="bottom"/>
          </w:tcPr>
          <w:p>
            <w:pPr>
              <w:spacing w:after="0"/>
              <w:rPr>
                <w:sz w:val="1"/>
                <w:szCs w:val="1"/>
                <w:color w:val="auto"/>
              </w:rPr>
            </w:pPr>
          </w:p>
        </w:tc>
      </w:tr>
      <w:tr>
        <w:trPr>
          <w:trHeight w:val="173"/>
        </w:trPr>
        <w:tc>
          <w:tcPr>
            <w:tcW w:w="292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40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3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20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8"/>
                <w:szCs w:val="8"/>
                <w:b w:val="1"/>
                <w:bCs w:val="1"/>
                <w:color w:val="auto"/>
              </w:rPr>
              <w:t>(2)</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NAV</w:t>
            </w:r>
            <w:r>
              <w:rPr>
                <w:rFonts w:ascii="Times New Roman" w:cs="Times New Roman" w:eastAsia="Times New Roman" w:hAnsi="Times New Roman"/>
                <w:sz w:val="8"/>
                <w:szCs w:val="8"/>
                <w:b w:val="1"/>
                <w:bCs w:val="1"/>
                <w:color w:val="auto"/>
              </w:rPr>
              <w:t>(2)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$19.36</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20.04</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18.79</w:t>
            </w:r>
          </w:p>
        </w:tc>
        <w:tc>
          <w:tcPr>
            <w:tcW w:w="20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3.5%</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(through May 3, 2024)</w:t>
            </w: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20.47</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19.44</w:t>
            </w:r>
          </w:p>
        </w:tc>
        <w:tc>
          <w:tcPr>
            <w:tcW w:w="20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2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$19.39</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20.90</w:t>
            </w:r>
          </w:p>
        </w:tc>
        <w:tc>
          <w:tcPr>
            <w:tcW w:w="5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18.29</w:t>
            </w:r>
          </w:p>
        </w:tc>
        <w:tc>
          <w:tcPr>
            <w:tcW w:w="20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7.8%</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19.13</w:t>
            </w:r>
          </w:p>
        </w:tc>
        <w:tc>
          <w:tcPr>
            <w:tcW w:w="540" w:type="dxa"/>
            <w:vAlign w:val="bottom"/>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20.08</w:t>
            </w:r>
          </w:p>
        </w:tc>
        <w:tc>
          <w:tcPr>
            <w:tcW w:w="52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18.10</w:t>
            </w:r>
          </w:p>
        </w:tc>
        <w:tc>
          <w:tcPr>
            <w:tcW w:w="20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5.0</w:t>
            </w:r>
          </w:p>
        </w:tc>
        <w:tc>
          <w:tcPr>
            <w:tcW w:w="2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19.28</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20.98</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18.80</w:t>
            </w:r>
          </w:p>
        </w:tc>
        <w:tc>
          <w:tcPr>
            <w:tcW w:w="20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8.8</w:t>
            </w:r>
          </w:p>
        </w:tc>
        <w:tc>
          <w:tcPr>
            <w:tcW w:w="2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19.37</w:t>
            </w:r>
          </w:p>
        </w:tc>
        <w:tc>
          <w:tcPr>
            <w:tcW w:w="54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20.13</w:t>
            </w:r>
          </w:p>
        </w:tc>
        <w:tc>
          <w:tcPr>
            <w:tcW w:w="52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17.69</w:t>
            </w:r>
          </w:p>
        </w:tc>
        <w:tc>
          <w:tcPr>
            <w:tcW w:w="20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3.9</w:t>
            </w:r>
          </w:p>
        </w:tc>
        <w:tc>
          <w:tcPr>
            <w:tcW w:w="2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90"/>
        </w:trPr>
        <w:tc>
          <w:tcPr>
            <w:tcW w:w="29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$19.91</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20.52</w:t>
            </w:r>
          </w:p>
        </w:tc>
        <w:tc>
          <w:tcPr>
            <w:tcW w:w="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17.02</w:t>
            </w:r>
          </w:p>
        </w:tc>
        <w:tc>
          <w:tcPr>
            <w:tcW w:w="20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3.1%</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19.80</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20.94</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16.61</w:t>
            </w:r>
          </w:p>
        </w:tc>
        <w:tc>
          <w:tcPr>
            <w:tcW w:w="20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5.8</w:t>
            </w:r>
          </w:p>
        </w:tc>
        <w:tc>
          <w:tcPr>
            <w:tcW w:w="2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2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19.41</w:t>
            </w:r>
          </w:p>
        </w:tc>
        <w:tc>
          <w:tcPr>
            <w:tcW w:w="540" w:type="dxa"/>
            <w:vAlign w:val="bottom"/>
          </w:tcPr>
          <w:p>
            <w:pPr>
              <w:spacing w:after="0"/>
              <w:rPr>
                <w:sz w:val="18"/>
                <w:szCs w:val="18"/>
                <w:color w:val="auto"/>
              </w:rPr>
            </w:pPr>
          </w:p>
        </w:tc>
        <w:tc>
          <w:tcPr>
            <w:tcW w:w="8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20.62</w:t>
            </w:r>
          </w:p>
        </w:tc>
        <w:tc>
          <w:tcPr>
            <w:tcW w:w="520" w:type="dxa"/>
            <w:vAlign w:val="bottom"/>
          </w:tcPr>
          <w:p>
            <w:pPr>
              <w:spacing w:after="0"/>
              <w:rPr>
                <w:sz w:val="18"/>
                <w:szCs w:val="18"/>
                <w:color w:val="auto"/>
              </w:rPr>
            </w:pPr>
          </w:p>
        </w:tc>
        <w:tc>
          <w:tcPr>
            <w:tcW w:w="8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16.92</w:t>
            </w:r>
          </w:p>
        </w:tc>
        <w:tc>
          <w:tcPr>
            <w:tcW w:w="2060" w:type="dxa"/>
            <w:vAlign w:val="bottom"/>
          </w:tcPr>
          <w:p>
            <w:pPr>
              <w:jc w:val="right"/>
              <w:ind w:right="354"/>
              <w:spacing w:after="0"/>
              <w:rPr>
                <w:sz w:val="20"/>
                <w:szCs w:val="20"/>
                <w:color w:val="auto"/>
              </w:rPr>
            </w:pPr>
            <w:r>
              <w:rPr>
                <w:rFonts w:ascii="Times New Roman" w:cs="Times New Roman" w:eastAsia="Times New Roman" w:hAnsi="Times New Roman"/>
                <w:sz w:val="18"/>
                <w:szCs w:val="18"/>
                <w:color w:val="auto"/>
              </w:rPr>
              <w:t>6.2</w:t>
            </w:r>
          </w:p>
        </w:tc>
        <w:tc>
          <w:tcPr>
            <w:tcW w:w="20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2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19.43</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20.69</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16.88</w:t>
            </w:r>
          </w:p>
        </w:tc>
        <w:tc>
          <w:tcPr>
            <w:tcW w:w="206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8"/>
                <w:szCs w:val="18"/>
                <w:color w:val="auto"/>
              </w:rPr>
              <w:t>6.5</w:t>
            </w:r>
          </w:p>
        </w:tc>
        <w:tc>
          <w:tcPr>
            <w:tcW w:w="20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20" w:hanging="424"/>
        <w:spacing w:after="0" w:line="261"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sales prices. The net asset values shown are based on outstanding shares at the end of each period.</w:t>
      </w:r>
    </w:p>
    <w:p>
      <w:pPr>
        <w:ind w:left="424" w:right="220"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difference between the respective high or low closing sales price and the quarter end net asset value divided by the quarter end net asset value.</w:t>
      </w:r>
    </w:p>
    <w:p>
      <w:pPr>
        <w:spacing w:after="0" w:line="1"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 has not yet been determined.</w:t>
      </w:r>
    </w:p>
    <w:p>
      <w:pPr>
        <w:spacing w:after="0" w:line="207"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Shares of BDCs may trade at a market price that is less than the net asset value of those shares. The possibilities that our shares of common stock will trade at a discount from net asset value or at premiums that are unsustainable over the long term are separate and distinct from the risk that our net asset value will decrease. It is not possible to predict whether any common stock offered pursuant to this prospectus supplement will trade at, above, or below net asset value. As of May 3, 2024, our shares of common stock traded at a premium equal to approximately 3.2% of the net assets attributable to those shares based upon our $19.36 net asset value per share as of March 31, 2024. It is not possible to predict whether the shares offered hereby will trade at, above, or below net asset value.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93" w:right="4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FINANCIAL HIGHLIGHTS</w:t>
      </w:r>
    </w:p>
    <w:p>
      <w:pPr>
        <w:spacing w:after="0" w:line="229" w:lineRule="exact"/>
        <w:rPr>
          <w:sz w:val="20"/>
          <w:szCs w:val="20"/>
          <w:color w:val="auto"/>
        </w:rPr>
      </w:pPr>
    </w:p>
    <w:p>
      <w:pPr>
        <w:ind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highlights is intended to help a prospective investor understand the Company’s financial performance for the periods presented. Information about our financial highlights for the years ended December 31, 2023 to 2014 is located in the notes to our consolidated financial statements under the caption “Note 10. Financial Highlights” in our most recent </w:t>
      </w:r>
      <w:hyperlink r:id="rId31">
        <w:r>
          <w:rPr>
            <w:rFonts w:ascii="Times New Roman" w:cs="Times New Roman" w:eastAsia="Times New Roman" w:hAnsi="Times New Roman"/>
            <w:sz w:val="18"/>
            <w:szCs w:val="18"/>
            <w:u w:val="single" w:color="auto"/>
            <w:color w:val="0000EE"/>
          </w:rPr>
          <w:t>Annual Report on Form 10-K</w:t>
        </w:r>
      </w:hyperlink>
      <w:r>
        <w:rPr>
          <w:rFonts w:ascii="Times New Roman" w:cs="Times New Roman" w:eastAsia="Times New Roman" w:hAnsi="Times New Roman"/>
          <w:sz w:val="18"/>
          <w:szCs w:val="18"/>
          <w:color w:val="auto"/>
        </w:rPr>
        <w:t xml:space="preserve">, which been audited by our independent registered public accounting firm whose reports thereon are incorporated by reference in this prospectus, and is incorporated herein by reference. The information for our financial highlights for the three months ended March 31, 2024 and 2023 is located in the notes to our consolidated financial statements under the caption “Note 10. Financial Highlights” in our most recent </w:t>
      </w:r>
      <w:hyperlink r:id="rId63">
        <w:r>
          <w:rPr>
            <w:rFonts w:ascii="Times New Roman" w:cs="Times New Roman" w:eastAsia="Times New Roman" w:hAnsi="Times New Roman"/>
            <w:sz w:val="18"/>
            <w:szCs w:val="18"/>
            <w:u w:val="single" w:color="auto"/>
            <w:color w:val="0000EE"/>
          </w:rPr>
          <w:t>Quarterly Report on Form 10-Q</w:t>
        </w:r>
      </w:hyperlink>
      <w:r>
        <w:rPr>
          <w:rFonts w:ascii="Times New Roman" w:cs="Times New Roman" w:eastAsia="Times New Roman" w:hAnsi="Times New Roman"/>
          <w:sz w:val="18"/>
          <w:szCs w:val="18"/>
          <w:color w:val="auto"/>
        </w:rPr>
        <w:t>, and is incorporated herein by reference. Interim results at and for the three months ended March 31, 2024 are not necessarily indicative of the results that may be expected for the year ending December 31, 2024.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93" w:right="45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MANAGEMENT’S DISCUSSION AND ANALYSIS OF</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7" w:lineRule="exact"/>
        <w:rPr>
          <w:sz w:val="20"/>
          <w:szCs w:val="20"/>
          <w:color w:val="auto"/>
        </w:rPr>
      </w:pPr>
    </w:p>
    <w:p>
      <w:pPr>
        <w:ind w:firstLine="4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included under the caption “Management’s Discussion and Analysis of Financial Condition and Results of Operations” in Part II, Item 7 of our most recent </w:t>
      </w:r>
      <w:hyperlink r:id="rId3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Part I, Item 2 of our most recent </w:t>
      </w:r>
      <w:hyperlink r:id="rId63">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herein by reference.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93" w:right="499" w:bottom="1440" w:gutter="0" w:footer="0" w:header="0"/>
        </w:sectPr>
      </w:pPr>
    </w:p>
    <w:bookmarkStart w:id="36" w:name="page37"/>
    <w:bookmarkEnd w:id="3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SENIOR SECURITIES</w:t>
      </w:r>
    </w:p>
    <w:p>
      <w:pPr>
        <w:spacing w:after="0" w:line="229" w:lineRule="exact"/>
        <w:rPr>
          <w:sz w:val="20"/>
          <w:szCs w:val="20"/>
          <w:color w:val="auto"/>
        </w:rPr>
      </w:pPr>
    </w:p>
    <w:p>
      <w:pPr>
        <w:ind w:left="4" w:right="40" w:firstLine="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our senior securities as of the fiscal years ended December 31, 2023 to 2014 is located in the notes to our consolidated financial statements under the caption “Note 6. Debt” in our most recent </w:t>
      </w:r>
      <w:hyperlink r:id="rId31">
        <w:r>
          <w:rPr>
            <w:rFonts w:ascii="Times New Roman" w:cs="Times New Roman" w:eastAsia="Times New Roman" w:hAnsi="Times New Roman"/>
            <w:sz w:val="18"/>
            <w:szCs w:val="18"/>
            <w:u w:val="single" w:color="auto"/>
            <w:color w:val="0000EE"/>
          </w:rPr>
          <w:t>Annual Report on Form 10-K</w:t>
        </w:r>
      </w:hyperlink>
      <w:r>
        <w:rPr>
          <w:rFonts w:ascii="Times New Roman" w:cs="Times New Roman" w:eastAsia="Times New Roman" w:hAnsi="Times New Roman"/>
          <w:sz w:val="18"/>
          <w:szCs w:val="18"/>
          <w:color w:val="auto"/>
        </w:rPr>
        <w:t>, and is incorporated herein by reference. The report of our independent registered public accounting firm on the senior securities table is included in our most recent Annual Report on Form 10-K, filed on February 29, 2024, and is incorporated by reference into the registration statement of which this prospectus is a part.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March 31, 2024 (unaudited).</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60" w:type="dxa"/>
            <w:vAlign w:val="bottom"/>
          </w:tcPr>
          <w:p>
            <w:pPr>
              <w:jc w:val="center"/>
              <w:ind w:right="437"/>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540" w:type="dxa"/>
            <w:vAlign w:val="bottom"/>
          </w:tcPr>
          <w:p>
            <w:pPr>
              <w:spacing w:after="0"/>
              <w:rPr>
                <w:sz w:val="13"/>
                <w:szCs w:val="13"/>
                <w:color w:val="auto"/>
              </w:rPr>
            </w:pPr>
          </w:p>
        </w:tc>
        <w:tc>
          <w:tcPr>
            <w:tcW w:w="1200" w:type="dxa"/>
            <w:vAlign w:val="bottom"/>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1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3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2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3060" w:type="dxa"/>
            <w:vAlign w:val="bottom"/>
            <w:gridSpan w:val="2"/>
          </w:tcPr>
          <w:p>
            <w:pPr>
              <w:ind w:left="11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Exclusive of</w:t>
            </w:r>
          </w:p>
        </w:tc>
        <w:tc>
          <w:tcPr>
            <w:tcW w:w="174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b w:val="1"/>
                <w:bCs w:val="1"/>
                <w:color w:val="auto"/>
              </w:rPr>
              <w:t>Coverage per</w:t>
            </w:r>
          </w:p>
        </w:tc>
        <w:tc>
          <w:tcPr>
            <w:tcW w:w="2120" w:type="dxa"/>
            <w:vAlign w:val="bottom"/>
          </w:tcPr>
          <w:p>
            <w:pPr>
              <w:jc w:val="right"/>
              <w:ind w:right="617"/>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2780" w:type="dxa"/>
            <w:vAlign w:val="bottom"/>
            <w:vMerge w:val="continue"/>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jc w:val="center"/>
              <w:ind w:right="437"/>
              <w:spacing w:after="0" w:line="149" w:lineRule="exact"/>
              <w:rPr>
                <w:sz w:val="20"/>
                <w:szCs w:val="20"/>
                <w:color w:val="auto"/>
              </w:rPr>
            </w:pPr>
            <w:r>
              <w:rPr>
                <w:rFonts w:ascii="Times New Roman" w:cs="Times New Roman" w:eastAsia="Times New Roman" w:hAnsi="Times New Roman"/>
                <w:sz w:val="14"/>
                <w:szCs w:val="14"/>
                <w:b w:val="1"/>
                <w:bCs w:val="1"/>
                <w:color w:val="auto"/>
              </w:rPr>
              <w:t>Treasury Securities</w:t>
            </w:r>
            <w:r>
              <w:rPr>
                <w:rFonts w:ascii="Times New Roman" w:cs="Times New Roman" w:eastAsia="Times New Roman" w:hAnsi="Times New Roman"/>
                <w:sz w:val="8"/>
                <w:szCs w:val="8"/>
                <w:b w:val="1"/>
                <w:bCs w:val="1"/>
                <w:color w:val="auto"/>
              </w:rPr>
              <w:t>(1)</w:t>
            </w:r>
          </w:p>
        </w:tc>
        <w:tc>
          <w:tcPr>
            <w:tcW w:w="540" w:type="dxa"/>
            <w:vAlign w:val="bottom"/>
          </w:tcPr>
          <w:p>
            <w:pPr>
              <w:spacing w:after="0"/>
              <w:rPr>
                <w:sz w:val="12"/>
                <w:szCs w:val="12"/>
                <w:color w:val="auto"/>
              </w:rPr>
            </w:pPr>
          </w:p>
        </w:tc>
        <w:tc>
          <w:tcPr>
            <w:tcW w:w="1200" w:type="dxa"/>
            <w:vAlign w:val="bottom"/>
          </w:tcPr>
          <w:p>
            <w:pPr>
              <w:jc w:val="right"/>
              <w:ind w:right="601"/>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Unit</w:t>
            </w:r>
            <w:r>
              <w:rPr>
                <w:rFonts w:ascii="Times New Roman" w:cs="Times New Roman" w:eastAsia="Times New Roman" w:hAnsi="Times New Roman"/>
                <w:sz w:val="7"/>
                <w:szCs w:val="7"/>
                <w:b w:val="1"/>
                <w:bCs w:val="1"/>
                <w:color w:val="auto"/>
              </w:rPr>
              <w:t>(2)(5)</w:t>
            </w:r>
          </w:p>
        </w:tc>
        <w:tc>
          <w:tcPr>
            <w:tcW w:w="2120" w:type="dxa"/>
            <w:vAlign w:val="bottom"/>
          </w:tcPr>
          <w:p>
            <w:pPr>
              <w:jc w:val="right"/>
              <w:ind w:right="337"/>
              <w:spacing w:after="0" w:line="148" w:lineRule="exact"/>
              <w:rPr>
                <w:sz w:val="20"/>
                <w:szCs w:val="20"/>
                <w:color w:val="auto"/>
              </w:rPr>
            </w:pPr>
            <w:r>
              <w:rPr>
                <w:rFonts w:ascii="Times New Roman" w:cs="Times New Roman" w:eastAsia="Times New Roman" w:hAnsi="Times New Roman"/>
                <w:sz w:val="14"/>
                <w:szCs w:val="14"/>
                <w:b w:val="1"/>
                <w:bCs w:val="1"/>
                <w:color w:val="auto"/>
              </w:rPr>
              <w:t>Preference per Unit</w:t>
            </w:r>
            <w:r>
              <w:rPr>
                <w:rFonts w:ascii="Times New Roman" w:cs="Times New Roman" w:eastAsia="Times New Roman" w:hAnsi="Times New Roman"/>
                <w:sz w:val="16"/>
                <w:szCs w:val="16"/>
                <w:b w:val="1"/>
                <w:bCs w:val="1"/>
                <w:color w:val="auto"/>
                <w:vertAlign w:val="superscript"/>
              </w:rPr>
              <w:t>(3)</w:t>
            </w:r>
          </w:p>
        </w:tc>
        <w:tc>
          <w:tcPr>
            <w:tcW w:w="1320" w:type="dxa"/>
            <w:vAlign w:val="bottom"/>
          </w:tcPr>
          <w:p>
            <w:pPr>
              <w:jc w:val="right"/>
              <w:ind w:right="97"/>
              <w:spacing w:after="0" w:line="148"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6"/>
                <w:szCs w:val="16"/>
                <w:b w:val="1"/>
                <w:bCs w:val="1"/>
                <w:color w:val="auto"/>
                <w:vertAlign w:val="superscript"/>
              </w:rPr>
              <w:t>(4)</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60" w:type="dxa"/>
            <w:vAlign w:val="bottom"/>
          </w:tcPr>
          <w:p>
            <w:pPr>
              <w:jc w:val="center"/>
              <w:ind w:right="437"/>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SBA debentures</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w:t>
            </w:r>
          </w:p>
        </w:tc>
        <w:tc>
          <w:tcPr>
            <w:tcW w:w="120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175,000</w:t>
            </w:r>
          </w:p>
        </w:tc>
        <w:tc>
          <w:tcPr>
            <w:tcW w:w="540" w:type="dxa"/>
            <w:vAlign w:val="bottom"/>
          </w:tcPr>
          <w:p>
            <w:pPr>
              <w:spacing w:after="0"/>
              <w:rPr>
                <w:sz w:val="20"/>
                <w:szCs w:val="20"/>
                <w:color w:val="auto"/>
              </w:rPr>
            </w:pPr>
          </w:p>
        </w:tc>
        <w:tc>
          <w:tcPr>
            <w:tcW w:w="1200" w:type="dxa"/>
            <w:vAlign w:val="bottom"/>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90"/>
        </w:trPr>
        <w:tc>
          <w:tcPr>
            <w:tcW w:w="2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w:t>
            </w:r>
          </w:p>
        </w:tc>
        <w:tc>
          <w:tcPr>
            <w:tcW w:w="120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22,500</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21"/>
              <w:spacing w:after="0"/>
              <w:rPr>
                <w:sz w:val="20"/>
                <w:szCs w:val="20"/>
                <w:color w:val="auto"/>
              </w:rPr>
            </w:pPr>
            <w:r>
              <w:rPr>
                <w:rFonts w:ascii="Times New Roman" w:cs="Times New Roman" w:eastAsia="Times New Roman" w:hAnsi="Times New Roman"/>
                <w:sz w:val="18"/>
                <w:szCs w:val="18"/>
                <w:color w:val="auto"/>
              </w:rPr>
              <w:t>3,111</w:t>
            </w:r>
          </w:p>
        </w:tc>
        <w:tc>
          <w:tcPr>
            <w:tcW w:w="21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90"/>
        </w:trPr>
        <w:tc>
          <w:tcPr>
            <w:tcW w:w="2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January 2026 Notes</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w:t>
            </w:r>
          </w:p>
        </w:tc>
        <w:tc>
          <w:tcPr>
            <w:tcW w:w="120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125,000</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21"/>
              <w:spacing w:after="0"/>
              <w:rPr>
                <w:sz w:val="20"/>
                <w:szCs w:val="20"/>
                <w:color w:val="auto"/>
              </w:rPr>
            </w:pPr>
            <w:r>
              <w:rPr>
                <w:rFonts w:ascii="Times New Roman" w:cs="Times New Roman" w:eastAsia="Times New Roman" w:hAnsi="Times New Roman"/>
                <w:sz w:val="18"/>
                <w:szCs w:val="18"/>
                <w:color w:val="auto"/>
              </w:rPr>
              <w:t>3,111</w:t>
            </w:r>
          </w:p>
        </w:tc>
        <w:tc>
          <w:tcPr>
            <w:tcW w:w="21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90"/>
        </w:trPr>
        <w:tc>
          <w:tcPr>
            <w:tcW w:w="2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November 2026 Notes</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w:t>
            </w:r>
          </w:p>
        </w:tc>
        <w:tc>
          <w:tcPr>
            <w:tcW w:w="120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125,000</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21"/>
              <w:spacing w:after="0"/>
              <w:rPr>
                <w:sz w:val="20"/>
                <w:szCs w:val="20"/>
                <w:color w:val="auto"/>
              </w:rPr>
            </w:pPr>
            <w:r>
              <w:rPr>
                <w:rFonts w:ascii="Times New Roman" w:cs="Times New Roman" w:eastAsia="Times New Roman" w:hAnsi="Times New Roman"/>
                <w:sz w:val="18"/>
                <w:szCs w:val="18"/>
                <w:color w:val="auto"/>
              </w:rPr>
              <w:t>3,111</w:t>
            </w:r>
          </w:p>
        </w:tc>
        <w:tc>
          <w:tcPr>
            <w:tcW w:w="21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90"/>
        </w:trPr>
        <w:tc>
          <w:tcPr>
            <w:tcW w:w="2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Secured Borrowings</w:t>
            </w:r>
          </w:p>
        </w:tc>
        <w:tc>
          <w:tcPr>
            <w:tcW w:w="1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2024</w:t>
            </w:r>
          </w:p>
        </w:tc>
        <w:tc>
          <w:tcPr>
            <w:tcW w:w="120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15,626</w:t>
            </w:r>
          </w:p>
        </w:tc>
        <w:tc>
          <w:tcPr>
            <w:tcW w:w="5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421"/>
              <w:spacing w:after="0"/>
              <w:rPr>
                <w:sz w:val="20"/>
                <w:szCs w:val="20"/>
                <w:color w:val="auto"/>
              </w:rPr>
            </w:pPr>
            <w:r>
              <w:rPr>
                <w:rFonts w:ascii="Times New Roman" w:cs="Times New Roman" w:eastAsia="Times New Roman" w:hAnsi="Times New Roman"/>
                <w:sz w:val="18"/>
                <w:szCs w:val="18"/>
                <w:color w:val="auto"/>
              </w:rPr>
              <w:t>3,111</w:t>
            </w:r>
          </w:p>
        </w:tc>
        <w:tc>
          <w:tcPr>
            <w:tcW w:w="2120" w:type="dxa"/>
            <w:vAlign w:val="bottom"/>
          </w:tcPr>
          <w:p>
            <w:pPr>
              <w:jc w:val="right"/>
              <w:ind w:right="337"/>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the end of the period presented.</w:t>
      </w:r>
    </w:p>
    <w:p>
      <w:pPr>
        <w:spacing w:after="0" w:line="27" w:lineRule="exact"/>
        <w:rPr>
          <w:rFonts w:ascii="Times New Roman" w:cs="Times New Roman" w:eastAsia="Times New Roman" w:hAnsi="Times New Roman"/>
          <w:sz w:val="18"/>
          <w:szCs w:val="18"/>
          <w:color w:val="auto"/>
        </w:rPr>
      </w:pPr>
    </w:p>
    <w:p>
      <w:pPr>
        <w:jc w:val="both"/>
        <w:ind w:left="424" w:right="30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1" w:lineRule="exact"/>
        <w:rPr>
          <w:rFonts w:ascii="Times New Roman" w:cs="Times New Roman" w:eastAsia="Times New Roman" w:hAnsi="Times New Roman"/>
          <w:sz w:val="18"/>
          <w:szCs w:val="18"/>
          <w:color w:val="auto"/>
        </w:rPr>
      </w:pPr>
    </w:p>
    <w:p>
      <w:pPr>
        <w:ind w:left="424" w:right="320" w:hanging="424"/>
        <w:spacing w:after="0" w:line="265" w:lineRule="auto"/>
        <w:tabs>
          <w:tab w:leader="none" w:pos="42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to which such class of senior security would be entitled upon the involuntary liquidation of the issuer in preference to any security junior to it. The “*” indicates information which the SEC expressly does not require to be disclosed for certain types of senior securities.</w:t>
      </w:r>
    </w:p>
    <w:p>
      <w:pPr>
        <w:ind w:left="424" w:right="2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to the SBA debentures, the Credit Facility, the January 2026 Notes, the November 2026 Notes and the Secured Borrowings because these senior securities are not registered for public trading. The January 2026 Notes and the November 2026 Notes were issued in minimum denominations of $2,000 and integral multiples of $1,000 in excess thereof.</w:t>
      </w:r>
    </w:p>
    <w:p>
      <w:pPr>
        <w:spacing w:after="0" w:line="1" w:lineRule="exact"/>
        <w:rPr>
          <w:rFonts w:ascii="Times New Roman" w:cs="Times New Roman" w:eastAsia="Times New Roman" w:hAnsi="Times New Roman"/>
          <w:sz w:val="18"/>
          <w:szCs w:val="18"/>
          <w:color w:val="auto"/>
        </w:rPr>
      </w:pPr>
    </w:p>
    <w:p>
      <w:pPr>
        <w:jc w:val="both"/>
        <w:ind w:left="424" w:right="100" w:hanging="424"/>
        <w:spacing w:after="0" w:line="255"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 indicates that we have excluded our SBA debentures from the asset coverage calculation pursuant to the exemptive relief granted by the SEC in June 2014 that permits us to exclude the senior securities issued by the Funds from the definition of senior securities in the asset coverage requirement applicable to us under the 1940 Act.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93" w:right="439" w:bottom="1440" w:gutter="0" w:footer="0" w:header="0"/>
        </w:sectPr>
      </w:pPr>
    </w:p>
    <w:bookmarkStart w:id="37" w:name="page38"/>
    <w:bookmarkEnd w:id="3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COMPANY</w:t>
      </w:r>
    </w:p>
    <w:p>
      <w:pPr>
        <w:spacing w:after="0" w:line="229" w:lineRule="exact"/>
        <w:rPr>
          <w:sz w:val="20"/>
          <w:szCs w:val="20"/>
          <w:color w:val="auto"/>
        </w:rPr>
      </w:pPr>
    </w:p>
    <w:p>
      <w:pPr>
        <w:ind w:firstLine="440"/>
        <w:spacing w:after="0" w:line="266" w:lineRule="auto"/>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auto"/>
          </w:rPr>
          <w:t xml:space="preserve">The information in the sections entitled “Business” in Part I, Item 1 and “Properties” in Part I, Item 2 of our most recent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 the section entitled “Legal Proceedings” in Part I, Item 3 in our most recent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is incorporated herein by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reference.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40"/>
          </w:cols>
          <w:pgMar w:left="440" w:top="293" w:right="61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PORTFOLIO COMPANIES</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each of the portfolio companies in which we had a debt or equity investment as of March 31, 2024. As of March 31, 2024, we did not make any investments in a portfolio company that represented greater than 5.0% of our total assets as of March 31, 2024. Our only relationships with our portfolio companies are the managerial assistance we may separately provide to our portfolio companies, which services would be ancillary to our investments. We offer to make available significant managerial assistance to our portfolio companies. We may receive rights to observe the meetings of our portfolio companies’ board of directors.</w:t>
      </w:r>
    </w:p>
    <w:p>
      <w:pPr>
        <w:sectPr>
          <w:pgSz w:w="11900" w:h="16838" w:orient="portrait"/>
          <w:cols w:equalWidth="0" w:num="1">
            <w:col w:w="11000"/>
          </w:cols>
          <w:pgMar w:left="440" w:top="293" w:right="459" w:bottom="1440" w:gutter="0" w:footer="0" w:header="0"/>
        </w:sect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78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260" w:type="dxa"/>
            <w:vAlign w:val="bottom"/>
          </w:tcPr>
          <w:p>
            <w:pPr>
              <w:spacing w:after="0"/>
              <w:rPr>
                <w:sz w:val="23"/>
                <w:szCs w:val="23"/>
                <w:color w:val="auto"/>
              </w:rPr>
            </w:pPr>
          </w:p>
        </w:tc>
        <w:tc>
          <w:tcPr>
            <w:tcW w:w="1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80" w:type="dxa"/>
            <w:vAlign w:val="bottom"/>
          </w:tcPr>
          <w:p>
            <w:pPr>
              <w:spacing w:after="0"/>
              <w:rPr>
                <w:sz w:val="23"/>
                <w:szCs w:val="23"/>
                <w:color w:val="auto"/>
              </w:rPr>
            </w:pPr>
          </w:p>
        </w:tc>
        <w:tc>
          <w:tcPr>
            <w:tcW w:w="13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0" w:type="dxa"/>
            <w:vAlign w:val="bottom"/>
          </w:tcPr>
          <w:p>
            <w:pPr>
              <w:spacing w:after="0"/>
              <w:rPr>
                <w:sz w:val="1"/>
                <w:szCs w:val="1"/>
                <w:color w:val="auto"/>
              </w:rPr>
            </w:pPr>
          </w:p>
        </w:tc>
      </w:tr>
      <w:tr>
        <w:trPr>
          <w:trHeight w:val="95"/>
        </w:trPr>
        <w:tc>
          <w:tcPr>
            <w:tcW w:w="1520" w:type="dxa"/>
            <w:vAlign w:val="bottom"/>
            <w:gridSpan w:val="3"/>
          </w:tcPr>
          <w:p>
            <w:pPr>
              <w:spacing w:after="0" w:line="95" w:lineRule="exact"/>
              <w:rPr>
                <w:sz w:val="20"/>
                <w:szCs w:val="20"/>
                <w:color w:val="auto"/>
              </w:rPr>
            </w:pPr>
            <w:r>
              <w:rPr>
                <w:rFonts w:ascii="Times New Roman" w:cs="Times New Roman" w:eastAsia="Times New Roman" w:hAnsi="Times New Roman"/>
                <w:sz w:val="10"/>
                <w:szCs w:val="10"/>
                <w:b w:val="1"/>
                <w:bCs w:val="1"/>
                <w:color w:val="auto"/>
              </w:rPr>
              <w:t>Control Investments (t)</w:t>
            </w:r>
          </w:p>
        </w:tc>
        <w:tc>
          <w:tcPr>
            <w:tcW w:w="2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auto"/>
              </w:rPr>
              <w:t>Building Products</w:t>
            </w:r>
          </w:p>
        </w:tc>
        <w:tc>
          <w:tcPr>
            <w:tcW w:w="0" w:type="dxa"/>
            <w:vAlign w:val="bottom"/>
          </w:tcPr>
          <w:p>
            <w:pPr>
              <w:spacing w:after="0"/>
              <w:rPr>
                <w:sz w:val="1"/>
                <w:szCs w:val="1"/>
                <w:color w:val="auto"/>
              </w:rPr>
            </w:pPr>
          </w:p>
        </w:tc>
      </w:tr>
      <w:tr>
        <w:trPr>
          <w:trHeight w:val="110"/>
        </w:trPr>
        <w:tc>
          <w:tcPr>
            <w:tcW w:w="1260" w:type="dxa"/>
            <w:vAlign w:val="bottom"/>
            <w:tcBorders>
              <w:top w:val="single" w:sz="8" w:color="auto"/>
            </w:tcBorders>
          </w:tcPr>
          <w:p>
            <w:pPr>
              <w:spacing w:after="0" w:line="110" w:lineRule="exact"/>
              <w:rPr>
                <w:sz w:val="20"/>
                <w:szCs w:val="20"/>
                <w:color w:val="auto"/>
              </w:rPr>
            </w:pPr>
            <w:r>
              <w:rPr>
                <w:rFonts w:ascii="Times New Roman" w:cs="Times New Roman" w:eastAsia="Times New Roman" w:hAnsi="Times New Roman"/>
                <w:sz w:val="12"/>
                <w:szCs w:val="12"/>
                <w:i w:val="1"/>
                <w:iCs w:val="1"/>
                <w:color w:val="auto"/>
              </w:rPr>
              <w:t>US GreenFiber, LLC (n)</w:t>
            </w:r>
          </w:p>
        </w:tc>
        <w:tc>
          <w:tcPr>
            <w:tcW w:w="20" w:type="dxa"/>
            <w:vAlign w:val="bottom"/>
          </w:tcPr>
          <w:p>
            <w:pPr>
              <w:spacing w:after="0"/>
              <w:rPr>
                <w:sz w:val="9"/>
                <w:szCs w:val="9"/>
                <w:color w:val="auto"/>
              </w:rPr>
            </w:pPr>
          </w:p>
        </w:tc>
        <w:tc>
          <w:tcPr>
            <w:tcW w:w="500" w:type="dxa"/>
            <w:vAlign w:val="bottom"/>
            <w:gridSpan w:val="2"/>
          </w:tcPr>
          <w:p>
            <w:pPr>
              <w:spacing w:after="0"/>
              <w:rPr>
                <w:sz w:val="9"/>
                <w:szCs w:val="9"/>
                <w:color w:val="auto"/>
              </w:rPr>
            </w:pPr>
          </w:p>
        </w:tc>
        <w:tc>
          <w:tcPr>
            <w:tcW w:w="156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7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color w:val="auto"/>
              </w:rPr>
              <w:t>5500 77 Center Drive,</w:t>
            </w:r>
          </w:p>
        </w:tc>
        <w:tc>
          <w:tcPr>
            <w:tcW w:w="156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06"/>
        </w:trPr>
        <w:tc>
          <w:tcPr>
            <w:tcW w:w="1780" w:type="dxa"/>
            <w:vAlign w:val="bottom"/>
            <w:gridSpan w:val="4"/>
            <w:vMerge w:val="continue"/>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gridSpan w:val="4"/>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100</w:t>
            </w: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Second Lien Debt (j)(y)</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4"/>
          </w:tcPr>
          <w:p>
            <w:pPr>
              <w:ind w:left="240"/>
              <w:spacing w:after="0" w:line="135" w:lineRule="exact"/>
              <w:rPr>
                <w:sz w:val="20"/>
                <w:szCs w:val="20"/>
                <w:color w:val="auto"/>
              </w:rPr>
            </w:pPr>
            <w:r>
              <w:rPr>
                <w:rFonts w:ascii="Times New Roman" w:cs="Times New Roman" w:eastAsia="Times New Roman" w:hAnsi="Times New Roman"/>
                <w:sz w:val="13"/>
                <w:szCs w:val="13"/>
                <w:color w:val="auto"/>
              </w:rPr>
              <w:t>Charlotte, NC 28217</w:t>
            </w: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(2,522 units) (h)(j)</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(425,508 units) (j)</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(1,022,813 units) (h)(j)</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1"/>
        </w:trPr>
        <w:tc>
          <w:tcPr>
            <w:tcW w:w="17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78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Affiliate Investments (l)</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280" w:type="dxa"/>
            <w:vAlign w:val="bottom"/>
            <w:tcBorders>
              <w:top w:val="single" w:sz="8" w:color="auto"/>
            </w:tcBorders>
            <w:gridSpan w:val="2"/>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Applegate Greenfiber</w:t>
            </w:r>
          </w:p>
        </w:tc>
        <w:tc>
          <w:tcPr>
            <w:tcW w:w="500" w:type="dxa"/>
            <w:vAlign w:val="bottom"/>
            <w:gridSpan w:val="2"/>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80" w:type="dxa"/>
            <w:vAlign w:val="bottom"/>
            <w:gridSpan w:val="4"/>
          </w:tcPr>
          <w:p>
            <w:pPr>
              <w:ind w:left="120"/>
              <w:spacing w:after="0" w:line="135" w:lineRule="exact"/>
              <w:rPr>
                <w:sz w:val="20"/>
                <w:szCs w:val="20"/>
                <w:color w:val="auto"/>
              </w:rPr>
            </w:pPr>
            <w:r>
              <w:rPr>
                <w:rFonts w:ascii="Times New Roman" w:cs="Times New Roman" w:eastAsia="Times New Roman" w:hAnsi="Times New Roman"/>
                <w:sz w:val="13"/>
                <w:szCs w:val="13"/>
                <w:i w:val="1"/>
                <w:iCs w:val="1"/>
                <w:color w:val="auto"/>
              </w:rPr>
              <w:t>Intermediate Inc. (fka US</w:t>
            </w:r>
          </w:p>
        </w:tc>
        <w:tc>
          <w:tcPr>
            <w:tcW w:w="156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Building Products</w:t>
            </w:r>
          </w:p>
        </w:tc>
        <w:tc>
          <w:tcPr>
            <w:tcW w:w="0" w:type="dxa"/>
            <w:vAlign w:val="bottom"/>
          </w:tcPr>
          <w:p>
            <w:pPr>
              <w:spacing w:after="0"/>
              <w:rPr>
                <w:sz w:val="1"/>
                <w:szCs w:val="1"/>
                <w:color w:val="auto"/>
              </w:rPr>
            </w:pPr>
          </w:p>
        </w:tc>
      </w:tr>
      <w:tr>
        <w:trPr>
          <w:trHeight w:val="137"/>
        </w:trPr>
        <w:tc>
          <w:tcPr>
            <w:tcW w:w="1780" w:type="dxa"/>
            <w:vAlign w:val="bottom"/>
            <w:gridSpan w:val="4"/>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GreenFiber, LLC)</w:t>
            </w:r>
          </w:p>
        </w:tc>
        <w:tc>
          <w:tcPr>
            <w:tcW w:w="1560" w:type="dxa"/>
            <w:vAlign w:val="bottom"/>
          </w:tcPr>
          <w:p>
            <w:pPr>
              <w:spacing w:after="0"/>
              <w:rPr>
                <w:sz w:val="11"/>
                <w:szCs w:val="11"/>
                <w:color w:val="auto"/>
              </w:rPr>
            </w:pPr>
          </w:p>
        </w:tc>
        <w:tc>
          <w:tcPr>
            <w:tcW w:w="14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35"/>
        </w:trPr>
        <w:tc>
          <w:tcPr>
            <w:tcW w:w="1780" w:type="dxa"/>
            <w:vAlign w:val="bottom"/>
            <w:gridSpan w:val="4"/>
          </w:tcPr>
          <w:p>
            <w:pPr>
              <w:ind w:left="240"/>
              <w:spacing w:after="0" w:line="135" w:lineRule="exact"/>
              <w:rPr>
                <w:sz w:val="20"/>
                <w:szCs w:val="20"/>
                <w:color w:val="auto"/>
              </w:rPr>
            </w:pPr>
            <w:r>
              <w:rPr>
                <w:rFonts w:ascii="Times New Roman" w:cs="Times New Roman" w:eastAsia="Times New Roman" w:hAnsi="Times New Roman"/>
                <w:sz w:val="13"/>
                <w:szCs w:val="13"/>
                <w:color w:val="auto"/>
              </w:rPr>
              <w:t>5500 77 Center Drive,</w:t>
            </w: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4"/>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100</w:t>
            </w: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4"/>
          </w:tcPr>
          <w:p>
            <w:pPr>
              <w:ind w:left="240"/>
              <w:spacing w:after="0" w:line="135" w:lineRule="exact"/>
              <w:rPr>
                <w:sz w:val="20"/>
                <w:szCs w:val="20"/>
                <w:color w:val="auto"/>
              </w:rPr>
            </w:pPr>
            <w:r>
              <w:rPr>
                <w:rFonts w:ascii="Times New Roman" w:cs="Times New Roman" w:eastAsia="Times New Roman" w:hAnsi="Times New Roman"/>
                <w:sz w:val="13"/>
                <w:szCs w:val="13"/>
                <w:color w:val="auto"/>
              </w:rPr>
              <w:t>Charlotte, NC 28217</w:t>
            </w: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(5,690 units) (h)(j)</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(7,113 units) (h)(j)</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 (2,012</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units) (h)(j)</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78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Medsurant Holdings, LLC</w:t>
            </w:r>
          </w:p>
        </w:tc>
        <w:tc>
          <w:tcPr>
            <w:tcW w:w="156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Healthcare Services</w:t>
            </w:r>
          </w:p>
        </w:tc>
        <w:tc>
          <w:tcPr>
            <w:tcW w:w="0" w:type="dxa"/>
            <w:vAlign w:val="bottom"/>
          </w:tcPr>
          <w:p>
            <w:pPr>
              <w:spacing w:after="0"/>
              <w:rPr>
                <w:sz w:val="1"/>
                <w:szCs w:val="1"/>
                <w:color w:val="auto"/>
              </w:rPr>
            </w:pPr>
          </w:p>
        </w:tc>
      </w:tr>
      <w:tr>
        <w:trPr>
          <w:trHeight w:val="135"/>
        </w:trPr>
        <w:tc>
          <w:tcPr>
            <w:tcW w:w="1780" w:type="dxa"/>
            <w:vAlign w:val="bottom"/>
            <w:gridSpan w:val="4"/>
          </w:tcPr>
          <w:p>
            <w:pPr>
              <w:ind w:left="240"/>
              <w:spacing w:after="0" w:line="135" w:lineRule="exact"/>
              <w:rPr>
                <w:sz w:val="20"/>
                <w:szCs w:val="20"/>
                <w:color w:val="auto"/>
              </w:rPr>
            </w:pPr>
            <w:r>
              <w:rPr>
                <w:rFonts w:ascii="Times New Roman" w:cs="Times New Roman" w:eastAsia="Times New Roman" w:hAnsi="Times New Roman"/>
                <w:sz w:val="13"/>
                <w:szCs w:val="13"/>
                <w:color w:val="auto"/>
              </w:rPr>
              <w:t>100 Front Street, Suite 280</w:t>
            </w: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(84,997 units) (h)(j)</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80" w:type="dxa"/>
            <w:vAlign w:val="bottom"/>
            <w:gridSpan w:val="4"/>
          </w:tcPr>
          <w:p>
            <w:pPr>
              <w:ind w:left="240"/>
              <w:spacing w:after="0" w:line="135" w:lineRule="exact"/>
              <w:rPr>
                <w:sz w:val="20"/>
                <w:szCs w:val="20"/>
                <w:color w:val="auto"/>
              </w:rPr>
            </w:pPr>
            <w:r>
              <w:rPr>
                <w:rFonts w:ascii="Times New Roman" w:cs="Times New Roman" w:eastAsia="Times New Roman" w:hAnsi="Times New Roman"/>
                <w:sz w:val="13"/>
                <w:szCs w:val="13"/>
                <w:color w:val="auto"/>
              </w:rPr>
              <w:t>Conshohocken, PA 19428</w:t>
            </w: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Warrant (252,588 units) (h)(j)</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(m)</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780" w:type="dxa"/>
            <w:vAlign w:val="bottom"/>
            <w:gridSpan w:val="4"/>
          </w:tcPr>
          <w:p>
            <w:pPr>
              <w:spacing w:after="0"/>
              <w:rPr>
                <w:sz w:val="20"/>
                <w:szCs w:val="20"/>
                <w:color w:val="auto"/>
              </w:rPr>
            </w:pPr>
            <w:r>
              <w:rPr>
                <w:rFonts w:ascii="Times New Roman" w:cs="Times New Roman" w:eastAsia="Times New Roman" w:hAnsi="Times New Roman"/>
                <w:sz w:val="13"/>
                <w:szCs w:val="13"/>
                <w:i w:val="1"/>
                <w:iCs w:val="1"/>
                <w:color w:val="auto"/>
              </w:rPr>
              <w:t>Pfanstiehl, Inc.</w:t>
            </w:r>
          </w:p>
        </w:tc>
        <w:tc>
          <w:tcPr>
            <w:tcW w:w="156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Healthcare Products</w:t>
            </w:r>
          </w:p>
        </w:tc>
        <w:tc>
          <w:tcPr>
            <w:tcW w:w="0" w:type="dxa"/>
            <w:vAlign w:val="bottom"/>
          </w:tcPr>
          <w:p>
            <w:pPr>
              <w:spacing w:after="0"/>
              <w:rPr>
                <w:sz w:val="1"/>
                <w:szCs w:val="1"/>
                <w:color w:val="auto"/>
              </w:rPr>
            </w:pPr>
          </w:p>
        </w:tc>
      </w:tr>
      <w:tr>
        <w:trPr>
          <w:trHeight w:val="135"/>
        </w:trPr>
        <w:tc>
          <w:tcPr>
            <w:tcW w:w="1780" w:type="dxa"/>
            <w:vAlign w:val="bottom"/>
            <w:gridSpan w:val="4"/>
          </w:tcPr>
          <w:p>
            <w:pPr>
              <w:ind w:left="240"/>
              <w:spacing w:after="0" w:line="135" w:lineRule="exact"/>
              <w:rPr>
                <w:sz w:val="20"/>
                <w:szCs w:val="20"/>
                <w:color w:val="auto"/>
              </w:rPr>
            </w:pPr>
            <w:r>
              <w:rPr>
                <w:rFonts w:ascii="Times New Roman" w:cs="Times New Roman" w:eastAsia="Times New Roman" w:hAnsi="Times New Roman"/>
                <w:sz w:val="13"/>
                <w:szCs w:val="13"/>
                <w:color w:val="auto"/>
              </w:rPr>
              <w:t>1219 Glen Rock Avenue</w:t>
            </w:r>
          </w:p>
        </w:tc>
        <w:tc>
          <w:tcPr>
            <w:tcW w:w="15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8"/>
              </w:rPr>
              <w:t>Common Equity (2,550 units)</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80" w:type="dxa"/>
            <w:vAlign w:val="bottom"/>
            <w:gridSpan w:val="4"/>
            <w:vMerge w:val="restart"/>
          </w:tcPr>
          <w:p>
            <w:pPr>
              <w:ind w:left="240"/>
              <w:spacing w:after="0"/>
              <w:rPr>
                <w:sz w:val="20"/>
                <w:szCs w:val="20"/>
                <w:color w:val="auto"/>
              </w:rPr>
            </w:pPr>
            <w:r>
              <w:rPr>
                <w:rFonts w:ascii="Times New Roman" w:cs="Times New Roman" w:eastAsia="Times New Roman" w:hAnsi="Times New Roman"/>
                <w:sz w:val="13"/>
                <w:szCs w:val="13"/>
                <w:color w:val="auto"/>
              </w:rPr>
              <w:t>Waukegan, IL 60085</w:t>
            </w:r>
          </w:p>
        </w:tc>
        <w:tc>
          <w:tcPr>
            <w:tcW w:w="1560" w:type="dxa"/>
            <w:vAlign w:val="bottom"/>
          </w:tcPr>
          <w:p>
            <w:pPr>
              <w:spacing w:after="0"/>
              <w:rPr>
                <w:sz w:val="20"/>
                <w:szCs w:val="20"/>
                <w:color w:val="auto"/>
              </w:rPr>
            </w:pPr>
            <w:r>
              <w:rPr>
                <w:rFonts w:ascii="Times New Roman" w:cs="Times New Roman" w:eastAsia="Times New Roman" w:hAnsi="Times New Roman"/>
                <w:sz w:val="13"/>
                <w:szCs w:val="13"/>
                <w:color w:val="auto"/>
              </w:rPr>
              <w:t>(j)</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80" w:type="dxa"/>
            <w:vAlign w:val="bottom"/>
            <w:gridSpan w:val="4"/>
            <w:vMerge w:val="continue"/>
          </w:tcPr>
          <w:p>
            <w:pPr>
              <w:spacing w:after="0"/>
              <w:rPr>
                <w:sz w:val="11"/>
                <w:szCs w:val="11"/>
                <w:color w:val="auto"/>
              </w:rPr>
            </w:pPr>
          </w:p>
        </w:tc>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5"/>
        </w:trPr>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Percentage</w:t>
            </w: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35"/>
        </w:trPr>
        <w:tc>
          <w:tcPr>
            <w:tcW w:w="8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6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Spread</w:t>
            </w:r>
          </w:p>
        </w:tc>
        <w:tc>
          <w:tcPr>
            <w:tcW w:w="8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Rate (e)</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Principal</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0"/>
              </w:rPr>
              <w:t>Fair</w:t>
            </w:r>
          </w:p>
        </w:tc>
        <w:tc>
          <w:tcPr>
            <w:tcW w:w="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r>
      <w:tr>
        <w:trPr>
          <w:trHeight w:val="159"/>
        </w:trPr>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Held (aw)</w:t>
            </w:r>
          </w:p>
        </w:tc>
        <w:tc>
          <w:tcPr>
            <w:tcW w:w="24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1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(f)</w:t>
            </w:r>
          </w:p>
        </w:tc>
        <w:tc>
          <w:tcPr>
            <w:tcW w:w="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4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0"/>
              </w:rPr>
              <w:t>Net Assets</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-7620</wp:posOffset>
            </wp:positionV>
            <wp:extent cx="6995160" cy="85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248920</wp:posOffset>
            </wp:positionV>
            <wp:extent cx="699516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280" w:type="dxa"/>
        <w:tblCellMar>
          <w:top w:w="0" w:type="dxa"/>
          <w:left w:w="0" w:type="dxa"/>
          <w:bottom w:w="0" w:type="dxa"/>
          <w:right w:w="0" w:type="dxa"/>
        </w:tblCellMar>
      </w:tblPr>
      <w:tr>
        <w:trPr>
          <w:trHeight w:val="164"/>
        </w:trPr>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10.00%/3.00%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7/3/2014</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8/30/2024</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5,226</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5,223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000" w:type="dxa"/>
            <w:vAlign w:val="bottom"/>
          </w:tcPr>
          <w:p>
            <w:pPr>
              <w:jc w:val="right"/>
              <w:ind w:right="1555"/>
              <w:spacing w:after="0"/>
              <w:rPr>
                <w:sz w:val="20"/>
                <w:szCs w:val="20"/>
                <w:color w:val="auto"/>
              </w:rPr>
            </w:pPr>
            <w:r>
              <w:rPr>
                <w:rFonts w:ascii="Times New Roman" w:cs="Times New Roman" w:eastAsia="Times New Roman" w:hAnsi="Times New Roman"/>
                <w:sz w:val="13"/>
                <w:szCs w:val="13"/>
                <w:color w:val="auto"/>
              </w:rPr>
              <w:t>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7/3/2014</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585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jc w:val="right"/>
              <w:ind w:right="1555"/>
              <w:spacing w:after="0"/>
              <w:rPr>
                <w:sz w:val="20"/>
                <w:szCs w:val="20"/>
                <w:color w:val="auto"/>
              </w:rPr>
            </w:pPr>
            <w:r>
              <w:rPr>
                <w:rFonts w:ascii="Times New Roman" w:cs="Times New Roman" w:eastAsia="Times New Roman" w:hAnsi="Times New Roman"/>
                <w:sz w:val="13"/>
                <w:szCs w:val="13"/>
                <w:color w:val="auto"/>
                <w:w w:val="89"/>
              </w:rPr>
              <w:t>47.90%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8/30/2019</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00" w:type="dxa"/>
            <w:vAlign w:val="bottom"/>
          </w:tcPr>
          <w:p>
            <w:pPr>
              <w:jc w:val="right"/>
              <w:ind w:right="1555"/>
              <w:spacing w:after="0"/>
              <w:rPr>
                <w:sz w:val="20"/>
                <w:szCs w:val="20"/>
                <w:color w:val="auto"/>
              </w:rPr>
            </w:pPr>
            <w:r>
              <w:rPr>
                <w:rFonts w:ascii="Times New Roman" w:cs="Times New Roman" w:eastAsia="Times New Roman" w:hAnsi="Times New Roman"/>
                <w:sz w:val="13"/>
                <w:szCs w:val="13"/>
                <w:color w:val="auto"/>
                <w:w w:val="89"/>
              </w:rPr>
              <w:t>65.25%</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7/1/2020</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1,023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6,832</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line="20" w:lineRule="exact"/>
              <w:rPr>
                <w:sz w:val="1"/>
                <w:szCs w:val="1"/>
                <w:color w:val="auto"/>
              </w:rPr>
            </w:pPr>
          </w:p>
        </w:tc>
      </w:tr>
      <w:tr>
        <w:trPr>
          <w:trHeight w:val="145"/>
        </w:trPr>
        <w:tc>
          <w:tcPr>
            <w:tcW w:w="2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6,832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3"/>
                <w:szCs w:val="13"/>
                <w:color w:val="auto"/>
              </w:rPr>
              <w:t>— </w:t>
            </w: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73"/>
        </w:trPr>
        <w:tc>
          <w:tcPr>
            <w:tcW w:w="2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12/31/2021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12/31/2027</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9,602</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9,602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9,602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0" w:type="dxa"/>
            <w:vAlign w:val="bottom"/>
          </w:tcPr>
          <w:p>
            <w:pPr>
              <w:jc w:val="right"/>
              <w:ind w:right="1555"/>
              <w:spacing w:after="0"/>
              <w:rPr>
                <w:sz w:val="20"/>
                <w:szCs w:val="20"/>
                <w:color w:val="auto"/>
              </w:rPr>
            </w:pPr>
            <w:r>
              <w:rPr>
                <w:rFonts w:ascii="Times New Roman" w:cs="Times New Roman" w:eastAsia="Times New Roman" w:hAnsi="Times New Roman"/>
                <w:sz w:val="13"/>
                <w:szCs w:val="13"/>
                <w:color w:val="auto"/>
              </w:rPr>
              <w:t>9.60%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12/31/2021</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5,690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6,811</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00" w:type="dxa"/>
            <w:vAlign w:val="bottom"/>
          </w:tcPr>
          <w:p>
            <w:pPr>
              <w:jc w:val="right"/>
              <w:ind w:right="1555"/>
              <w:spacing w:after="0"/>
              <w:rPr>
                <w:sz w:val="20"/>
                <w:szCs w:val="20"/>
                <w:color w:val="auto"/>
              </w:rPr>
            </w:pPr>
            <w:r>
              <w:rPr>
                <w:rFonts w:ascii="Times New Roman" w:cs="Times New Roman" w:eastAsia="Times New Roman" w:hAnsi="Times New Roman"/>
                <w:sz w:val="13"/>
                <w:szCs w:val="13"/>
                <w:color w:val="auto"/>
              </w:rPr>
              <w:t>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12/31/2021</w:t>
            </w: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7,113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8,442</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2000" w:type="dxa"/>
            <w:vAlign w:val="bottom"/>
          </w:tcPr>
          <w:p>
            <w:pPr>
              <w:jc w:val="right"/>
              <w:ind w:right="1555"/>
              <w:spacing w:after="0"/>
              <w:rPr>
                <w:sz w:val="20"/>
                <w:szCs w:val="20"/>
                <w:color w:val="auto"/>
              </w:rPr>
            </w:pPr>
            <w:r>
              <w:rPr>
                <w:rFonts w:ascii="Times New Roman" w:cs="Times New Roman" w:eastAsia="Times New Roman" w:hAnsi="Times New Roman"/>
                <w:sz w:val="13"/>
                <w:szCs w:val="13"/>
                <w:color w:val="auto"/>
              </w:rPr>
              <w:t>3.40%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12/31/2021</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22,405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24,855</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2000" w:type="dxa"/>
            <w:vAlign w:val="bottom"/>
          </w:tcPr>
          <w:p>
            <w:pPr>
              <w:jc w:val="right"/>
              <w:ind w:right="1555"/>
              <w:spacing w:after="0"/>
              <w:rPr>
                <w:sz w:val="20"/>
                <w:szCs w:val="20"/>
                <w:color w:val="auto"/>
              </w:rPr>
            </w:pPr>
            <w:r>
              <w:rPr>
                <w:rFonts w:ascii="Times New Roman" w:cs="Times New Roman" w:eastAsia="Times New Roman" w:hAnsi="Times New Roman"/>
                <w:sz w:val="13"/>
                <w:szCs w:val="13"/>
                <w:color w:val="auto"/>
              </w:rPr>
              <w:t>2.25%</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4/12/2011</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1,654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00" w:type="dxa"/>
            <w:vAlign w:val="bottom"/>
          </w:tcPr>
          <w:p>
            <w:pPr>
              <w:jc w:val="right"/>
              <w:ind w:right="1555"/>
              <w:spacing w:after="0"/>
              <w:rPr>
                <w:sz w:val="20"/>
                <w:szCs w:val="20"/>
                <w:color w:val="auto"/>
              </w:rPr>
            </w:pPr>
            <w:r>
              <w:rPr>
                <w:rFonts w:ascii="Times New Roman" w:cs="Times New Roman" w:eastAsia="Times New Roman" w:hAnsi="Times New Roman"/>
                <w:sz w:val="13"/>
                <w:szCs w:val="13"/>
                <w:color w:val="auto"/>
              </w:rPr>
              <w:t>6.4%</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4/12/2011</w:t>
            </w: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2,257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5,810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7,464</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473"/>
        </w:trPr>
        <w:tc>
          <w:tcPr>
            <w:tcW w:w="2000" w:type="dxa"/>
            <w:vAlign w:val="bottom"/>
          </w:tcPr>
          <w:p>
            <w:pPr>
              <w:jc w:val="right"/>
              <w:ind w:right="1555"/>
              <w:spacing w:after="0"/>
              <w:rPr>
                <w:sz w:val="20"/>
                <w:szCs w:val="20"/>
                <w:color w:val="auto"/>
              </w:rPr>
            </w:pPr>
            <w:r>
              <w:rPr>
                <w:rFonts w:ascii="Times New Roman" w:cs="Times New Roman" w:eastAsia="Times New Roman" w:hAnsi="Times New Roman"/>
                <w:sz w:val="13"/>
                <w:szCs w:val="13"/>
                <w:color w:val="auto"/>
              </w:rPr>
              <w:t>7.3%</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3/29/2013</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w w:val="94"/>
              </w:rPr>
              <w:t>29,713</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489"/>
        </w:trPr>
        <w:tc>
          <w:tcPr>
            <w:tcW w:w="2000" w:type="dxa"/>
            <w:vAlign w:val="bottom"/>
          </w:tcPr>
          <w:p>
            <w:pPr>
              <w:jc w:val="right"/>
              <w:ind w:right="1415"/>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-3088005</wp:posOffset>
            </wp:positionH>
            <wp:positionV relativeFrom="paragraph">
              <wp:posOffset>-2914015</wp:posOffset>
            </wp:positionV>
            <wp:extent cx="699516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-2553970</wp:posOffset>
            </wp:positionV>
            <wp:extent cx="6995160" cy="85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-2305050</wp:posOffset>
            </wp:positionV>
            <wp:extent cx="6995160" cy="85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-1962150</wp:posOffset>
            </wp:positionV>
            <wp:extent cx="699516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-1619250</wp:posOffset>
            </wp:positionV>
            <wp:extent cx="699516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-1259840</wp:posOffset>
            </wp:positionV>
            <wp:extent cx="6995160" cy="85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-1045210</wp:posOffset>
            </wp:positionV>
            <wp:extent cx="699516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-702310</wp:posOffset>
            </wp:positionV>
            <wp:extent cx="6995160" cy="85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-3088005</wp:posOffset>
            </wp:positionH>
            <wp:positionV relativeFrom="paragraph">
              <wp:posOffset>-488315</wp:posOffset>
            </wp:positionV>
            <wp:extent cx="699516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ectPr>
          <w:pgSz w:w="11900" w:h="16838" w:orient="portrait"/>
          <w:cols w:equalWidth="0" w:num="2">
            <w:col w:w="4780" w:space="80"/>
            <w:col w:w="6140"/>
          </w:cols>
          <w:pgMar w:left="440" w:top="293" w:right="459" w:bottom="1440" w:gutter="0" w:footer="0" w:header="0"/>
          <w:type w:val="continuous"/>
        </w:sectPr>
      </w:pPr>
    </w:p>
    <w:bookmarkStart w:id="39" w:name="page40"/>
    <w:bookmarkEnd w:id="39"/>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p>
      <w:pPr>
        <w:spacing w:after="0" w:line="119" w:lineRule="exact"/>
        <w:rPr>
          <w:sz w:val="20"/>
          <w:szCs w:val="20"/>
          <w:color w:val="auto"/>
        </w:rPr>
      </w:pPr>
    </w:p>
    <w:p>
      <w:pPr>
        <w:spacing w:after="0"/>
        <w:tabs>
          <w:tab w:leader="none" w:pos="1800" w:val="left"/>
          <w:tab w:leader="none" w:pos="3420" w:val="left"/>
        </w:tabs>
        <w:rPr>
          <w:sz w:val="20"/>
          <w:szCs w:val="20"/>
          <w:color w:val="auto"/>
        </w:rPr>
      </w:pPr>
      <w:r>
        <w:rPr>
          <w:rFonts w:ascii="Times New Roman" w:cs="Times New Roman" w:eastAsia="Times New Roman" w:hAnsi="Times New Roman"/>
          <w:sz w:val="12"/>
          <w:szCs w:val="12"/>
          <w:b w:val="1"/>
          <w:bCs w:val="1"/>
          <w:u w:val="single" w:color="auto"/>
          <w:color w:val="auto"/>
        </w:rPr>
        <w:t>Address of Portfolio Company</w:t>
      </w:r>
      <w:r>
        <w:rPr>
          <w:sz w:val="20"/>
          <w:szCs w:val="20"/>
          <w:color w:val="auto"/>
        </w:rPr>
        <w:tab/>
      </w:r>
      <w:r>
        <w:rPr>
          <w:rFonts w:ascii="Times New Roman" w:cs="Times New Roman" w:eastAsia="Times New Roman" w:hAnsi="Times New Roman"/>
          <w:sz w:val="12"/>
          <w:szCs w:val="12"/>
          <w:b w:val="1"/>
          <w:bCs w:val="1"/>
          <w:color w:val="auto"/>
        </w:rPr>
        <w:t>Investment Type (c)</w:t>
      </w:r>
      <w:r>
        <w:rPr>
          <w:sz w:val="20"/>
          <w:szCs w:val="20"/>
          <w:color w:val="auto"/>
        </w:rPr>
        <w:tab/>
      </w:r>
      <w:r>
        <w:rPr>
          <w:rFonts w:ascii="Times New Roman" w:cs="Times New Roman" w:eastAsia="Times New Roman" w:hAnsi="Times New Roman"/>
          <w:sz w:val="11"/>
          <w:szCs w:val="11"/>
          <w:b w:val="1"/>
          <w:bCs w:val="1"/>
          <w:color w:val="auto"/>
        </w:rPr>
        <w:t>Industry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jc w:val="center"/>
              <w:ind w:right="182"/>
              <w:spacing w:after="0"/>
              <w:rPr>
                <w:sz w:val="20"/>
                <w:szCs w:val="20"/>
                <w:color w:val="auto"/>
              </w:rPr>
            </w:pPr>
            <w:r>
              <w:rPr>
                <w:rFonts w:ascii="Times New Roman" w:cs="Times New Roman" w:eastAsia="Times New Roman" w:hAnsi="Times New Roman"/>
                <w:sz w:val="12"/>
                <w:szCs w:val="12"/>
                <w:b w:val="1"/>
                <w:bCs w:val="1"/>
                <w:color w:val="auto"/>
                <w:w w:val="95"/>
              </w:rPr>
              <w:t>Percentage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Variable</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780" w:type="dxa"/>
            <w:vAlign w:val="bottom"/>
          </w:tcPr>
          <w:p>
            <w:pPr>
              <w:jc w:val="center"/>
              <w:ind w:right="182"/>
              <w:spacing w:after="0" w:line="135" w:lineRule="exact"/>
              <w:rPr>
                <w:sz w:val="20"/>
                <w:szCs w:val="20"/>
                <w:color w:val="auto"/>
              </w:rPr>
            </w:pPr>
            <w:r>
              <w:rPr>
                <w:rFonts w:ascii="Times New Roman" w:cs="Times New Roman" w:eastAsia="Times New Roman" w:hAnsi="Times New Roman"/>
                <w:sz w:val="12"/>
                <w:szCs w:val="12"/>
                <w:b w:val="1"/>
                <w:bCs w:val="1"/>
                <w:color w:val="auto"/>
                <w:w w:val="94"/>
              </w:rPr>
              <w:t>of Class</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Index Spread</w:t>
            </w:r>
          </w:p>
        </w:tc>
        <w:tc>
          <w:tcPr>
            <w:tcW w:w="84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2"/>
                <w:szCs w:val="12"/>
                <w:b w:val="1"/>
                <w:bCs w:val="1"/>
                <w:color w:val="auto"/>
                <w:w w:val="99"/>
              </w:rPr>
              <w:t>Rate (e)</w:t>
            </w: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Investment</w:t>
            </w:r>
          </w:p>
        </w:tc>
        <w:tc>
          <w:tcPr>
            <w:tcW w:w="6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Principal</w:t>
            </w:r>
          </w:p>
        </w:tc>
        <w:tc>
          <w:tcPr>
            <w:tcW w:w="440" w:type="dxa"/>
            <w:vAlign w:val="bottom"/>
          </w:tcPr>
          <w:p>
            <w:pPr>
              <w:spacing w:after="0"/>
              <w:rPr>
                <w:sz w:val="11"/>
                <w:szCs w:val="11"/>
                <w:color w:val="auto"/>
              </w:rPr>
            </w:pPr>
          </w:p>
        </w:tc>
        <w:tc>
          <w:tcPr>
            <w:tcW w:w="620" w:type="dxa"/>
            <w:vAlign w:val="bottom"/>
          </w:tcPr>
          <w:p>
            <w:pPr>
              <w:jc w:val="center"/>
              <w:ind w:left="2"/>
              <w:spacing w:after="0" w:line="135" w:lineRule="exact"/>
              <w:rPr>
                <w:sz w:val="20"/>
                <w:szCs w:val="20"/>
                <w:color w:val="auto"/>
              </w:rPr>
            </w:pPr>
            <w:r>
              <w:rPr>
                <w:rFonts w:ascii="Times New Roman" w:cs="Times New Roman" w:eastAsia="Times New Roman" w:hAnsi="Times New Roman"/>
                <w:sz w:val="12"/>
                <w:szCs w:val="12"/>
                <w:b w:val="1"/>
                <w:bCs w:val="1"/>
                <w:color w:val="auto"/>
                <w:w w:val="90"/>
              </w:rPr>
              <w:t>Fair</w:t>
            </w:r>
          </w:p>
        </w:tc>
        <w:tc>
          <w:tcPr>
            <w:tcW w:w="58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r>
      <w:tr>
        <w:trPr>
          <w:trHeight w:val="154"/>
        </w:trPr>
        <w:tc>
          <w:tcPr>
            <w:tcW w:w="780" w:type="dxa"/>
            <w:vAlign w:val="bottom"/>
          </w:tcPr>
          <w:p>
            <w:pPr>
              <w:jc w:val="center"/>
              <w:ind w:right="182"/>
              <w:spacing w:after="0"/>
              <w:rPr>
                <w:sz w:val="20"/>
                <w:szCs w:val="20"/>
                <w:color w:val="auto"/>
              </w:rPr>
            </w:pPr>
            <w:r>
              <w:rPr>
                <w:rFonts w:ascii="Times New Roman" w:cs="Times New Roman" w:eastAsia="Times New Roman" w:hAnsi="Times New Roman"/>
                <w:sz w:val="12"/>
                <w:szCs w:val="12"/>
                <w:b w:val="1"/>
                <w:bCs w:val="1"/>
                <w:u w:val="single" w:color="auto"/>
                <w:color w:val="auto"/>
                <w:w w:val="99"/>
              </w:rPr>
              <w:t>Held (aw)</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 Floor (d)</w:t>
            </w:r>
          </w:p>
        </w:tc>
        <w:tc>
          <w:tcPr>
            <w:tcW w:w="840" w:type="dxa"/>
            <w:vAlign w:val="bottom"/>
          </w:tcPr>
          <w:p>
            <w:pPr>
              <w:jc w:val="center"/>
              <w:ind w:left="42"/>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(f)</w:t>
            </w:r>
          </w:p>
        </w:tc>
        <w:tc>
          <w:tcPr>
            <w:tcW w:w="68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w w:val="99"/>
              </w:rPr>
              <w:t>Amount</w:t>
            </w:r>
          </w:p>
        </w:tc>
        <w:tc>
          <w:tcPr>
            <w:tcW w:w="4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2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u w:val="single" w:color="auto"/>
                <w:color w:val="auto"/>
                <w:w w:val="93"/>
              </w:rPr>
              <w:t>Value (g)</w:t>
            </w:r>
          </w:p>
        </w:tc>
        <w:tc>
          <w:tcPr>
            <w:tcW w:w="580" w:type="dxa"/>
            <w:vAlign w:val="bottom"/>
          </w:tcPr>
          <w:p>
            <w:pPr>
              <w:ind w:left="80"/>
              <w:spacing w:after="0"/>
              <w:rPr>
                <w:sz w:val="20"/>
                <w:szCs w:val="20"/>
                <w:color w:val="auto"/>
              </w:rPr>
            </w:pPr>
            <w:r>
              <w:rPr>
                <w:rFonts w:ascii="Times New Roman" w:cs="Times New Roman" w:eastAsia="Times New Roman" w:hAnsi="Times New Roman"/>
                <w:sz w:val="12"/>
                <w:szCs w:val="12"/>
                <w:b w:val="1"/>
                <w:bCs w:val="1"/>
                <w:u w:val="single" w:color="auto"/>
                <w:color w:val="auto"/>
                <w:w w:val="90"/>
              </w:rPr>
              <w:t>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-374015</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860" w:space="460"/>
            <w:col w:w="6640"/>
          </w:cols>
          <w:pgMar w:left="440" w:top="302" w:right="499" w:bottom="1440" w:gutter="0" w:footer="0" w:header="0"/>
        </w:sectPr>
      </w:pPr>
    </w:p>
    <w:p>
      <w:pPr>
        <w:jc w:val="center"/>
        <w:ind w:right="1380"/>
        <w:spacing w:after="0" w:line="234" w:lineRule="auto"/>
        <w:rPr>
          <w:sz w:val="20"/>
          <w:szCs w:val="20"/>
          <w:color w:val="auto"/>
        </w:rPr>
      </w:pPr>
      <w:r>
        <w:rPr>
          <w:rFonts w:ascii="Times New Roman" w:cs="Times New Roman" w:eastAsia="Times New Roman" w:hAnsi="Times New Roman"/>
          <w:sz w:val="12"/>
          <w:szCs w:val="12"/>
          <w:i w:val="1"/>
          <w:iCs w:val="1"/>
          <w:color w:val="auto"/>
        </w:rPr>
        <w:t>Spectra A&amp;D Acquisition, Inc.</w:t>
      </w:r>
    </w:p>
    <w:p>
      <w:pPr>
        <w:jc w:val="center"/>
        <w:ind w:right="1400"/>
        <w:spacing w:after="0"/>
        <w:rPr>
          <w:sz w:val="20"/>
          <w:szCs w:val="20"/>
          <w:color w:val="auto"/>
        </w:rPr>
      </w:pPr>
      <w:r>
        <w:rPr>
          <w:rFonts w:ascii="Times New Roman" w:cs="Times New Roman" w:eastAsia="Times New Roman" w:hAnsi="Times New Roman"/>
          <w:sz w:val="13"/>
          <w:szCs w:val="13"/>
          <w:i w:val="1"/>
          <w:iCs w:val="1"/>
          <w:color w:val="auto"/>
        </w:rPr>
        <w:t>(fka FDS Avionics Corp.)</w:t>
      </w:r>
    </w:p>
    <w:p>
      <w:pPr>
        <w:ind w:left="240"/>
        <w:spacing w:after="0" w:line="216" w:lineRule="auto"/>
        <w:rPr>
          <w:sz w:val="20"/>
          <w:szCs w:val="20"/>
          <w:color w:val="auto"/>
        </w:rPr>
      </w:pPr>
      <w:r>
        <w:rPr>
          <w:rFonts w:ascii="Times New Roman" w:cs="Times New Roman" w:eastAsia="Times New Roman" w:hAnsi="Times New Roman"/>
          <w:sz w:val="13"/>
          <w:szCs w:val="13"/>
          <w:color w:val="auto"/>
        </w:rPr>
        <w:t>6435 Shiloh Road, Suite D First Lien Debt (k)(ag)</w:t>
      </w:r>
    </w:p>
    <w:p>
      <w:pPr>
        <w:ind w:left="1680" w:hanging="1421"/>
        <w:spacing w:after="0" w:line="216" w:lineRule="auto"/>
        <w:tabs>
          <w:tab w:leader="none" w:pos="1660" w:val="left"/>
        </w:tabs>
        <w:rPr>
          <w:sz w:val="20"/>
          <w:szCs w:val="20"/>
          <w:color w:val="auto"/>
        </w:rPr>
      </w:pPr>
      <w:r>
        <w:rPr>
          <w:rFonts w:ascii="Times New Roman" w:cs="Times New Roman" w:eastAsia="Times New Roman" w:hAnsi="Times New Roman"/>
          <w:sz w:val="13"/>
          <w:szCs w:val="13"/>
          <w:color w:val="auto"/>
        </w:rPr>
        <w:t>Alpharetta, GA 30005</w:t>
      </w:r>
      <w:r>
        <w:rPr>
          <w:sz w:val="20"/>
          <w:szCs w:val="20"/>
          <w:color w:val="auto"/>
        </w:rPr>
        <w:tab/>
      </w:r>
      <w:r>
        <w:rPr>
          <w:rFonts w:ascii="Times New Roman" w:cs="Times New Roman" w:eastAsia="Times New Roman" w:hAnsi="Times New Roman"/>
          <w:sz w:val="13"/>
          <w:szCs w:val="13"/>
          <w:color w:val="auto"/>
        </w:rPr>
        <w:t>Common Equity (12,035 units) (j)</w:t>
      </w:r>
    </w:p>
    <w:p>
      <w:pPr>
        <w:ind w:left="1680"/>
        <w:spacing w:after="0" w:line="236" w:lineRule="auto"/>
        <w:rPr>
          <w:sz w:val="20"/>
          <w:szCs w:val="20"/>
          <w:color w:val="auto"/>
        </w:rPr>
      </w:pPr>
      <w:r>
        <w:rPr>
          <w:rFonts w:ascii="Times New Roman" w:cs="Times New Roman" w:eastAsia="Times New Roman" w:hAnsi="Times New Roman"/>
          <w:sz w:val="12"/>
          <w:szCs w:val="12"/>
          <w:color w:val="auto"/>
        </w:rPr>
        <w:t>Common Equity (38,493</w:t>
      </w:r>
    </w:p>
    <w:p>
      <w:pPr>
        <w:ind w:left="1680"/>
        <w:spacing w:after="0" w:line="217" w:lineRule="auto"/>
        <w:rPr>
          <w:sz w:val="20"/>
          <w:szCs w:val="20"/>
          <w:color w:val="auto"/>
        </w:rPr>
      </w:pPr>
      <w:r>
        <w:rPr>
          <w:rFonts w:ascii="Times New Roman" w:cs="Times New Roman" w:eastAsia="Times New Roman" w:hAnsi="Times New Roman"/>
          <w:sz w:val="13"/>
          <w:szCs w:val="13"/>
          <w:color w:val="auto"/>
        </w:rPr>
        <w:t>units) (j)</w:t>
      </w:r>
    </w:p>
    <w:p>
      <w:pPr>
        <w:ind w:left="1680"/>
        <w:spacing w:after="0" w:line="216" w:lineRule="auto"/>
        <w:rPr>
          <w:sz w:val="20"/>
          <w:szCs w:val="20"/>
          <w:color w:val="auto"/>
        </w:rPr>
      </w:pPr>
      <w:r>
        <w:rPr>
          <w:rFonts w:ascii="Times New Roman" w:cs="Times New Roman" w:eastAsia="Times New Roman" w:hAnsi="Times New Roman"/>
          <w:sz w:val="13"/>
          <w:szCs w:val="13"/>
          <w:color w:val="auto"/>
        </w:rPr>
        <w:t>Common Equity (6,783</w:t>
      </w:r>
    </w:p>
    <w:p>
      <w:pPr>
        <w:ind w:left="1680"/>
        <w:spacing w:after="0" w:line="217" w:lineRule="auto"/>
        <w:rPr>
          <w:sz w:val="20"/>
          <w:szCs w:val="20"/>
          <w:color w:val="auto"/>
        </w:rPr>
      </w:pPr>
      <w:r>
        <w:rPr>
          <w:rFonts w:ascii="Times New Roman" w:cs="Times New Roman" w:eastAsia="Times New Roman" w:hAnsi="Times New Roman"/>
          <w:sz w:val="13"/>
          <w:szCs w:val="13"/>
          <w:color w:val="auto"/>
        </w:rPr>
        <w:t>units) (j)</w:t>
      </w:r>
    </w:p>
    <w:p>
      <w:pPr>
        <w:ind w:left="1680"/>
        <w:spacing w:after="0" w:line="217" w:lineRule="auto"/>
        <w:rPr>
          <w:sz w:val="20"/>
          <w:szCs w:val="20"/>
          <w:color w:val="auto"/>
        </w:rPr>
      </w:pPr>
      <w:r>
        <w:rPr>
          <w:rFonts w:ascii="Times New Roman" w:cs="Times New Roman" w:eastAsia="Times New Roman" w:hAnsi="Times New Roman"/>
          <w:sz w:val="13"/>
          <w:szCs w:val="13"/>
          <w:color w:val="auto"/>
        </w:rPr>
        <w:t>Common Equity (4,663</w:t>
      </w:r>
    </w:p>
    <w:p>
      <w:pPr>
        <w:ind w:left="1680"/>
        <w:spacing w:after="0"/>
        <w:rPr>
          <w:sz w:val="20"/>
          <w:szCs w:val="20"/>
          <w:color w:val="auto"/>
        </w:rPr>
      </w:pPr>
      <w:r>
        <w:rPr>
          <w:rFonts w:ascii="Times New Roman" w:cs="Times New Roman" w:eastAsia="Times New Roman" w:hAnsi="Times New Roman"/>
          <w:sz w:val="13"/>
          <w:szCs w:val="13"/>
          <w:color w:val="auto"/>
        </w:rPr>
        <w:t>units) (j)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Aerospace &amp; Defense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Manufacturing</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2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+ 6.00%) / (1.00%)  11.56%/0.00%</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2/12/2021</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2/11/2026</w:t>
            </w: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15,000   14,959</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13,879</w:t>
            </w:r>
          </w:p>
        </w:tc>
        <w:tc>
          <w:tcPr>
            <w:tcW w:w="440" w:type="dxa"/>
            <w:vAlign w:val="bottom"/>
          </w:tcPr>
          <w:p>
            <w:pPr>
              <w:spacing w:after="0"/>
              <w:rPr>
                <w:sz w:val="14"/>
                <w:szCs w:val="14"/>
                <w:color w:val="auto"/>
              </w:rPr>
            </w:pPr>
          </w:p>
        </w:tc>
      </w:tr>
      <w:tr>
        <w:trPr>
          <w:trHeight w:val="270"/>
        </w:trPr>
        <w:tc>
          <w:tcPr>
            <w:tcW w:w="2500" w:type="dxa"/>
            <w:vAlign w:val="bottom"/>
          </w:tcPr>
          <w:p>
            <w:pPr>
              <w:jc w:val="right"/>
              <w:ind w:right="2097"/>
              <w:spacing w:after="0"/>
              <w:rPr>
                <w:sz w:val="20"/>
                <w:szCs w:val="20"/>
                <w:color w:val="auto"/>
              </w:rPr>
            </w:pPr>
            <w:r>
              <w:rPr>
                <w:rFonts w:ascii="Times New Roman" w:cs="Times New Roman" w:eastAsia="Times New Roman" w:hAnsi="Times New Roman"/>
                <w:sz w:val="13"/>
                <w:szCs w:val="13"/>
                <w:color w:val="auto"/>
                <w:w w:val="95"/>
              </w:rPr>
              <w:t>1.54%</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8/25/2021</w:t>
            </w:r>
          </w:p>
        </w:tc>
        <w:tc>
          <w:tcPr>
            <w:tcW w:w="740" w:type="dxa"/>
            <w:vAlign w:val="bottom"/>
          </w:tcPr>
          <w:p>
            <w:pPr>
              <w:spacing w:after="0"/>
              <w:rPr>
                <w:sz w:val="23"/>
                <w:szCs w:val="23"/>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1,204</w:t>
            </w:r>
          </w:p>
        </w:tc>
        <w:tc>
          <w:tcPr>
            <w:tcW w:w="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3"/>
                <w:szCs w:val="23"/>
                <w:color w:val="auto"/>
              </w:rPr>
            </w:pPr>
          </w:p>
        </w:tc>
      </w:tr>
      <w:tr>
        <w:trPr>
          <w:trHeight w:val="270"/>
        </w:trPr>
        <w:tc>
          <w:tcPr>
            <w:tcW w:w="2500" w:type="dxa"/>
            <w:vAlign w:val="bottom"/>
          </w:tcPr>
          <w:p>
            <w:pPr>
              <w:jc w:val="right"/>
              <w:ind w:right="2097"/>
              <w:spacing w:after="0"/>
              <w:rPr>
                <w:sz w:val="20"/>
                <w:szCs w:val="20"/>
                <w:color w:val="auto"/>
              </w:rPr>
            </w:pPr>
            <w:r>
              <w:rPr>
                <w:rFonts w:ascii="Times New Roman" w:cs="Times New Roman" w:eastAsia="Times New Roman" w:hAnsi="Times New Roman"/>
                <w:sz w:val="13"/>
                <w:szCs w:val="13"/>
                <w:color w:val="auto"/>
                <w:w w:val="95"/>
              </w:rPr>
              <w:t>4.80%</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12/16/2022</w:t>
            </w:r>
          </w:p>
        </w:tc>
        <w:tc>
          <w:tcPr>
            <w:tcW w:w="740" w:type="dxa"/>
            <w:vAlign w:val="bottom"/>
          </w:tcPr>
          <w:p>
            <w:pPr>
              <w:spacing w:after="0"/>
              <w:rPr>
                <w:sz w:val="23"/>
                <w:szCs w:val="23"/>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2,609</w:t>
            </w:r>
          </w:p>
        </w:tc>
        <w:tc>
          <w:tcPr>
            <w:tcW w:w="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3"/>
                <w:szCs w:val="23"/>
                <w:color w:val="auto"/>
              </w:rPr>
            </w:pPr>
          </w:p>
        </w:tc>
      </w:tr>
      <w:tr>
        <w:trPr>
          <w:trHeight w:val="270"/>
        </w:trPr>
        <w:tc>
          <w:tcPr>
            <w:tcW w:w="2500" w:type="dxa"/>
            <w:vAlign w:val="bottom"/>
          </w:tcPr>
          <w:p>
            <w:pPr>
              <w:jc w:val="right"/>
              <w:ind w:right="2097"/>
              <w:spacing w:after="0"/>
              <w:rPr>
                <w:sz w:val="20"/>
                <w:szCs w:val="20"/>
                <w:color w:val="auto"/>
              </w:rPr>
            </w:pPr>
            <w:r>
              <w:rPr>
                <w:rFonts w:ascii="Times New Roman" w:cs="Times New Roman" w:eastAsia="Times New Roman" w:hAnsi="Times New Roman"/>
                <w:sz w:val="13"/>
                <w:szCs w:val="13"/>
                <w:color w:val="auto"/>
                <w:w w:val="95"/>
              </w:rPr>
              <w:t>0.80%</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7/10/2023</w:t>
            </w:r>
          </w:p>
        </w:tc>
        <w:tc>
          <w:tcPr>
            <w:tcW w:w="740" w:type="dxa"/>
            <w:vAlign w:val="bottom"/>
          </w:tcPr>
          <w:p>
            <w:pPr>
              <w:spacing w:after="0"/>
              <w:rPr>
                <w:sz w:val="23"/>
                <w:szCs w:val="23"/>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686</w:t>
            </w:r>
          </w:p>
        </w:tc>
        <w:tc>
          <w:tcPr>
            <w:tcW w:w="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3"/>
                <w:szCs w:val="23"/>
                <w:color w:val="auto"/>
              </w:rPr>
            </w:pPr>
          </w:p>
        </w:tc>
      </w:tr>
      <w:tr>
        <w:trPr>
          <w:trHeight w:val="241"/>
        </w:trPr>
        <w:tc>
          <w:tcPr>
            <w:tcW w:w="2500" w:type="dxa"/>
            <w:vAlign w:val="bottom"/>
          </w:tcPr>
          <w:p>
            <w:pPr>
              <w:jc w:val="right"/>
              <w:ind w:right="2097"/>
              <w:spacing w:after="0"/>
              <w:rPr>
                <w:sz w:val="20"/>
                <w:szCs w:val="20"/>
                <w:color w:val="auto"/>
              </w:rPr>
            </w:pPr>
            <w:r>
              <w:rPr>
                <w:rFonts w:ascii="Times New Roman" w:cs="Times New Roman" w:eastAsia="Times New Roman" w:hAnsi="Times New Roman"/>
                <w:sz w:val="13"/>
                <w:szCs w:val="13"/>
                <w:color w:val="auto"/>
                <w:w w:val="95"/>
              </w:rPr>
              <w:t>0.61%</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9/16/2022</w:t>
            </w:r>
          </w:p>
        </w:tc>
        <w:tc>
          <w:tcPr>
            <w:tcW w:w="740" w:type="dxa"/>
            <w:vAlign w:val="bottom"/>
          </w:tcPr>
          <w:p>
            <w:pPr>
              <w:spacing w:after="0"/>
              <w:rPr>
                <w:sz w:val="20"/>
                <w:szCs w:val="20"/>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472</w:t>
            </w:r>
          </w:p>
        </w:tc>
        <w:tc>
          <w:tcPr>
            <w:tcW w:w="76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0"/>
                <w:szCs w:val="20"/>
                <w:color w:val="auto"/>
              </w:rPr>
            </w:pPr>
          </w:p>
        </w:tc>
      </w:tr>
      <w:tr>
        <w:trPr>
          <w:trHeight w:val="164"/>
        </w:trPr>
        <w:tc>
          <w:tcPr>
            <w:tcW w:w="2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19,930</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13,879</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-777875</wp:posOffset>
            </wp:positionV>
            <wp:extent cx="699516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-434975</wp:posOffset>
            </wp:positionV>
            <wp:extent cx="699516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-92075</wp:posOffset>
            </wp:positionV>
            <wp:extent cx="6995160"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-1043940</wp:posOffset>
            </wp:positionV>
            <wp:extent cx="699516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3">
            <w:col w:w="2920" w:space="140"/>
            <w:col w:w="1100" w:space="480"/>
            <w:col w:w="6320"/>
          </w:cols>
          <w:pgMar w:left="440" w:top="302" w:right="49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Steward Holding LLC (dba</w:t>
            </w:r>
          </w:p>
        </w:tc>
        <w:tc>
          <w:tcPr>
            <w:tcW w:w="2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i w:val="1"/>
                <w:iCs w:val="1"/>
                <w:color w:val="auto"/>
              </w:rPr>
              <w:t>Steward Advanced</w:t>
            </w:r>
          </w:p>
        </w:tc>
        <w:tc>
          <w:tcPr>
            <w:tcW w:w="2560" w:type="dxa"/>
            <w:vAlign w:val="bottom"/>
          </w:tcPr>
          <w:p>
            <w:pPr>
              <w:ind w:left="1460"/>
              <w:spacing w:after="0" w:line="135" w:lineRule="exact"/>
              <w:rPr>
                <w:sz w:val="20"/>
                <w:szCs w:val="20"/>
                <w:color w:val="auto"/>
              </w:rPr>
            </w:pPr>
            <w:r>
              <w:rPr>
                <w:rFonts w:ascii="Times New Roman" w:cs="Times New Roman" w:eastAsia="Times New Roman" w:hAnsi="Times New Roman"/>
                <w:sz w:val="13"/>
                <w:szCs w:val="13"/>
                <w:color w:val="auto"/>
                <w:w w:val="94"/>
              </w:rPr>
              <w:t>Aerospace &amp; Defense</w:t>
            </w:r>
          </w:p>
        </w:tc>
        <w:tc>
          <w:tcPr>
            <w:tcW w:w="0" w:type="dxa"/>
            <w:vAlign w:val="bottom"/>
          </w:tcPr>
          <w:p>
            <w:pPr>
              <w:spacing w:after="0"/>
              <w:rPr>
                <w:sz w:val="1"/>
                <w:szCs w:val="1"/>
                <w:color w:val="auto"/>
              </w:rPr>
            </w:pPr>
          </w:p>
        </w:tc>
      </w:tr>
      <w:tr>
        <w:trPr>
          <w:trHeight w:val="137"/>
        </w:trPr>
        <w:tc>
          <w:tcPr>
            <w:tcW w:w="1600" w:type="dxa"/>
            <w:vAlign w:val="bottom"/>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Materials)</w:t>
            </w:r>
          </w:p>
        </w:tc>
        <w:tc>
          <w:tcPr>
            <w:tcW w:w="2560" w:type="dxa"/>
            <w:vAlign w:val="bottom"/>
          </w:tcPr>
          <w:p>
            <w:pPr>
              <w:ind w:left="1460"/>
              <w:spacing w:after="0" w:line="137" w:lineRule="exact"/>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35"/>
        </w:trPr>
        <w:tc>
          <w:tcPr>
            <w:tcW w:w="160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1245 E 38th St.</w:t>
            </w: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0" w:type="dxa"/>
            <w:vAlign w:val="bottom"/>
          </w:tcPr>
          <w:p>
            <w:pPr>
              <w:spacing w:after="0"/>
              <w:rPr>
                <w:sz w:val="1"/>
                <w:szCs w:val="1"/>
                <w:color w:val="auto"/>
              </w:rPr>
            </w:pPr>
          </w:p>
        </w:tc>
      </w:tr>
      <w:tr>
        <w:trPr>
          <w:trHeight w:val="164"/>
        </w:trPr>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Chattanooga, TN 37407</w:t>
            </w:r>
          </w:p>
        </w:tc>
        <w:tc>
          <w:tcPr>
            <w:tcW w:w="2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(1,000,000 units)</w:t>
            </w:r>
          </w:p>
        </w:tc>
        <w:tc>
          <w:tcPr>
            <w:tcW w:w="0" w:type="dxa"/>
            <w:vAlign w:val="bottom"/>
          </w:tcPr>
          <w:p>
            <w:pPr>
              <w:spacing w:after="0"/>
              <w:rPr>
                <w:sz w:val="1"/>
                <w:szCs w:val="1"/>
                <w:color w:val="auto"/>
              </w:rPr>
            </w:pPr>
          </w:p>
        </w:tc>
      </w:tr>
      <w:tr>
        <w:trPr>
          <w:trHeight w:val="131"/>
        </w:trPr>
        <w:tc>
          <w:tcPr>
            <w:tcW w:w="1600" w:type="dxa"/>
            <w:vAlign w:val="bottom"/>
            <w:vMerge w:val="continue"/>
          </w:tcPr>
          <w:p>
            <w:pPr>
              <w:spacing w:after="0"/>
              <w:rPr>
                <w:sz w:val="11"/>
                <w:szCs w:val="11"/>
                <w:color w:val="auto"/>
              </w:rPr>
            </w:pP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Affiliate Investments</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w:t>
            </w: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60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2KDirect, Inc. (dba iPromote)</w:t>
            </w:r>
          </w:p>
        </w:tc>
        <w:tc>
          <w:tcPr>
            <w:tcW w:w="25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560" w:type="dxa"/>
            <w:vAlign w:val="bottom"/>
          </w:tcPr>
          <w:p>
            <w:pPr>
              <w:ind w:left="1460"/>
              <w:spacing w:after="0" w:line="135" w:lineRule="exact"/>
              <w:rPr>
                <w:sz w:val="20"/>
                <w:szCs w:val="20"/>
                <w:color w:val="auto"/>
              </w:rPr>
            </w:pPr>
            <w:r>
              <w:rPr>
                <w:rFonts w:ascii="Times New Roman" w:cs="Times New Roman" w:eastAsia="Times New Roman" w:hAnsi="Times New Roman"/>
                <w:sz w:val="13"/>
                <w:szCs w:val="13"/>
                <w:color w:val="auto"/>
                <w:w w:val="98"/>
              </w:rPr>
              <w:t>Technology Services</w:t>
            </w:r>
          </w:p>
        </w:tc>
        <w:tc>
          <w:tcPr>
            <w:tcW w:w="0" w:type="dxa"/>
            <w:vAlign w:val="bottom"/>
          </w:tcPr>
          <w:p>
            <w:pPr>
              <w:spacing w:after="0"/>
              <w:rPr>
                <w:sz w:val="1"/>
                <w:szCs w:val="1"/>
                <w:color w:val="auto"/>
              </w:rPr>
            </w:pPr>
          </w:p>
        </w:tc>
      </w:tr>
      <w:tr>
        <w:trPr>
          <w:trHeight w:val="135"/>
        </w:trPr>
        <w:tc>
          <w:tcPr>
            <w:tcW w:w="160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3000 Broad St; Suite 115</w:t>
            </w: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 Lien Debt (k)(at)</w:t>
            </w:r>
          </w:p>
        </w:tc>
        <w:tc>
          <w:tcPr>
            <w:tcW w:w="0" w:type="dxa"/>
            <w:vAlign w:val="bottom"/>
          </w:tcPr>
          <w:p>
            <w:pPr>
              <w:spacing w:after="0"/>
              <w:rPr>
                <w:sz w:val="1"/>
                <w:szCs w:val="1"/>
                <w:color w:val="auto"/>
              </w:rPr>
            </w:pPr>
          </w:p>
        </w:tc>
      </w:tr>
      <w:tr>
        <w:trPr>
          <w:trHeight w:val="135"/>
        </w:trPr>
        <w:tc>
          <w:tcPr>
            <w:tcW w:w="160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San Luis Obispo, CA</w:t>
            </w: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 Lien Debt (j)(aa)</w:t>
            </w:r>
          </w:p>
        </w:tc>
        <w:tc>
          <w:tcPr>
            <w:tcW w:w="0" w:type="dxa"/>
            <w:vAlign w:val="bottom"/>
          </w:tcPr>
          <w:p>
            <w:pPr>
              <w:spacing w:after="0"/>
              <w:rPr>
                <w:sz w:val="1"/>
                <w:szCs w:val="1"/>
                <w:color w:val="auto"/>
              </w:rPr>
            </w:pPr>
          </w:p>
        </w:tc>
      </w:tr>
      <w:tr>
        <w:trPr>
          <w:trHeight w:val="164"/>
        </w:trPr>
        <w:tc>
          <w:tcPr>
            <w:tcW w:w="16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93401</w:t>
            </w:r>
          </w:p>
        </w:tc>
        <w:tc>
          <w:tcPr>
            <w:tcW w:w="2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Common Equity</w:t>
            </w:r>
          </w:p>
        </w:tc>
        <w:tc>
          <w:tcPr>
            <w:tcW w:w="0" w:type="dxa"/>
            <w:vAlign w:val="bottom"/>
          </w:tcPr>
          <w:p>
            <w:pPr>
              <w:spacing w:after="0"/>
              <w:rPr>
                <w:sz w:val="1"/>
                <w:szCs w:val="1"/>
                <w:color w:val="auto"/>
              </w:rPr>
            </w:pPr>
          </w:p>
        </w:tc>
      </w:tr>
      <w:tr>
        <w:trPr>
          <w:trHeight w:val="106"/>
        </w:trPr>
        <w:tc>
          <w:tcPr>
            <w:tcW w:w="160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(1,000,000 units)</w:t>
            </w:r>
          </w:p>
        </w:tc>
        <w:tc>
          <w:tcPr>
            <w:tcW w:w="0" w:type="dxa"/>
            <w:vAlign w:val="bottom"/>
          </w:tcPr>
          <w:p>
            <w:pPr>
              <w:spacing w:after="0"/>
              <w:rPr>
                <w:sz w:val="1"/>
                <w:szCs w:val="1"/>
                <w:color w:val="auto"/>
              </w:rPr>
            </w:pPr>
          </w:p>
        </w:tc>
      </w:tr>
      <w:tr>
        <w:trPr>
          <w:trHeight w:val="333"/>
        </w:trPr>
        <w:tc>
          <w:tcPr>
            <w:tcW w:w="1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w w:val="98"/>
              </w:rPr>
              <w:t>301 Edison Holdings Inc. (dba</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00" w:type="dxa"/>
            <w:vAlign w:val="bottom"/>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LGG Industrial)</w:t>
            </w:r>
          </w:p>
        </w:tc>
        <w:tc>
          <w:tcPr>
            <w:tcW w:w="2560" w:type="dxa"/>
            <w:vAlign w:val="bottom"/>
          </w:tcPr>
          <w:p>
            <w:pPr>
              <w:ind w:left="1460"/>
              <w:spacing w:after="0" w:line="137" w:lineRule="exact"/>
              <w:rPr>
                <w:sz w:val="20"/>
                <w:szCs w:val="20"/>
                <w:color w:val="auto"/>
              </w:rPr>
            </w:pPr>
            <w:r>
              <w:rPr>
                <w:rFonts w:ascii="Times New Roman" w:cs="Times New Roman" w:eastAsia="Times New Roman" w:hAnsi="Times New Roman"/>
                <w:sz w:val="13"/>
                <w:szCs w:val="13"/>
                <w:color w:val="auto"/>
                <w:w w:val="94"/>
              </w:rPr>
              <w:t>Specialty Distribution</w:t>
            </w:r>
          </w:p>
        </w:tc>
        <w:tc>
          <w:tcPr>
            <w:tcW w:w="0" w:type="dxa"/>
            <w:vAlign w:val="bottom"/>
          </w:tcPr>
          <w:p>
            <w:pPr>
              <w:spacing w:after="0"/>
              <w:rPr>
                <w:sz w:val="1"/>
                <w:szCs w:val="1"/>
                <w:color w:val="auto"/>
              </w:rPr>
            </w:pPr>
          </w:p>
        </w:tc>
      </w:tr>
      <w:tr>
        <w:trPr>
          <w:trHeight w:val="135"/>
        </w:trPr>
        <w:tc>
          <w:tcPr>
            <w:tcW w:w="160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650 Washington Road,</w:t>
            </w: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500</w:t>
            </w: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0" w:type="dxa"/>
            <w:vAlign w:val="bottom"/>
          </w:tcPr>
          <w:p>
            <w:pPr>
              <w:spacing w:after="0"/>
              <w:rPr>
                <w:sz w:val="1"/>
                <w:szCs w:val="1"/>
                <w:color w:val="auto"/>
              </w:rPr>
            </w:pPr>
          </w:p>
        </w:tc>
      </w:tr>
      <w:tr>
        <w:trPr>
          <w:trHeight w:val="135"/>
        </w:trPr>
        <w:tc>
          <w:tcPr>
            <w:tcW w:w="160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Pittsburgh, PA 15228</w:t>
            </w: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(519,244 units) (j)</w:t>
            </w:r>
          </w:p>
        </w:tc>
        <w:tc>
          <w:tcPr>
            <w:tcW w:w="0" w:type="dxa"/>
            <w:vAlign w:val="bottom"/>
          </w:tcPr>
          <w:p>
            <w:pPr>
              <w:spacing w:after="0"/>
              <w:rPr>
                <w:sz w:val="1"/>
                <w:szCs w:val="1"/>
                <w:color w:val="auto"/>
              </w:rPr>
            </w:pPr>
          </w:p>
        </w:tc>
      </w:tr>
      <w:tr>
        <w:trPr>
          <w:trHeight w:val="335"/>
        </w:trPr>
        <w:tc>
          <w:tcPr>
            <w:tcW w:w="16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Acendre Midco, Inc.</w:t>
            </w:r>
          </w:p>
        </w:tc>
        <w:tc>
          <w:tcPr>
            <w:tcW w:w="256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64"/>
        </w:trPr>
        <w:tc>
          <w:tcPr>
            <w:tcW w:w="1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4350 N Fairfax Drive,</w:t>
            </w:r>
          </w:p>
        </w:tc>
        <w:tc>
          <w:tcPr>
            <w:tcW w:w="2560" w:type="dxa"/>
            <w:vAlign w:val="bottom"/>
          </w:tcPr>
          <w:p>
            <w:pPr>
              <w:ind w:left="1460"/>
              <w:spacing w:after="0"/>
              <w:rPr>
                <w:sz w:val="20"/>
                <w:szCs w:val="20"/>
                <w:color w:val="auto"/>
              </w:rPr>
            </w:pPr>
            <w:r>
              <w:rPr>
                <w:rFonts w:ascii="Times New Roman" w:cs="Times New Roman" w:eastAsia="Times New Roman" w:hAnsi="Times New Roman"/>
                <w:sz w:val="13"/>
                <w:szCs w:val="13"/>
                <w:color w:val="auto"/>
                <w:w w:val="98"/>
              </w:rPr>
              <w:t>Technology Services</w:t>
            </w:r>
          </w:p>
        </w:tc>
        <w:tc>
          <w:tcPr>
            <w:tcW w:w="0" w:type="dxa"/>
            <w:vAlign w:val="bottom"/>
          </w:tcPr>
          <w:p>
            <w:pPr>
              <w:spacing w:after="0"/>
              <w:rPr>
                <w:sz w:val="1"/>
                <w:szCs w:val="1"/>
                <w:color w:val="auto"/>
              </w:rPr>
            </w:pPr>
          </w:p>
        </w:tc>
      </w:tr>
      <w:tr>
        <w:trPr>
          <w:trHeight w:val="106"/>
        </w:trPr>
        <w:tc>
          <w:tcPr>
            <w:tcW w:w="1600" w:type="dxa"/>
            <w:vAlign w:val="bottom"/>
            <w:vMerge w:val="continue"/>
          </w:tcPr>
          <w:p>
            <w:pPr>
              <w:spacing w:after="0"/>
              <w:rPr>
                <w:sz w:val="9"/>
                <w:szCs w:val="9"/>
                <w:color w:val="auto"/>
              </w:rPr>
            </w:pP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830</w:t>
            </w: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0" w:type="dxa"/>
            <w:vAlign w:val="bottom"/>
          </w:tcPr>
          <w:p>
            <w:pPr>
              <w:spacing w:after="0"/>
              <w:rPr>
                <w:sz w:val="1"/>
                <w:szCs w:val="1"/>
                <w:color w:val="auto"/>
              </w:rPr>
            </w:pPr>
          </w:p>
        </w:tc>
      </w:tr>
      <w:tr>
        <w:trPr>
          <w:trHeight w:val="135"/>
        </w:trPr>
        <w:tc>
          <w:tcPr>
            <w:tcW w:w="160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Arlington, VA 22203</w:t>
            </w: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Revolving Loan (j)</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Common</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Equity (500,000</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shares) (j)</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Warrant (150,000 shares)</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(j)(m)</w:t>
            </w: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25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0" w:type="dxa"/>
            <w:vAlign w:val="bottom"/>
          </w:tcPr>
          <w:p>
            <w:pPr>
              <w:spacing w:after="0"/>
              <w:rPr>
                <w:sz w:val="1"/>
                <w:szCs w:val="1"/>
                <w:color w:val="auto"/>
              </w:rPr>
            </w:pPr>
          </w:p>
        </w:tc>
      </w:tr>
      <w:tr>
        <w:trPr>
          <w:trHeight w:val="164"/>
        </w:trPr>
        <w:tc>
          <w:tcPr>
            <w:tcW w:w="160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(77,016 shares) (j)</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64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95"/>
              </w:rPr>
              <w:t>5.80%</w:t>
            </w:r>
          </w:p>
        </w:tc>
        <w:tc>
          <w:tcPr>
            <w:tcW w:w="86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11/12/2015</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4,405</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4"/>
        </w:trPr>
        <w:tc>
          <w:tcPr>
            <w:tcW w:w="1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46,161</w:t>
            </w:r>
          </w:p>
        </w:tc>
        <w:tc>
          <w:tcPr>
            <w:tcW w:w="12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w w:val="96"/>
              </w:rPr>
              <w:t>$ 80,316</w:t>
            </w:r>
          </w:p>
        </w:tc>
        <w:tc>
          <w:tcPr>
            <w:tcW w:w="2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+ 6.75%) / (0.50%)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6/25/2021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6/25/2026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4"/>
              </w:rPr>
              <w:t>10,594</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$10,555</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$ 10,594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+ 6.75%) / (0.50%)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8.98%/0.00%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7/30/2021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6/25/2026</w:t>
            </w:r>
          </w:p>
        </w:tc>
        <w:tc>
          <w:tcPr>
            <w:tcW w:w="160" w:type="dxa"/>
            <w:vAlign w:val="bottom"/>
          </w:tcPr>
          <w:p>
            <w:pPr>
              <w:spacing w:after="0"/>
              <w:rPr>
                <w:sz w:val="23"/>
                <w:szCs w:val="23"/>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3,260</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3,260</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64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95"/>
              </w:rPr>
              <w:t>3.86%</w:t>
            </w:r>
          </w:p>
        </w:tc>
        <w:tc>
          <w:tcPr>
            <w:tcW w:w="8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6/25/2021</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523</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14,815</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14,377</w:t>
            </w:r>
          </w:p>
        </w:tc>
        <w:tc>
          <w:tcPr>
            <w:tcW w:w="2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1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11.75%/1.50%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11/14/2023</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11/13/2028</w:t>
            </w:r>
          </w:p>
        </w:tc>
        <w:tc>
          <w:tcPr>
            <w:tcW w:w="160" w:type="dxa"/>
            <w:vAlign w:val="bottom"/>
          </w:tcPr>
          <w:p>
            <w:pPr>
              <w:spacing w:after="0"/>
              <w:rPr>
                <w:sz w:val="24"/>
                <w:szCs w:val="2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4"/>
              </w:rPr>
              <w:t>12,372</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12,222</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12,222</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4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95"/>
              </w:rPr>
              <w:t>0.55%</w:t>
            </w:r>
          </w:p>
        </w:tc>
        <w:tc>
          <w:tcPr>
            <w:tcW w:w="8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11/14/2023</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1,000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13,222</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13,222</w:t>
            </w:r>
          </w:p>
        </w:tc>
        <w:tc>
          <w:tcPr>
            <w:tcW w:w="2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74"/>
        </w:trPr>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+ 7.75%) / (0.50%)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10/6/2021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10/6/2026</w:t>
            </w:r>
          </w:p>
        </w:tc>
        <w:tc>
          <w:tcPr>
            <w:tcW w:w="160" w:type="dxa"/>
            <w:vAlign w:val="bottom"/>
          </w:tcPr>
          <w:p>
            <w:pPr>
              <w:spacing w:after="0"/>
              <w:rPr>
                <w:sz w:val="24"/>
                <w:szCs w:val="2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5,445</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5,437</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5,445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(S + 7.75%) / (0.50%)</w:t>
            </w: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13.34%/0.00%</w:t>
            </w: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10/6/2021</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10/6/2026</w:t>
            </w:r>
          </w:p>
        </w:tc>
        <w:tc>
          <w:tcPr>
            <w:tcW w:w="160" w:type="dxa"/>
            <w:vAlign w:val="bottom"/>
          </w:tcPr>
          <w:p>
            <w:pPr>
              <w:spacing w:after="0"/>
              <w:rPr>
                <w:sz w:val="11"/>
                <w:szCs w:val="11"/>
                <w:color w:val="auto"/>
              </w:rPr>
            </w:pPr>
          </w:p>
        </w:tc>
        <w:tc>
          <w:tcPr>
            <w:tcW w:w="4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w w:val="94"/>
              </w:rPr>
              <w:t>12,375</w:t>
            </w:r>
          </w:p>
        </w:tc>
        <w:tc>
          <w:tcPr>
            <w:tcW w:w="4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12,341</w:t>
            </w:r>
          </w:p>
        </w:tc>
        <w:tc>
          <w:tcPr>
            <w:tcW w:w="840" w:type="dxa"/>
            <w:vAlign w:val="bottom"/>
            <w:gridSpan w:val="3"/>
          </w:tcPr>
          <w:p>
            <w:pPr>
              <w:jc w:val="right"/>
              <w:ind w:right="260"/>
              <w:spacing w:after="0" w:line="135" w:lineRule="exact"/>
              <w:rPr>
                <w:sz w:val="20"/>
                <w:szCs w:val="20"/>
                <w:color w:val="auto"/>
              </w:rPr>
            </w:pPr>
            <w:r>
              <w:rPr>
                <w:rFonts w:ascii="Times New Roman" w:cs="Times New Roman" w:eastAsia="Times New Roman" w:hAnsi="Times New Roman"/>
                <w:sz w:val="13"/>
                <w:szCs w:val="13"/>
                <w:color w:val="auto"/>
              </w:rPr>
              <w:t>12,375</w:t>
            </w: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+ 7.75%) / (0.50%)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13.34%/0.00%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10/6/2021</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10/6/2026</w:t>
            </w:r>
          </w:p>
        </w:tc>
        <w:tc>
          <w:tcPr>
            <w:tcW w:w="16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1,000</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1,000</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64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95"/>
              </w:rPr>
              <w:t>0.78%</w:t>
            </w:r>
          </w:p>
        </w:tc>
        <w:tc>
          <w:tcPr>
            <w:tcW w:w="86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10/6/2021</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469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4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rPr>
              <w:t>0.2%</w:t>
            </w:r>
          </w:p>
        </w:tc>
        <w:tc>
          <w:tcPr>
            <w:tcW w:w="86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10/6/2021</w:t>
            </w: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141</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64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rPr>
              <w:t>0.0%</w:t>
            </w:r>
          </w:p>
        </w:tc>
        <w:tc>
          <w:tcPr>
            <w:tcW w:w="8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9/26/2022</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143</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19,366</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19,573</w:t>
            </w:r>
          </w:p>
        </w:tc>
        <w:tc>
          <w:tcPr>
            <w:tcW w:w="26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-2948305</wp:posOffset>
            </wp:positionH>
            <wp:positionV relativeFrom="paragraph">
              <wp:posOffset>-3241040</wp:posOffset>
            </wp:positionV>
            <wp:extent cx="699516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-2966720</wp:posOffset>
            </wp:positionV>
            <wp:extent cx="6995160"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-2632710</wp:posOffset>
            </wp:positionV>
            <wp:extent cx="699516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-2375535</wp:posOffset>
            </wp:positionV>
            <wp:extent cx="699516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-2015490</wp:posOffset>
            </wp:positionV>
            <wp:extent cx="6995160" cy="85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-1715135</wp:posOffset>
            </wp:positionV>
            <wp:extent cx="699516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-1355090</wp:posOffset>
            </wp:positionV>
            <wp:extent cx="6995160"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-1055370</wp:posOffset>
            </wp:positionV>
            <wp:extent cx="699516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-798195</wp:posOffset>
            </wp:positionV>
            <wp:extent cx="6995160"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-455295</wp:posOffset>
            </wp:positionV>
            <wp:extent cx="699516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-2948305</wp:posOffset>
            </wp:positionH>
            <wp:positionV relativeFrom="paragraph">
              <wp:posOffset>-95250</wp:posOffset>
            </wp:positionV>
            <wp:extent cx="6995160"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9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2">
            <w:col w:w="4160" w:space="480"/>
            <w:col w:w="6320"/>
          </w:cols>
          <w:pgMar w:left="440" w:top="302" w:right="49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3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Percentage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of Class</w:t>
            </w:r>
          </w:p>
        </w:tc>
        <w:tc>
          <w:tcPr>
            <w:tcW w:w="12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4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Rate (e)</w:t>
            </w: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r>
      <w:tr>
        <w:trPr>
          <w:trHeight w:val="16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140" w:type="dxa"/>
            <w:vAlign w:val="bottom"/>
          </w:tcPr>
          <w:p>
            <w:pPr>
              <w:spacing w:after="0"/>
              <w:rPr>
                <w:sz w:val="14"/>
                <w:szCs w:val="14"/>
                <w:color w:val="auto"/>
              </w:rPr>
            </w:pPr>
          </w:p>
        </w:tc>
        <w:tc>
          <w:tcPr>
            <w:tcW w:w="138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80" w:type="dxa"/>
            <w:vAlign w:val="bottom"/>
          </w:tcPr>
          <w:p>
            <w:pPr>
              <w:spacing w:after="0"/>
              <w:rPr>
                <w:sz w:val="14"/>
                <w:szCs w:val="14"/>
                <w:color w:val="auto"/>
              </w:rPr>
            </w:pP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Held (aw)</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Cash/PIK</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Date (f)</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0"/>
              </w:rPr>
              <w:t>Net Assets</w:t>
            </w:r>
          </w:p>
        </w:tc>
      </w:tr>
      <w:tr>
        <w:trPr>
          <w:trHeight w:val="95"/>
        </w:trPr>
        <w:tc>
          <w:tcPr>
            <w:tcW w:w="1660" w:type="dxa"/>
            <w:vAlign w:val="bottom"/>
            <w:tcBorders>
              <w:top w:val="single" w:sz="8" w:color="CCEEFF"/>
            </w:tcBorders>
            <w:gridSpan w:val="2"/>
            <w:shd w:val="clear" w:color="auto" w:fill="CCEEFF"/>
          </w:tcPr>
          <w:p>
            <w:pPr>
              <w:spacing w:after="0" w:line="95" w:lineRule="exact"/>
              <w:rPr>
                <w:sz w:val="20"/>
                <w:szCs w:val="20"/>
                <w:color w:val="auto"/>
              </w:rPr>
            </w:pPr>
            <w:r>
              <w:rPr>
                <w:rFonts w:ascii="Times New Roman" w:cs="Times New Roman" w:eastAsia="Times New Roman" w:hAnsi="Times New Roman"/>
                <w:sz w:val="10"/>
                <w:szCs w:val="10"/>
                <w:i w:val="1"/>
                <w:iCs w:val="1"/>
                <w:color w:val="auto"/>
              </w:rPr>
              <w:t>Ad Info Parent, Inc. (dba</w:t>
            </w:r>
          </w:p>
        </w:tc>
        <w:tc>
          <w:tcPr>
            <w:tcW w:w="13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spacing w:after="0" w:line="95" w:lineRule="exact"/>
              <w:rPr>
                <w:sz w:val="20"/>
                <w:szCs w:val="20"/>
                <w:color w:val="auto"/>
              </w:rPr>
            </w:pPr>
            <w:r>
              <w:rPr>
                <w:rFonts w:ascii="Times New Roman" w:cs="Times New Roman" w:eastAsia="Times New Roman" w:hAnsi="Times New Roman"/>
                <w:sz w:val="10"/>
                <w:szCs w:val="10"/>
                <w:color w:val="auto"/>
              </w:rPr>
              <w:t>Information</w:t>
            </w: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r>
      <w:tr>
        <w:trPr>
          <w:trHeight w:val="162"/>
        </w:trPr>
        <w:tc>
          <w:tcPr>
            <w:tcW w:w="1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MediaRadar)</w:t>
            </w:r>
          </w:p>
        </w:tc>
        <w:tc>
          <w:tcPr>
            <w:tcW w:w="13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Technology Services</w:t>
            </w: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252 West 37th Street</w:t>
            </w:r>
          </w:p>
        </w:tc>
        <w:tc>
          <w:tcPr>
            <w:tcW w:w="1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(S + 6.25%) / (1.00%)</w:t>
            </w:r>
          </w:p>
        </w:tc>
        <w:tc>
          <w:tcPr>
            <w:tcW w:w="8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5"/>
              </w:rPr>
              <w:t>11.70%/0.00%</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11/1/2023</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9/16/2029</w:t>
            </w: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12,469</w:t>
            </w:r>
          </w:p>
        </w:tc>
        <w:tc>
          <w:tcPr>
            <w:tcW w:w="5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12,403</w:t>
            </w: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12,403</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17"/>
        </w:trPr>
        <w:tc>
          <w:tcPr>
            <w:tcW w:w="1660" w:type="dxa"/>
            <w:vAlign w:val="bottom"/>
            <w:gridSpan w:val="2"/>
            <w:shd w:val="clear" w:color="auto" w:fill="CCEEFF"/>
          </w:tcPr>
          <w:p>
            <w:pPr>
              <w:ind w:left="240"/>
              <w:spacing w:after="0" w:line="117" w:lineRule="exact"/>
              <w:rPr>
                <w:sz w:val="20"/>
                <w:szCs w:val="20"/>
                <w:color w:val="auto"/>
              </w:rPr>
            </w:pPr>
            <w:r>
              <w:rPr>
                <w:rFonts w:ascii="Times New Roman" w:cs="Times New Roman" w:eastAsia="Times New Roman" w:hAnsi="Times New Roman"/>
                <w:sz w:val="13"/>
                <w:szCs w:val="13"/>
                <w:color w:val="auto"/>
              </w:rPr>
              <w:t>New York, NY 10018</w:t>
            </w:r>
          </w:p>
        </w:tc>
        <w:tc>
          <w:tcPr>
            <w:tcW w:w="13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Revolving Loan ($1,442</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35"/>
        </w:trPr>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7"/>
              </w:rPr>
              <w:t>unfunded commitment) (i)</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+ 6.25%) / (1.00%)</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5"/>
              </w:rPr>
              <w:t>11.70%/0.00%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11/1/2023</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9/16/2029</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Preferred Equity</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(1,250,000 units) (j)</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0.38%</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11/1/2023</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1,250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1,250</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
        </w:trPr>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13,645</w:t>
            </w: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13,653</w:t>
            </w: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2%</w:t>
            </w:r>
          </w:p>
        </w:tc>
      </w:tr>
      <w:tr>
        <w:trPr>
          <w:trHeight w:val="203"/>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Aldinger Company</w:t>
            </w:r>
          </w:p>
        </w:tc>
        <w:tc>
          <w:tcPr>
            <w:tcW w:w="1380" w:type="dxa"/>
            <w:vAlign w:val="bottom"/>
          </w:tcPr>
          <w:p>
            <w:pPr>
              <w:spacing w:after="0"/>
              <w:rPr>
                <w:sz w:val="17"/>
                <w:szCs w:val="17"/>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Business Services</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35"/>
        </w:trPr>
        <w:tc>
          <w:tcPr>
            <w:tcW w:w="1660" w:type="dxa"/>
            <w:vAlign w:val="bottom"/>
            <w:gridSpan w:val="2"/>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1440 Prudential Drive</w:t>
            </w:r>
          </w:p>
        </w:tc>
        <w:tc>
          <w:tcPr>
            <w:tcW w:w="13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 Lien Debt(k)( ae)</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(S + 6.25%) / (2.00%)</w:t>
            </w:r>
          </w:p>
        </w:tc>
        <w:tc>
          <w:tcPr>
            <w:tcW w:w="8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5"/>
              </w:rPr>
              <w:t>11.58%/0.00%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6/30/2023</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6/29/2029</w:t>
            </w: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22,446</w:t>
            </w: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22,227</w:t>
            </w: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22,446</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17"/>
        </w:trPr>
        <w:tc>
          <w:tcPr>
            <w:tcW w:w="1660" w:type="dxa"/>
            <w:vAlign w:val="bottom"/>
            <w:gridSpan w:val="2"/>
          </w:tcPr>
          <w:p>
            <w:pPr>
              <w:ind w:left="240"/>
              <w:spacing w:after="0" w:line="117" w:lineRule="exact"/>
              <w:rPr>
                <w:sz w:val="20"/>
                <w:szCs w:val="20"/>
                <w:color w:val="auto"/>
              </w:rPr>
            </w:pPr>
            <w:r>
              <w:rPr>
                <w:rFonts w:ascii="Times New Roman" w:cs="Times New Roman" w:eastAsia="Times New Roman" w:hAnsi="Times New Roman"/>
                <w:sz w:val="13"/>
                <w:szCs w:val="13"/>
                <w:color w:val="auto"/>
              </w:rPr>
              <w:t>Dallas, TX 75235</w:t>
            </w:r>
          </w:p>
        </w:tc>
        <w:tc>
          <w:tcPr>
            <w:tcW w:w="13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Common Equity (8,227</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0.73%</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6/30/2023</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19</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586</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17"/>
        </w:trPr>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Preferred Equity (8,263</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0.73%</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6/30/2023</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826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826</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8"/>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23,072</w:t>
            </w: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23,858</w:t>
            </w: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r>
      <w:tr>
        <w:trPr>
          <w:trHeight w:val="52"/>
        </w:trPr>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15"/>
        </w:trPr>
        <w:tc>
          <w:tcPr>
            <w:tcW w:w="16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i w:val="1"/>
                <w:iCs w:val="1"/>
                <w:color w:val="auto"/>
                <w:w w:val="99"/>
              </w:rPr>
              <w:t>Allredi, LLC (fka Marco Group</w:t>
            </w:r>
          </w:p>
        </w:tc>
        <w:tc>
          <w:tcPr>
            <w:tcW w:w="1380" w:type="dxa"/>
            <w:vAlign w:val="bottom"/>
            <w:shd w:val="clear" w:color="auto" w:fill="CCEEFF"/>
          </w:tcPr>
          <w:p>
            <w:pPr>
              <w:spacing w:after="0"/>
              <w:rPr>
                <w:sz w:val="9"/>
                <w:szCs w:val="9"/>
                <w:color w:val="auto"/>
              </w:rPr>
            </w:pPr>
          </w:p>
        </w:tc>
        <w:tc>
          <w:tcPr>
            <w:tcW w:w="1320" w:type="dxa"/>
            <w:vAlign w:val="bottom"/>
            <w:gridSpan w:val="3"/>
            <w:shd w:val="clear" w:color="auto" w:fill="CCEEFF"/>
          </w:tcPr>
          <w:p>
            <w:pPr>
              <w:ind w:left="80"/>
              <w:spacing w:after="0" w:line="115" w:lineRule="exact"/>
              <w:rPr>
                <w:sz w:val="20"/>
                <w:szCs w:val="20"/>
                <w:color w:val="auto"/>
              </w:rPr>
            </w:pPr>
            <w:r>
              <w:rPr>
                <w:rFonts w:ascii="Times New Roman" w:cs="Times New Roman" w:eastAsia="Times New Roman" w:hAnsi="Times New Roman"/>
                <w:sz w:val="13"/>
                <w:szCs w:val="13"/>
                <w:color w:val="auto"/>
              </w:rPr>
              <w:t>Industrial Cleaning &amp;</w:t>
            </w:r>
          </w:p>
        </w:tc>
        <w:tc>
          <w:tcPr>
            <w:tcW w:w="5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55"/>
        </w:trPr>
        <w:tc>
          <w:tcPr>
            <w:tcW w:w="1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International OpCo, LLC)</w:t>
            </w:r>
          </w:p>
        </w:tc>
        <w:tc>
          <w:tcPr>
            <w:tcW w:w="138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Coatings</w:t>
            </w: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660" w:type="dxa"/>
            <w:vAlign w:val="bottom"/>
            <w:gridSpan w:val="2"/>
          </w:tcPr>
          <w:p>
            <w:pPr>
              <w:ind w:left="240"/>
              <w:spacing w:after="0" w:line="117" w:lineRule="exact"/>
              <w:rPr>
                <w:sz w:val="20"/>
                <w:szCs w:val="20"/>
                <w:color w:val="auto"/>
              </w:rPr>
            </w:pPr>
            <w:r>
              <w:rPr>
                <w:rFonts w:ascii="Times New Roman" w:cs="Times New Roman" w:eastAsia="Times New Roman" w:hAnsi="Times New Roman"/>
                <w:sz w:val="13"/>
                <w:szCs w:val="13"/>
                <w:color w:val="auto"/>
              </w:rPr>
              <w:t>3009 Pasadena Freeway</w:t>
            </w: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Frontage Rd, #100</w:t>
            </w: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Second Lien Debt</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5"/>
              </w:rPr>
              <w:t>0.00%/15.00%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3/2/2020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9/2/2026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12,054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12,005</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10,533</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17"/>
        </w:trPr>
        <w:tc>
          <w:tcPr>
            <w:tcW w:w="1660" w:type="dxa"/>
            <w:vAlign w:val="bottom"/>
            <w:gridSpan w:val="2"/>
            <w:shd w:val="clear" w:color="auto" w:fill="CCEEFF"/>
          </w:tcPr>
          <w:p>
            <w:pPr>
              <w:ind w:left="240"/>
              <w:spacing w:after="0" w:line="117" w:lineRule="exact"/>
              <w:rPr>
                <w:sz w:val="20"/>
                <w:szCs w:val="20"/>
                <w:color w:val="auto"/>
              </w:rPr>
            </w:pPr>
            <w:r>
              <w:rPr>
                <w:rFonts w:ascii="Times New Roman" w:cs="Times New Roman" w:eastAsia="Times New Roman" w:hAnsi="Times New Roman"/>
                <w:sz w:val="13"/>
                <w:szCs w:val="13"/>
                <w:color w:val="auto"/>
              </w:rPr>
              <w:t>Pasadena, TX 77503</w:t>
            </w:r>
          </w:p>
        </w:tc>
        <w:tc>
          <w:tcPr>
            <w:tcW w:w="13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(570,636 units) (h)(j)</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0.30%</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7/21/2017</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637</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99</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(39,443 units) (h)(j)</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0.30%</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11/24/2021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32</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17"/>
        </w:trPr>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(524,624 units) (h)(j)</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0.30%</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8/3/2023</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90</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8"/>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12,709</w:t>
            </w: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10,754</w:t>
            </w: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r>
      <w:tr>
        <w:trPr>
          <w:trHeight w:val="52"/>
        </w:trPr>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15"/>
        </w:trPr>
        <w:tc>
          <w:tcPr>
            <w:tcW w:w="16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American AllWaste LLC (dba</w:t>
            </w:r>
          </w:p>
        </w:tc>
        <w:tc>
          <w:tcPr>
            <w:tcW w:w="1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35"/>
        </w:trPr>
        <w:tc>
          <w:tcPr>
            <w:tcW w:w="166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i w:val="1"/>
                <w:iCs w:val="1"/>
                <w:color w:val="auto"/>
              </w:rPr>
              <w:t>WasteWater Transport</w:t>
            </w:r>
          </w:p>
        </w:tc>
        <w:tc>
          <w:tcPr>
            <w:tcW w:w="138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Environmental</w:t>
            </w: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5"/>
        </w:trPr>
        <w:tc>
          <w:tcPr>
            <w:tcW w:w="1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Services)</w:t>
            </w:r>
          </w:p>
        </w:tc>
        <w:tc>
          <w:tcPr>
            <w:tcW w:w="1380" w:type="dxa"/>
            <w:vAlign w:val="bottom"/>
            <w:shd w:val="clear" w:color="auto" w:fill="CCEEFF"/>
          </w:tcPr>
          <w:p>
            <w:pPr>
              <w:spacing w:after="0"/>
              <w:rPr>
                <w:sz w:val="13"/>
                <w:szCs w:val="13"/>
                <w:color w:val="auto"/>
              </w:rPr>
            </w:pPr>
          </w:p>
        </w:tc>
        <w:tc>
          <w:tcPr>
            <w:tcW w:w="13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Industries</w:t>
            </w: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660" w:type="dxa"/>
            <w:vAlign w:val="bottom"/>
            <w:gridSpan w:val="2"/>
          </w:tcPr>
          <w:p>
            <w:pPr>
              <w:ind w:left="240"/>
              <w:spacing w:after="0" w:line="117" w:lineRule="exact"/>
              <w:rPr>
                <w:sz w:val="20"/>
                <w:szCs w:val="20"/>
                <w:color w:val="auto"/>
              </w:rPr>
            </w:pPr>
            <w:r>
              <w:rPr>
                <w:rFonts w:ascii="Times New Roman" w:cs="Times New Roman" w:eastAsia="Times New Roman" w:hAnsi="Times New Roman"/>
                <w:sz w:val="13"/>
                <w:szCs w:val="13"/>
                <w:color w:val="auto"/>
              </w:rPr>
              <w:t>12141 Wickchester Ln.,</w:t>
            </w: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Suite 325</w:t>
            </w: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First Lien Debt (j)(p)</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+ 6.50%) / (1.00%)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5"/>
              </w:rPr>
              <w:t>12.09%/0.00%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6/28/2021</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3/31/2025</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22,218</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22,062</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21,456</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1660" w:type="dxa"/>
            <w:vAlign w:val="bottom"/>
            <w:gridSpan w:val="2"/>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Houston, TX 77079</w:t>
            </w:r>
          </w:p>
        </w:tc>
        <w:tc>
          <w:tcPr>
            <w:tcW w:w="138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 Lien Debt (j)(o)</w:t>
            </w: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(S + 6.50%) / (1.00%)</w:t>
            </w:r>
          </w:p>
        </w:tc>
        <w:tc>
          <w:tcPr>
            <w:tcW w:w="84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9.59%/0.00%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6/28/2021</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3/31/2025</w:t>
            </w: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330</w:t>
            </w: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319</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17"/>
        </w:trPr>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Revolving Loan</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($3,326 unfunded</w:t>
            </w: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commitment) (j)(v)</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5"/>
              </w:rPr>
              <w:t>15.00%/0.00%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3/28/2024</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3/31/2025</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2,924</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2,924</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2,924</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17"/>
        </w:trPr>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Preferred Equity</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(500 units) (h)(j)</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0.60%</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5/31/2018</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500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Preferred Equity (207</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units) (h)(j)</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0.20%</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8/6/2019</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250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17"/>
        </w:trPr>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38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Preferred Equity (141</w:t>
            </w: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units) (h)(j)</w:t>
            </w:r>
          </w:p>
        </w:tc>
        <w:tc>
          <w:tcPr>
            <w:tcW w:w="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0.20%</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11/2/2020</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171</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w w:val="95"/>
              </w:rPr>
              <w:t>Preferred Equity (74 units)</w:t>
            </w: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(h)(j)</w:t>
            </w: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0.07%</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12/29/2021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97</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26,334</w:t>
            </w: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24,801</w:t>
            </w: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302" w:right="439" w:bottom="1440" w:gutter="0" w:footer="0" w:header="0"/>
        </w:sectPr>
      </w:pPr>
    </w:p>
    <w:bookmarkStart w:id="41" w:name="page42"/>
    <w:bookmarkEnd w:id="41"/>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80" w:type="dxa"/>
            <w:vAlign w:val="bottom"/>
          </w:tcPr>
          <w:p>
            <w:pPr>
              <w:spacing w:after="0"/>
              <w:rPr>
                <w:sz w:val="23"/>
                <w:szCs w:val="23"/>
                <w:color w:val="auto"/>
              </w:rPr>
            </w:pPr>
          </w:p>
        </w:tc>
        <w:tc>
          <w:tcPr>
            <w:tcW w:w="11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0" w:type="dxa"/>
            <w:vAlign w:val="bottom"/>
          </w:tcPr>
          <w:p>
            <w:pPr>
              <w:spacing w:after="0"/>
              <w:rPr>
                <w:sz w:val="1"/>
                <w:szCs w:val="1"/>
                <w:color w:val="auto"/>
              </w:rPr>
            </w:pPr>
          </w:p>
        </w:tc>
      </w:tr>
      <w:tr>
        <w:trPr>
          <w:trHeight w:val="158"/>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AmeriWater, LLC</w:t>
            </w:r>
          </w:p>
        </w:tc>
        <w:tc>
          <w:tcPr>
            <w:tcW w:w="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Component</w:t>
            </w:r>
          </w:p>
        </w:tc>
        <w:tc>
          <w:tcPr>
            <w:tcW w:w="0" w:type="dxa"/>
            <w:vAlign w:val="bottom"/>
          </w:tcPr>
          <w:p>
            <w:pPr>
              <w:spacing w:after="0"/>
              <w:rPr>
                <w:sz w:val="1"/>
                <w:szCs w:val="1"/>
                <w:color w:val="auto"/>
              </w:rPr>
            </w:pPr>
          </w:p>
        </w:tc>
      </w:tr>
      <w:tr>
        <w:trPr>
          <w:trHeight w:val="164"/>
        </w:trPr>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3354 Stop 8 Rd.</w:t>
            </w: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First Lien Debt (af)</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06"/>
        </w:trPr>
        <w:tc>
          <w:tcPr>
            <w:tcW w:w="168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Dayton, OH 45414</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(1,000 units) (h)(j)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w w:val="98"/>
              </w:rPr>
              <w:t>AOM Intermediate Holdco, LLC</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37"/>
        </w:trPr>
        <w:tc>
          <w:tcPr>
            <w:tcW w:w="168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(dba AllOver Media)</w:t>
            </w: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401 E Jackson Street</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Tampa, FL 33602</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(1,232 units) (h)(j)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APM Intermediate Holdings,</w:t>
            </w: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i w:val="1"/>
                <w:iCs w:val="1"/>
                <w:color w:val="auto"/>
              </w:rPr>
              <w:t>LLC (dba Artistic Paver</w:t>
            </w: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Building Products</w:t>
            </w:r>
          </w:p>
        </w:tc>
        <w:tc>
          <w:tcPr>
            <w:tcW w:w="0" w:type="dxa"/>
            <w:vAlign w:val="bottom"/>
          </w:tcPr>
          <w:p>
            <w:pPr>
              <w:spacing w:after="0"/>
              <w:rPr>
                <w:sz w:val="1"/>
                <w:szCs w:val="1"/>
                <w:color w:val="auto"/>
              </w:rPr>
            </w:pPr>
          </w:p>
        </w:tc>
      </w:tr>
      <w:tr>
        <w:trPr>
          <w:trHeight w:val="137"/>
        </w:trPr>
        <w:tc>
          <w:tcPr>
            <w:tcW w:w="168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Manufacturing, Inc.)</w:t>
            </w: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401 E Jackson Street</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 Lien Debt (ai)</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Tampa, FL 33602</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(1,200 units) (h)(j)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Auto CRM LLC (dba Dealer</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37"/>
        </w:trPr>
        <w:tc>
          <w:tcPr>
            <w:tcW w:w="168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Holdings)</w:t>
            </w: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1115 Gunn Hwy #101</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 Lien Debt (am)</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Odessa, FL 33556</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Subordinated Debt</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(500 units) (j)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Bad Boy Mowers JV</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8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Acquisition, LLC</w:t>
            </w: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Consumer Products</w:t>
            </w: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102 Industrial Drive</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Subordinated Debt (k)</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Batesville, AR 72501</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(13,000 units) (j)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Barefoot Mosquito and Pest</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8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Control, LLC</w:t>
            </w: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Consumer Services</w:t>
            </w: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8060 US-290</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 Lien Debt (k)</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Austin, TX 78736</w:t>
            </w: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Revolving Loan</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($1,500 unfunded</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commitment) (i)(j)</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(3,974 units) (h)(j)</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(15,000 units) (h)(j)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5"/>
        </w:trPr>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Rate (e)</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Principal</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0"/>
              </w:rPr>
              <w:t>Fair</w:t>
            </w:r>
          </w:p>
        </w:tc>
        <w:tc>
          <w:tcPr>
            <w:tcW w:w="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r>
      <w:tr>
        <w:trPr>
          <w:trHeight w:val="159"/>
        </w:trPr>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Held (aw)</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(f)</w:t>
            </w:r>
          </w:p>
        </w:tc>
        <w:tc>
          <w:tcPr>
            <w:tcW w:w="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0"/>
              </w:rPr>
              <w:t>Net Assets</w:t>
            </w:r>
          </w:p>
        </w:tc>
      </w:tr>
      <w:tr>
        <w:trPr>
          <w:trHeight w:val="20"/>
        </w:trPr>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-385445</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34290</wp:posOffset>
            </wp:positionV>
            <wp:extent cx="699516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149"/>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+ 6.25%) / (1.00%)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7/8/2022</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7/8/2027</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7,590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7,559</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7,590</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7.00%/7.00%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7/8/2022</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1/8/2028</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2,259</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2,259</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6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89"/>
              </w:rPr>
              <w:t>4.08%</w:t>
            </w:r>
          </w:p>
        </w:tc>
        <w:tc>
          <w:tcPr>
            <w:tcW w:w="8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7/8/2022</w:t>
            </w: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1,329</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10,812</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11,178</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16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89"/>
              </w:rPr>
              <w:t>1.65%</w:t>
            </w:r>
          </w:p>
        </w:tc>
        <w:tc>
          <w:tcPr>
            <w:tcW w:w="86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2/1/2022</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1,645</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743"/>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+ 7.00%) / (2.00%)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11/8/2022</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11/8/2027</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18,200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18,100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18,200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6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89"/>
              </w:rPr>
              <w:t>2.40%</w:t>
            </w:r>
          </w:p>
        </w:tc>
        <w:tc>
          <w:tcPr>
            <w:tcW w:w="86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11/8/2022</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1,335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19,300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19,535</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443"/>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(P + 5.50%) / (3.25%)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14.00%/0.85%</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10/1/2021</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10/1/2026</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7,664</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7,626</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7,740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0.00%/14.50%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10/1/2021</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12/31/2026</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702</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709</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6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89"/>
              </w:rPr>
              <w:t>0.31%</w:t>
            </w:r>
          </w:p>
        </w:tc>
        <w:tc>
          <w:tcPr>
            <w:tcW w:w="8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10/1/2021</w:t>
            </w: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209</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8,825</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8,658</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1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9.00%/4.50%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11/9/2023</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11/9/2030</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13,235</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13,158</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13,158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89"/>
              </w:rPr>
              <w:t>0.19%</w:t>
            </w:r>
          </w:p>
        </w:tc>
        <w:tc>
          <w:tcPr>
            <w:tcW w:w="8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11/9/2023</w:t>
            </w: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1,300</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14,458</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14,458</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+ 7.00%) / (2.00%)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12/22/2023</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12/22/2029</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29,000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28,830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28,829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+ 7.00%) / (2.00%)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12/22/2023</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12/22/2029</w:t>
            </w: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w w:val="89"/>
              </w:rPr>
              <w:t>2.38%</w:t>
            </w:r>
          </w:p>
        </w:tc>
        <w:tc>
          <w:tcPr>
            <w:tcW w:w="86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12/22/2023</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620" w:type="dxa"/>
            <w:vAlign w:val="bottom"/>
          </w:tcPr>
          <w:p>
            <w:pPr>
              <w:jc w:val="right"/>
              <w:ind w:right="1235"/>
              <w:spacing w:after="0"/>
              <w:rPr>
                <w:sz w:val="20"/>
                <w:szCs w:val="20"/>
                <w:color w:val="auto"/>
              </w:rPr>
            </w:pPr>
            <w:r>
              <w:rPr>
                <w:rFonts w:ascii="Times New Roman" w:cs="Times New Roman" w:eastAsia="Times New Roman" w:hAnsi="Times New Roman"/>
                <w:sz w:val="13"/>
                <w:szCs w:val="13"/>
                <w:color w:val="auto"/>
              </w:rPr>
              <w:t>0.0%</w:t>
            </w:r>
          </w:p>
        </w:tc>
        <w:tc>
          <w:tcPr>
            <w:tcW w:w="86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12/22/2023</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1,500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30,330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30,329</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354"/>
        </w:trPr>
        <w:tc>
          <w:tcPr>
            <w:tcW w:w="162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-23-</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-3925570</wp:posOffset>
            </wp:positionV>
            <wp:extent cx="6995160" cy="85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-3651250</wp:posOffset>
            </wp:positionV>
            <wp:extent cx="6995160"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-3351530</wp:posOffset>
            </wp:positionV>
            <wp:extent cx="699516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-3051175</wp:posOffset>
            </wp:positionV>
            <wp:extent cx="6995160"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-2708275</wp:posOffset>
            </wp:positionV>
            <wp:extent cx="699516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-2408555</wp:posOffset>
            </wp:positionV>
            <wp:extent cx="699516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-2151380</wp:posOffset>
            </wp:positionV>
            <wp:extent cx="6995160" cy="85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-1876425</wp:posOffset>
            </wp:positionV>
            <wp:extent cx="6995160" cy="857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-1576705</wp:posOffset>
            </wp:positionV>
            <wp:extent cx="6995160"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-1302385</wp:posOffset>
            </wp:positionV>
            <wp:extent cx="6995160"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-1002665</wp:posOffset>
            </wp:positionV>
            <wp:extent cx="6995160"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-659765</wp:posOffset>
            </wp:positionV>
            <wp:extent cx="699516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-316865</wp:posOffset>
            </wp:positionV>
            <wp:extent cx="6995160" cy="85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ectPr>
          <w:pgSz w:w="11900" w:h="16838" w:orient="portrait"/>
          <w:cols w:equalWidth="0" w:num="2">
            <w:col w:w="4260" w:space="80"/>
            <w:col w:w="6620"/>
          </w:cols>
          <w:pgMar w:left="440" w:top="302" w:right="499" w:bottom="1440" w:gutter="0" w:footer="0" w:header="0"/>
        </w:sectPr>
      </w:pPr>
    </w:p>
    <w:bookmarkStart w:id="42" w:name="page43"/>
    <w:bookmarkEnd w:id="42"/>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200" w:type="dxa"/>
            <w:vAlign w:val="bottom"/>
          </w:tcPr>
          <w:p>
            <w:pPr>
              <w:spacing w:after="0"/>
              <w:rPr>
                <w:sz w:val="23"/>
                <w:szCs w:val="23"/>
                <w:color w:val="auto"/>
              </w:rPr>
            </w:pPr>
          </w:p>
        </w:tc>
        <w:tc>
          <w:tcPr>
            <w:tcW w:w="13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80" w:type="dxa"/>
            <w:vAlign w:val="bottom"/>
          </w:tcPr>
          <w:p>
            <w:pPr>
              <w:spacing w:after="0"/>
              <w:rPr>
                <w:sz w:val="23"/>
                <w:szCs w:val="23"/>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0" w:type="dxa"/>
            <w:vAlign w:val="bottom"/>
          </w:tcPr>
          <w:p>
            <w:pPr>
              <w:spacing w:after="0"/>
              <w:rPr>
                <w:sz w:val="1"/>
                <w:szCs w:val="1"/>
                <w:color w:val="auto"/>
              </w:rPr>
            </w:pPr>
          </w:p>
        </w:tc>
      </w:tr>
      <w:tr>
        <w:trPr>
          <w:trHeight w:val="158"/>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BCM One Group Holdings, Inc.</w:t>
            </w:r>
          </w:p>
        </w:tc>
        <w:tc>
          <w:tcPr>
            <w:tcW w:w="13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64"/>
        </w:trPr>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295 Madison Avenue,</w:t>
            </w:r>
          </w:p>
        </w:tc>
        <w:tc>
          <w:tcPr>
            <w:tcW w:w="13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06"/>
        </w:trPr>
        <w:tc>
          <w:tcPr>
            <w:tcW w:w="1720" w:type="dxa"/>
            <w:vAlign w:val="bottom"/>
            <w:gridSpan w:val="2"/>
            <w:vMerge w:val="continue"/>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5th Floor</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New York, NY 10017</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Bedford Precision Parts LLC</w:t>
            </w:r>
          </w:p>
        </w:tc>
        <w:tc>
          <w:tcPr>
            <w:tcW w:w="134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96"/>
              </w:rPr>
              <w:t>Specialty Distribution</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290 Adams St.</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Bedford Hills, NY 10507</w:t>
            </w: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(500,000 units) (h)(j)</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BP Thrift Buyer, LLC (dba</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72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myUnique and Ecothrift)</w:t>
            </w:r>
          </w:p>
        </w:tc>
        <w:tc>
          <w:tcPr>
            <w:tcW w:w="1340" w:type="dxa"/>
            <w:vAlign w:val="bottom"/>
          </w:tcPr>
          <w:p>
            <w:pPr>
              <w:spacing w:after="0"/>
              <w:rPr>
                <w:sz w:val="11"/>
                <w:szCs w:val="11"/>
                <w:color w:val="auto"/>
              </w:rPr>
            </w:pPr>
          </w:p>
        </w:tc>
        <w:tc>
          <w:tcPr>
            <w:tcW w:w="120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Retail</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7949 E Acoma Dr, Ste 100</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 Lien Debt (j)(al)</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Scottsdale, AZ 85260</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 (1,000</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units) (j)</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BurgerFi International, LLC</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72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(dba BurgerFi) (ad)</w:t>
            </w:r>
          </w:p>
        </w:tc>
        <w:tc>
          <w:tcPr>
            <w:tcW w:w="1340" w:type="dxa"/>
            <w:vAlign w:val="bottom"/>
          </w:tcPr>
          <w:p>
            <w:pPr>
              <w:spacing w:after="0"/>
              <w:rPr>
                <w:sz w:val="11"/>
                <w:szCs w:val="11"/>
                <w:color w:val="auto"/>
              </w:rPr>
            </w:pPr>
          </w:p>
        </w:tc>
        <w:tc>
          <w:tcPr>
            <w:tcW w:w="120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Restaurants</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200 W. Cypress Creek</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Road, Suite 220</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(14,201 units) (j)(ao)</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Fort Lauderdale, FL 33309</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(9,787 units) (j)(ao)</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Cardback Intermediate, LLC</w:t>
            </w:r>
          </w:p>
        </w:tc>
        <w:tc>
          <w:tcPr>
            <w:tcW w:w="134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37"/>
        </w:trPr>
        <w:tc>
          <w:tcPr>
            <w:tcW w:w="172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(dba Chargeback Gurus)</w:t>
            </w:r>
          </w:p>
        </w:tc>
        <w:tc>
          <w:tcPr>
            <w:tcW w:w="1340" w:type="dxa"/>
            <w:vAlign w:val="bottom"/>
          </w:tcPr>
          <w:p>
            <w:pPr>
              <w:spacing w:after="0"/>
              <w:rPr>
                <w:sz w:val="11"/>
                <w:szCs w:val="11"/>
                <w:color w:val="auto"/>
              </w:rPr>
            </w:pPr>
          </w:p>
        </w:tc>
        <w:tc>
          <w:tcPr>
            <w:tcW w:w="120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8951 Collin McKinney</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Pkwy, Suite 1001-1002</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 Lien Debt (j)(ah)</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McKinney, TX 75070</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 (495</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shares) (j)</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Equity (495</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shares) (j)</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Choice Technology Solutions,</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i w:val="1"/>
                <w:iCs w:val="1"/>
                <w:color w:val="auto"/>
              </w:rPr>
              <w:t>LLC (dba Choice Merchant</w:t>
            </w:r>
          </w:p>
        </w:tc>
        <w:tc>
          <w:tcPr>
            <w:tcW w:w="13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37"/>
        </w:trPr>
        <w:tc>
          <w:tcPr>
            <w:tcW w:w="172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Solutions, LLC)</w:t>
            </w:r>
          </w:p>
        </w:tc>
        <w:tc>
          <w:tcPr>
            <w:tcW w:w="1340" w:type="dxa"/>
            <w:vAlign w:val="bottom"/>
          </w:tcPr>
          <w:p>
            <w:pPr>
              <w:spacing w:after="0"/>
              <w:rPr>
                <w:sz w:val="11"/>
                <w:szCs w:val="11"/>
                <w:color w:val="auto"/>
              </w:rPr>
            </w:pPr>
          </w:p>
        </w:tc>
        <w:tc>
          <w:tcPr>
            <w:tcW w:w="120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10 Columbus Blvd,</w:t>
            </w: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6th Floor</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Hartford, CT 06106</w:t>
            </w: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Revolving Loan ($1,000</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5"/>
              </w:rPr>
              <w:t>unfunded commitment) (i)</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(j)</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3"/>
                <w:szCs w:val="13"/>
                <w:color w:val="auto"/>
              </w:rPr>
              <w:t>(500,000 units) (h)(j)</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2"/>
                <w:szCs w:val="12"/>
                <w:b w:val="1"/>
                <w:bCs w:val="1"/>
                <w:color w:val="auto"/>
              </w:rPr>
              <w:t>Rate (e)</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c>
          <w:tcPr>
            <w:tcW w:w="0" w:type="dxa"/>
            <w:vAlign w:val="bottom"/>
          </w:tcPr>
          <w:p>
            <w:pPr>
              <w:spacing w:after="0"/>
              <w:rPr>
                <w:sz w:val="1"/>
                <w:szCs w:val="1"/>
                <w:color w:val="auto"/>
              </w:rPr>
            </w:pPr>
          </w:p>
        </w:tc>
      </w:tr>
      <w:tr>
        <w:trPr>
          <w:trHeight w:val="159"/>
        </w:trPr>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Held (aw)</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0" w:type="dxa"/>
            <w:vAlign w:val="bottom"/>
          </w:tcPr>
          <w:p>
            <w:pPr>
              <w:spacing w:after="0"/>
              <w:rPr>
                <w:sz w:val="13"/>
                <w:szCs w:val="13"/>
                <w:color w:val="auto"/>
              </w:rPr>
            </w:pP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Cash/PIK</w:t>
            </w:r>
          </w:p>
        </w:tc>
        <w:tc>
          <w:tcPr>
            <w:tcW w:w="80" w:type="dxa"/>
            <w:vAlign w:val="bottom"/>
          </w:tcPr>
          <w:p>
            <w:pPr>
              <w:spacing w:after="0"/>
              <w:rPr>
                <w:sz w:val="13"/>
                <w:szCs w:val="13"/>
                <w:color w:val="auto"/>
              </w:rPr>
            </w:pP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Date (f)</w:t>
            </w:r>
          </w:p>
        </w:tc>
        <w:tc>
          <w:tcPr>
            <w:tcW w:w="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0"/>
              </w:rPr>
              <w:t>Net Assets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11.75%/0.00%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11/17/2021</w:t>
            </w:r>
          </w:p>
        </w:tc>
        <w:tc>
          <w:tcPr>
            <w:tcW w:w="12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11/17/2028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18,333</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18,208</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18,333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608"/>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4.60%</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3/12/2019</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318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578"/>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+ 5.75%) / (1.50%)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11.08%/0.00%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9/13/2022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9/13/2027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19,680</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20,000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+ 5.75%) / (1.50%)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8.83%/0.00%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5/12/2023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9/13/2027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1,892</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1,892</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9/13/2022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1,415</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22,532</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23,307</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0.46%</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11/3/2022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11/3/2022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245</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+ 6.50%) / (0.75%)</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12.09%/0.00%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8/10/2021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8/10/2026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11,699</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11,662</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11,699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0.45%</w:t>
            </w: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8/10/2021</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8/10/2021</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295</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11,912</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11,994</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8"/>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+ 7.25%) / (1.00%)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12.83%/0.00%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8,500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8,471</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8,500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+ 6.25%) / (1.00%)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11.83%/0.00%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4/1/2027</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8/21/2023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688</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8,971</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9,188</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-4398645</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-3978275</wp:posOffset>
            </wp:positionV>
            <wp:extent cx="699516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-3635375</wp:posOffset>
            </wp:positionV>
            <wp:extent cx="6995160" cy="85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-3421380</wp:posOffset>
            </wp:positionV>
            <wp:extent cx="699516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-3121025</wp:posOffset>
            </wp:positionV>
            <wp:extent cx="699516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-2863850</wp:posOffset>
            </wp:positionV>
            <wp:extent cx="6995160"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-2589530</wp:posOffset>
            </wp:positionV>
            <wp:extent cx="6995160"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-2289810</wp:posOffset>
            </wp:positionV>
            <wp:extent cx="699516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-1929765</wp:posOffset>
            </wp:positionV>
            <wp:extent cx="6995160" cy="85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-1629410</wp:posOffset>
            </wp:positionV>
            <wp:extent cx="699516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-1286510</wp:posOffset>
            </wp:positionV>
            <wp:extent cx="699516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-969645</wp:posOffset>
            </wp:positionV>
            <wp:extent cx="6995160"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-541020</wp:posOffset>
            </wp:positionV>
            <wp:extent cx="6995160" cy="257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-95250</wp:posOffset>
            </wp:positionV>
            <wp:extent cx="6995160" cy="85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2">
            <w:col w:w="4260" w:space="80"/>
            <w:col w:w="6620"/>
          </w:cols>
          <w:pgMar w:left="440" w:top="302" w:right="4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38"/>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Rate (e)</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Principal</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r>
      <w:tr>
        <w:trPr>
          <w:trHeight w:val="165"/>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6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1240" w:type="dxa"/>
            <w:vAlign w:val="bottom"/>
            <w:gridSpan w:val="2"/>
          </w:tcPr>
          <w:p>
            <w:pPr>
              <w:ind w:left="36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Held (aw)</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Date (f)</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0"/>
              </w:rPr>
              <w:t>Net Assets</w:t>
            </w:r>
          </w:p>
        </w:tc>
      </w:tr>
      <w:tr>
        <w:trPr>
          <w:trHeight w:val="41"/>
        </w:trPr>
        <w:tc>
          <w:tcPr>
            <w:tcW w:w="152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r>
      <w:tr>
        <w:trPr>
          <w:trHeight w:val="135"/>
        </w:trPr>
        <w:tc>
          <w:tcPr>
            <w:tcW w:w="16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CIH Intermediate, LLC</w:t>
            </w: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Business Services</w:t>
            </w: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Subordinated Debt (k)</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8"/>
              </w:rPr>
              <w:t>10.00%/1.00%</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3/3/2022</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3/3/2028</w:t>
            </w: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13,927</w:t>
            </w: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13,838</w:t>
            </w: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13,927</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17"/>
        </w:trPr>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gridSpan w:val="3"/>
            <w:shd w:val="clear" w:color="auto" w:fill="CCEEFF"/>
          </w:tcPr>
          <w:p>
            <w:pPr>
              <w:ind w:left="60"/>
              <w:spacing w:after="0" w:line="117" w:lineRule="exact"/>
              <w:rPr>
                <w:sz w:val="20"/>
                <w:szCs w:val="20"/>
                <w:color w:val="auto"/>
              </w:rPr>
            </w:pPr>
            <w:r>
              <w:rPr>
                <w:rFonts w:ascii="Times New Roman" w:cs="Times New Roman" w:eastAsia="Times New Roman" w:hAnsi="Times New Roman"/>
                <w:sz w:val="13"/>
                <w:szCs w:val="13"/>
                <w:color w:val="auto"/>
              </w:rPr>
              <w:t>Common Equity (563</w:t>
            </w: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shares) (j)</w:t>
            </w: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0.50%</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3/3/2022</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1,758</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tcPr>
          <w:p>
            <w:pPr>
              <w:ind w:left="60"/>
              <w:spacing w:after="0" w:line="117" w:lineRule="exact"/>
              <w:rPr>
                <w:sz w:val="20"/>
                <w:szCs w:val="20"/>
                <w:color w:val="auto"/>
              </w:rPr>
            </w:pPr>
            <w:r>
              <w:rPr>
                <w:rFonts w:ascii="Times New Roman" w:cs="Times New Roman" w:eastAsia="Times New Roman" w:hAnsi="Times New Roman"/>
                <w:sz w:val="13"/>
                <w:szCs w:val="13"/>
                <w:color w:val="auto"/>
              </w:rPr>
              <w:t>Preferred Equity (563</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shares) (j)</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0.0%</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3/3/2022</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939</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
        </w:trPr>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35"/>
        </w:trPr>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14,638</w:t>
            </w: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16,624</w:t>
            </w: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w:t>
            </w:r>
          </w:p>
        </w:tc>
      </w:tr>
      <w:tr>
        <w:trPr>
          <w:trHeight w:val="184"/>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Comply365, LLC</w:t>
            </w: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Aerospace &amp; Defense</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Manufacturing</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17"/>
        </w:trPr>
        <w:tc>
          <w:tcPr>
            <w:tcW w:w="1660" w:type="dxa"/>
            <w:vAlign w:val="bottom"/>
            <w:gridSpan w:val="2"/>
            <w:shd w:val="clear" w:color="auto" w:fill="CCEEFF"/>
          </w:tcPr>
          <w:p>
            <w:pPr>
              <w:ind w:left="240"/>
              <w:spacing w:after="0" w:line="117" w:lineRule="exact"/>
              <w:rPr>
                <w:sz w:val="20"/>
                <w:szCs w:val="20"/>
                <w:color w:val="auto"/>
              </w:rPr>
            </w:pPr>
            <w:r>
              <w:rPr>
                <w:rFonts w:ascii="Times New Roman" w:cs="Times New Roman" w:eastAsia="Times New Roman" w:hAnsi="Times New Roman"/>
                <w:sz w:val="13"/>
                <w:szCs w:val="13"/>
                <w:color w:val="auto"/>
                <w:w w:val="99"/>
              </w:rPr>
              <w:t>655 Third Street, Suite 365</w:t>
            </w:r>
          </w:p>
        </w:tc>
        <w:tc>
          <w:tcPr>
            <w:tcW w:w="1440" w:type="dxa"/>
            <w:vAlign w:val="bottom"/>
            <w:gridSpan w:val="3"/>
            <w:shd w:val="clear" w:color="auto" w:fill="CCEEFF"/>
          </w:tcPr>
          <w:p>
            <w:pPr>
              <w:ind w:left="60"/>
              <w:spacing w:after="0" w:line="117" w:lineRule="exact"/>
              <w:rPr>
                <w:sz w:val="20"/>
                <w:szCs w:val="20"/>
                <w:color w:val="auto"/>
              </w:rPr>
            </w:pPr>
            <w:r>
              <w:rPr>
                <w:rFonts w:ascii="Times New Roman" w:cs="Times New Roman" w:eastAsia="Times New Roman" w:hAnsi="Times New Roman"/>
                <w:sz w:val="13"/>
                <w:szCs w:val="13"/>
                <w:color w:val="auto"/>
                <w:w w:val="99"/>
              </w:rPr>
              <w:t>Common Equity (868,922</w:t>
            </w: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units)</w:t>
            </w: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0.82%</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12/22/2023</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2,576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2,576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r>
      <w:tr>
        <w:trPr>
          <w:trHeight w:val="164"/>
        </w:trPr>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Beloit, WI 53511</w:t>
            </w: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8"/>
        </w:trPr>
        <w:tc>
          <w:tcPr>
            <w:tcW w:w="1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15"/>
        </w:trPr>
        <w:tc>
          <w:tcPr>
            <w:tcW w:w="16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i w:val="1"/>
                <w:iCs w:val="1"/>
                <w:color w:val="auto"/>
              </w:rPr>
              <w:t>CRS Solutions Holdings, LLC</w:t>
            </w:r>
          </w:p>
        </w:tc>
        <w:tc>
          <w:tcPr>
            <w:tcW w:w="60" w:type="dxa"/>
            <w:vAlign w:val="bottom"/>
            <w:shd w:val="clear" w:color="auto" w:fill="CCEEFF"/>
          </w:tcPr>
          <w:p>
            <w:pPr>
              <w:spacing w:after="0"/>
              <w:rPr>
                <w:sz w:val="9"/>
                <w:szCs w:val="9"/>
                <w:color w:val="auto"/>
              </w:rPr>
            </w:pPr>
          </w:p>
        </w:tc>
        <w:tc>
          <w:tcPr>
            <w:tcW w:w="1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55"/>
        </w:trPr>
        <w:tc>
          <w:tcPr>
            <w:tcW w:w="1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(dba CRS Texas)</w:t>
            </w:r>
          </w:p>
        </w:tc>
        <w:tc>
          <w:tcPr>
            <w:tcW w:w="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660" w:type="dxa"/>
            <w:vAlign w:val="bottom"/>
            <w:gridSpan w:val="2"/>
          </w:tcPr>
          <w:p>
            <w:pPr>
              <w:ind w:left="240"/>
              <w:spacing w:after="0" w:line="117" w:lineRule="exact"/>
              <w:rPr>
                <w:sz w:val="20"/>
                <w:szCs w:val="20"/>
                <w:color w:val="auto"/>
              </w:rPr>
            </w:pPr>
            <w:r>
              <w:rPr>
                <w:rFonts w:ascii="Times New Roman" w:cs="Times New Roman" w:eastAsia="Times New Roman" w:hAnsi="Times New Roman"/>
                <w:sz w:val="13"/>
                <w:szCs w:val="13"/>
                <w:color w:val="auto"/>
              </w:rPr>
              <w:t>5300 Memorial Dr.,</w:t>
            </w:r>
          </w:p>
        </w:tc>
        <w:tc>
          <w:tcPr>
            <w:tcW w:w="1440" w:type="dxa"/>
            <w:vAlign w:val="bottom"/>
            <w:gridSpan w:val="3"/>
          </w:tcPr>
          <w:p>
            <w:pPr>
              <w:ind w:left="6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Suite 300</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(574,929 units) (h)(j)</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0.15%</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6/28/2022</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272</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w:t>
            </w:r>
          </w:p>
        </w:tc>
      </w:tr>
      <w:tr>
        <w:trPr>
          <w:trHeight w:val="135"/>
        </w:trPr>
        <w:tc>
          <w:tcPr>
            <w:tcW w:w="1660" w:type="dxa"/>
            <w:vAlign w:val="bottom"/>
            <w:gridSpan w:val="2"/>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Houston, TX 77007</w:t>
            </w: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203"/>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CTM Group, Inc.</w:t>
            </w: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35"/>
        </w:trPr>
        <w:tc>
          <w:tcPr>
            <w:tcW w:w="1660" w:type="dxa"/>
            <w:vAlign w:val="bottom"/>
            <w:gridSpan w:val="2"/>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5 Industrial Way, Suite 1A</w:t>
            </w:r>
          </w:p>
        </w:tc>
        <w:tc>
          <w:tcPr>
            <w:tcW w:w="144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(S + 6.75%) / (1.00%)</w:t>
            </w:r>
          </w:p>
        </w:tc>
        <w:tc>
          <w:tcPr>
            <w:tcW w:w="8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8"/>
              </w:rPr>
              <w:t>12.24%/0.00%</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2/28/2023</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11/30/2026</w:t>
            </w: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7,920</w:t>
            </w: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7,806</w:t>
            </w: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7,907</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Salem, NH 03079</w:t>
            </w:r>
          </w:p>
        </w:tc>
        <w:tc>
          <w:tcPr>
            <w:tcW w:w="14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Subordinated Debt</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8"/>
              </w:rPr>
              <w:t>11.50%/2.00%</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2/28/2023</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11/30/2027</w:t>
            </w: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2,045</w:t>
            </w: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1,989</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17"/>
        </w:trPr>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gridSpan w:val="3"/>
            <w:shd w:val="clear" w:color="auto" w:fill="CCEEFF"/>
          </w:tcPr>
          <w:p>
            <w:pPr>
              <w:ind w:left="60"/>
              <w:spacing w:after="0" w:line="117" w:lineRule="exact"/>
              <w:rPr>
                <w:sz w:val="20"/>
                <w:szCs w:val="20"/>
                <w:color w:val="auto"/>
              </w:rPr>
            </w:pPr>
            <w:r>
              <w:rPr>
                <w:rFonts w:ascii="Times New Roman" w:cs="Times New Roman" w:eastAsia="Times New Roman" w:hAnsi="Times New Roman"/>
                <w:sz w:val="13"/>
                <w:szCs w:val="13"/>
                <w:color w:val="auto"/>
                <w:w w:val="99"/>
              </w:rPr>
              <w:t>Common Equity (400,000</w:t>
            </w: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units)</w:t>
            </w: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0.18%</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2/28/2023</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303</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10,231</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10,199</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w:t>
            </w:r>
          </w:p>
        </w:tc>
      </w:tr>
      <w:tr>
        <w:trPr>
          <w:trHeight w:val="38"/>
        </w:trPr>
        <w:tc>
          <w:tcPr>
            <w:tcW w:w="1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117"/>
        </w:trPr>
        <w:tc>
          <w:tcPr>
            <w:tcW w:w="16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i w:val="1"/>
                <w:iCs w:val="1"/>
                <w:color w:val="auto"/>
              </w:rPr>
              <w:t>Dataguise, Inc.</w:t>
            </w:r>
          </w:p>
        </w:tc>
        <w:tc>
          <w:tcPr>
            <w:tcW w:w="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Information</w:t>
            </w: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Technology Services</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w w:val="99"/>
              </w:rPr>
              <w:t>39650 Liberty St Suite 400</w:t>
            </w:r>
          </w:p>
        </w:tc>
        <w:tc>
          <w:tcPr>
            <w:tcW w:w="144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8"/>
              </w:rPr>
              <w:t>11.00%/2.00%</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12/30/2022</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11/23/2027</w:t>
            </w: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21,985</w:t>
            </w:r>
          </w:p>
        </w:tc>
        <w:tc>
          <w:tcPr>
            <w:tcW w:w="5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21,948</w:t>
            </w: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21,985</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17"/>
        </w:trPr>
        <w:tc>
          <w:tcPr>
            <w:tcW w:w="1660" w:type="dxa"/>
            <w:vAlign w:val="bottom"/>
            <w:gridSpan w:val="2"/>
            <w:shd w:val="clear" w:color="auto" w:fill="CCEEFF"/>
          </w:tcPr>
          <w:p>
            <w:pPr>
              <w:ind w:left="240"/>
              <w:spacing w:after="0" w:line="117" w:lineRule="exact"/>
              <w:rPr>
                <w:sz w:val="20"/>
                <w:szCs w:val="20"/>
                <w:color w:val="auto"/>
              </w:rPr>
            </w:pPr>
            <w:r>
              <w:rPr>
                <w:rFonts w:ascii="Times New Roman" w:cs="Times New Roman" w:eastAsia="Times New Roman" w:hAnsi="Times New Roman"/>
                <w:sz w:val="13"/>
                <w:szCs w:val="13"/>
                <w:color w:val="auto"/>
              </w:rPr>
              <w:t>Fremont, CA 94538</w:t>
            </w:r>
          </w:p>
        </w:tc>
        <w:tc>
          <w:tcPr>
            <w:tcW w:w="1440" w:type="dxa"/>
            <w:vAlign w:val="bottom"/>
            <w:gridSpan w:val="3"/>
            <w:shd w:val="clear" w:color="auto" w:fill="CCEEFF"/>
          </w:tcPr>
          <w:p>
            <w:pPr>
              <w:ind w:left="60"/>
              <w:spacing w:after="0" w:line="117" w:lineRule="exact"/>
              <w:rPr>
                <w:sz w:val="20"/>
                <w:szCs w:val="20"/>
                <w:color w:val="auto"/>
              </w:rPr>
            </w:pPr>
            <w:r>
              <w:rPr>
                <w:rFonts w:ascii="Times New Roman" w:cs="Times New Roman" w:eastAsia="Times New Roman" w:hAnsi="Times New Roman"/>
                <w:sz w:val="13"/>
                <w:szCs w:val="13"/>
                <w:color w:val="auto"/>
              </w:rPr>
              <w:t>Common Equity (909</w:t>
            </w: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shares) (j)</w:t>
            </w: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0.88%</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12/31/2020</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1,500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1,267</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8"/>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23,448</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23,252</w:t>
            </w: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r>
      <w:tr>
        <w:trPr>
          <w:trHeight w:val="52"/>
        </w:trPr>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17"/>
        </w:trPr>
        <w:tc>
          <w:tcPr>
            <w:tcW w:w="16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i w:val="1"/>
                <w:iCs w:val="1"/>
                <w:color w:val="auto"/>
              </w:rPr>
              <w:t>Dealerbuilt Acquisition, LLC</w:t>
            </w:r>
          </w:p>
        </w:tc>
        <w:tc>
          <w:tcPr>
            <w:tcW w:w="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Information</w:t>
            </w: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Technology Services</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660" w:type="dxa"/>
            <w:vAlign w:val="bottom"/>
            <w:gridSpan w:val="2"/>
          </w:tcPr>
          <w:p>
            <w:pPr>
              <w:ind w:left="240"/>
              <w:spacing w:after="0" w:line="117" w:lineRule="exact"/>
              <w:rPr>
                <w:sz w:val="20"/>
                <w:szCs w:val="20"/>
                <w:color w:val="auto"/>
              </w:rPr>
            </w:pPr>
            <w:r>
              <w:rPr>
                <w:rFonts w:ascii="Times New Roman" w:cs="Times New Roman" w:eastAsia="Times New Roman" w:hAnsi="Times New Roman"/>
                <w:sz w:val="13"/>
                <w:szCs w:val="13"/>
                <w:color w:val="auto"/>
              </w:rPr>
              <w:t>1225 South Main Street,</w:t>
            </w: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Suite 201</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First Lien Debt (ac)</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+ 5.75%) / (4.00%)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11.08%/1.00%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7/21/2023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7/21/2026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13,207</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13,132</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13,207</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1660" w:type="dxa"/>
            <w:vAlign w:val="bottom"/>
            <w:gridSpan w:val="2"/>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Grapevine, TX 76051</w:t>
            </w:r>
          </w:p>
        </w:tc>
        <w:tc>
          <w:tcPr>
            <w:tcW w:w="144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7.50%/7.50%</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7/21/2023</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1/21/2027</w:t>
            </w: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5,270</w:t>
            </w: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5,245</w:t>
            </w: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5,271</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17"/>
        </w:trPr>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tcPr>
          <w:p>
            <w:pPr>
              <w:ind w:left="6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(1,000 Units) (h)(j)</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0.94%</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7/21/2023</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17"/>
        </w:trPr>
        <w:tc>
          <w:tcPr>
            <w:tcW w:w="1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40" w:type="dxa"/>
            <w:vAlign w:val="bottom"/>
            <w:gridSpan w:val="3"/>
            <w:shd w:val="clear" w:color="auto" w:fill="CCEEFF"/>
          </w:tcPr>
          <w:p>
            <w:pPr>
              <w:ind w:left="60"/>
              <w:spacing w:after="0" w:line="117" w:lineRule="exact"/>
              <w:rPr>
                <w:sz w:val="20"/>
                <w:szCs w:val="20"/>
                <w:color w:val="auto"/>
              </w:rPr>
            </w:pPr>
            <w:r>
              <w:rPr>
                <w:rFonts w:ascii="Times New Roman" w:cs="Times New Roman" w:eastAsia="Times New Roman" w:hAnsi="Times New Roman"/>
                <w:sz w:val="13"/>
                <w:szCs w:val="13"/>
                <w:color w:val="auto"/>
              </w:rPr>
              <w:t>Preferred Equity</w:t>
            </w: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(1,000 Units) (h)(j)</w:t>
            </w: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0.0%</w:t>
            </w: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7/21/2023</w:t>
            </w: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1,000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1,002</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58"/>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19,377</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19,480</w:t>
            </w: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w:t>
            </w:r>
          </w:p>
        </w:tc>
      </w:tr>
      <w:tr>
        <w:trPr>
          <w:trHeight w:val="52"/>
        </w:trPr>
        <w:tc>
          <w:tcPr>
            <w:tcW w:w="1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17"/>
        </w:trPr>
        <w:tc>
          <w:tcPr>
            <w:tcW w:w="16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i w:val="1"/>
                <w:iCs w:val="1"/>
                <w:color w:val="auto"/>
              </w:rPr>
              <w:t>Detechtion Holdings, LLC</w:t>
            </w:r>
          </w:p>
        </w:tc>
        <w:tc>
          <w:tcPr>
            <w:tcW w:w="6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Information</w:t>
            </w: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53"/>
        </w:trPr>
        <w:tc>
          <w:tcPr>
            <w:tcW w:w="1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Technology Services</w:t>
            </w: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17"/>
        </w:trPr>
        <w:tc>
          <w:tcPr>
            <w:tcW w:w="1660" w:type="dxa"/>
            <w:vAlign w:val="bottom"/>
            <w:gridSpan w:val="2"/>
          </w:tcPr>
          <w:p>
            <w:pPr>
              <w:ind w:left="240"/>
              <w:spacing w:after="0" w:line="117" w:lineRule="exact"/>
              <w:rPr>
                <w:sz w:val="20"/>
                <w:szCs w:val="20"/>
                <w:color w:val="auto"/>
              </w:rPr>
            </w:pPr>
            <w:r>
              <w:rPr>
                <w:rFonts w:ascii="Times New Roman" w:cs="Times New Roman" w:eastAsia="Times New Roman" w:hAnsi="Times New Roman"/>
                <w:sz w:val="13"/>
                <w:szCs w:val="13"/>
                <w:color w:val="auto"/>
              </w:rPr>
              <w:t>8 Greenway Plaza,</w:t>
            </w: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Suite 1300</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First Lien Debt (k)</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+ 5.75%) / (2.25%)</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11.08%/2.00%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6/21/2023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6/21/2028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17,779</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17,691</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17,779</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1660" w:type="dxa"/>
            <w:vAlign w:val="bottom"/>
            <w:gridSpan w:val="2"/>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Houston, TX 77046</w:t>
            </w:r>
          </w:p>
        </w:tc>
        <w:tc>
          <w:tcPr>
            <w:tcW w:w="1440" w:type="dxa"/>
            <w:vAlign w:val="bottom"/>
            <w:gridSpan w:val="3"/>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w w:val="98"/>
              </w:rPr>
              <w:t>0.00%/14.00%</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6/21/2023</w:t>
            </w:r>
          </w:p>
        </w:tc>
        <w:tc>
          <w:tcPr>
            <w:tcW w:w="7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6/21/2028</w:t>
            </w:r>
          </w:p>
        </w:tc>
        <w:tc>
          <w:tcPr>
            <w:tcW w:w="6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2,230</w:t>
            </w: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2,221</w:t>
            </w: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2,230</w:t>
            </w: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17"/>
        </w:trPr>
        <w:tc>
          <w:tcPr>
            <w:tcW w:w="1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3"/>
          </w:tcPr>
          <w:p>
            <w:pPr>
              <w:ind w:left="6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53"/>
        </w:trPr>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(500,000 units) (h)(j)</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1.64%</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6/21/2023</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563</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5"/>
        </w:trPr>
        <w:tc>
          <w:tcPr>
            <w:tcW w:w="1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20,412</w:t>
            </w:r>
          </w:p>
        </w:tc>
        <w:tc>
          <w:tcPr>
            <w:tcW w:w="60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20,572</w:t>
            </w: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302" w:right="439" w:bottom="1440" w:gutter="0" w:footer="0" w:header="0"/>
        </w:sectPr>
      </w:pPr>
    </w:p>
    <w:bookmarkStart w:id="44" w:name="page45"/>
    <w:bookmarkEnd w:id="44"/>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140" w:type="dxa"/>
            <w:vAlign w:val="bottom"/>
          </w:tcPr>
          <w:p>
            <w:pPr>
              <w:spacing w:after="0"/>
              <w:rPr>
                <w:sz w:val="23"/>
                <w:szCs w:val="23"/>
                <w:color w:val="auto"/>
              </w:rPr>
            </w:pPr>
          </w:p>
        </w:tc>
        <w:tc>
          <w:tcPr>
            <w:tcW w:w="13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11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0" w:type="dxa"/>
            <w:vAlign w:val="bottom"/>
          </w:tcPr>
          <w:p>
            <w:pPr>
              <w:spacing w:after="0"/>
              <w:rPr>
                <w:sz w:val="1"/>
                <w:szCs w:val="1"/>
                <w:color w:val="auto"/>
              </w:rPr>
            </w:pPr>
          </w:p>
        </w:tc>
      </w:tr>
      <w:tr>
        <w:trPr>
          <w:trHeight w:val="158"/>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Diversified Search LLC</w:t>
            </w:r>
          </w:p>
        </w:tc>
        <w:tc>
          <w:tcPr>
            <w:tcW w:w="13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2005 Market St.</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 Lien Debt (k)(r)</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Philadelphia, PA 19103</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Common Equity (573</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 (h)(j)</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w w:val="98"/>
              </w:rPr>
              <w:t>Donovan Food Brokerage, LLC</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231 Woodland Lake Dr</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 Lien Debt</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Cordova, TN 38018</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Revolving Loan ($1,000</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unfunded commitment)</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(i)(j)</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(500,000 units) (j)</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Education Incites, LLC (dba</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6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Acceleration Academies)</w:t>
            </w: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Business Services</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910 Van Buren Street,</w:t>
            </w: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315</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Second Lien Debt</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Chicago, IL 60607</w:t>
            </w: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Elements Brands, LLC</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Consumer Products</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4444 South Blvd</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 Lien Debt</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Charlotte, NC 28209</w:t>
            </w: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Revolving Loan (j)</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Fishbowl Solutions, LLC</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64"/>
        </w:trPr>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4500 Park Glen Road,</w:t>
            </w: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06"/>
        </w:trPr>
        <w:tc>
          <w:tcPr>
            <w:tcW w:w="1660" w:type="dxa"/>
            <w:vAlign w:val="bottom"/>
            <w:gridSpan w:val="2"/>
            <w:vMerge w:val="continue"/>
          </w:tcPr>
          <w:p>
            <w:pPr>
              <w:spacing w:after="0"/>
              <w:rPr>
                <w:sz w:val="9"/>
                <w:szCs w:val="9"/>
                <w:color w:val="auto"/>
              </w:rPr>
            </w:pPr>
          </w:p>
        </w:tc>
        <w:tc>
          <w:tcPr>
            <w:tcW w:w="1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200</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 Lien Debt (ar)</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Minneapolis, MN 55416</w:t>
            </w: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Global Plasma Solutions, Inc.</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Component</w:t>
            </w:r>
          </w:p>
        </w:tc>
        <w:tc>
          <w:tcPr>
            <w:tcW w:w="0" w:type="dxa"/>
            <w:vAlign w:val="bottom"/>
          </w:tcPr>
          <w:p>
            <w:pPr>
              <w:spacing w:after="0"/>
              <w:rPr>
                <w:sz w:val="1"/>
                <w:szCs w:val="1"/>
                <w:color w:val="auto"/>
              </w:rPr>
            </w:pPr>
          </w:p>
        </w:tc>
      </w:tr>
      <w:tr>
        <w:trPr>
          <w:trHeight w:val="164"/>
        </w:trPr>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3101 Yorkmont Road,</w:t>
            </w: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Common Equity</w:t>
            </w:r>
          </w:p>
        </w:tc>
        <w:tc>
          <w:tcPr>
            <w:tcW w:w="1180" w:type="dxa"/>
            <w:vAlign w:val="bottom"/>
          </w:tcPr>
          <w:p>
            <w:pPr>
              <w:spacing w:after="0"/>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06"/>
        </w:trPr>
        <w:tc>
          <w:tcPr>
            <w:tcW w:w="1660" w:type="dxa"/>
            <w:vAlign w:val="bottom"/>
            <w:gridSpan w:val="2"/>
            <w:vMerge w:val="continue"/>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1500</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(515 shares) (j)</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Charlotte, NC 28208</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Common Equity (1,461</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shares) (j)</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GMP HVAC, LLC (dba McGee</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6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Heating &amp; Air, LLC)</w:t>
            </w: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Utilities: Services</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93 Old 29 Highway</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Hartwell, GA 30643</w:t>
            </w: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Revolving Loan ($1,000</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unfunded commitment)</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(i)(j)</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(1,000 units) (h)(j)</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60" w:type="dxa"/>
            <w:vAlign w:val="bottom"/>
          </w:tcPr>
          <w:p>
            <w:pPr>
              <w:spacing w:after="0"/>
              <w:rPr>
                <w:sz w:val="12"/>
                <w:szCs w:val="12"/>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60" w:type="dxa"/>
            <w:vAlign w:val="bottom"/>
          </w:tcPr>
          <w:p>
            <w:pPr>
              <w:spacing w:after="0"/>
              <w:rPr>
                <w:sz w:val="11"/>
                <w:szCs w:val="11"/>
                <w:color w:val="auto"/>
              </w:rPr>
            </w:pPr>
          </w:p>
        </w:tc>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Rate (e)</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c>
          <w:tcPr>
            <w:tcW w:w="0" w:type="dxa"/>
            <w:vAlign w:val="bottom"/>
          </w:tcPr>
          <w:p>
            <w:pPr>
              <w:spacing w:after="0"/>
              <w:rPr>
                <w:sz w:val="1"/>
                <w:szCs w:val="1"/>
                <w:color w:val="auto"/>
              </w:rPr>
            </w:pPr>
          </w:p>
        </w:tc>
      </w:tr>
      <w:tr>
        <w:trPr>
          <w:trHeight w:val="159"/>
        </w:trPr>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Held (aw)</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80" w:type="dxa"/>
            <w:vAlign w:val="bottom"/>
          </w:tcPr>
          <w:p>
            <w:pPr>
              <w:spacing w:after="0"/>
              <w:rPr>
                <w:sz w:val="13"/>
                <w:szCs w:val="13"/>
                <w:color w:val="auto"/>
              </w:rPr>
            </w:pP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Date (f)</w:t>
            </w:r>
          </w:p>
        </w:tc>
        <w:tc>
          <w:tcPr>
            <w:tcW w:w="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0"/>
              </w:rPr>
              <w:t>Net Assets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+ 7.25%) / (1.00%)</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12.81%/0.00%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2/7/2019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9/30/2025</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24,155</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24,093</w:t>
            </w: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24,155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2/7/2019</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6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453</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24,645</w:t>
            </w: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24,608</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(S + 6.50%) / (2.00%)</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5"/>
              </w:rPr>
              <w:t>11.82%/0.00%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2/23/2024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2/23/2029</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9,951</w:t>
            </w: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9,951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(S + 6.50%) / (2.00%)</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5"/>
              </w:rPr>
              <w:t>11.82%/0.00%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2/23/2024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2/23/2029</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2.30%</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2/23/2024</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6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10,446</w:t>
            </w: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10,451</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12.75%/0.00%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10/31/2022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10/29/2027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5,979</w:t>
            </w: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6,120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443"/>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12.25%/0.00%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12/31/2020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12/31/2024</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2,025</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2,025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8"/>
              </w:rPr>
              <w:t>12.25%/0.00%</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12/31/2020</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12/31/2024</w:t>
            </w: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3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1,498</w:t>
            </w:r>
          </w:p>
        </w:tc>
        <w:tc>
          <w:tcPr>
            <w:tcW w:w="16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1,500</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3,516</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3,525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608"/>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(S + 7.75%) / (1.00%)</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13.34%/0.00%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3/25/2022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3/25/2027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14,083</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14,018</w:t>
            </w: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14,083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743"/>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0.23%</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2/1/2024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0.87%</w:t>
            </w: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9/21/2018</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60" w:type="dxa"/>
            <w:vAlign w:val="bottom"/>
          </w:tcPr>
          <w:p>
            <w:pPr>
              <w:spacing w:after="0"/>
              <w:rPr>
                <w:sz w:val="20"/>
                <w:szCs w:val="20"/>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168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473"/>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(S + 7.00%) / (2.00%)</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12.33%/0.00%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12/8/2028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2,984</w:t>
            </w:r>
          </w:p>
        </w:tc>
        <w:tc>
          <w:tcPr>
            <w:tcW w:w="1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2,984</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(S + 7.00%) / (2.00%)</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12.33%/0.00%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12/8/2028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2.90%</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12/8/2023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3,979</w:t>
            </w: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3,984</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-4424045</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-4004310</wp:posOffset>
            </wp:positionV>
            <wp:extent cx="6995160" cy="857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-3832860</wp:posOffset>
            </wp:positionV>
            <wp:extent cx="699516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-3515360</wp:posOffset>
            </wp:positionV>
            <wp:extent cx="6995160" cy="857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-3343910</wp:posOffset>
            </wp:positionV>
            <wp:extent cx="6995160"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-2898140</wp:posOffset>
            </wp:positionV>
            <wp:extent cx="6995160" cy="857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-2598420</wp:posOffset>
            </wp:positionV>
            <wp:extent cx="699516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-2298065</wp:posOffset>
            </wp:positionV>
            <wp:extent cx="6995160" cy="857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-2126615</wp:posOffset>
            </wp:positionV>
            <wp:extent cx="6995160" cy="857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-1912620</wp:posOffset>
            </wp:positionV>
            <wp:extent cx="699516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-1569720</wp:posOffset>
            </wp:positionV>
            <wp:extent cx="6995160"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-1269365</wp:posOffset>
            </wp:positionV>
            <wp:extent cx="6995160"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-926465</wp:posOffset>
            </wp:positionV>
            <wp:extent cx="6995160"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-626745</wp:posOffset>
            </wp:positionV>
            <wp:extent cx="6995160" cy="857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-283845</wp:posOffset>
            </wp:positionV>
            <wp:extent cx="699516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94"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2">
            <w:col w:w="4220" w:space="80"/>
            <w:col w:w="6660"/>
          </w:cols>
          <w:pgMar w:left="440" w:top="302" w:right="499" w:bottom="1440" w:gutter="0" w:footer="0" w:header="0"/>
        </w:sectPr>
      </w:pPr>
    </w:p>
    <w:bookmarkStart w:id="45" w:name="page46"/>
    <w:bookmarkEnd w:id="45"/>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60" w:type="dxa"/>
            <w:vAlign w:val="bottom"/>
          </w:tcPr>
          <w:p>
            <w:pPr>
              <w:spacing w:after="0"/>
              <w:rPr>
                <w:sz w:val="23"/>
                <w:szCs w:val="23"/>
                <w:color w:val="auto"/>
              </w:rPr>
            </w:pP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0" w:type="dxa"/>
            <w:vAlign w:val="bottom"/>
          </w:tcPr>
          <w:p>
            <w:pPr>
              <w:spacing w:after="0"/>
              <w:rPr>
                <w:sz w:val="1"/>
                <w:szCs w:val="1"/>
                <w:color w:val="auto"/>
              </w:rPr>
            </w:pPr>
          </w:p>
        </w:tc>
      </w:tr>
      <w:tr>
        <w:trPr>
          <w:trHeight w:val="156"/>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GP&amp;C Operations, LLC (dba</w:t>
            </w: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i w:val="1"/>
                <w:iCs w:val="1"/>
                <w:color w:val="auto"/>
              </w:rPr>
              <w:t>Garlock Printing and</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Component</w:t>
            </w:r>
          </w:p>
        </w:tc>
        <w:tc>
          <w:tcPr>
            <w:tcW w:w="0" w:type="dxa"/>
            <w:vAlign w:val="bottom"/>
          </w:tcPr>
          <w:p>
            <w:pPr>
              <w:spacing w:after="0"/>
              <w:rPr>
                <w:sz w:val="1"/>
                <w:szCs w:val="1"/>
                <w:color w:val="auto"/>
              </w:rPr>
            </w:pPr>
          </w:p>
        </w:tc>
      </w:tr>
      <w:tr>
        <w:trPr>
          <w:trHeight w:val="137"/>
        </w:trPr>
        <w:tc>
          <w:tcPr>
            <w:tcW w:w="16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Converting)</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164 Fredette St.</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Gardner, MA 01440</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(515,625 units) (h)(j)</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Green Cubes Technology, LLC</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37"/>
        </w:trPr>
        <w:tc>
          <w:tcPr>
            <w:tcW w:w="16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(dba Green Cubes)</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2121 East Boulevard</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Kokomo. IN 46902</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Gurobi Optimization, LLC</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64"/>
        </w:trPr>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9450 SW Gemini</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06"/>
        </w:trPr>
        <w:tc>
          <w:tcPr>
            <w:tcW w:w="1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Dr. #90729</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w w:val="95"/>
              </w:rPr>
              <w:t>Common Equity (3 shares)</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Beaverton, OR 97008-</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7105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Haematologic Technologies,</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i w:val="1"/>
                <w:iCs w:val="1"/>
                <w:color w:val="auto"/>
              </w:rPr>
              <w:t>Haematologic</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Inc.</w:t>
            </w:r>
          </w:p>
        </w:tc>
        <w:tc>
          <w:tcPr>
            <w:tcW w:w="144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i w:val="1"/>
                <w:iCs w:val="1"/>
                <w:color w:val="auto"/>
              </w:rPr>
              <w:t>Technologies, Inc.</w:t>
            </w:r>
          </w:p>
        </w:tc>
        <w:tc>
          <w:tcPr>
            <w:tcW w:w="12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Healthcare Services</w:t>
            </w: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57 River Road</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 Lien Debt (x)</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Essex Junction, VT 05452</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Common Equity (630</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units) (h)(j)</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w w:val="95"/>
              </w:rPr>
              <w:t>Common Equity (89 units)</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(h)(j)</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Hallmark Health Care</w:t>
            </w: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Solutions, Inc.</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Healthcare Services</w:t>
            </w: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200 Motor Parkway,</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D-26</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(3,645,752 units) (j)</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Hauppauge, NY 11788</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Healthfuse, LLC</w:t>
            </w: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Healthcare Services</w:t>
            </w: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324 E. Wisconsin Ave,</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w w:val="98"/>
              </w:rPr>
              <w:t>Preferred Equity (197,980</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1300</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units)</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Milwaukee, WI 53202</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w w:val="98"/>
              </w:rPr>
              <w:t>Hub Acquisition Sub, LLC (dba</w:t>
            </w: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Hub Pen)</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w w:val="99"/>
              </w:rPr>
              <w:t>Promotional products</w:t>
            </w: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1525 Washington Street</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Second Lien Debt (k)</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Braintree, MA 02184</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Common Equity (5,837</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units)</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Common Equity (637</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units) (j)</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Preferred Equity (868</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units) (j)</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16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IBH Holdings, LLC (fka</w:t>
            </w:r>
          </w:p>
        </w:tc>
        <w:tc>
          <w:tcPr>
            <w:tcW w:w="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7"/>
        </w:trPr>
        <w:tc>
          <w:tcPr>
            <w:tcW w:w="164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Inflexxion, Inc.)</w:t>
            </w: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3"/>
                <w:szCs w:val="13"/>
                <w:color w:val="auto"/>
              </w:rPr>
              <w:t>Business Services</w:t>
            </w:r>
          </w:p>
        </w:tc>
        <w:tc>
          <w:tcPr>
            <w:tcW w:w="0" w:type="dxa"/>
            <w:vAlign w:val="bottom"/>
          </w:tcPr>
          <w:p>
            <w:pPr>
              <w:spacing w:after="0"/>
              <w:rPr>
                <w:sz w:val="1"/>
                <w:szCs w:val="1"/>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3070 Bristol St #350</w:t>
            </w:r>
          </w:p>
        </w:tc>
        <w:tc>
          <w:tcPr>
            <w:tcW w:w="14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w w:val="98"/>
              </w:rPr>
              <w:t>Common Equity (150,000</w:t>
            </w: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Costa Mesa, CA 92626</w:t>
            </w: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units)</w:t>
            </w: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Percentage</w:t>
            </w: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8"/>
              </w:rPr>
              <w:t>Variable</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5"/>
        </w:trPr>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of Class</w:t>
            </w:r>
          </w:p>
        </w:tc>
        <w:tc>
          <w:tcPr>
            <w:tcW w:w="12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Index Spread</w:t>
            </w:r>
          </w:p>
        </w:tc>
        <w:tc>
          <w:tcPr>
            <w:tcW w:w="8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Rate (e)</w:t>
            </w: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Principal</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0"/>
              </w:rPr>
              <w:t>Fair</w:t>
            </w:r>
          </w:p>
        </w:tc>
        <w:tc>
          <w:tcPr>
            <w:tcW w:w="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r>
      <w:tr>
        <w:trPr>
          <w:trHeight w:val="159"/>
        </w:trPr>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Held (aw)</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 Floor (d)</w:t>
            </w:r>
          </w:p>
        </w:tc>
        <w:tc>
          <w:tcPr>
            <w:tcW w:w="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6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(f)</w:t>
            </w:r>
          </w:p>
        </w:tc>
        <w:tc>
          <w:tcPr>
            <w:tcW w:w="10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0"/>
              </w:rPr>
              <w:t>Net Assets</w:t>
            </w: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-385445</wp:posOffset>
            </wp:positionV>
            <wp:extent cx="7174865" cy="55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34290</wp:posOffset>
            </wp:positionV>
            <wp:extent cx="6995160"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320" w:type="dxa"/>
        <w:tblCellMar>
          <w:top w:w="0" w:type="dxa"/>
          <w:left w:w="0" w:type="dxa"/>
          <w:bottom w:w="0" w:type="dxa"/>
          <w:right w:w="0" w:type="dxa"/>
        </w:tblCellMar>
      </w:tblPr>
      <w:tr>
        <w:trPr>
          <w:trHeight w:val="164"/>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w w:val="95"/>
              </w:rPr>
              <w:t>1.70%</w:t>
            </w:r>
          </w:p>
        </w:tc>
        <w:tc>
          <w:tcPr>
            <w:tcW w:w="84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1/22/2021</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590</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608"/>
        </w:trPr>
        <w:tc>
          <w:tcPr>
            <w:tcW w:w="168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9"/>
              </w:rPr>
              <w:t>(S + 13.00%) / (0.00%)</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18.49%/0.00%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12/17/2021</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12/17/2024</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11,838</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11,820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11,838</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743"/>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w w:val="95"/>
              </w:rPr>
              <w:t>0.69%</w:t>
            </w:r>
          </w:p>
        </w:tc>
        <w:tc>
          <w:tcPr>
            <w:tcW w:w="84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12/19/2017</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3,619</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743"/>
        </w:trPr>
        <w:tc>
          <w:tcPr>
            <w:tcW w:w="168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 + 8.25%) / (2.00%)</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10/11/2019</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10/11/2024</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5,385</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5,385</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w w:val="95"/>
              </w:rPr>
              <w:t>3.45%</w:t>
            </w:r>
          </w:p>
        </w:tc>
        <w:tc>
          <w:tcPr>
            <w:tcW w:w="84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10/11/2019</w:t>
            </w: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4</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w w:val="95"/>
              </w:rPr>
              <w:t>0.49%</w:t>
            </w:r>
          </w:p>
        </w:tc>
        <w:tc>
          <w:tcPr>
            <w:tcW w:w="8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6/26/2023</w:t>
            </w: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133</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1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6,099</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5,522</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w w:val="95"/>
              </w:rPr>
              <w:t>0.43%</w:t>
            </w:r>
          </w:p>
        </w:tc>
        <w:tc>
          <w:tcPr>
            <w:tcW w:w="84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9/18/2023</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3,838</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608"/>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w w:val="95"/>
              </w:rPr>
              <w:t>1.93%</w:t>
            </w:r>
          </w:p>
        </w:tc>
        <w:tc>
          <w:tcPr>
            <w:tcW w:w="84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11/13/2020</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1,837</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608"/>
        </w:trPr>
        <w:tc>
          <w:tcPr>
            <w:tcW w:w="16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12.50%/1.00%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4/25/2023</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6/30/2028</w:t>
            </w: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20,190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19,945</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20,190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w w:val="95"/>
              </w:rPr>
              <w:t>0.57%</w:t>
            </w:r>
          </w:p>
        </w:tc>
        <w:tc>
          <w:tcPr>
            <w:tcW w:w="84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3/23/2016</w:t>
            </w: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1,553</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w w:val="95"/>
              </w:rPr>
              <w:t>0.06%</w:t>
            </w:r>
          </w:p>
        </w:tc>
        <w:tc>
          <w:tcPr>
            <w:tcW w:w="84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8/7/2023</w:t>
            </w:r>
          </w:p>
        </w:tc>
        <w:tc>
          <w:tcPr>
            <w:tcW w:w="7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170</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rPr>
              <w:t>0.0%</w:t>
            </w:r>
          </w:p>
        </w:tc>
        <w:tc>
          <w:tcPr>
            <w:tcW w:w="84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10/16/2020</w:t>
            </w: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358</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8"/>
        </w:trPr>
        <w:tc>
          <w:tcPr>
            <w:tcW w:w="1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20,591</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22,271</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5"/>
        </w:trPr>
        <w:tc>
          <w:tcPr>
            <w:tcW w:w="1680" w:type="dxa"/>
            <w:vAlign w:val="bottom"/>
          </w:tcPr>
          <w:p>
            <w:pPr>
              <w:jc w:val="right"/>
              <w:ind w:right="1275"/>
              <w:spacing w:after="0"/>
              <w:rPr>
                <w:sz w:val="20"/>
                <w:szCs w:val="20"/>
                <w:color w:val="auto"/>
              </w:rPr>
            </w:pPr>
            <w:r>
              <w:rPr>
                <w:rFonts w:ascii="Times New Roman" w:cs="Times New Roman" w:eastAsia="Times New Roman" w:hAnsi="Times New Roman"/>
                <w:sz w:val="13"/>
                <w:szCs w:val="13"/>
                <w:color w:val="auto"/>
                <w:w w:val="95"/>
              </w:rPr>
              <w:t>1.50%</w:t>
            </w:r>
          </w:p>
        </w:tc>
        <w:tc>
          <w:tcPr>
            <w:tcW w:w="84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6/20/2018</w:t>
            </w: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8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65</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489"/>
        </w:trPr>
        <w:tc>
          <w:tcPr>
            <w:tcW w:w="168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rPr>
              <w:t>-27-</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-4208145</wp:posOffset>
            </wp:positionV>
            <wp:extent cx="6995160" cy="857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-3908425</wp:posOffset>
            </wp:positionV>
            <wp:extent cx="6995160" cy="857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-3693795</wp:posOffset>
            </wp:positionV>
            <wp:extent cx="699516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-3350895</wp:posOffset>
            </wp:positionV>
            <wp:extent cx="699516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-2965450</wp:posOffset>
            </wp:positionV>
            <wp:extent cx="6995160" cy="857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-2708275</wp:posOffset>
            </wp:positionV>
            <wp:extent cx="699516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-2391410</wp:posOffset>
            </wp:positionV>
            <wp:extent cx="699516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-2048510</wp:posOffset>
            </wp:positionV>
            <wp:extent cx="6995160" cy="857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-1833880</wp:posOffset>
            </wp:positionV>
            <wp:extent cx="699516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-1534160</wp:posOffset>
            </wp:positionV>
            <wp:extent cx="699516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-1276985</wp:posOffset>
            </wp:positionV>
            <wp:extent cx="6995160" cy="1714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-934085</wp:posOffset>
            </wp:positionV>
            <wp:extent cx="6995160"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-659765</wp:posOffset>
            </wp:positionV>
            <wp:extent cx="699516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-316865</wp:posOffset>
            </wp:positionV>
            <wp:extent cx="6995160" cy="85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ectPr>
          <w:pgSz w:w="11900" w:h="16838" w:orient="portrait"/>
          <w:cols w:equalWidth="0" w:num="2">
            <w:col w:w="4280" w:space="80"/>
            <w:col w:w="6600"/>
          </w:cols>
          <w:pgMar w:left="440" w:top="302" w:right="499" w:bottom="1440" w:gutter="0" w:footer="0" w:header="0"/>
        </w:sectPr>
      </w:pPr>
    </w:p>
    <w:bookmarkStart w:id="46" w:name="page47"/>
    <w:bookmarkEnd w:id="46"/>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p>
      <w:pPr>
        <w:spacing w:after="0" w:line="119" w:lineRule="exact"/>
        <w:rPr>
          <w:sz w:val="20"/>
          <w:szCs w:val="20"/>
          <w:color w:val="auto"/>
        </w:rPr>
      </w:pPr>
    </w:p>
    <w:p>
      <w:pPr>
        <w:spacing w:after="0"/>
        <w:tabs>
          <w:tab w:leader="none" w:pos="1880" w:val="left"/>
          <w:tab w:leader="none" w:pos="3520" w:val="left"/>
        </w:tabs>
        <w:rPr>
          <w:sz w:val="20"/>
          <w:szCs w:val="20"/>
          <w:color w:val="auto"/>
        </w:rPr>
      </w:pPr>
      <w:r>
        <w:rPr>
          <w:rFonts w:ascii="Times New Roman" w:cs="Times New Roman" w:eastAsia="Times New Roman" w:hAnsi="Times New Roman"/>
          <w:sz w:val="12"/>
          <w:szCs w:val="12"/>
          <w:b w:val="1"/>
          <w:bCs w:val="1"/>
          <w:color w:val="auto"/>
        </w:rPr>
        <w:t>Address of Portfolio Company</w:t>
      </w:r>
      <w:r>
        <w:rPr>
          <w:sz w:val="20"/>
          <w:szCs w:val="20"/>
          <w:color w:val="auto"/>
        </w:rPr>
        <w:tab/>
      </w:r>
      <w:r>
        <w:rPr>
          <w:rFonts w:ascii="Times New Roman" w:cs="Times New Roman" w:eastAsia="Times New Roman" w:hAnsi="Times New Roman"/>
          <w:sz w:val="12"/>
          <w:szCs w:val="12"/>
          <w:b w:val="1"/>
          <w:bCs w:val="1"/>
          <w:color w:val="auto"/>
        </w:rPr>
        <w:t>Investment Type (c)</w:t>
      </w:r>
      <w:r>
        <w:rPr>
          <w:sz w:val="20"/>
          <w:szCs w:val="20"/>
          <w:color w:val="auto"/>
        </w:rPr>
        <w:tab/>
      </w:r>
      <w:r>
        <w:rPr>
          <w:rFonts w:ascii="Times New Roman" w:cs="Times New Roman" w:eastAsia="Times New Roman" w:hAnsi="Times New Roman"/>
          <w:sz w:val="11"/>
          <w:szCs w:val="11"/>
          <w:b w:val="1"/>
          <w:bCs w:val="1"/>
          <w:color w:val="auto"/>
        </w:rPr>
        <w:t>Industry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35"/>
        </w:trPr>
        <w:tc>
          <w:tcPr>
            <w:tcW w:w="780" w:type="dxa"/>
            <w:vAlign w:val="bottom"/>
          </w:tcPr>
          <w:p>
            <w:pPr>
              <w:jc w:val="center"/>
              <w:ind w:right="162"/>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11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40" w:type="dxa"/>
            <w:vAlign w:val="bottom"/>
          </w:tcPr>
          <w:p>
            <w:pPr>
              <w:jc w:val="center"/>
              <w:ind w:left="42"/>
              <w:spacing w:after="0" w:line="135" w:lineRule="exact"/>
              <w:rPr>
                <w:sz w:val="20"/>
                <w:szCs w:val="20"/>
                <w:color w:val="auto"/>
              </w:rPr>
            </w:pPr>
            <w:r>
              <w:rPr>
                <w:rFonts w:ascii="Times New Roman" w:cs="Times New Roman" w:eastAsia="Times New Roman" w:hAnsi="Times New Roman"/>
                <w:sz w:val="12"/>
                <w:szCs w:val="12"/>
                <w:b w:val="1"/>
                <w:bCs w:val="1"/>
                <w:color w:val="auto"/>
                <w:w w:val="94"/>
              </w:rPr>
              <w:t>Rate (e)</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Investment</w:t>
            </w:r>
          </w:p>
        </w:tc>
        <w:tc>
          <w:tcPr>
            <w:tcW w:w="6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Principal</w:t>
            </w:r>
          </w:p>
        </w:tc>
        <w:tc>
          <w:tcPr>
            <w:tcW w:w="460" w:type="dxa"/>
            <w:vAlign w:val="bottom"/>
          </w:tcPr>
          <w:p>
            <w:pPr>
              <w:spacing w:after="0"/>
              <w:rPr>
                <w:sz w:val="11"/>
                <w:szCs w:val="11"/>
                <w:color w:val="auto"/>
              </w:rPr>
            </w:pPr>
          </w:p>
        </w:tc>
        <w:tc>
          <w:tcPr>
            <w:tcW w:w="620" w:type="dxa"/>
            <w:vAlign w:val="bottom"/>
          </w:tcPr>
          <w:p>
            <w:pPr>
              <w:jc w:val="center"/>
              <w:ind w:left="2"/>
              <w:spacing w:after="0" w:line="135" w:lineRule="exact"/>
              <w:rPr>
                <w:sz w:val="20"/>
                <w:szCs w:val="20"/>
                <w:color w:val="auto"/>
              </w:rPr>
            </w:pPr>
            <w:r>
              <w:rPr>
                <w:rFonts w:ascii="Times New Roman" w:cs="Times New Roman" w:eastAsia="Times New Roman" w:hAnsi="Times New Roman"/>
                <w:sz w:val="12"/>
                <w:szCs w:val="12"/>
                <w:b w:val="1"/>
                <w:bCs w:val="1"/>
                <w:color w:val="auto"/>
                <w:w w:val="90"/>
              </w:rPr>
              <w:t>Fair</w:t>
            </w:r>
          </w:p>
        </w:tc>
        <w:tc>
          <w:tcPr>
            <w:tcW w:w="580" w:type="dxa"/>
            <w:vAlign w:val="bottom"/>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r>
      <w:tr>
        <w:trPr>
          <w:trHeight w:val="145"/>
        </w:trPr>
        <w:tc>
          <w:tcPr>
            <w:tcW w:w="780" w:type="dxa"/>
            <w:vAlign w:val="bottom"/>
          </w:tcPr>
          <w:p>
            <w:pPr>
              <w:jc w:val="center"/>
              <w:ind w:right="162"/>
              <w:spacing w:after="0"/>
              <w:rPr>
                <w:sz w:val="20"/>
                <w:szCs w:val="20"/>
                <w:color w:val="auto"/>
              </w:rPr>
            </w:pPr>
            <w:r>
              <w:rPr>
                <w:rFonts w:ascii="Times New Roman" w:cs="Times New Roman" w:eastAsia="Times New Roman" w:hAnsi="Times New Roman"/>
                <w:sz w:val="12"/>
                <w:szCs w:val="12"/>
                <w:b w:val="1"/>
                <w:bCs w:val="1"/>
                <w:u w:val="single" w:color="auto"/>
                <w:color w:val="auto"/>
                <w:w w:val="95"/>
              </w:rPr>
              <w:t>Held (aw)</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40" w:type="dxa"/>
            <w:vAlign w:val="bottom"/>
          </w:tcPr>
          <w:p>
            <w:pPr>
              <w:jc w:val="center"/>
              <w:ind w:left="42"/>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(f)</w:t>
            </w:r>
          </w:p>
        </w:tc>
        <w:tc>
          <w:tcPr>
            <w:tcW w:w="64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w w:val="95"/>
              </w:rPr>
              <w:t>Amount</w:t>
            </w:r>
          </w:p>
        </w:tc>
        <w:tc>
          <w:tcPr>
            <w:tcW w:w="4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20" w:type="dxa"/>
            <w:vAlign w:val="bottom"/>
          </w:tcPr>
          <w:p>
            <w:pPr>
              <w:jc w:val="center"/>
              <w:ind w:left="2"/>
              <w:spacing w:after="0"/>
              <w:rPr>
                <w:sz w:val="20"/>
                <w:szCs w:val="20"/>
                <w:color w:val="auto"/>
              </w:rPr>
            </w:pPr>
            <w:r>
              <w:rPr>
                <w:rFonts w:ascii="Times New Roman" w:cs="Times New Roman" w:eastAsia="Times New Roman" w:hAnsi="Times New Roman"/>
                <w:sz w:val="12"/>
                <w:szCs w:val="12"/>
                <w:b w:val="1"/>
                <w:bCs w:val="1"/>
                <w:u w:val="single" w:color="auto"/>
                <w:color w:val="auto"/>
                <w:w w:val="93"/>
              </w:rPr>
              <w:t>Value (g)</w:t>
            </w:r>
          </w:p>
        </w:tc>
        <w:tc>
          <w:tcPr>
            <w:tcW w:w="580" w:type="dxa"/>
            <w:vAlign w:val="bottom"/>
          </w:tcPr>
          <w:p>
            <w:pPr>
              <w:ind w:left="80"/>
              <w:spacing w:after="0"/>
              <w:rPr>
                <w:sz w:val="20"/>
                <w:szCs w:val="20"/>
                <w:color w:val="auto"/>
              </w:rPr>
            </w:pPr>
            <w:r>
              <w:rPr>
                <w:rFonts w:ascii="Times New Roman" w:cs="Times New Roman" w:eastAsia="Times New Roman" w:hAnsi="Times New Roman"/>
                <w:sz w:val="12"/>
                <w:szCs w:val="12"/>
                <w:b w:val="1"/>
                <w:bCs w:val="1"/>
                <w:u w:val="single" w:color="auto"/>
                <w:color w:val="auto"/>
                <w:w w:val="90"/>
              </w:rPr>
              <w:t>Net Assets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-368300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3980" w:space="440"/>
            <w:col w:w="6540"/>
          </w:cols>
          <w:pgMar w:left="440" w:top="302" w:right="49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8"/>
        </w:trPr>
        <w:tc>
          <w:tcPr>
            <w:tcW w:w="1640" w:type="dxa"/>
            <w:vAlign w:val="bottom"/>
            <w:gridSpan w:val="2"/>
          </w:tcPr>
          <w:p>
            <w:pPr>
              <w:spacing w:after="0" w:line="69" w:lineRule="exact"/>
              <w:rPr>
                <w:sz w:val="20"/>
                <w:szCs w:val="20"/>
                <w:color w:val="auto"/>
              </w:rPr>
            </w:pPr>
            <w:r>
              <w:rPr>
                <w:rFonts w:ascii="Times New Roman" w:cs="Times New Roman" w:eastAsia="Times New Roman" w:hAnsi="Times New Roman"/>
                <w:sz w:val="7"/>
                <w:szCs w:val="7"/>
                <w:i w:val="1"/>
                <w:iCs w:val="1"/>
                <w:color w:val="auto"/>
              </w:rPr>
              <w:t>Informatics Holdings, Inc. (dba</w:t>
            </w:r>
          </w:p>
        </w:tc>
        <w:tc>
          <w:tcPr>
            <w:tcW w:w="40" w:type="dxa"/>
            <w:vAlign w:val="bottom"/>
          </w:tcPr>
          <w:p>
            <w:pPr>
              <w:spacing w:after="0"/>
              <w:rPr>
                <w:sz w:val="5"/>
                <w:szCs w:val="5"/>
                <w:color w:val="auto"/>
              </w:rPr>
            </w:pPr>
          </w:p>
        </w:tc>
        <w:tc>
          <w:tcPr>
            <w:tcW w:w="1420" w:type="dxa"/>
            <w:vAlign w:val="bottom"/>
          </w:tcPr>
          <w:p>
            <w:pPr>
              <w:spacing w:after="0"/>
              <w:rPr>
                <w:sz w:val="5"/>
                <w:szCs w:val="5"/>
                <w:color w:val="auto"/>
              </w:rPr>
            </w:pPr>
          </w:p>
        </w:tc>
      </w:tr>
      <w:tr>
        <w:trPr>
          <w:trHeight w:val="151"/>
        </w:trPr>
        <w:tc>
          <w:tcPr>
            <w:tcW w:w="1640" w:type="dxa"/>
            <w:vAlign w:val="bottom"/>
            <w:gridSpan w:val="2"/>
          </w:tcPr>
          <w:p>
            <w:pPr>
              <w:ind w:left="120"/>
              <w:spacing w:after="0"/>
              <w:rPr>
                <w:sz w:val="20"/>
                <w:szCs w:val="20"/>
                <w:color w:val="auto"/>
              </w:rPr>
            </w:pPr>
            <w:r>
              <w:rPr>
                <w:rFonts w:ascii="Times New Roman" w:cs="Times New Roman" w:eastAsia="Times New Roman" w:hAnsi="Times New Roman"/>
                <w:sz w:val="13"/>
                <w:szCs w:val="13"/>
                <w:i w:val="1"/>
                <w:iCs w:val="1"/>
                <w:color w:val="auto"/>
                <w:w w:val="97"/>
              </w:rPr>
              <w:t>Wasp Barcode Technologies)</w:t>
            </w: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1400 10th St</w:t>
            </w:r>
          </w:p>
        </w:tc>
        <w:tc>
          <w:tcPr>
            <w:tcW w:w="14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r>
      <w:tr>
        <w:trPr>
          <w:trHeight w:val="135"/>
        </w:trPr>
        <w:tc>
          <w:tcPr>
            <w:tcW w:w="164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Plano, TX 75074</w:t>
            </w:r>
          </w:p>
        </w:tc>
        <w:tc>
          <w:tcPr>
            <w:tcW w:w="14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Revolving Loan ($1,000</w:t>
            </w: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unfunded commitment) (i)</w:t>
            </w: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(j)</w:t>
            </w:r>
          </w:p>
        </w:tc>
      </w:tr>
      <w:tr>
        <w:trPr>
          <w:trHeight w:val="135"/>
        </w:trPr>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6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r>
      <w:tr>
        <w:trPr>
          <w:trHeight w:val="164"/>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(1,000,000 units) (j)</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Information</w:t>
      </w:r>
    </w:p>
    <w:p>
      <w:pPr>
        <w:spacing w:after="0"/>
        <w:rPr>
          <w:sz w:val="20"/>
          <w:szCs w:val="20"/>
          <w:color w:val="auto"/>
        </w:rPr>
      </w:pPr>
      <w:r>
        <w:rPr>
          <w:rFonts w:ascii="Times New Roman" w:cs="Times New Roman" w:eastAsia="Times New Roman" w:hAnsi="Times New Roman"/>
          <w:sz w:val="12"/>
          <w:szCs w:val="12"/>
          <w:color w:val="auto"/>
        </w:rPr>
        <w:t>Technology Services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 + 6.50%) / (2.50%)</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11.83%/0.00%</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3/7/2024</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3/7/2029</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12,500</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12,450</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12,450</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62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(S + 6.50%) / (2.50%)</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11.83%/0.00%</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3/7/2024</w:t>
            </w: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3/7/2029</w:t>
            </w: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— </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3.80%</w:t>
            </w:r>
          </w:p>
        </w:tc>
        <w:tc>
          <w:tcPr>
            <w:tcW w:w="900" w:type="dxa"/>
            <w:vAlign w:val="bottom"/>
          </w:tcPr>
          <w:p>
            <w:pPr>
              <w:spacing w:after="0"/>
              <w:rPr>
                <w:sz w:val="22"/>
                <w:szCs w:val="22"/>
                <w:color w:val="auto"/>
              </w:rPr>
            </w:pP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3/7/2024</w:t>
            </w: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60" w:type="dxa"/>
            <w:vAlign w:val="bottom"/>
          </w:tcPr>
          <w:p>
            <w:pPr>
              <w:spacing w:after="0"/>
              <w:rPr>
                <w:sz w:val="22"/>
                <w:szCs w:val="2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1,000</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13,450</w:t>
            </w:r>
          </w:p>
        </w:tc>
        <w:tc>
          <w:tcPr>
            <w:tcW w:w="16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13,450</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-541020</wp:posOffset>
            </wp:positionV>
            <wp:extent cx="6995160" cy="2571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-95250</wp:posOffset>
            </wp:positionV>
            <wp:extent cx="6995160" cy="857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-806450</wp:posOffset>
            </wp:positionV>
            <wp:extent cx="699516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3">
            <w:col w:w="3100" w:space="80"/>
            <w:col w:w="1060" w:space="520"/>
            <w:col w:w="6200"/>
          </w:cols>
          <w:pgMar w:left="440" w:top="302" w:right="49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ISI PSG Holdings, LLC (dba</w:t>
            </w:r>
          </w:p>
        </w:tc>
        <w:tc>
          <w:tcPr>
            <w:tcW w:w="2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Incentive Solutions, Inc.)</w:t>
            </w:r>
          </w:p>
        </w:tc>
        <w:tc>
          <w:tcPr>
            <w:tcW w:w="2620" w:type="dxa"/>
            <w:vAlign w:val="bottom"/>
          </w:tcPr>
          <w:p>
            <w:pPr>
              <w:ind w:left="1560"/>
              <w:spacing w:after="0" w:line="137" w:lineRule="exact"/>
              <w:rPr>
                <w:sz w:val="20"/>
                <w:szCs w:val="20"/>
                <w:color w:val="auto"/>
              </w:rPr>
            </w:pPr>
            <w:r>
              <w:rPr>
                <w:rFonts w:ascii="Times New Roman" w:cs="Times New Roman" w:eastAsia="Times New Roman" w:hAnsi="Times New Roman"/>
                <w:sz w:val="13"/>
                <w:szCs w:val="13"/>
                <w:color w:val="auto"/>
              </w:rPr>
              <w:t>Business Services</w:t>
            </w: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4170 Ashford Dunwoody</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Rd, #250</w:t>
            </w: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(j)(aj)</w:t>
            </w: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Atlanta, GA 30319</w:t>
            </w: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(j)(an)</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(256,964 units) (h)(j)</w:t>
            </w:r>
          </w:p>
        </w:tc>
        <w:tc>
          <w:tcPr>
            <w:tcW w:w="0" w:type="dxa"/>
            <w:vAlign w:val="bottom"/>
          </w:tcPr>
          <w:p>
            <w:pPr>
              <w:spacing w:after="0"/>
              <w:rPr>
                <w:sz w:val="1"/>
                <w:szCs w:val="1"/>
                <w:color w:val="auto"/>
              </w:rPr>
            </w:pPr>
          </w:p>
        </w:tc>
      </w:tr>
      <w:tr>
        <w:trPr>
          <w:trHeight w:val="333"/>
        </w:trPr>
        <w:tc>
          <w:tcPr>
            <w:tcW w:w="16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Janus Health Technologies,</w:t>
            </w:r>
          </w:p>
        </w:tc>
        <w:tc>
          <w:tcPr>
            <w:tcW w:w="2620" w:type="dxa"/>
            <w:vAlign w:val="bottom"/>
          </w:tcPr>
          <w:p>
            <w:pPr>
              <w:ind w:left="156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37"/>
        </w:trPr>
        <w:tc>
          <w:tcPr>
            <w:tcW w:w="1620" w:type="dxa"/>
            <w:vAlign w:val="bottom"/>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Inc.</w:t>
            </w:r>
          </w:p>
        </w:tc>
        <w:tc>
          <w:tcPr>
            <w:tcW w:w="2620" w:type="dxa"/>
            <w:vAlign w:val="bottom"/>
          </w:tcPr>
          <w:p>
            <w:pPr>
              <w:ind w:left="1560"/>
              <w:spacing w:after="0" w:line="137" w:lineRule="exact"/>
              <w:rPr>
                <w:sz w:val="20"/>
                <w:szCs w:val="20"/>
                <w:color w:val="auto"/>
              </w:rPr>
            </w:pPr>
            <w:r>
              <w:rPr>
                <w:rFonts w:ascii="Times New Roman" w:cs="Times New Roman" w:eastAsia="Times New Roman" w:hAnsi="Times New Roman"/>
                <w:sz w:val="13"/>
                <w:szCs w:val="13"/>
                <w:color w:val="auto"/>
                <w:w w:val="95"/>
              </w:rPr>
              <w:t>Technology Services</w:t>
            </w: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4850 Tamiami Trl N,</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301</w:t>
            </w: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w:t>
            </w: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Naples, FL 34103</w:t>
            </w: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($2,500</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unfunded commitment) (j)</w:t>
            </w:r>
          </w:p>
        </w:tc>
        <w:tc>
          <w:tcPr>
            <w:tcW w:w="0" w:type="dxa"/>
            <w:vAlign w:val="bottom"/>
          </w:tcPr>
          <w:p>
            <w:pPr>
              <w:spacing w:after="0"/>
              <w:rPr>
                <w:sz w:val="1"/>
                <w:szCs w:val="1"/>
                <w:color w:val="auto"/>
              </w:rPr>
            </w:pPr>
          </w:p>
        </w:tc>
      </w:tr>
      <w:tr>
        <w:trPr>
          <w:trHeight w:val="135"/>
        </w:trPr>
        <w:tc>
          <w:tcPr>
            <w:tcW w:w="1620" w:type="dxa"/>
            <w:vAlign w:val="bottom"/>
          </w:tcPr>
          <w:p>
            <w:pPr>
              <w:spacing w:after="0"/>
              <w:rPr>
                <w:sz w:val="11"/>
                <w:szCs w:val="11"/>
                <w:color w:val="auto"/>
              </w:rPr>
            </w:pP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Preferred Equity (68,361</w:t>
            </w: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units)</w:t>
            </w:r>
          </w:p>
        </w:tc>
        <w:tc>
          <w:tcPr>
            <w:tcW w:w="0" w:type="dxa"/>
            <w:vAlign w:val="bottom"/>
          </w:tcPr>
          <w:p>
            <w:pPr>
              <w:spacing w:after="0"/>
              <w:rPr>
                <w:sz w:val="1"/>
                <w:szCs w:val="1"/>
                <w:color w:val="auto"/>
              </w:rPr>
            </w:pPr>
          </w:p>
        </w:tc>
      </w:tr>
      <w:tr>
        <w:trPr>
          <w:trHeight w:val="306"/>
        </w:trPr>
        <w:tc>
          <w:tcPr>
            <w:tcW w:w="16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w w:val="98"/>
              </w:rPr>
              <w:t>The Kyjen Company, LLC (dba</w:t>
            </w: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Outward Hound)</w:t>
            </w:r>
          </w:p>
        </w:tc>
        <w:tc>
          <w:tcPr>
            <w:tcW w:w="2620" w:type="dxa"/>
            <w:vAlign w:val="bottom"/>
          </w:tcPr>
          <w:p>
            <w:pPr>
              <w:ind w:left="1560"/>
              <w:spacing w:after="0" w:line="137" w:lineRule="exact"/>
              <w:rPr>
                <w:sz w:val="20"/>
                <w:szCs w:val="20"/>
                <w:color w:val="auto"/>
              </w:rPr>
            </w:pPr>
            <w:r>
              <w:rPr>
                <w:rFonts w:ascii="Times New Roman" w:cs="Times New Roman" w:eastAsia="Times New Roman" w:hAnsi="Times New Roman"/>
                <w:sz w:val="13"/>
                <w:szCs w:val="13"/>
                <w:color w:val="auto"/>
              </w:rPr>
              <w:t>Consumer Products</w:t>
            </w: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7337 S Revere Parkway</w:t>
            </w: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 (855</w:t>
            </w:r>
          </w:p>
        </w:tc>
        <w:tc>
          <w:tcPr>
            <w:tcW w:w="0" w:type="dxa"/>
            <w:vAlign w:val="bottom"/>
          </w:tcPr>
          <w:p>
            <w:pPr>
              <w:spacing w:after="0"/>
              <w:rPr>
                <w:sz w:val="1"/>
                <w:szCs w:val="1"/>
                <w:color w:val="auto"/>
              </w:rPr>
            </w:pPr>
          </w:p>
        </w:tc>
      </w:tr>
      <w:tr>
        <w:trPr>
          <w:trHeight w:val="164"/>
        </w:trPr>
        <w:tc>
          <w:tcPr>
            <w:tcW w:w="1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Centennial, CO 80112</w:t>
            </w:r>
          </w:p>
        </w:tc>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shares) (j)</w:t>
            </w:r>
          </w:p>
        </w:tc>
        <w:tc>
          <w:tcPr>
            <w:tcW w:w="0" w:type="dxa"/>
            <w:vAlign w:val="bottom"/>
          </w:tcPr>
          <w:p>
            <w:pPr>
              <w:spacing w:after="0"/>
              <w:rPr>
                <w:sz w:val="1"/>
                <w:szCs w:val="1"/>
                <w:color w:val="auto"/>
              </w:rPr>
            </w:pPr>
          </w:p>
        </w:tc>
      </w:tr>
      <w:tr>
        <w:trPr>
          <w:trHeight w:val="135"/>
        </w:trPr>
        <w:tc>
          <w:tcPr>
            <w:tcW w:w="1620" w:type="dxa"/>
            <w:vAlign w:val="bottom"/>
            <w:vMerge w:val="continue"/>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Level Education Group, LLC</w:t>
            </w: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20" w:type="dxa"/>
            <w:vAlign w:val="bottom"/>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(dba CE4Less)</w:t>
            </w:r>
          </w:p>
        </w:tc>
        <w:tc>
          <w:tcPr>
            <w:tcW w:w="2620" w:type="dxa"/>
            <w:vAlign w:val="bottom"/>
          </w:tcPr>
          <w:p>
            <w:pPr>
              <w:ind w:left="1560"/>
              <w:spacing w:after="0" w:line="137" w:lineRule="exact"/>
              <w:rPr>
                <w:sz w:val="20"/>
                <w:szCs w:val="20"/>
                <w:color w:val="auto"/>
              </w:rPr>
            </w:pPr>
            <w:r>
              <w:rPr>
                <w:rFonts w:ascii="Times New Roman" w:cs="Times New Roman" w:eastAsia="Times New Roman" w:hAnsi="Times New Roman"/>
                <w:sz w:val="13"/>
                <w:szCs w:val="13"/>
                <w:color w:val="auto"/>
              </w:rPr>
              <w:t>Business Services</w:t>
            </w: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5414 W Daybreak</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Parkway C-4 #401</w:t>
            </w: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(ak)</w:t>
            </w: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South Jordan, UT 84009</w:t>
            </w: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(1,000,000 units) (j)</w:t>
            </w:r>
          </w:p>
        </w:tc>
        <w:tc>
          <w:tcPr>
            <w:tcW w:w="0" w:type="dxa"/>
            <w:vAlign w:val="bottom"/>
          </w:tcPr>
          <w:p>
            <w:pPr>
              <w:spacing w:after="0"/>
              <w:rPr>
                <w:sz w:val="1"/>
                <w:szCs w:val="1"/>
                <w:color w:val="auto"/>
              </w:rPr>
            </w:pPr>
          </w:p>
        </w:tc>
      </w:tr>
      <w:tr>
        <w:trPr>
          <w:trHeight w:val="308"/>
        </w:trPr>
        <w:tc>
          <w:tcPr>
            <w:tcW w:w="16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LifeSpan Biosciences, Inc.</w:t>
            </w:r>
          </w:p>
        </w:tc>
        <w:tc>
          <w:tcPr>
            <w:tcW w:w="2620" w:type="dxa"/>
            <w:vAlign w:val="bottom"/>
          </w:tcPr>
          <w:p>
            <w:pPr>
              <w:ind w:left="1560"/>
              <w:spacing w:after="0"/>
              <w:rPr>
                <w:sz w:val="20"/>
                <w:szCs w:val="20"/>
                <w:color w:val="auto"/>
              </w:rPr>
            </w:pPr>
            <w:r>
              <w:rPr>
                <w:rFonts w:ascii="Times New Roman" w:cs="Times New Roman" w:eastAsia="Times New Roman" w:hAnsi="Times New Roman"/>
                <w:sz w:val="13"/>
                <w:szCs w:val="13"/>
                <w:color w:val="auto"/>
                <w:w w:val="98"/>
              </w:rPr>
              <w:t>Healthcare Products</w:t>
            </w: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2 Shaker Rd Suites</w:t>
            </w: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B001/B101</w:t>
            </w: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0" w:type="dxa"/>
            <w:vAlign w:val="bottom"/>
          </w:tcPr>
          <w:p>
            <w:pPr>
              <w:spacing w:after="0"/>
              <w:rPr>
                <w:sz w:val="1"/>
                <w:szCs w:val="1"/>
                <w:color w:val="auto"/>
              </w:rPr>
            </w:pPr>
          </w:p>
        </w:tc>
      </w:tr>
      <w:tr>
        <w:trPr>
          <w:trHeight w:val="135"/>
        </w:trPr>
        <w:tc>
          <w:tcPr>
            <w:tcW w:w="16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Shirley, MA 01464</w:t>
            </w:r>
          </w:p>
        </w:tc>
        <w:tc>
          <w:tcPr>
            <w:tcW w:w="26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 (100</w:t>
            </w: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shares) (j)</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+ 7.50%) / (0.50%)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12.96%/0.00%</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4/5/2021</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4/5/2026</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11,359</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11,317</w:t>
            </w:r>
          </w:p>
        </w:tc>
        <w:tc>
          <w:tcPr>
            <w:tcW w:w="140" w:type="dxa"/>
            <w:vAlign w:val="bottom"/>
          </w:tcPr>
          <w:p>
            <w:pPr>
              <w:spacing w:after="0"/>
              <w:rPr>
                <w:sz w:val="12"/>
                <w:szCs w:val="1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11,359</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+ 7.50%) / (0.50%)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9.46%/0.00%</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6/30/2021</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4/5/2026</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12,037</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12,038</w:t>
            </w: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12,034</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1.08%</w:t>
            </w:r>
          </w:p>
        </w:tc>
        <w:tc>
          <w:tcPr>
            <w:tcW w:w="8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4/5/2021</w:t>
            </w: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500</w:t>
            </w:r>
          </w:p>
        </w:tc>
        <w:tc>
          <w:tcPr>
            <w:tcW w:w="140" w:type="dxa"/>
            <w:vAlign w:val="bottom"/>
          </w:tcPr>
          <w:p>
            <w:pPr>
              <w:spacing w:after="0"/>
              <w:rPr>
                <w:sz w:val="22"/>
                <w:szCs w:val="2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532</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23,855</w:t>
            </w:r>
          </w:p>
        </w:tc>
        <w:tc>
          <w:tcPr>
            <w:tcW w:w="1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23,925</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1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12.00%/0.00%</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1/3/2024</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1/3/2028</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4,978</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12.00%/0.00%</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1/3/2024</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6/3/2025</w:t>
            </w:r>
          </w:p>
        </w:tc>
        <w:tc>
          <w:tcPr>
            <w:tcW w:w="6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0.80%</w:t>
            </w:r>
          </w:p>
        </w:tc>
        <w:tc>
          <w:tcPr>
            <w:tcW w:w="86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1/3/2024</w:t>
            </w: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1,500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6,478</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608"/>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1.27%</w:t>
            </w:r>
          </w:p>
        </w:tc>
        <w:tc>
          <w:tcPr>
            <w:tcW w:w="860" w:type="dxa"/>
            <w:vAlign w:val="bottom"/>
          </w:tcPr>
          <w:p>
            <w:pPr>
              <w:spacing w:after="0"/>
              <w:rPr>
                <w:sz w:val="24"/>
                <w:szCs w:val="24"/>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12/8/2017</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933</w:t>
            </w:r>
          </w:p>
        </w:tc>
        <w:tc>
          <w:tcPr>
            <w:tcW w:w="14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61</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742"/>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+ 5.75%) / (2.00%)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11.34%/0.00%</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4/1/2021</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4/1/2026</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4,553</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4,537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4,553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3.80%</w:t>
            </w:r>
          </w:p>
        </w:tc>
        <w:tc>
          <w:tcPr>
            <w:tcW w:w="86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4/1/2021</w:t>
            </w: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1,405</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5,958</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473"/>
        </w:trPr>
        <w:tc>
          <w:tcPr>
            <w:tcW w:w="1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11.50%/0.00%</w:t>
            </w: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3/19/2021</w:t>
            </w: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9/19/2026</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16,000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15,963</w:t>
            </w:r>
          </w:p>
        </w:tc>
        <w:tc>
          <w:tcPr>
            <w:tcW w:w="140" w:type="dxa"/>
            <w:vAlign w:val="bottom"/>
          </w:tcPr>
          <w:p>
            <w:pPr>
              <w:spacing w:after="0"/>
              <w:rPr>
                <w:sz w:val="24"/>
                <w:szCs w:val="24"/>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15,099</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0.91%</w:t>
            </w:r>
          </w:p>
        </w:tc>
        <w:tc>
          <w:tcPr>
            <w:tcW w:w="86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3/19/2021</w:t>
            </w: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413</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16,963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15,512</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-3024505</wp:posOffset>
            </wp:positionH>
            <wp:positionV relativeFrom="paragraph">
              <wp:posOffset>-3044190</wp:posOffset>
            </wp:positionV>
            <wp:extent cx="699516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-2787015</wp:posOffset>
            </wp:positionV>
            <wp:extent cx="699516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-2469515</wp:posOffset>
            </wp:positionV>
            <wp:extent cx="699516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-2126615</wp:posOffset>
            </wp:positionV>
            <wp:extent cx="699516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-1783715</wp:posOffset>
            </wp:positionV>
            <wp:extent cx="6995160"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-1483995</wp:posOffset>
            </wp:positionV>
            <wp:extent cx="699516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-1183640</wp:posOffset>
            </wp:positionV>
            <wp:extent cx="699516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-840740</wp:posOffset>
            </wp:positionV>
            <wp:extent cx="699516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-541020</wp:posOffset>
            </wp:positionV>
            <wp:extent cx="6995160"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-283845</wp:posOffset>
            </wp:positionV>
            <wp:extent cx="699516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2">
            <w:col w:w="4240" w:space="520"/>
            <w:col w:w="6200"/>
          </w:cols>
          <w:pgMar w:left="440" w:top="302" w:right="499" w:bottom="1440" w:gutter="0" w:footer="0" w:header="0"/>
          <w:type w:val="continuous"/>
        </w:sectPr>
      </w:pPr>
    </w:p>
    <w:bookmarkStart w:id="47" w:name="page48"/>
    <w:bookmarkEnd w:id="47"/>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0" w:type="dxa"/>
            <w:vAlign w:val="bottom"/>
          </w:tcPr>
          <w:p>
            <w:pPr>
              <w:spacing w:after="0"/>
              <w:rPr>
                <w:sz w:val="1"/>
                <w:szCs w:val="1"/>
                <w:color w:val="auto"/>
              </w:rPr>
            </w:pPr>
          </w:p>
        </w:tc>
      </w:tr>
      <w:tr>
        <w:trPr>
          <w:trHeight w:val="135"/>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60" w:type="dxa"/>
            <w:vAlign w:val="bottom"/>
          </w:tcPr>
          <w:p>
            <w:pPr>
              <w:spacing w:after="0"/>
              <w:rPr>
                <w:sz w:val="11"/>
                <w:szCs w:val="11"/>
                <w:color w:val="auto"/>
              </w:rPr>
            </w:pP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80" w:type="dxa"/>
            <w:vAlign w:val="bottom"/>
          </w:tcPr>
          <w:p>
            <w:pPr>
              <w:spacing w:after="0"/>
              <w:rPr>
                <w:sz w:val="11"/>
                <w:szCs w:val="11"/>
                <w:color w:val="auto"/>
              </w:rPr>
            </w:pPr>
          </w:p>
        </w:tc>
        <w:tc>
          <w:tcPr>
            <w:tcW w:w="13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0" w:type="dxa"/>
            <w:vAlign w:val="bottom"/>
          </w:tcPr>
          <w:p>
            <w:pPr>
              <w:spacing w:after="0"/>
              <w:rPr>
                <w:sz w:val="1"/>
                <w:szCs w:val="1"/>
                <w:color w:val="auto"/>
              </w:rPr>
            </w:pPr>
          </w:p>
        </w:tc>
      </w:tr>
      <w:tr>
        <w:trPr>
          <w:trHeight w:val="152"/>
        </w:trPr>
        <w:tc>
          <w:tcPr>
            <w:tcW w:w="1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660" w:type="dxa"/>
            <w:vAlign w:val="bottom"/>
            <w:gridSpan w:val="2"/>
          </w:tcPr>
          <w:p>
            <w:pPr>
              <w:jc w:val="center"/>
              <w:ind w:right="100"/>
              <w:spacing w:after="0" w:line="132" w:lineRule="exact"/>
              <w:rPr>
                <w:sz w:val="20"/>
                <w:szCs w:val="20"/>
                <w:color w:val="auto"/>
              </w:rPr>
            </w:pPr>
            <w:r>
              <w:rPr>
                <w:rFonts w:ascii="Times New Roman" w:cs="Times New Roman" w:eastAsia="Times New Roman" w:hAnsi="Times New Roman"/>
                <w:sz w:val="12"/>
                <w:szCs w:val="12"/>
                <w:b w:val="1"/>
                <w:bCs w:val="1"/>
                <w:color w:val="auto"/>
                <w:w w:val="95"/>
              </w:rPr>
              <w:t>Held (aw)</w:t>
            </w:r>
          </w:p>
        </w:tc>
        <w:tc>
          <w:tcPr>
            <w:tcW w:w="0" w:type="dxa"/>
            <w:vAlign w:val="bottom"/>
          </w:tcPr>
          <w:p>
            <w:pPr>
              <w:spacing w:after="0"/>
              <w:rPr>
                <w:sz w:val="1"/>
                <w:szCs w:val="1"/>
                <w:color w:val="auto"/>
              </w:rPr>
            </w:pPr>
          </w:p>
        </w:tc>
      </w:tr>
      <w:tr>
        <w:trPr>
          <w:trHeight w:val="95"/>
        </w:trPr>
        <w:tc>
          <w:tcPr>
            <w:tcW w:w="1520" w:type="dxa"/>
            <w:vAlign w:val="bottom"/>
            <w:tcBorders>
              <w:top w:val="single" w:sz="8" w:color="auto"/>
            </w:tcBorders>
          </w:tcPr>
          <w:p>
            <w:pPr>
              <w:spacing w:after="0" w:line="95" w:lineRule="exact"/>
              <w:rPr>
                <w:sz w:val="20"/>
                <w:szCs w:val="20"/>
                <w:color w:val="auto"/>
              </w:rPr>
            </w:pPr>
            <w:r>
              <w:rPr>
                <w:rFonts w:ascii="Times New Roman" w:cs="Times New Roman" w:eastAsia="Times New Roman" w:hAnsi="Times New Roman"/>
                <w:sz w:val="10"/>
                <w:szCs w:val="10"/>
                <w:i w:val="1"/>
                <w:iCs w:val="1"/>
                <w:color w:val="auto"/>
              </w:rPr>
              <w:t>Magenta Buyer LLC (dba</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Borders>
              <w:top w:val="single" w:sz="8" w:color="auto"/>
            </w:tcBorders>
          </w:tcPr>
          <w:p>
            <w:pPr>
              <w:spacing w:after="0" w:line="95" w:lineRule="exact"/>
              <w:rPr>
                <w:sz w:val="20"/>
                <w:szCs w:val="20"/>
                <w:color w:val="auto"/>
              </w:rPr>
            </w:pPr>
            <w:r>
              <w:rPr>
                <w:rFonts w:ascii="Times New Roman" w:cs="Times New Roman" w:eastAsia="Times New Roman" w:hAnsi="Times New Roman"/>
                <w:sz w:val="10"/>
                <w:szCs w:val="10"/>
                <w:color w:val="auto"/>
              </w:rPr>
              <w:t>Information Technology</w:t>
            </w: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1680" w:type="dxa"/>
            <w:vAlign w:val="bottom"/>
            <w:gridSpan w:val="2"/>
          </w:tcPr>
          <w:p>
            <w:pPr>
              <w:ind w:left="120"/>
              <w:spacing w:after="0" w:line="144" w:lineRule="exact"/>
              <w:rPr>
                <w:sz w:val="20"/>
                <w:szCs w:val="20"/>
                <w:color w:val="auto"/>
              </w:rPr>
            </w:pPr>
            <w:r>
              <w:rPr>
                <w:rFonts w:ascii="Times New Roman" w:cs="Times New Roman" w:eastAsia="Times New Roman" w:hAnsi="Times New Roman"/>
                <w:sz w:val="13"/>
                <w:szCs w:val="13"/>
                <w:i w:val="1"/>
                <w:iCs w:val="1"/>
                <w:color w:val="auto"/>
              </w:rPr>
              <w:t>Trellix)</w:t>
            </w: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80" w:type="dxa"/>
            <w:vAlign w:val="bottom"/>
            <w:gridSpan w:val="3"/>
          </w:tcPr>
          <w:p>
            <w:pPr>
              <w:ind w:left="80"/>
              <w:spacing w:after="0" w:line="144" w:lineRule="exact"/>
              <w:rPr>
                <w:sz w:val="20"/>
                <w:szCs w:val="20"/>
                <w:color w:val="auto"/>
              </w:rPr>
            </w:pPr>
            <w:r>
              <w:rPr>
                <w:rFonts w:ascii="Times New Roman" w:cs="Times New Roman" w:eastAsia="Times New Roman" w:hAnsi="Times New Roman"/>
                <w:sz w:val="13"/>
                <w:szCs w:val="13"/>
                <w:color w:val="auto"/>
              </w:rPr>
              <w:t>Services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6000 Headquarters Drive,</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600</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Second Lien Debt (j)</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Plano, TX 75024</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MBS Opco, LLC (dba</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Information Technology</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8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Marketron)</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3"/>
                <w:szCs w:val="13"/>
                <w:color w:val="auto"/>
              </w:rPr>
              <w:t>Services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101 Empty Saddle Trail</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Hailey, ID 83333</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MDME Holding Corp.</w:t>
            </w: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Healthcare Products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14109 Pontlavoy Ave.</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Santa Fe Springs,</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7"/>
              </w:rPr>
              <w:t>Common Equity (4,735</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CA 90670</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units) (j)</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2.25%</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(12,500 units) (j)</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33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Micronics Filtration Holdings,</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i w:val="1"/>
                <w:iCs w:val="1"/>
                <w:color w:val="auto"/>
              </w:rPr>
              <w:t>Inc. (dba Micronics</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3"/>
                <w:szCs w:val="13"/>
                <w:i w:val="1"/>
                <w:iCs w:val="1"/>
                <w:color w:val="auto"/>
                <w:w w:val="99"/>
              </w:rPr>
              <w:t>Engineered Filtration Group,</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3"/>
                <w:szCs w:val="13"/>
                <w:color w:val="auto"/>
              </w:rPr>
              <w:t>Component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68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Inc.)</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3"/>
                <w:szCs w:val="13"/>
                <w:color w:val="auto"/>
              </w:rPr>
              <w:t>Manufacturing</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1201 Riverfront Parkway,</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Unit A</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(k)(as)</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Chattanooga, TN 37402</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(14,400 units) (j)</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33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Netbase Solutions, Inc. (dba</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Information Technology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68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Netbase Quid)</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380" w:type="dxa"/>
            <w:vAlign w:val="bottom"/>
            <w:gridSpan w:val="3"/>
          </w:tcPr>
          <w:p>
            <w:pPr>
              <w:ind w:left="80"/>
              <w:spacing w:after="0" w:line="137" w:lineRule="exact"/>
              <w:rPr>
                <w:sz w:val="20"/>
                <w:szCs w:val="20"/>
                <w:color w:val="auto"/>
              </w:rPr>
            </w:pPr>
            <w:r>
              <w:rPr>
                <w:rFonts w:ascii="Times New Roman" w:cs="Times New Roman" w:eastAsia="Times New Roman" w:hAnsi="Times New Roman"/>
                <w:sz w:val="13"/>
                <w:szCs w:val="13"/>
                <w:color w:val="auto"/>
              </w:rPr>
              <w:t>Services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3945 Freedom Circle,</w:t>
            </w:r>
          </w:p>
        </w:tc>
        <w:tc>
          <w:tcPr>
            <w:tcW w:w="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730</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(k)(ap)</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Santa Clara, CA 95054</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NWS Technologies, LLC</w:t>
            </w:r>
          </w:p>
        </w:tc>
        <w:tc>
          <w:tcPr>
            <w:tcW w:w="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Utilities: Services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131 Venture Boulevard</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(u)</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Spartanburg, SC 29306</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 (1</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unit) (h)(j)</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1.30%</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(0.375 units) (h)(j)</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335"/>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OnePath Systems, LLC</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Information Technology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170 Chastain Meadows Ct</w:t>
            </w: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auto"/>
              </w:rPr>
              <w:t>First Lien Debt (s)</w:t>
            </w: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Services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680" w:type="dxa"/>
            <w:vAlign w:val="bottom"/>
            <w:gridSpan w:val="2"/>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Kennesaw, GA 30144</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(732,542 shares) (j)</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308"/>
        </w:trPr>
        <w:tc>
          <w:tcPr>
            <w:tcW w:w="1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Palmetto Moon, LLC</w:t>
            </w: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auto"/>
              </w:rPr>
              <w:t>Retail</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68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1950 Hanahan Road</w:t>
            </w:r>
          </w:p>
        </w:tc>
        <w:tc>
          <w:tcPr>
            <w:tcW w:w="1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North Charleston,</w:t>
            </w: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(499 units) (j)</w:t>
            </w: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w:t>
            </w:r>
          </w:p>
        </w:tc>
        <w:tc>
          <w:tcPr>
            <w:tcW w:w="0" w:type="dxa"/>
            <w:vAlign w:val="bottom"/>
          </w:tcPr>
          <w:p>
            <w:pPr>
              <w:spacing w:after="0"/>
              <w:rPr>
                <w:sz w:val="1"/>
                <w:szCs w:val="1"/>
                <w:color w:val="auto"/>
              </w:rPr>
            </w:pPr>
          </w:p>
        </w:tc>
      </w:tr>
      <w:tr>
        <w:trPr>
          <w:trHeight w:val="106"/>
        </w:trPr>
        <w:tc>
          <w:tcPr>
            <w:tcW w:w="1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68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SC 29406</w:t>
            </w: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Rate (e)</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c>
          <w:tcPr>
            <w:tcW w:w="0" w:type="dxa"/>
            <w:vAlign w:val="bottom"/>
          </w:tcPr>
          <w:p>
            <w:pPr>
              <w:spacing w:after="0"/>
              <w:rPr>
                <w:sz w:val="1"/>
                <w:szCs w:val="1"/>
                <w:color w:val="auto"/>
              </w:rPr>
            </w:pPr>
          </w:p>
        </w:tc>
      </w:tr>
      <w:tr>
        <w:trPr>
          <w:trHeight w:val="159"/>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80" w:type="dxa"/>
            <w:vAlign w:val="bottom"/>
          </w:tcPr>
          <w:p>
            <w:pPr>
              <w:spacing w:after="0"/>
              <w:rPr>
                <w:sz w:val="13"/>
                <w:szCs w:val="13"/>
                <w:color w:val="auto"/>
              </w:rPr>
            </w:pP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Date (f)</w:t>
            </w:r>
          </w:p>
        </w:tc>
        <w:tc>
          <w:tcPr>
            <w:tcW w:w="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0"/>
              </w:rPr>
              <w:t>Net Assets</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+ 8.25%) / (0.75%)</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13.82%/0.00%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7/19/2022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7/27/2029</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7,182</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6,878</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5,047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60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+ 8.50%) / (1.50%)</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14.09%/0.00%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9/29/2022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9/28/2026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27,000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26,916</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27,000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473"/>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+ 6.25%) / (1.00%)</w:t>
            </w:r>
          </w:p>
        </w:tc>
        <w:tc>
          <w:tcPr>
            <w:tcW w:w="8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5"/>
              </w:rPr>
              <w:t>11.70%/0.00%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8/31/2023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11,893</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11,812</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11,893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9/18/2023</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23"/>
                <w:szCs w:val="23"/>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9/18/2023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872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13,062</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12,765</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3"/>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+ 5.25%) / (0.50%)</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10.84%/0.00%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2/17/2022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2/17/2027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29,252</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30,000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2/17/2022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5,618</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30,692</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35,618</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(P + 4.00%) / (3.25%)</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12.50%/0.00%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11/18/2021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11/18/2025</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15,869</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15,818</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15,869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473"/>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+ 8.00%) / (2.50%)</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13.33%/0.00%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6/20/2023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6/16/2028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16,785</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17,000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6/20/2023</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935</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6/20/2023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393</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18,285</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18,328</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+ 7.50%) / (1.00%)</w:t>
            </w: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12.83%/0.00%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9/30/2022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9/30/2027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10,942</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9/30/2022</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994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11,442</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11,994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472"/>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11/3/2016</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586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-4686935</wp:posOffset>
            </wp:positionV>
            <wp:extent cx="7174865" cy="558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-4309745</wp:posOffset>
            </wp:positionV>
            <wp:extent cx="6995160" cy="1803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6995160" cy="18034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-3957955</wp:posOffset>
            </wp:positionV>
            <wp:extent cx="6995160" cy="857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-3658235</wp:posOffset>
            </wp:positionV>
            <wp:extent cx="6995160"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-3443605</wp:posOffset>
            </wp:positionV>
            <wp:extent cx="6995160" cy="857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-3272155</wp:posOffset>
            </wp:positionV>
            <wp:extent cx="699516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-2912110</wp:posOffset>
            </wp:positionV>
            <wp:extent cx="6995160" cy="857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-2440940</wp:posOffset>
            </wp:positionV>
            <wp:extent cx="699516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-2080895</wp:posOffset>
            </wp:positionV>
            <wp:extent cx="6995160"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-1780540</wp:posOffset>
            </wp:positionV>
            <wp:extent cx="699516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-1480820</wp:posOffset>
            </wp:positionV>
            <wp:extent cx="6995160"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-1309370</wp:posOffset>
            </wp:positionV>
            <wp:extent cx="699516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-949325</wp:posOffset>
            </wp:positionV>
            <wp:extent cx="6995160"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-648970</wp:posOffset>
            </wp:positionV>
            <wp:extent cx="6995160" cy="857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-391795</wp:posOffset>
            </wp:positionV>
            <wp:extent cx="6995160"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-177800</wp:posOffset>
            </wp:positionV>
            <wp:extent cx="699516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36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2">
            <w:col w:w="5000" w:space="120"/>
            <w:col w:w="5840"/>
          </w:cols>
          <w:pgMar w:left="440" w:top="302" w:right="499" w:bottom="1440" w:gutter="0" w:footer="0" w:header="0"/>
        </w:sectPr>
      </w:pPr>
    </w:p>
    <w:bookmarkStart w:id="48" w:name="page49"/>
    <w:bookmarkEnd w:id="48"/>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60" w:type="dxa"/>
            <w:vAlign w:val="bottom"/>
          </w:tcPr>
          <w:p>
            <w:pPr>
              <w:spacing w:after="0"/>
              <w:rPr>
                <w:sz w:val="23"/>
                <w:szCs w:val="23"/>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116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0" w:type="dxa"/>
            <w:vAlign w:val="bottom"/>
          </w:tcPr>
          <w:p>
            <w:pPr>
              <w:spacing w:after="0"/>
              <w:rPr>
                <w:sz w:val="1"/>
                <w:szCs w:val="1"/>
                <w:color w:val="auto"/>
              </w:rPr>
            </w:pPr>
          </w:p>
        </w:tc>
      </w:tr>
      <w:tr>
        <w:trPr>
          <w:trHeight w:val="104"/>
        </w:trPr>
        <w:tc>
          <w:tcPr>
            <w:tcW w:w="1520" w:type="dxa"/>
            <w:vAlign w:val="bottom"/>
            <w:tcBorders>
              <w:top w:val="single" w:sz="8" w:color="auto"/>
            </w:tcBorders>
          </w:tcPr>
          <w:p>
            <w:pPr>
              <w:spacing w:after="0" w:line="104" w:lineRule="exact"/>
              <w:rPr>
                <w:sz w:val="20"/>
                <w:szCs w:val="20"/>
                <w:color w:val="auto"/>
              </w:rPr>
            </w:pPr>
            <w:r>
              <w:rPr>
                <w:rFonts w:ascii="Times New Roman" w:cs="Times New Roman" w:eastAsia="Times New Roman" w:hAnsi="Times New Roman"/>
                <w:sz w:val="12"/>
                <w:szCs w:val="12"/>
                <w:i w:val="1"/>
                <w:iCs w:val="1"/>
                <w:color w:val="auto"/>
              </w:rPr>
              <w:t>Pinnergy, Ltd.</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Borders>
              <w:top w:val="single" w:sz="8" w:color="auto"/>
            </w:tcBorders>
          </w:tcPr>
          <w:p>
            <w:pPr>
              <w:spacing w:after="0" w:line="104" w:lineRule="exact"/>
              <w:rPr>
                <w:sz w:val="20"/>
                <w:szCs w:val="20"/>
                <w:color w:val="auto"/>
              </w:rPr>
            </w:pPr>
            <w:r>
              <w:rPr>
                <w:rFonts w:ascii="Times New Roman" w:cs="Times New Roman" w:eastAsia="Times New Roman" w:hAnsi="Times New Roman"/>
                <w:sz w:val="12"/>
                <w:szCs w:val="12"/>
                <w:color w:val="auto"/>
              </w:rPr>
              <w:t>Oil &amp; Gas Services</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2801 Via Fortuna,</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440</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Austin, TX 78746</w:t>
            </w: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Pool &amp; Electrical Products,</w:t>
            </w: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6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LLC</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w w:val="99"/>
              </w:rPr>
              <w:t>Specialty Distribution</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1595 E 6th St Ste 101</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Corona, CA 92879</w:t>
            </w: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(15,000 units) (h)(j)</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6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PowerGrid Services</w:t>
            </w: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66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Acquisition, LLC</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Utilities: Services</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2350 US Highway 31 NW</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Second Lien Debt (j)</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Hartselle, AL 35640</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(5,461 units) (h)(j)</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Prime AE Group, Inc.</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w w:val="99"/>
              </w:rPr>
              <w:t>5521 Research Park Drive,</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300</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(j)(ab)</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Baltimore, MD 21228</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(900,000 shares) (j)</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Puget Collision, LLC</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Retail</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6811 South 204th Street</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290</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(j)(av)</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Kent, WA 98032</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(293 units) (h)(j)</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QED Technologies</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Component</w:t>
            </w:r>
          </w:p>
        </w:tc>
        <w:tc>
          <w:tcPr>
            <w:tcW w:w="0" w:type="dxa"/>
            <w:vAlign w:val="bottom"/>
          </w:tcPr>
          <w:p>
            <w:pPr>
              <w:spacing w:after="0"/>
              <w:rPr>
                <w:sz w:val="1"/>
                <w:szCs w:val="1"/>
                <w:color w:val="auto"/>
              </w:rPr>
            </w:pPr>
          </w:p>
        </w:tc>
      </w:tr>
      <w:tr>
        <w:trPr>
          <w:trHeight w:val="137"/>
        </w:trPr>
        <w:tc>
          <w:tcPr>
            <w:tcW w:w="166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International, Inc.</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1040 University Ave.</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First Lien Debt (q)</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Rochester, NY 14607</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 (140</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shares) (j)</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w w:val="98"/>
              </w:rPr>
              <w:t>Quantum IR Technologies, LLC</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64"/>
        </w:trPr>
        <w:tc>
          <w:tcPr>
            <w:tcW w:w="16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101 S 200 East</w:t>
            </w: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auto"/>
              </w:rPr>
              <w:t>First Lien Debt (j)</w:t>
            </w: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06"/>
        </w:trPr>
        <w:tc>
          <w:tcPr>
            <w:tcW w:w="1660" w:type="dxa"/>
            <w:vAlign w:val="bottom"/>
            <w:gridSpan w:val="2"/>
            <w:vMerge w:val="continue"/>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Salt Lake City, UT 84111</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(12,183 shares) (j)</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66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Quest Software US Holdings</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37"/>
        </w:trPr>
        <w:tc>
          <w:tcPr>
            <w:tcW w:w="166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Inc.</w:t>
            </w:r>
          </w:p>
        </w:tc>
        <w:tc>
          <w:tcPr>
            <w:tcW w:w="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35"/>
        </w:trPr>
        <w:tc>
          <w:tcPr>
            <w:tcW w:w="166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4 Polaris Way</w:t>
            </w:r>
          </w:p>
        </w:tc>
        <w:tc>
          <w:tcPr>
            <w:tcW w:w="146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Second Lien Debt (j)</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6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Aliso Viejo, CA 92656</w:t>
            </w:r>
          </w:p>
        </w:tc>
        <w:tc>
          <w:tcPr>
            <w:tcW w:w="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5"/>
              </w:rPr>
              <w:t>Percentage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of Class</w:t>
            </w:r>
          </w:p>
        </w:tc>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2"/>
                <w:szCs w:val="12"/>
                <w:b w:val="1"/>
                <w:bCs w:val="1"/>
                <w:color w:val="auto"/>
              </w:rPr>
              <w:t>Rate (e)</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c>
          <w:tcPr>
            <w:tcW w:w="0" w:type="dxa"/>
            <w:vAlign w:val="bottom"/>
          </w:tcPr>
          <w:p>
            <w:pPr>
              <w:spacing w:after="0"/>
              <w:rPr>
                <w:sz w:val="1"/>
                <w:szCs w:val="1"/>
                <w:color w:val="auto"/>
              </w:rPr>
            </w:pPr>
          </w:p>
        </w:tc>
      </w:tr>
      <w:tr>
        <w:trPr>
          <w:trHeight w:val="159"/>
        </w:trPr>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Held (aw)</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0" w:type="dxa"/>
            <w:vAlign w:val="bottom"/>
          </w:tcPr>
          <w:p>
            <w:pPr>
              <w:spacing w:after="0"/>
              <w:rPr>
                <w:sz w:val="13"/>
                <w:szCs w:val="13"/>
                <w:color w:val="auto"/>
              </w:rPr>
            </w:pP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Cash/PIK</w:t>
            </w:r>
          </w:p>
        </w:tc>
        <w:tc>
          <w:tcPr>
            <w:tcW w:w="80" w:type="dxa"/>
            <w:vAlign w:val="bottom"/>
          </w:tcPr>
          <w:p>
            <w:pPr>
              <w:spacing w:after="0"/>
              <w:rPr>
                <w:sz w:val="13"/>
                <w:szCs w:val="13"/>
                <w:color w:val="auto"/>
              </w:rPr>
            </w:pP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Date (f)</w:t>
            </w:r>
          </w:p>
        </w:tc>
        <w:tc>
          <w:tcPr>
            <w:tcW w:w="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0"/>
              </w:rPr>
              <w:t>Net Assets</w:t>
            </w: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9.00%/0.00%</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6/30/2022</w:t>
            </w:r>
          </w:p>
        </w:tc>
        <w:tc>
          <w:tcPr>
            <w:tcW w:w="12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6/30/2027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12,850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12,801</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12,850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743"/>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0.07%</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10/28/2020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6,011</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608"/>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+ 9.50%) / (1.00%)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14.94%/0.00%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9/21/2021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3/21/2029</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10,831</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10,795</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10,831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0.11%</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9/21/2021</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700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11,342</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11,531</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+ 7.25%) / (2.00%)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12.69%/0.00%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11/25/2019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11/25/2024</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5,833</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5,808</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5,833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1.04%</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11/25/2019</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549</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6,708</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6,382</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+ 7.00%) / (2.00%)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13.09%/0.00%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1/4/2024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1/4/2029</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22,232</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21,976</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21,976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1/4/2024</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750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22,726</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22,726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473"/>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+ 5.75%) / (1.50%)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11.08%/0.50%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3/1/2028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17,348</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17,246</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17,348</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1.30%</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2/28/2023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2,267</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18,648</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19,615</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14.00%/0.00%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3/19/2024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12/20/2026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11,956</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11,956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1.47%</w:t>
            </w: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3/19/2024</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2,400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14,356</w:t>
            </w:r>
          </w:p>
        </w:tc>
        <w:tc>
          <w:tcPr>
            <w:tcW w:w="12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14,356</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+ 7.50%) / (0.50%)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12.96%/0.00%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2/1/2030</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19,471</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14,965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-4361180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-3983990</wp:posOffset>
            </wp:positionV>
            <wp:extent cx="6995160" cy="946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-3717925</wp:posOffset>
            </wp:positionV>
            <wp:extent cx="6995160"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-3418205</wp:posOffset>
            </wp:positionV>
            <wp:extent cx="699516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-3117850</wp:posOffset>
            </wp:positionV>
            <wp:extent cx="6995160"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-2860675</wp:posOffset>
            </wp:positionV>
            <wp:extent cx="699516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-2543810</wp:posOffset>
            </wp:positionV>
            <wp:extent cx="6995160" cy="857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-2286635</wp:posOffset>
            </wp:positionV>
            <wp:extent cx="699516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-1969135</wp:posOffset>
            </wp:positionV>
            <wp:extent cx="6995160" cy="857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-1711960</wp:posOffset>
            </wp:positionV>
            <wp:extent cx="699516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-1412240</wp:posOffset>
            </wp:positionV>
            <wp:extent cx="699516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-1155065</wp:posOffset>
            </wp:positionV>
            <wp:extent cx="699516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-837565</wp:posOffset>
            </wp:positionV>
            <wp:extent cx="699516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-580390</wp:posOffset>
            </wp:positionV>
            <wp:extent cx="699516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-263525</wp:posOffset>
            </wp:positionV>
            <wp:extent cx="699516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-6350</wp:posOffset>
            </wp:positionV>
            <wp:extent cx="6995160" cy="857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2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2">
            <w:col w:w="4280" w:space="80"/>
            <w:col w:w="6600"/>
          </w:cols>
          <w:pgMar w:left="440" w:top="302" w:right="499" w:bottom="1440" w:gutter="0" w:footer="0" w:header="0"/>
        </w:sectPr>
      </w:pPr>
    </w:p>
    <w:bookmarkStart w:id="49" w:name="page50"/>
    <w:bookmarkEnd w:id="49"/>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12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80" w:type="dxa"/>
            <w:vAlign w:val="bottom"/>
          </w:tcPr>
          <w:p>
            <w:pPr>
              <w:spacing w:after="0"/>
              <w:rPr>
                <w:sz w:val="23"/>
                <w:szCs w:val="23"/>
                <w:color w:val="auto"/>
              </w:rPr>
            </w:pPr>
          </w:p>
        </w:tc>
        <w:tc>
          <w:tcPr>
            <w:tcW w:w="11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tcPr>
          <w:p>
            <w:pPr>
              <w:spacing w:after="0" w:line="89" w:lineRule="exact"/>
              <w:rPr>
                <w:sz w:val="20"/>
                <w:szCs w:val="20"/>
                <w:color w:val="auto"/>
              </w:rPr>
            </w:pPr>
            <w:r>
              <w:rPr>
                <w:rFonts w:ascii="Times New Roman" w:cs="Times New Roman" w:eastAsia="Times New Roman" w:hAnsi="Times New Roman"/>
                <w:sz w:val="10"/>
                <w:szCs w:val="10"/>
                <w:i w:val="1"/>
                <w:iCs w:val="1"/>
                <w:color w:val="auto"/>
              </w:rPr>
              <w:t>R1 Holdings, LLC (dba</w:t>
            </w:r>
          </w:p>
        </w:tc>
        <w:tc>
          <w:tcPr>
            <w:tcW w:w="200" w:type="dxa"/>
            <w:vAlign w:val="bottom"/>
          </w:tcPr>
          <w:p>
            <w:pPr>
              <w:spacing w:after="0"/>
              <w:rPr>
                <w:sz w:val="7"/>
                <w:szCs w:val="7"/>
                <w:color w:val="auto"/>
              </w:rPr>
            </w:pPr>
          </w:p>
        </w:tc>
        <w:tc>
          <w:tcPr>
            <w:tcW w:w="12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72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RoadOne IntermodaLogistics)</w:t>
            </w:r>
          </w:p>
        </w:tc>
        <w:tc>
          <w:tcPr>
            <w:tcW w:w="1280" w:type="dxa"/>
            <w:vAlign w:val="bottom"/>
          </w:tcPr>
          <w:p>
            <w:pPr>
              <w:spacing w:after="0"/>
              <w:rPr>
                <w:sz w:val="11"/>
                <w:szCs w:val="11"/>
                <w:color w:val="auto"/>
              </w:rPr>
            </w:pPr>
          </w:p>
        </w:tc>
        <w:tc>
          <w:tcPr>
            <w:tcW w:w="12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w w:val="95"/>
              </w:rPr>
              <w:t>Transportation services</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 Kellaway Drive</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 Lien Debt ($1,596</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unfunded commitment)</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(j)(w)</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Randolph, MA 02368</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5"/>
              </w:rPr>
              <w:t>Subordinated Debt ($417</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unfunded commitment)</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(j)(w)</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(280,000 units) ($70</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unfunded commitment)</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R.F. Fager Company LLC</w:t>
            </w:r>
          </w:p>
        </w:tc>
        <w:tc>
          <w:tcPr>
            <w:tcW w:w="128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Specialty Distribution</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2058 State Road</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Second Lien Debt (j)</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Camp Hill, PA 17011</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(12,500 units) (h)(j)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Rhino Assembly Company, LLC</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72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(n)</w:t>
            </w:r>
          </w:p>
        </w:tc>
        <w:tc>
          <w:tcPr>
            <w:tcW w:w="1280" w:type="dxa"/>
            <w:vAlign w:val="bottom"/>
          </w:tcPr>
          <w:p>
            <w:pPr>
              <w:spacing w:after="0"/>
              <w:rPr>
                <w:sz w:val="11"/>
                <w:szCs w:val="11"/>
                <w:color w:val="auto"/>
              </w:rPr>
            </w:pPr>
          </w:p>
        </w:tc>
        <w:tc>
          <w:tcPr>
            <w:tcW w:w="12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Specialty Distribution</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7575 Westwinds Blvd.,</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 (Class</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A</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 Units) (10,915) (h)(j)</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Concord, NC 28027</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Private Equity (Units</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N/A) (h)(j)</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 (Class</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 Units) (710 units) (h)</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Road Safety Services, Inc. (n)</w:t>
            </w:r>
          </w:p>
        </w:tc>
        <w:tc>
          <w:tcPr>
            <w:tcW w:w="128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Business Services</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11620 Arbor Street,</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 (779)</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101</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(j)</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Omaha, NE 68144</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 (97</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units) (j)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ServicePower, Inc.</w:t>
            </w:r>
          </w:p>
        </w:tc>
        <w:tc>
          <w:tcPr>
            <w:tcW w:w="128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64"/>
        </w:trPr>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8180 Greensboro Drive,</w:t>
            </w:r>
          </w:p>
        </w:tc>
        <w:tc>
          <w:tcPr>
            <w:tcW w:w="1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06"/>
        </w:trPr>
        <w:tc>
          <w:tcPr>
            <w:tcW w:w="172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72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600</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 Lien Debt (k)(au)</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McLean, VA 22102</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SES Investors, LLC (dba SES</w:t>
            </w:r>
          </w:p>
        </w:tc>
        <w:tc>
          <w:tcPr>
            <w:tcW w:w="12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Building Products</w:t>
            </w:r>
          </w:p>
        </w:tc>
        <w:tc>
          <w:tcPr>
            <w:tcW w:w="0" w:type="dxa"/>
            <w:vAlign w:val="bottom"/>
          </w:tcPr>
          <w:p>
            <w:pPr>
              <w:spacing w:after="0"/>
              <w:rPr>
                <w:sz w:val="1"/>
                <w:szCs w:val="1"/>
                <w:color w:val="auto"/>
              </w:rPr>
            </w:pPr>
          </w:p>
        </w:tc>
      </w:tr>
      <w:tr>
        <w:trPr>
          <w:trHeight w:val="137"/>
        </w:trPr>
        <w:tc>
          <w:tcPr>
            <w:tcW w:w="1720" w:type="dxa"/>
            <w:vAlign w:val="bottom"/>
            <w:gridSpan w:val="2"/>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Foam) (n)</w:t>
            </w:r>
          </w:p>
        </w:tc>
        <w:tc>
          <w:tcPr>
            <w:tcW w:w="1280" w:type="dxa"/>
            <w:vAlign w:val="bottom"/>
          </w:tcPr>
          <w:p>
            <w:pPr>
              <w:spacing w:after="0"/>
              <w:rPr>
                <w:sz w:val="11"/>
                <w:szCs w:val="11"/>
                <w:color w:val="auto"/>
              </w:rPr>
            </w:pPr>
          </w:p>
        </w:tc>
        <w:tc>
          <w:tcPr>
            <w:tcW w:w="12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35"/>
        </w:trPr>
        <w:tc>
          <w:tcPr>
            <w:tcW w:w="17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3"/>
                <w:szCs w:val="13"/>
                <w:color w:val="auto"/>
              </w:rPr>
              <w:t>2400 Spring Stuebner Rd.</w:t>
            </w:r>
          </w:p>
        </w:tc>
        <w:tc>
          <w:tcPr>
            <w:tcW w:w="12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Spring, TX 77389</w:t>
            </w:r>
          </w:p>
        </w:tc>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(6,000 units) (h)(j)</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20" w:type="dxa"/>
            <w:vAlign w:val="bottom"/>
            <w:gridSpan w:val="2"/>
            <w:vMerge w:val="continue"/>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7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Sonicwall US Holdings, Inc.</w:t>
            </w:r>
          </w:p>
        </w:tc>
        <w:tc>
          <w:tcPr>
            <w:tcW w:w="12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Information</w:t>
            </w:r>
          </w:p>
        </w:tc>
        <w:tc>
          <w:tcPr>
            <w:tcW w:w="0" w:type="dxa"/>
            <w:vAlign w:val="bottom"/>
          </w:tcPr>
          <w:p>
            <w:pPr>
              <w:spacing w:after="0"/>
              <w:rPr>
                <w:sz w:val="1"/>
                <w:szCs w:val="1"/>
                <w:color w:val="auto"/>
              </w:rPr>
            </w:pPr>
          </w:p>
        </w:tc>
      </w:tr>
      <w:tr>
        <w:trPr>
          <w:trHeight w:val="164"/>
        </w:trPr>
        <w:tc>
          <w:tcPr>
            <w:tcW w:w="17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auto"/>
              </w:rPr>
              <w:t>1033 McCarthy Blvd</w:t>
            </w:r>
          </w:p>
        </w:tc>
        <w:tc>
          <w:tcPr>
            <w:tcW w:w="12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Second Lien Debt (j)</w:t>
            </w: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Technology Services</w:t>
            </w:r>
          </w:p>
        </w:tc>
        <w:tc>
          <w:tcPr>
            <w:tcW w:w="0" w:type="dxa"/>
            <w:vAlign w:val="bottom"/>
          </w:tcPr>
          <w:p>
            <w:pPr>
              <w:spacing w:after="0"/>
              <w:rPr>
                <w:sz w:val="1"/>
                <w:szCs w:val="1"/>
                <w:color w:val="auto"/>
              </w:rPr>
            </w:pPr>
          </w:p>
        </w:tc>
      </w:tr>
      <w:tr>
        <w:trPr>
          <w:trHeight w:val="106"/>
        </w:trPr>
        <w:tc>
          <w:tcPr>
            <w:tcW w:w="1720" w:type="dxa"/>
            <w:vAlign w:val="bottom"/>
            <w:gridSpan w:val="2"/>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72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Milpitas, CA 95035</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35"/>
        </w:trPr>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4"/>
              </w:rPr>
              <w:t>Rate (e)</w:t>
            </w:r>
          </w:p>
        </w:tc>
        <w:tc>
          <w:tcPr>
            <w:tcW w:w="7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Principal</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0"/>
              </w:rPr>
              <w:t>Fair</w:t>
            </w:r>
          </w:p>
        </w:tc>
        <w:tc>
          <w:tcPr>
            <w:tcW w:w="500" w:type="dxa"/>
            <w:vAlign w:val="bottom"/>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r>
      <w:tr>
        <w:trPr>
          <w:trHeight w:val="159"/>
        </w:trPr>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Held (aw)</w:t>
            </w:r>
          </w:p>
        </w:tc>
        <w:tc>
          <w:tcPr>
            <w:tcW w:w="22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Date (f)</w:t>
            </w:r>
          </w:p>
        </w:tc>
        <w:tc>
          <w:tcPr>
            <w:tcW w:w="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Amount</w:t>
            </w:r>
          </w:p>
        </w:tc>
        <w:tc>
          <w:tcPr>
            <w:tcW w:w="120" w:type="dxa"/>
            <w:vAlign w:val="bottom"/>
          </w:tcPr>
          <w:p>
            <w:pPr>
              <w:spacing w:after="0"/>
              <w:rPr>
                <w:sz w:val="13"/>
                <w:szCs w:val="13"/>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2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0"/>
              </w:rPr>
              <w:t>Net Assets</w:t>
            </w:r>
          </w:p>
        </w:tc>
      </w:tr>
      <w:tr>
        <w:trPr>
          <w:trHeight w:val="20"/>
        </w:trPr>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-385445</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-7620</wp:posOffset>
            </wp:positionV>
            <wp:extent cx="6995160" cy="1714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tbl>
      <w:tblPr>
        <w:tblLayout w:type="fixed"/>
        <w:tblInd w:w="340" w:type="dxa"/>
        <w:tblCellMar>
          <w:top w:w="0" w:type="dxa"/>
          <w:left w:w="0" w:type="dxa"/>
          <w:bottom w:w="0" w:type="dxa"/>
          <w:right w:w="0" w:type="dxa"/>
        </w:tblCellMar>
      </w:tblPr>
      <w:tr>
        <w:trPr>
          <w:trHeight w:val="164"/>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+ 6.25%) / (1.00%)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12/30/2022</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12/30/2028</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6,327</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6,155</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6,327</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5"/>
        </w:trPr>
        <w:tc>
          <w:tcPr>
            <w:tcW w:w="1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8.75%/5.00%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12/30/2022</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6/30/2029</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1,420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1,383</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1,420</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0.10%</w:t>
            </w:r>
          </w:p>
        </w:tc>
        <w:tc>
          <w:tcPr>
            <w:tcW w:w="86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12/30/2022</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280</w:t>
            </w: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296</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7,818</w:t>
            </w:r>
          </w:p>
        </w:tc>
        <w:tc>
          <w:tcPr>
            <w:tcW w:w="10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8,043</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3"/>
        </w:trPr>
        <w:tc>
          <w:tcPr>
            <w:tcW w:w="1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12.75%/0.00%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3/4/2024</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8/4/2030</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14,000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13,922</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13,922</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1.70%</w:t>
            </w:r>
          </w:p>
        </w:tc>
        <w:tc>
          <w:tcPr>
            <w:tcW w:w="860" w:type="dxa"/>
            <w:vAlign w:val="bottom"/>
          </w:tcPr>
          <w:p>
            <w:pPr>
              <w:spacing w:after="0"/>
              <w:rPr>
                <w:sz w:val="22"/>
                <w:szCs w:val="22"/>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3/4/2024</w:t>
            </w: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1,250</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1,250</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15,172</w:t>
            </w:r>
          </w:p>
        </w:tc>
        <w:tc>
          <w:tcPr>
            <w:tcW w:w="10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15,172</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3.80%</w:t>
            </w:r>
          </w:p>
        </w:tc>
        <w:tc>
          <w:tcPr>
            <w:tcW w:w="86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8/11/2017</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rPr>
              <w:t>0.0%</w:t>
            </w:r>
          </w:p>
        </w:tc>
        <w:tc>
          <w:tcPr>
            <w:tcW w:w="86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12/10/2020</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3"/>
                <w:szCs w:val="23"/>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0.30%</w:t>
            </w:r>
          </w:p>
        </w:tc>
        <w:tc>
          <w:tcPr>
            <w:tcW w:w="86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12/10/2020</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8"/>
        </w:trPr>
        <w:tc>
          <w:tcPr>
            <w:tcW w:w="1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w w:val="81"/>
              </w:rPr>
              <w:t>— </w:t>
            </w:r>
          </w:p>
        </w:tc>
        <w:tc>
          <w:tcPr>
            <w:tcW w:w="3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1.60%</w:t>
            </w:r>
          </w:p>
        </w:tc>
        <w:tc>
          <w:tcPr>
            <w:tcW w:w="86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9/18/2018</w:t>
            </w: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0.20%</w:t>
            </w:r>
          </w:p>
        </w:tc>
        <w:tc>
          <w:tcPr>
            <w:tcW w:w="86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2/3/2023</w:t>
            </w: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1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608"/>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+ 8.00%) / (3.25%)</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3/15/2024</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3/15/2028</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21,000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20,692</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20,692</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742"/>
        </w:trPr>
        <w:tc>
          <w:tcPr>
            <w:tcW w:w="1620" w:type="dxa"/>
            <w:vAlign w:val="bottom"/>
          </w:tcPr>
          <w:p>
            <w:pPr>
              <w:jc w:val="right"/>
              <w:ind w:right="1237"/>
              <w:spacing w:after="0"/>
              <w:rPr>
                <w:sz w:val="20"/>
                <w:szCs w:val="20"/>
                <w:color w:val="auto"/>
              </w:rPr>
            </w:pPr>
            <w:r>
              <w:rPr>
                <w:rFonts w:ascii="Times New Roman" w:cs="Times New Roman" w:eastAsia="Times New Roman" w:hAnsi="Times New Roman"/>
                <w:sz w:val="13"/>
                <w:szCs w:val="13"/>
                <w:color w:val="auto"/>
                <w:w w:val="89"/>
              </w:rPr>
              <w:t>4.30%</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9/8/2016</w:t>
            </w:r>
          </w:p>
        </w:tc>
        <w:tc>
          <w:tcPr>
            <w:tcW w:w="600" w:type="dxa"/>
            <w:vAlign w:val="bottom"/>
          </w:tcPr>
          <w:p>
            <w:pPr>
              <w:spacing w:after="0"/>
              <w:rPr>
                <w:sz w:val="24"/>
                <w:szCs w:val="24"/>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4"/>
                <w:szCs w:val="24"/>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608"/>
        </w:trPr>
        <w:tc>
          <w:tcPr>
            <w:tcW w:w="1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 + 7.50%) / (0.00%)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12.96%/0.00%</w:t>
            </w: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9/6/2022</w:t>
            </w: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5/18/2026</w:t>
            </w:r>
          </w:p>
        </w:tc>
        <w:tc>
          <w:tcPr>
            <w:tcW w:w="6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3,581</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3,411</w:t>
            </w: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3,405</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-3915410</wp:posOffset>
            </wp:positionV>
            <wp:extent cx="6995160" cy="2571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-3298190</wp:posOffset>
            </wp:positionV>
            <wp:extent cx="6995160" cy="85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-3084195</wp:posOffset>
            </wp:positionV>
            <wp:extent cx="6995160" cy="85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-2809240</wp:posOffset>
            </wp:positionV>
            <wp:extent cx="6995160"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-2509520</wp:posOffset>
            </wp:positionV>
            <wp:extent cx="6995160" cy="1714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-2166620</wp:posOffset>
            </wp:positionV>
            <wp:extent cx="6995160" cy="2571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-1763395</wp:posOffset>
            </wp:positionV>
            <wp:extent cx="6995160" cy="857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-1506220</wp:posOffset>
            </wp:positionV>
            <wp:extent cx="699516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-1206500</wp:posOffset>
            </wp:positionV>
            <wp:extent cx="699516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-863600</wp:posOffset>
            </wp:positionV>
            <wp:extent cx="6995160" cy="857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-563245</wp:posOffset>
            </wp:positionV>
            <wp:extent cx="699516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-263525</wp:posOffset>
            </wp:positionV>
            <wp:extent cx="699516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-6350</wp:posOffset>
            </wp:positionV>
            <wp:extent cx="6995160" cy="857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4260" w:space="80"/>
            <w:col w:w="6680"/>
          </w:cols>
          <w:pgMar w:left="440" w:top="302" w:right="439" w:bottom="1440" w:gutter="0" w:footer="0" w:header="0"/>
        </w:sectPr>
      </w:pPr>
    </w:p>
    <w:tbl>
      <w:tblPr>
        <w:tblLayout w:type="fixed"/>
        <w:tblInd w:w="0" w:type="dxa"/>
        <w:tblCellMar>
          <w:top w:w="0" w:type="dxa"/>
          <w:left w:w="0" w:type="dxa"/>
          <w:bottom w:w="0" w:type="dxa"/>
          <w:right w:w="0" w:type="dxa"/>
        </w:tblCellMar>
      </w:tblPr>
      <w:tr>
        <w:trPr>
          <w:trHeight w:val="149"/>
        </w:trPr>
        <w:tc>
          <w:tcPr>
            <w:tcW w:w="156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Suited Connector LLC</w:t>
            </w:r>
          </w:p>
        </w:tc>
        <w:tc>
          <w:tcPr>
            <w:tcW w:w="1440" w:type="dxa"/>
            <w:vAlign w:val="bottom"/>
          </w:tcPr>
          <w:p>
            <w:pPr>
              <w:spacing w:after="0"/>
              <w:rPr>
                <w:sz w:val="12"/>
                <w:szCs w:val="12"/>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Information</w:t>
            </w: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53"/>
        </w:trPr>
        <w:tc>
          <w:tcPr>
            <w:tcW w:w="15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Technology Services</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35"/>
        </w:trPr>
        <w:tc>
          <w:tcPr>
            <w:tcW w:w="1560" w:type="dxa"/>
            <w:vAlign w:val="bottom"/>
            <w:shd w:val="clear" w:color="auto" w:fill="CCEEFF"/>
          </w:tcPr>
          <w:p>
            <w:pPr>
              <w:ind w:left="240"/>
              <w:spacing w:after="0" w:line="135" w:lineRule="exact"/>
              <w:rPr>
                <w:sz w:val="20"/>
                <w:szCs w:val="20"/>
                <w:color w:val="auto"/>
              </w:rPr>
            </w:pPr>
            <w:r>
              <w:rPr>
                <w:rFonts w:ascii="Times New Roman" w:cs="Times New Roman" w:eastAsia="Times New Roman" w:hAnsi="Times New Roman"/>
                <w:sz w:val="13"/>
                <w:szCs w:val="13"/>
                <w:color w:val="auto"/>
              </w:rPr>
              <w:t>8123 Interport Blvd.</w:t>
            </w:r>
          </w:p>
        </w:tc>
        <w:tc>
          <w:tcPr>
            <w:tcW w:w="14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Second Lien Debt (j)(y)</w:t>
            </w:r>
          </w:p>
        </w:tc>
        <w:tc>
          <w:tcPr>
            <w:tcW w:w="41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0.00%/12.00%</w:t>
            </w:r>
          </w:p>
        </w:tc>
        <w:tc>
          <w:tcPr>
            <w:tcW w:w="780" w:type="dxa"/>
            <w:vAlign w:val="bottom"/>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10/29/2021</w:t>
            </w:r>
          </w:p>
        </w:tc>
        <w:tc>
          <w:tcPr>
            <w:tcW w:w="72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6/1/2028</w:t>
            </w:r>
          </w:p>
        </w:tc>
        <w:tc>
          <w:tcPr>
            <w:tcW w:w="110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16,000   15,933</w:t>
            </w:r>
          </w:p>
        </w:tc>
        <w:tc>
          <w:tcPr>
            <w:tcW w:w="760" w:type="dxa"/>
            <w:vAlign w:val="bottom"/>
            <w:gridSpan w:val="2"/>
            <w:shd w:val="clear" w:color="auto" w:fill="CCEEFF"/>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4,866</w:t>
            </w:r>
          </w:p>
        </w:tc>
        <w:tc>
          <w:tcPr>
            <w:tcW w:w="500" w:type="dxa"/>
            <w:vAlign w:val="bottom"/>
            <w:shd w:val="clear" w:color="auto" w:fill="CCEEFF"/>
          </w:tcPr>
          <w:p>
            <w:pPr>
              <w:spacing w:after="0"/>
              <w:rPr>
                <w:sz w:val="11"/>
                <w:szCs w:val="11"/>
                <w:color w:val="auto"/>
              </w:rPr>
            </w:pPr>
          </w:p>
        </w:tc>
      </w:tr>
      <w:tr>
        <w:trPr>
          <w:trHeight w:val="117"/>
        </w:trPr>
        <w:tc>
          <w:tcPr>
            <w:tcW w:w="1560" w:type="dxa"/>
            <w:vAlign w:val="bottom"/>
          </w:tcPr>
          <w:p>
            <w:pPr>
              <w:ind w:left="240"/>
              <w:spacing w:after="0" w:line="117" w:lineRule="exact"/>
              <w:rPr>
                <w:sz w:val="20"/>
                <w:szCs w:val="20"/>
                <w:color w:val="auto"/>
              </w:rPr>
            </w:pPr>
            <w:r>
              <w:rPr>
                <w:rFonts w:ascii="Times New Roman" w:cs="Times New Roman" w:eastAsia="Times New Roman" w:hAnsi="Times New Roman"/>
                <w:sz w:val="13"/>
                <w:szCs w:val="13"/>
                <w:color w:val="auto"/>
              </w:rPr>
              <w:t>Englewood, CO 80112</w:t>
            </w:r>
          </w:p>
        </w:tc>
        <w:tc>
          <w:tcPr>
            <w:tcW w:w="144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4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r>
      <w:tr>
        <w:trPr>
          <w:trHeight w:val="153"/>
        </w:trPr>
        <w:tc>
          <w:tcPr>
            <w:tcW w:w="1560" w:type="dxa"/>
            <w:vAlign w:val="bottom"/>
          </w:tcPr>
          <w:p>
            <w:pPr>
              <w:spacing w:after="0"/>
              <w:rPr>
                <w:sz w:val="13"/>
                <w:szCs w:val="13"/>
                <w:color w:val="auto"/>
              </w:rPr>
            </w:pPr>
          </w:p>
        </w:tc>
        <w:tc>
          <w:tcPr>
            <w:tcW w:w="1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(56,382 units) (h)(j)</w:t>
            </w:r>
          </w:p>
        </w:tc>
        <w:tc>
          <w:tcPr>
            <w:tcW w:w="4160" w:type="dxa"/>
            <w:vAlign w:val="bottom"/>
          </w:tcPr>
          <w:p>
            <w:pPr>
              <w:jc w:val="right"/>
              <w:ind w:right="2097"/>
              <w:spacing w:after="0"/>
              <w:rPr>
                <w:sz w:val="20"/>
                <w:szCs w:val="20"/>
                <w:color w:val="auto"/>
              </w:rPr>
            </w:pPr>
            <w:r>
              <w:rPr>
                <w:rFonts w:ascii="Times New Roman" w:cs="Times New Roman" w:eastAsia="Times New Roman" w:hAnsi="Times New Roman"/>
                <w:sz w:val="13"/>
                <w:szCs w:val="13"/>
                <w:color w:val="auto"/>
              </w:rPr>
              <w:t>0.78%</w:t>
            </w:r>
          </w:p>
        </w:tc>
        <w:tc>
          <w:tcPr>
            <w:tcW w:w="7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12/1/2021</w:t>
            </w: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836</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13"/>
                <w:szCs w:val="13"/>
                <w:color w:val="auto"/>
              </w:rPr>
            </w:pPr>
          </w:p>
        </w:tc>
      </w:tr>
      <w:tr>
        <w:trPr>
          <w:trHeight w:val="27"/>
        </w:trPr>
        <w:tc>
          <w:tcPr>
            <w:tcW w:w="1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35"/>
        </w:trPr>
        <w:tc>
          <w:tcPr>
            <w:tcW w:w="15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4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16,769</w:t>
            </w:r>
          </w:p>
        </w:tc>
        <w:tc>
          <w:tcPr>
            <w:tcW w:w="760" w:type="dxa"/>
            <w:vAlign w:val="bottom"/>
            <w:gridSpan w:val="2"/>
            <w:shd w:val="clear" w:color="auto" w:fill="CCEEFF"/>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4,866</w:t>
            </w:r>
          </w:p>
        </w:tc>
        <w:tc>
          <w:tcPr>
            <w:tcW w:w="5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302" w:right="439" w:bottom="1440" w:gutter="0" w:footer="0" w:header="0"/>
          <w:type w:val="continuous"/>
        </w:sectPr>
      </w:pPr>
    </w:p>
    <w:bookmarkStart w:id="50" w:name="page51"/>
    <w:bookmarkEnd w:id="50"/>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160" w:type="dxa"/>
            <w:vAlign w:val="bottom"/>
          </w:tcPr>
          <w:p>
            <w:pPr>
              <w:spacing w:after="0"/>
              <w:rPr>
                <w:sz w:val="23"/>
                <w:szCs w:val="2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122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0" w:type="dxa"/>
            <w:vAlign w:val="bottom"/>
          </w:tcPr>
          <w:p>
            <w:pPr>
              <w:spacing w:after="0"/>
              <w:rPr>
                <w:sz w:val="1"/>
                <w:szCs w:val="1"/>
                <w:color w:val="auto"/>
              </w:rPr>
            </w:pPr>
          </w:p>
        </w:tc>
      </w:tr>
      <w:tr>
        <w:trPr>
          <w:trHeight w:val="104"/>
        </w:trPr>
        <w:tc>
          <w:tcPr>
            <w:tcW w:w="1520" w:type="dxa"/>
            <w:vAlign w:val="bottom"/>
          </w:tcPr>
          <w:p>
            <w:pPr>
              <w:spacing w:after="0" w:line="104" w:lineRule="exact"/>
              <w:rPr>
                <w:sz w:val="20"/>
                <w:szCs w:val="20"/>
                <w:color w:val="auto"/>
              </w:rPr>
            </w:pPr>
            <w:r>
              <w:rPr>
                <w:rFonts w:ascii="Times New Roman" w:cs="Times New Roman" w:eastAsia="Times New Roman" w:hAnsi="Times New Roman"/>
                <w:sz w:val="12"/>
                <w:szCs w:val="12"/>
                <w:i w:val="1"/>
                <w:iCs w:val="1"/>
                <w:color w:val="auto"/>
              </w:rPr>
              <w:t>Tedia Company, LLC</w:t>
            </w:r>
          </w:p>
        </w:tc>
        <w:tc>
          <w:tcPr>
            <w:tcW w:w="16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Borders>
              <w:top w:val="single" w:sz="8" w:color="auto"/>
            </w:tcBorders>
          </w:tcPr>
          <w:p>
            <w:pPr>
              <w:spacing w:after="0" w:line="104" w:lineRule="exact"/>
              <w:rPr>
                <w:sz w:val="20"/>
                <w:szCs w:val="20"/>
                <w:color w:val="auto"/>
              </w:rPr>
            </w:pPr>
            <w:r>
              <w:rPr>
                <w:rFonts w:ascii="Times New Roman" w:cs="Times New Roman" w:eastAsia="Times New Roman" w:hAnsi="Times New Roman"/>
                <w:sz w:val="12"/>
                <w:szCs w:val="12"/>
                <w:color w:val="auto"/>
              </w:rPr>
              <w:t>Healthcare Products</w:t>
            </w: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100 Tedia Way</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Fairfield, OH 45014</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Revolving Loan</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($2,400 unfunded</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commitment) (j)(i)</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Preferred Equity (1,000</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units) (h)(j)</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3"/>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Tiger Calcium Services Inc.</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520" w:type="dxa"/>
            <w:vAlign w:val="bottom"/>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(aq)</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w w:val="98"/>
              </w:rPr>
              <w:t>Transportation services</w:t>
            </w: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w w:val="97"/>
              </w:rPr>
              <w:t>Suite 740, 1015 – 4th St.</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Second Lien Debt (j)</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SW</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(ao)</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Calgary, AB T2R 1J4</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Canada</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UBEO, LLC</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Business Services</w:t>
            </w: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401 East Sonterra Blvd,</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Common Equity</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350</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(705,000 units) (h)(j)</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San Antonio, TX 78258</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United Biologics, LLC</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Healthcare Services</w:t>
            </w: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70 NE Loop 410, Suite</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600</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(98,377 units) (h)(j)</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San Antonio, TX 78216</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Warrant (57,469 units)</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(j)(m)</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w w:val="97"/>
              </w:rPr>
              <w:t>US Fertility Enterprises, LLC</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Healthcare Services</w:t>
            </w: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9600 Blackwell Road,</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Suite 500</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Rockville, MD 20850</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USG AS Holdings, LLC</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Utilities: Services</w:t>
            </w: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535 Courtney Hodges</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380"/>
              <w:spacing w:after="0" w:line="135" w:lineRule="exact"/>
              <w:rPr>
                <w:sz w:val="20"/>
                <w:szCs w:val="20"/>
                <w:color w:val="auto"/>
              </w:rPr>
            </w:pPr>
            <w:r>
              <w:rPr>
                <w:rFonts w:ascii="Times New Roman" w:cs="Times New Roman" w:eastAsia="Times New Roman" w:hAnsi="Times New Roman"/>
                <w:sz w:val="13"/>
                <w:szCs w:val="13"/>
                <w:color w:val="auto"/>
              </w:rPr>
              <w:t>Blvd</w:t>
            </w: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Perry, GA 31069</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Common Equity (Units</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N/A) (j)</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Virginia Tile Company, LLC</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Specialty Distribution</w:t>
            </w: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28320 Plymouth Road</w:t>
            </w:r>
          </w:p>
        </w:tc>
        <w:tc>
          <w:tcPr>
            <w:tcW w:w="1480" w:type="dxa"/>
            <w:vAlign w:val="bottom"/>
            <w:gridSpan w:val="3"/>
          </w:tcPr>
          <w:p>
            <w:pPr>
              <w:ind w:left="160"/>
              <w:spacing w:after="0" w:line="135" w:lineRule="exact"/>
              <w:rPr>
                <w:sz w:val="20"/>
                <w:szCs w:val="20"/>
                <w:color w:val="auto"/>
              </w:rPr>
            </w:pPr>
            <w:r>
              <w:rPr>
                <w:rFonts w:ascii="Times New Roman" w:cs="Times New Roman" w:eastAsia="Times New Roman" w:hAnsi="Times New Roman"/>
                <w:sz w:val="13"/>
                <w:szCs w:val="13"/>
                <w:color w:val="auto"/>
              </w:rPr>
              <w:t>Common Equity (17</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Livonia, MI 48150</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units) (j)</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Virtex Enterprises, LP</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Component</w:t>
            </w:r>
          </w:p>
        </w:tc>
        <w:tc>
          <w:tcPr>
            <w:tcW w:w="0" w:type="dxa"/>
            <w:vAlign w:val="bottom"/>
          </w:tcPr>
          <w:p>
            <w:pPr>
              <w:spacing w:after="0"/>
              <w:rPr>
                <w:sz w:val="1"/>
                <w:szCs w:val="1"/>
                <w:color w:val="auto"/>
              </w:rPr>
            </w:pPr>
          </w:p>
        </w:tc>
      </w:tr>
      <w:tr>
        <w:trPr>
          <w:trHeight w:val="164"/>
        </w:trPr>
        <w:tc>
          <w:tcPr>
            <w:tcW w:w="15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16310 Bratton Lane</w:t>
            </w:r>
          </w:p>
        </w:tc>
        <w:tc>
          <w:tcPr>
            <w:tcW w:w="1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auto"/>
              </w:rPr>
              <w:t>Second Lien Debt (y)</w:t>
            </w:r>
          </w:p>
        </w:tc>
        <w:tc>
          <w:tcPr>
            <w:tcW w:w="1220" w:type="dxa"/>
            <w:vAlign w:val="bottom"/>
          </w:tcPr>
          <w:p>
            <w:pPr>
              <w:spacing w:after="0"/>
              <w:rPr>
                <w:sz w:val="20"/>
                <w:szCs w:val="20"/>
                <w:color w:val="auto"/>
              </w:rPr>
            </w:pPr>
            <w:r>
              <w:rPr>
                <w:rFonts w:ascii="Times New Roman" w:cs="Times New Roman" w:eastAsia="Times New Roman" w:hAnsi="Times New Roman"/>
                <w:sz w:val="13"/>
                <w:szCs w:val="13"/>
                <w:color w:val="auto"/>
              </w:rPr>
              <w:t>Manufacturing</w:t>
            </w:r>
          </w:p>
        </w:tc>
        <w:tc>
          <w:tcPr>
            <w:tcW w:w="0" w:type="dxa"/>
            <w:vAlign w:val="bottom"/>
          </w:tcPr>
          <w:p>
            <w:pPr>
              <w:spacing w:after="0"/>
              <w:rPr>
                <w:sz w:val="1"/>
                <w:szCs w:val="1"/>
                <w:color w:val="auto"/>
              </w:rPr>
            </w:pPr>
          </w:p>
        </w:tc>
      </w:tr>
      <w:tr>
        <w:trPr>
          <w:trHeight w:val="106"/>
        </w:trPr>
        <w:tc>
          <w:tcPr>
            <w:tcW w:w="1520" w:type="dxa"/>
            <w:vAlign w:val="bottom"/>
            <w:vMerge w:val="continue"/>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Austin, TX 78728</w:t>
            </w:r>
          </w:p>
        </w:tc>
        <w:tc>
          <w:tcPr>
            <w:tcW w:w="148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Subordinated Debt</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8"/>
              </w:rPr>
              <w:t>Percentage</w:t>
            </w:r>
          </w:p>
        </w:tc>
        <w:tc>
          <w:tcPr>
            <w:tcW w:w="60" w:type="dxa"/>
            <w:vAlign w:val="bottom"/>
          </w:tcPr>
          <w:p>
            <w:pPr>
              <w:spacing w:after="0"/>
              <w:rPr>
                <w:sz w:val="12"/>
                <w:szCs w:val="12"/>
                <w:color w:val="auto"/>
              </w:rPr>
            </w:pP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60" w:type="dxa"/>
            <w:vAlign w:val="bottom"/>
          </w:tcPr>
          <w:p>
            <w:pPr>
              <w:spacing w:after="0"/>
              <w:rPr>
                <w:sz w:val="11"/>
                <w:szCs w:val="11"/>
                <w:color w:val="auto"/>
              </w:rPr>
            </w:pPr>
          </w:p>
        </w:tc>
        <w:tc>
          <w:tcPr>
            <w:tcW w:w="120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 Spread</w:t>
            </w:r>
          </w:p>
        </w:tc>
        <w:tc>
          <w:tcPr>
            <w:tcW w:w="860" w:type="dxa"/>
            <w:vAlign w:val="bottom"/>
            <w:gridSpan w:val="2"/>
          </w:tcPr>
          <w:p>
            <w:pPr>
              <w:ind w:left="200"/>
              <w:spacing w:after="0" w:line="135" w:lineRule="exact"/>
              <w:rPr>
                <w:sz w:val="20"/>
                <w:szCs w:val="20"/>
                <w:color w:val="auto"/>
              </w:rPr>
            </w:pPr>
            <w:r>
              <w:rPr>
                <w:rFonts w:ascii="Times New Roman" w:cs="Times New Roman" w:eastAsia="Times New Roman" w:hAnsi="Times New Roman"/>
                <w:sz w:val="12"/>
                <w:szCs w:val="12"/>
                <w:b w:val="1"/>
                <w:bCs w:val="1"/>
                <w:color w:val="auto"/>
              </w:rPr>
              <w:t>Rate (e)</w:t>
            </w:r>
          </w:p>
        </w:tc>
        <w:tc>
          <w:tcPr>
            <w:tcW w:w="74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Principal</w:t>
            </w: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c>
          <w:tcPr>
            <w:tcW w:w="0" w:type="dxa"/>
            <w:vAlign w:val="bottom"/>
          </w:tcPr>
          <w:p>
            <w:pPr>
              <w:spacing w:after="0"/>
              <w:rPr>
                <w:sz w:val="1"/>
                <w:szCs w:val="1"/>
                <w:color w:val="auto"/>
              </w:rPr>
            </w:pPr>
          </w:p>
        </w:tc>
      </w:tr>
      <w:tr>
        <w:trPr>
          <w:trHeight w:val="159"/>
        </w:trPr>
        <w:tc>
          <w:tcPr>
            <w:tcW w:w="5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Held (aw)</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80" w:type="dxa"/>
            <w:vAlign w:val="bottom"/>
          </w:tcPr>
          <w:p>
            <w:pPr>
              <w:spacing w:after="0"/>
              <w:rPr>
                <w:sz w:val="13"/>
                <w:szCs w:val="13"/>
                <w:color w:val="auto"/>
              </w:rPr>
            </w:pP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Cash/PIK</w:t>
            </w:r>
          </w:p>
        </w:tc>
        <w:tc>
          <w:tcPr>
            <w:tcW w:w="80" w:type="dxa"/>
            <w:vAlign w:val="bottom"/>
          </w:tcPr>
          <w:p>
            <w:pPr>
              <w:spacing w:after="0"/>
              <w:rPr>
                <w:sz w:val="13"/>
                <w:szCs w:val="13"/>
                <w:color w:val="auto"/>
              </w:rPr>
            </w:pP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Date (f)</w:t>
            </w:r>
          </w:p>
        </w:tc>
        <w:tc>
          <w:tcPr>
            <w:tcW w:w="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380" w:type="dxa"/>
            <w:vAlign w:val="bottom"/>
          </w:tcPr>
          <w:p>
            <w:pPr>
              <w:jc w:val="right"/>
              <w:ind w:right="17"/>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gridSpan w:val="2"/>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0"/>
              </w:rPr>
              <w:t>Net Assets</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(S + 7.75%) / (1.00%)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13.34%/0.00%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15,600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15,549</w:t>
            </w:r>
          </w:p>
        </w:tc>
        <w:tc>
          <w:tcPr>
            <w:tcW w:w="140" w:type="dxa"/>
            <w:vAlign w:val="bottom"/>
          </w:tcPr>
          <w:p>
            <w:pPr>
              <w:spacing w:after="0"/>
              <w:rPr>
                <w:sz w:val="23"/>
                <w:szCs w:val="2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15,600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6"/>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(S + 7.75%) / (1.00%)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13.34%/0.00%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3/4/2027</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(13)</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7.25%/7.25%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9/4/2027</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2,909</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2,770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4.43%</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3/4/2022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502</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19,436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18,872</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03"/>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12.50%/0.00%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12/21/2022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5/31/2025</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12,500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12,470</w:t>
            </w:r>
          </w:p>
        </w:tc>
        <w:tc>
          <w:tcPr>
            <w:tcW w:w="1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12,500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743"/>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0.91%</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4/3/2018</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655</w:t>
            </w:r>
          </w:p>
        </w:tc>
        <w:tc>
          <w:tcPr>
            <w:tcW w:w="1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2,203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608"/>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1.06%</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4/1/2012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891</w:t>
            </w:r>
          </w:p>
        </w:tc>
        <w:tc>
          <w:tcPr>
            <w:tcW w:w="14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0.60%</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3/5/2012</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565</w:t>
            </w:r>
          </w:p>
        </w:tc>
        <w:tc>
          <w:tcPr>
            <w:tcW w:w="140" w:type="dxa"/>
            <w:vAlign w:val="bottom"/>
          </w:tcPr>
          <w:p>
            <w:pPr>
              <w:spacing w:after="0"/>
              <w:rPr>
                <w:sz w:val="22"/>
                <w:szCs w:val="22"/>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0.00%/13.75%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5/19/2023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6/1/2028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14,087</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13,775</w:t>
            </w:r>
          </w:p>
        </w:tc>
        <w:tc>
          <w:tcPr>
            <w:tcW w:w="1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14,087</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608"/>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(S + 8.50%) / (2.50%)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8"/>
              </w:rPr>
              <w:t>13.98%/0.00%</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2/23/2028</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10,000</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10,000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1.70%</w:t>
            </w: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2/21/2023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455</w:t>
            </w:r>
          </w:p>
        </w:tc>
        <w:tc>
          <w:tcPr>
            <w:tcW w:w="14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745</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10,377</w:t>
            </w:r>
          </w:p>
        </w:tc>
        <w:tc>
          <w:tcPr>
            <w:tcW w:w="140" w:type="dxa"/>
            <w:vAlign w:val="bottom"/>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10,745</w:t>
            </w:r>
          </w:p>
        </w:tc>
        <w:tc>
          <w:tcPr>
            <w:tcW w:w="14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12/19/2014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181</w:t>
            </w:r>
          </w:p>
        </w:tc>
        <w:tc>
          <w:tcPr>
            <w:tcW w:w="1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1,270</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578"/>
        </w:trPr>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3"/>
                <w:szCs w:val="13"/>
                <w:color w:val="auto"/>
                <w:w w:val="96"/>
              </w:rPr>
              <w:t>(S + 0.00%) / (2.50%)</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5.43%/9.75%</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4/13/2022</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6/30/2026</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11,002</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10,906</w:t>
            </w:r>
          </w:p>
        </w:tc>
        <w:tc>
          <w:tcPr>
            <w:tcW w:w="14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5,217</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color w:val="auto"/>
                <w:w w:val="96"/>
              </w:rPr>
              <w:t>(S + 4.00%) / (2.50%)</w:t>
            </w: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9.43%/0.00%</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9/20/2023</w:t>
            </w:r>
          </w:p>
        </w:tc>
        <w:tc>
          <w:tcPr>
            <w:tcW w:w="74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12/31/2025</w:t>
            </w:r>
          </w:p>
        </w:tc>
        <w:tc>
          <w:tcPr>
            <w:tcW w:w="6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359</w:t>
            </w:r>
          </w:p>
        </w:tc>
        <w:tc>
          <w:tcPr>
            <w:tcW w:w="40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357</w:t>
            </w:r>
          </w:p>
        </w:tc>
        <w:tc>
          <w:tcPr>
            <w:tcW w:w="140" w:type="dxa"/>
            <w:vAlign w:val="bottom"/>
          </w:tcPr>
          <w:p>
            <w:pPr>
              <w:spacing w:after="0"/>
              <w:rPr>
                <w:sz w:val="11"/>
                <w:szCs w:val="11"/>
                <w:color w:val="auto"/>
              </w:rPr>
            </w:pPr>
          </w:p>
        </w:tc>
        <w:tc>
          <w:tcPr>
            <w:tcW w:w="6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338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11,263</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5,555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-4515485</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-4138295</wp:posOffset>
            </wp:positionV>
            <wp:extent cx="6995160" cy="939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-3957955</wp:posOffset>
            </wp:positionV>
            <wp:extent cx="6995160" cy="2571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-3615055</wp:posOffset>
            </wp:positionV>
            <wp:extent cx="6995160" cy="1714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-3298190</wp:posOffset>
            </wp:positionV>
            <wp:extent cx="6995160" cy="1714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-2955290</wp:posOffset>
            </wp:positionV>
            <wp:extent cx="6995160" cy="1714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-2654935</wp:posOffset>
            </wp:positionV>
            <wp:extent cx="6995160" cy="1714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-2355215</wp:posOffset>
            </wp:positionV>
            <wp:extent cx="6995160" cy="857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-2098040</wp:posOffset>
            </wp:positionV>
            <wp:extent cx="699516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-1780540</wp:posOffset>
            </wp:positionV>
            <wp:extent cx="6995160" cy="85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-1523365</wp:posOffset>
            </wp:positionV>
            <wp:extent cx="6995160" cy="857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-1309370</wp:posOffset>
            </wp:positionV>
            <wp:extent cx="6995160"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-949325</wp:posOffset>
            </wp:positionV>
            <wp:extent cx="6995160" cy="857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-734695</wp:posOffset>
            </wp:positionV>
            <wp:extent cx="6995160"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-434975</wp:posOffset>
            </wp:positionV>
            <wp:extent cx="6995160"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-177800</wp:posOffset>
            </wp:positionV>
            <wp:extent cx="6995160" cy="857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6995160" cy="85725"/>
                    </a:xfrm>
                    <a:prstGeom prst="rect">
                      <a:avLst/>
                    </a:prstGeom>
                    <a:noFill/>
                  </pic:spPr>
                </pic:pic>
              </a:graphicData>
            </a:graphic>
          </wp:anchor>
        </w:drawing>
      </w:r>
    </w:p>
    <w:p>
      <w:pPr>
        <w:spacing w:after="0" w:line="9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2">
            <w:col w:w="4220" w:space="80"/>
            <w:col w:w="6660"/>
          </w:cols>
          <w:pgMar w:left="440" w:top="302" w:right="499" w:bottom="1440" w:gutter="0" w:footer="0" w:header="0"/>
        </w:sectPr>
      </w:pPr>
    </w:p>
    <w:bookmarkStart w:id="51" w:name="page52"/>
    <w:bookmarkEnd w:id="5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Portfolio Company (a)(b)</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Percentage</w:t>
            </w:r>
          </w:p>
        </w:tc>
        <w:tc>
          <w:tcPr>
            <w:tcW w:w="0" w:type="dxa"/>
            <w:vAlign w:val="bottom"/>
          </w:tcPr>
          <w:p>
            <w:pPr>
              <w:spacing w:after="0"/>
              <w:rPr>
                <w:sz w:val="1"/>
                <w:szCs w:val="1"/>
                <w:color w:val="auto"/>
              </w:rPr>
            </w:pPr>
          </w:p>
        </w:tc>
      </w:tr>
      <w:tr>
        <w:trPr>
          <w:trHeight w:val="135"/>
        </w:trPr>
        <w:tc>
          <w:tcPr>
            <w:tcW w:w="15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100" w:type="dxa"/>
            <w:vAlign w:val="bottom"/>
          </w:tcPr>
          <w:p>
            <w:pPr>
              <w:spacing w:after="0"/>
              <w:rPr>
                <w:sz w:val="11"/>
                <w:szCs w:val="11"/>
                <w:color w:val="auto"/>
              </w:rPr>
            </w:pP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60" w:type="dxa"/>
            <w:vAlign w:val="bottom"/>
          </w:tcPr>
          <w:p>
            <w:pPr>
              <w:spacing w:after="0"/>
              <w:rPr>
                <w:sz w:val="11"/>
                <w:szCs w:val="11"/>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6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of Class</w:t>
            </w:r>
          </w:p>
        </w:tc>
        <w:tc>
          <w:tcPr>
            <w:tcW w:w="0" w:type="dxa"/>
            <w:vAlign w:val="bottom"/>
          </w:tcPr>
          <w:p>
            <w:pPr>
              <w:spacing w:after="0"/>
              <w:rPr>
                <w:sz w:val="1"/>
                <w:szCs w:val="1"/>
                <w:color w:val="auto"/>
              </w:rPr>
            </w:pPr>
          </w:p>
        </w:tc>
      </w:tr>
      <w:tr>
        <w:trPr>
          <w:trHeight w:val="152"/>
        </w:trPr>
        <w:tc>
          <w:tcPr>
            <w:tcW w:w="15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660" w:type="dxa"/>
            <w:vAlign w:val="bottom"/>
            <w:gridSpan w:val="2"/>
          </w:tcPr>
          <w:p>
            <w:pPr>
              <w:jc w:val="center"/>
              <w:ind w:right="120"/>
              <w:spacing w:after="0" w:line="132" w:lineRule="exact"/>
              <w:rPr>
                <w:sz w:val="20"/>
                <w:szCs w:val="20"/>
                <w:color w:val="auto"/>
              </w:rPr>
            </w:pPr>
            <w:r>
              <w:rPr>
                <w:rFonts w:ascii="Times New Roman" w:cs="Times New Roman" w:eastAsia="Times New Roman" w:hAnsi="Times New Roman"/>
                <w:sz w:val="12"/>
                <w:szCs w:val="12"/>
                <w:b w:val="1"/>
                <w:bCs w:val="1"/>
                <w:color w:val="auto"/>
                <w:w w:val="99"/>
              </w:rPr>
              <w:t>Held (aw)</w:t>
            </w:r>
          </w:p>
        </w:tc>
        <w:tc>
          <w:tcPr>
            <w:tcW w:w="0" w:type="dxa"/>
            <w:vAlign w:val="bottom"/>
          </w:tcPr>
          <w:p>
            <w:pPr>
              <w:spacing w:after="0"/>
              <w:rPr>
                <w:sz w:val="1"/>
                <w:szCs w:val="1"/>
                <w:color w:val="auto"/>
              </w:rPr>
            </w:pPr>
          </w:p>
        </w:tc>
      </w:tr>
      <w:tr>
        <w:trPr>
          <w:trHeight w:val="104"/>
        </w:trPr>
        <w:tc>
          <w:tcPr>
            <w:tcW w:w="1520" w:type="dxa"/>
            <w:vAlign w:val="bottom"/>
          </w:tcPr>
          <w:p>
            <w:pPr>
              <w:spacing w:after="0" w:line="104" w:lineRule="exact"/>
              <w:rPr>
                <w:sz w:val="20"/>
                <w:szCs w:val="20"/>
                <w:color w:val="auto"/>
              </w:rPr>
            </w:pPr>
            <w:r>
              <w:rPr>
                <w:rFonts w:ascii="Times New Roman" w:cs="Times New Roman" w:eastAsia="Times New Roman" w:hAnsi="Times New Roman"/>
                <w:sz w:val="12"/>
                <w:szCs w:val="12"/>
                <w:i w:val="1"/>
                <w:iCs w:val="1"/>
                <w:color w:val="auto"/>
              </w:rPr>
              <w:t>W50 Holdings, LLC</w:t>
            </w:r>
          </w:p>
        </w:tc>
        <w:tc>
          <w:tcPr>
            <w:tcW w:w="100" w:type="dxa"/>
            <w:vAlign w:val="bottom"/>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Borders>
              <w:top w:val="single" w:sz="8" w:color="auto"/>
            </w:tcBorders>
          </w:tcPr>
          <w:p>
            <w:pPr>
              <w:spacing w:after="0" w:line="104" w:lineRule="exact"/>
              <w:rPr>
                <w:sz w:val="20"/>
                <w:szCs w:val="20"/>
                <w:color w:val="auto"/>
              </w:rPr>
            </w:pPr>
            <w:r>
              <w:rPr>
                <w:rFonts w:ascii="Times New Roman" w:cs="Times New Roman" w:eastAsia="Times New Roman" w:hAnsi="Times New Roman"/>
                <w:sz w:val="12"/>
                <w:szCs w:val="12"/>
                <w:color w:val="auto"/>
              </w:rPr>
              <w:t>Business Services</w:t>
            </w:r>
          </w:p>
        </w:tc>
        <w:tc>
          <w:tcPr>
            <w:tcW w:w="8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3525 Piedmont Rd. NE</w:t>
            </w:r>
          </w:p>
        </w:tc>
        <w:tc>
          <w:tcPr>
            <w:tcW w:w="100" w:type="dxa"/>
            <w:vAlign w:val="bottom"/>
          </w:tcPr>
          <w:p>
            <w:pPr>
              <w:spacing w:after="0"/>
              <w:rPr>
                <w:sz w:val="11"/>
                <w:szCs w:val="11"/>
                <w:color w:val="auto"/>
              </w:rPr>
            </w:pP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Subordinated Debt (j)</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Atlanta, GA 30305</w:t>
            </w:r>
          </w:p>
        </w:tc>
        <w:tc>
          <w:tcPr>
            <w:tcW w:w="100" w:type="dxa"/>
            <w:vAlign w:val="bottom"/>
          </w:tcPr>
          <w:p>
            <w:pPr>
              <w:spacing w:after="0"/>
              <w:rPr>
                <w:sz w:val="11"/>
                <w:szCs w:val="11"/>
                <w:color w:val="auto"/>
              </w:rPr>
            </w:pP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w w:val="99"/>
              </w:rPr>
              <w:t>Preferred Equity (Units</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N/A) ($100 unfunded</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3"/>
                <w:szCs w:val="13"/>
                <w:color w:val="auto"/>
              </w:rPr>
              <w:t>commitment) (j)</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333"/>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w w:val="98"/>
              </w:rPr>
              <w:t>White Label Communication,</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Information</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1520" w:type="dxa"/>
            <w:vAlign w:val="bottom"/>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LLC</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3"/>
                <w:szCs w:val="13"/>
                <w:color w:val="auto"/>
              </w:rPr>
              <w:t>Technology Services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710 Springdale Drive</w:t>
            </w:r>
          </w:p>
        </w:tc>
        <w:tc>
          <w:tcPr>
            <w:tcW w:w="100" w:type="dxa"/>
            <w:vAlign w:val="bottom"/>
          </w:tcPr>
          <w:p>
            <w:pPr>
              <w:spacing w:after="0"/>
              <w:rPr>
                <w:sz w:val="11"/>
                <w:szCs w:val="11"/>
                <w:color w:val="auto"/>
              </w:rPr>
            </w:pP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Exton, PA 19341</w:t>
            </w:r>
          </w:p>
        </w:tc>
        <w:tc>
          <w:tcPr>
            <w:tcW w:w="100" w:type="dxa"/>
            <w:vAlign w:val="bottom"/>
          </w:tcPr>
          <w:p>
            <w:pPr>
              <w:spacing w:after="0"/>
              <w:rPr>
                <w:sz w:val="11"/>
                <w:szCs w:val="11"/>
                <w:color w:val="auto"/>
              </w:rPr>
            </w:pP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Common Equity (536</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units) (h)(j)</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0.48%</w:t>
            </w: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Preferred Equity</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3"/>
                <w:szCs w:val="13"/>
                <w:color w:val="auto"/>
              </w:rPr>
              <w:t>(5,000 units) (h)(j)</w:t>
            </w: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0" w:type="dxa"/>
            <w:vAlign w:val="bottom"/>
          </w:tcPr>
          <w:p>
            <w:pPr>
              <w:spacing w:after="0"/>
              <w:rPr>
                <w:sz w:val="1"/>
                <w:szCs w:val="1"/>
                <w:color w:val="auto"/>
              </w:rPr>
            </w:pPr>
          </w:p>
        </w:tc>
      </w:tr>
      <w:tr>
        <w:trPr>
          <w:trHeight w:val="335"/>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Winona Foods, Inc.</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Specialty</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5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auto"/>
              </w:rPr>
              <w:t>1552 Lineville Road</w:t>
            </w:r>
          </w:p>
        </w:tc>
        <w:tc>
          <w:tcPr>
            <w:tcW w:w="100" w:type="dxa"/>
            <w:vAlign w:val="bottom"/>
          </w:tcPr>
          <w:p>
            <w:pPr>
              <w:spacing w:after="0"/>
              <w:rPr>
                <w:sz w:val="14"/>
                <w:szCs w:val="14"/>
                <w:color w:val="auto"/>
              </w:rPr>
            </w:pPr>
          </w:p>
        </w:tc>
        <w:tc>
          <w:tcPr>
            <w:tcW w:w="12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First Lien Debt (j)</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Distribution</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5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Green Bay, WI 54313</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Wonderware Holdings, LLC</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i w:val="1"/>
                <w:iCs w:val="1"/>
                <w:color w:val="auto"/>
              </w:rPr>
              <w:t>(dba CORE Business</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3"/>
                <w:szCs w:val="13"/>
                <w:color w:val="auto"/>
              </w:rPr>
              <w:t>Information</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520" w:type="dxa"/>
            <w:vAlign w:val="bottom"/>
          </w:tcPr>
          <w:p>
            <w:pPr>
              <w:ind w:left="120"/>
              <w:spacing w:after="0" w:line="137" w:lineRule="exact"/>
              <w:rPr>
                <w:sz w:val="20"/>
                <w:szCs w:val="20"/>
                <w:color w:val="auto"/>
              </w:rPr>
            </w:pPr>
            <w:r>
              <w:rPr>
                <w:rFonts w:ascii="Times New Roman" w:cs="Times New Roman" w:eastAsia="Times New Roman" w:hAnsi="Times New Roman"/>
                <w:sz w:val="13"/>
                <w:szCs w:val="13"/>
                <w:i w:val="1"/>
                <w:iCs w:val="1"/>
                <w:color w:val="auto"/>
              </w:rPr>
              <w:t>Technologies)</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3"/>
                <w:szCs w:val="13"/>
                <w:color w:val="auto"/>
              </w:rPr>
              <w:t>Technology Services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2224 Pawtucket Ave.</w:t>
            </w:r>
          </w:p>
        </w:tc>
        <w:tc>
          <w:tcPr>
            <w:tcW w:w="100" w:type="dxa"/>
            <w:vAlign w:val="bottom"/>
          </w:tcPr>
          <w:p>
            <w:pPr>
              <w:spacing w:after="0"/>
              <w:rPr>
                <w:sz w:val="11"/>
                <w:szCs w:val="11"/>
                <w:color w:val="auto"/>
              </w:rPr>
            </w:pPr>
          </w:p>
        </w:tc>
        <w:tc>
          <w:tcPr>
            <w:tcW w:w="12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First Lien Debt (k)(z)</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East Providence, RI</w:t>
            </w: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5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02914</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3"/>
              </w:rPr>
              <w:t>Variable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6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Index Spread</w:t>
            </w:r>
          </w:p>
        </w:tc>
        <w:tc>
          <w:tcPr>
            <w:tcW w:w="8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Rate (e)</w:t>
            </w:r>
          </w:p>
        </w:tc>
        <w:tc>
          <w:tcPr>
            <w:tcW w:w="72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Investment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Principal</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2"/>
                <w:szCs w:val="12"/>
                <w:b w:val="1"/>
                <w:bCs w:val="1"/>
                <w:color w:val="auto"/>
              </w:rPr>
              <w:t>Fair</w:t>
            </w:r>
          </w:p>
        </w:tc>
        <w:tc>
          <w:tcPr>
            <w:tcW w:w="6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c>
          <w:tcPr>
            <w:tcW w:w="0" w:type="dxa"/>
            <w:vAlign w:val="bottom"/>
          </w:tcPr>
          <w:p>
            <w:pPr>
              <w:spacing w:after="0"/>
              <w:rPr>
                <w:sz w:val="1"/>
                <w:szCs w:val="1"/>
                <w:color w:val="auto"/>
              </w:rPr>
            </w:pPr>
          </w:p>
        </w:tc>
      </w:tr>
      <w:tr>
        <w:trPr>
          <w:trHeight w:val="159"/>
        </w:trPr>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 Floor (d)</w:t>
            </w:r>
          </w:p>
        </w:tc>
        <w:tc>
          <w:tcPr>
            <w:tcW w:w="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Cash/PIK</w:t>
            </w:r>
          </w:p>
        </w:tc>
        <w:tc>
          <w:tcPr>
            <w:tcW w:w="80" w:type="dxa"/>
            <w:vAlign w:val="bottom"/>
          </w:tcPr>
          <w:p>
            <w:pPr>
              <w:spacing w:after="0"/>
              <w:rPr>
                <w:sz w:val="13"/>
                <w:szCs w:val="13"/>
                <w:color w:val="auto"/>
              </w:rPr>
            </w:pPr>
          </w:p>
        </w:tc>
        <w:tc>
          <w:tcPr>
            <w:tcW w:w="620" w:type="dxa"/>
            <w:vAlign w:val="bottom"/>
          </w:tcPr>
          <w:p>
            <w:pPr>
              <w:jc w:val="right"/>
              <w:ind w:right="58"/>
              <w:spacing w:after="0"/>
              <w:rPr>
                <w:sz w:val="20"/>
                <w:szCs w:val="20"/>
                <w:color w:val="auto"/>
              </w:rPr>
            </w:pPr>
            <w:r>
              <w:rPr>
                <w:rFonts w:ascii="Times New Roman" w:cs="Times New Roman" w:eastAsia="Times New Roman" w:hAnsi="Times New Roman"/>
                <w:sz w:val="12"/>
                <w:szCs w:val="12"/>
                <w:b w:val="1"/>
                <w:bCs w:val="1"/>
                <w:color w:val="auto"/>
              </w:rPr>
              <w:t>Date (f)</w:t>
            </w:r>
          </w:p>
        </w:tc>
        <w:tc>
          <w:tcPr>
            <w:tcW w:w="1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Maturity</w:t>
            </w:r>
          </w:p>
        </w:tc>
        <w:tc>
          <w:tcPr>
            <w:tcW w:w="1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3"/>
                <w:szCs w:val="13"/>
                <w:color w:val="auto"/>
              </w:rPr>
            </w:pPr>
          </w:p>
        </w:tc>
        <w:tc>
          <w:tcPr>
            <w:tcW w:w="580" w:type="dxa"/>
            <w:vAlign w:val="bottom"/>
          </w:tcPr>
          <w:p>
            <w:pPr>
              <w:jc w:val="right"/>
              <w:ind w:right="117"/>
              <w:spacing w:after="0"/>
              <w:rPr>
                <w:sz w:val="20"/>
                <w:szCs w:val="20"/>
                <w:color w:val="auto"/>
              </w:rPr>
            </w:pPr>
            <w:r>
              <w:rPr>
                <w:rFonts w:ascii="Times New Roman" w:cs="Times New Roman" w:eastAsia="Times New Roman" w:hAnsi="Times New Roman"/>
                <w:sz w:val="12"/>
                <w:szCs w:val="12"/>
                <w:b w:val="1"/>
                <w:bCs w:val="1"/>
                <w:color w:val="auto"/>
              </w:rPr>
              <w:t>Cost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Value (g)</w:t>
            </w:r>
          </w:p>
        </w:tc>
        <w:tc>
          <w:tcPr>
            <w:tcW w:w="12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0"/>
              </w:rPr>
              <w:t>Net Assets</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8.00%/4.50%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3/22/2024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3/24/2031</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12,516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12,360</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12,360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4"/>
        </w:trPr>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3/21/2024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900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13,260</w:t>
            </w:r>
          </w:p>
        </w:tc>
        <w:tc>
          <w:tcPr>
            <w:tcW w:w="10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13,260</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1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+ 6.25%) / (1.00%)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5"/>
              </w:rPr>
              <w:t>11.58%/0.00%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10/11/2023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10/11/2029</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17,456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17,366</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17,366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10/11/2023</w:t>
            </w: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23"/>
                <w:szCs w:val="2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9"/>
        </w:trPr>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10/11/2023</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500</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17,866</w:t>
            </w:r>
          </w:p>
        </w:tc>
        <w:tc>
          <w:tcPr>
            <w:tcW w:w="10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17,866</w:t>
            </w:r>
          </w:p>
        </w:tc>
        <w:tc>
          <w:tcPr>
            <w:tcW w:w="12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1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+ 6.00%) / (6.00%)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5"/>
              </w:rPr>
              <w:t>12.00%/5.00%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12/13/2023</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6/13/2027</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2,031</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2,003</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2,003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743"/>
        </w:trPr>
        <w:tc>
          <w:tcPr>
            <w:tcW w:w="1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 + 7.00%) / (1.00%)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w w:val="95"/>
              </w:rPr>
              <w:t>12.60%/0.00%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2/10/2021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9/30/2024</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8,316</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8,296</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8,316</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-2440940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-2063750</wp:posOffset>
            </wp:positionV>
            <wp:extent cx="6995160" cy="939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-1884045</wp:posOffset>
            </wp:positionV>
            <wp:extent cx="6995160" cy="2571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-1480820</wp:posOffset>
            </wp:positionV>
            <wp:extent cx="6995160"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-1223645</wp:posOffset>
            </wp:positionV>
            <wp:extent cx="699516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-863600</wp:posOffset>
            </wp:positionV>
            <wp:extent cx="6995160" cy="857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-563880</wp:posOffset>
            </wp:positionV>
            <wp:extent cx="6995160" cy="857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6995160" cy="8572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-349250</wp:posOffset>
            </wp:positionV>
            <wp:extent cx="6995160" cy="2571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-6350</wp:posOffset>
            </wp:positionV>
            <wp:extent cx="6995160"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4740" w:space="100"/>
            <w:col w:w="6180"/>
          </w:cols>
          <w:pgMar w:left="440" w:top="302" w:right="439" w:bottom="1440" w:gutter="0" w:footer="0" w:header="0"/>
        </w:sectPr>
      </w:pPr>
    </w:p>
    <w:tbl>
      <w:tblPr>
        <w:tblLayout w:type="fixed"/>
        <w:tblInd w:w="0" w:type="dxa"/>
        <w:tblCellMar>
          <w:top w:w="0" w:type="dxa"/>
          <w:left w:w="0" w:type="dxa"/>
          <w:bottom w:w="0" w:type="dxa"/>
          <w:right w:w="0" w:type="dxa"/>
        </w:tblCellMar>
      </w:tblPr>
      <w:tr>
        <w:trPr>
          <w:trHeight w:val="149"/>
        </w:trPr>
        <w:tc>
          <w:tcPr>
            <w:tcW w:w="15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Worldwide Express</w:t>
            </w:r>
          </w:p>
        </w:tc>
        <w:tc>
          <w:tcPr>
            <w:tcW w:w="1260" w:type="dxa"/>
            <w:vAlign w:val="bottom"/>
          </w:tcPr>
          <w:p>
            <w:pPr>
              <w:spacing w:after="0"/>
              <w:rPr>
                <w:sz w:val="12"/>
                <w:szCs w:val="12"/>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Transportation</w:t>
            </w: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540" w:type="dxa"/>
            <w:vAlign w:val="bottom"/>
          </w:tcPr>
          <w:p>
            <w:pPr>
              <w:ind w:left="120"/>
              <w:spacing w:after="0"/>
              <w:rPr>
                <w:sz w:val="20"/>
                <w:szCs w:val="20"/>
                <w:color w:val="auto"/>
              </w:rPr>
            </w:pPr>
            <w:r>
              <w:rPr>
                <w:rFonts w:ascii="Times New Roman" w:cs="Times New Roman" w:eastAsia="Times New Roman" w:hAnsi="Times New Roman"/>
                <w:sz w:val="13"/>
                <w:szCs w:val="13"/>
                <w:i w:val="1"/>
                <w:iCs w:val="1"/>
                <w:color w:val="auto"/>
              </w:rPr>
              <w:t>Operations, LLC</w:t>
            </w:r>
          </w:p>
        </w:tc>
        <w:tc>
          <w:tcPr>
            <w:tcW w:w="1260" w:type="dxa"/>
            <w:vAlign w:val="bottom"/>
          </w:tcPr>
          <w:p>
            <w:pPr>
              <w:spacing w:after="0"/>
              <w:rPr>
                <w:sz w:val="13"/>
                <w:szCs w:val="13"/>
                <w:color w:val="auto"/>
              </w:rPr>
            </w:pPr>
          </w:p>
        </w:tc>
        <w:tc>
          <w:tcPr>
            <w:tcW w:w="3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services</w:t>
            </w: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40" w:type="dxa"/>
            <w:vAlign w:val="bottom"/>
            <w:shd w:val="clear" w:color="auto" w:fill="CCEEFF"/>
          </w:tcPr>
          <w:p>
            <w:pPr>
              <w:ind w:left="240"/>
              <w:spacing w:after="0" w:line="117" w:lineRule="exact"/>
              <w:rPr>
                <w:sz w:val="20"/>
                <w:szCs w:val="20"/>
                <w:color w:val="auto"/>
              </w:rPr>
            </w:pPr>
            <w:r>
              <w:rPr>
                <w:rFonts w:ascii="Times New Roman" w:cs="Times New Roman" w:eastAsia="Times New Roman" w:hAnsi="Times New Roman"/>
                <w:sz w:val="13"/>
                <w:szCs w:val="13"/>
                <w:color w:val="auto"/>
              </w:rPr>
              <w:t>2700 Commerce Street</w:t>
            </w:r>
          </w:p>
        </w:tc>
        <w:tc>
          <w:tcPr>
            <w:tcW w:w="1260" w:type="dxa"/>
            <w:vAlign w:val="bottom"/>
            <w:shd w:val="clear" w:color="auto" w:fill="CCEEFF"/>
          </w:tcPr>
          <w:p>
            <w:pPr>
              <w:spacing w:after="0"/>
              <w:rPr>
                <w:sz w:val="10"/>
                <w:szCs w:val="10"/>
                <w:color w:val="auto"/>
              </w:rPr>
            </w:pPr>
          </w:p>
        </w:tc>
        <w:tc>
          <w:tcPr>
            <w:tcW w:w="3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Suite 1500</w:t>
            </w:r>
          </w:p>
        </w:tc>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Second Lien Debt (j)</w:t>
            </w:r>
          </w:p>
        </w:tc>
        <w:tc>
          <w:tcPr>
            <w:tcW w:w="3280" w:type="dxa"/>
            <w:vAlign w:val="bottom"/>
            <w:shd w:val="clear" w:color="auto" w:fill="CCEEFF"/>
          </w:tcPr>
          <w:p>
            <w:pPr>
              <w:ind w:left="2040"/>
              <w:spacing w:after="0"/>
              <w:rPr>
                <w:sz w:val="20"/>
                <w:szCs w:val="20"/>
                <w:color w:val="auto"/>
              </w:rPr>
            </w:pPr>
            <w:r>
              <w:rPr>
                <w:rFonts w:ascii="Times New Roman" w:cs="Times New Roman" w:eastAsia="Times New Roman" w:hAnsi="Times New Roman"/>
                <w:sz w:val="13"/>
                <w:szCs w:val="13"/>
                <w:color w:val="auto"/>
              </w:rPr>
              <w:t>(S + 7.00%) / (0.75%)</w:t>
            </w:r>
          </w:p>
        </w:tc>
        <w:tc>
          <w:tcPr>
            <w:tcW w:w="8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8"/>
              </w:rPr>
              <w:t>12.57%/0.00%</w:t>
            </w: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8/2/2021</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7/26/2029</w:t>
            </w:r>
          </w:p>
        </w:tc>
        <w:tc>
          <w:tcPr>
            <w:tcW w:w="5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27,497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26,603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27,153</w:t>
            </w: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40" w:type="dxa"/>
            <w:vAlign w:val="bottom"/>
          </w:tcPr>
          <w:p>
            <w:pPr>
              <w:ind w:left="240"/>
              <w:spacing w:after="0" w:line="117" w:lineRule="exact"/>
              <w:rPr>
                <w:sz w:val="20"/>
                <w:szCs w:val="20"/>
                <w:color w:val="auto"/>
              </w:rPr>
            </w:pPr>
            <w:r>
              <w:rPr>
                <w:rFonts w:ascii="Times New Roman" w:cs="Times New Roman" w:eastAsia="Times New Roman" w:hAnsi="Times New Roman"/>
                <w:sz w:val="13"/>
                <w:szCs w:val="13"/>
                <w:color w:val="auto"/>
              </w:rPr>
              <w:t>Dallas, TX 75226</w:t>
            </w:r>
          </w:p>
        </w:tc>
        <w:tc>
          <w:tcPr>
            <w:tcW w:w="1260" w:type="dxa"/>
            <w:vAlign w:val="bottom"/>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3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1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(795,000 units) (j)</w:t>
            </w:r>
          </w:p>
        </w:tc>
        <w:tc>
          <w:tcPr>
            <w:tcW w:w="3280" w:type="dxa"/>
            <w:vAlign w:val="bottom"/>
          </w:tcPr>
          <w:p>
            <w:pPr>
              <w:ind w:left="1600"/>
              <w:spacing w:after="0"/>
              <w:rPr>
                <w:sz w:val="20"/>
                <w:szCs w:val="20"/>
                <w:color w:val="auto"/>
              </w:rPr>
            </w:pPr>
            <w:r>
              <w:rPr>
                <w:rFonts w:ascii="Times New Roman" w:cs="Times New Roman" w:eastAsia="Times New Roman" w:hAnsi="Times New Roman"/>
                <w:sz w:val="13"/>
                <w:szCs w:val="13"/>
                <w:color w:val="auto"/>
              </w:rPr>
              <w:t>0.02%</w:t>
            </w:r>
          </w:p>
        </w:tc>
        <w:tc>
          <w:tcPr>
            <w:tcW w:w="880" w:type="dxa"/>
            <w:vAlign w:val="bottom"/>
          </w:tcPr>
          <w:p>
            <w:pPr>
              <w:spacing w:after="0"/>
              <w:rPr>
                <w:sz w:val="13"/>
                <w:szCs w:val="13"/>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7/21/2021</w:t>
            </w: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794</w:t>
            </w:r>
          </w:p>
        </w:tc>
        <w:tc>
          <w:tcPr>
            <w:tcW w:w="8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776</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540" w:type="dxa"/>
            <w:vAlign w:val="bottom"/>
            <w:shd w:val="clear" w:color="auto" w:fill="CCEEFF"/>
          </w:tcPr>
          <w:p>
            <w:pPr>
              <w:spacing w:after="0"/>
              <w:rPr>
                <w:sz w:val="10"/>
                <w:szCs w:val="10"/>
                <w:color w:val="auto"/>
              </w:rPr>
            </w:pPr>
          </w:p>
        </w:tc>
        <w:tc>
          <w:tcPr>
            <w:tcW w:w="126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3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CCEEFF"/>
          </w:tcPr>
          <w:p>
            <w:pPr>
              <w:spacing w:after="0"/>
              <w:rPr>
                <w:sz w:val="13"/>
                <w:szCs w:val="13"/>
                <w:color w:val="auto"/>
              </w:rPr>
            </w:pPr>
          </w:p>
        </w:tc>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(752,380 units) (h)(j)</w:t>
            </w:r>
          </w:p>
        </w:tc>
        <w:tc>
          <w:tcPr>
            <w:tcW w:w="32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3"/>
                <w:szCs w:val="13"/>
                <w:color w:val="auto"/>
              </w:rPr>
              <w:t>0.02%</w:t>
            </w:r>
          </w:p>
        </w:tc>
        <w:tc>
          <w:tcPr>
            <w:tcW w:w="8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7/26/2021</w:t>
            </w: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607</w:t>
            </w: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27,622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28,536</w:t>
            </w: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52"/>
        </w:trPr>
        <w:tc>
          <w:tcPr>
            <w:tcW w:w="15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2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5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i w:val="1"/>
                <w:iCs w:val="1"/>
                <w:color w:val="auto"/>
              </w:rPr>
              <w:t>Zonkd, LLC</w:t>
            </w:r>
          </w:p>
        </w:tc>
        <w:tc>
          <w:tcPr>
            <w:tcW w:w="1260" w:type="dxa"/>
            <w:vAlign w:val="bottom"/>
            <w:shd w:val="clear" w:color="auto" w:fill="CCEEFF"/>
          </w:tcPr>
          <w:p>
            <w:pPr>
              <w:spacing w:after="0"/>
              <w:rPr>
                <w:sz w:val="10"/>
                <w:szCs w:val="10"/>
                <w:color w:val="auto"/>
              </w:rPr>
            </w:pPr>
          </w:p>
        </w:tc>
        <w:tc>
          <w:tcPr>
            <w:tcW w:w="328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Component</w:t>
            </w:r>
          </w:p>
        </w:tc>
        <w:tc>
          <w:tcPr>
            <w:tcW w:w="8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Manufacturing</w:t>
            </w:r>
          </w:p>
        </w:tc>
        <w:tc>
          <w:tcPr>
            <w:tcW w:w="8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40" w:type="dxa"/>
            <w:vAlign w:val="bottom"/>
          </w:tcPr>
          <w:p>
            <w:pPr>
              <w:ind w:left="240"/>
              <w:spacing w:after="0" w:line="135" w:lineRule="exact"/>
              <w:rPr>
                <w:sz w:val="20"/>
                <w:szCs w:val="20"/>
                <w:color w:val="auto"/>
              </w:rPr>
            </w:pPr>
            <w:r>
              <w:rPr>
                <w:rFonts w:ascii="Times New Roman" w:cs="Times New Roman" w:eastAsia="Times New Roman" w:hAnsi="Times New Roman"/>
                <w:sz w:val="13"/>
                <w:szCs w:val="13"/>
                <w:color w:val="auto"/>
              </w:rPr>
              <w:t>1317 Transport Drive</w:t>
            </w:r>
          </w:p>
        </w:tc>
        <w:tc>
          <w:tcPr>
            <w:tcW w:w="126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First Lien Debt (j)</w:t>
            </w:r>
          </w:p>
        </w:tc>
        <w:tc>
          <w:tcPr>
            <w:tcW w:w="3280" w:type="dxa"/>
            <w:vAlign w:val="bottom"/>
          </w:tcPr>
          <w:p>
            <w:pPr>
              <w:ind w:left="2040"/>
              <w:spacing w:after="0" w:line="135" w:lineRule="exact"/>
              <w:rPr>
                <w:sz w:val="20"/>
                <w:szCs w:val="20"/>
                <w:color w:val="auto"/>
              </w:rPr>
            </w:pPr>
            <w:r>
              <w:rPr>
                <w:rFonts w:ascii="Times New Roman" w:cs="Times New Roman" w:eastAsia="Times New Roman" w:hAnsi="Times New Roman"/>
                <w:sz w:val="13"/>
                <w:szCs w:val="13"/>
                <w:color w:val="auto"/>
                <w:w w:val="99"/>
              </w:rPr>
              <w:t>(S + 10.00%) / (1.00%)</w:t>
            </w:r>
          </w:p>
        </w:tc>
        <w:tc>
          <w:tcPr>
            <w:tcW w:w="8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8"/>
              </w:rPr>
              <w:t>16.59%/0.00%</w:t>
            </w: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3/18/2022</w:t>
            </w:r>
          </w:p>
        </w:tc>
        <w:tc>
          <w:tcPr>
            <w:tcW w:w="7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3/18/2027</w:t>
            </w:r>
          </w:p>
        </w:tc>
        <w:tc>
          <w:tcPr>
            <w:tcW w:w="5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4,150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4,014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4,150</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540" w:type="dxa"/>
            <w:vAlign w:val="bottom"/>
            <w:shd w:val="clear" w:color="auto" w:fill="CCEEFF"/>
          </w:tcPr>
          <w:p>
            <w:pPr>
              <w:ind w:left="240"/>
              <w:spacing w:after="0" w:line="117" w:lineRule="exact"/>
              <w:rPr>
                <w:sz w:val="20"/>
                <w:szCs w:val="20"/>
                <w:color w:val="auto"/>
              </w:rPr>
            </w:pPr>
            <w:r>
              <w:rPr>
                <w:rFonts w:ascii="Times New Roman" w:cs="Times New Roman" w:eastAsia="Times New Roman" w:hAnsi="Times New Roman"/>
                <w:sz w:val="13"/>
                <w:szCs w:val="13"/>
                <w:color w:val="auto"/>
              </w:rPr>
              <w:t>Raleigh, NC 27603</w:t>
            </w:r>
          </w:p>
        </w:tc>
        <w:tc>
          <w:tcPr>
            <w:tcW w:w="1260" w:type="dxa"/>
            <w:vAlign w:val="bottom"/>
            <w:shd w:val="clear" w:color="auto" w:fill="CCEEFF"/>
          </w:tcPr>
          <w:p>
            <w:pPr>
              <w:ind w:left="80"/>
              <w:spacing w:after="0" w:line="117" w:lineRule="exact"/>
              <w:rPr>
                <w:sz w:val="20"/>
                <w:szCs w:val="20"/>
                <w:color w:val="auto"/>
              </w:rPr>
            </w:pPr>
            <w:r>
              <w:rPr>
                <w:rFonts w:ascii="Times New Roman" w:cs="Times New Roman" w:eastAsia="Times New Roman" w:hAnsi="Times New Roman"/>
                <w:sz w:val="13"/>
                <w:szCs w:val="13"/>
                <w:color w:val="auto"/>
              </w:rPr>
              <w:t>Common Equity</w:t>
            </w:r>
          </w:p>
        </w:tc>
        <w:tc>
          <w:tcPr>
            <w:tcW w:w="3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540" w:type="dxa"/>
            <w:vAlign w:val="bottom"/>
            <w:shd w:val="clear" w:color="auto" w:fill="CCEEFF"/>
          </w:tcPr>
          <w:p>
            <w:pPr>
              <w:spacing w:after="0"/>
              <w:rPr>
                <w:sz w:val="13"/>
                <w:szCs w:val="13"/>
                <w:color w:val="auto"/>
              </w:rPr>
            </w:pPr>
          </w:p>
        </w:tc>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(4,987 units) (h)(j)</w:t>
            </w:r>
          </w:p>
        </w:tc>
        <w:tc>
          <w:tcPr>
            <w:tcW w:w="328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3"/>
                <w:szCs w:val="13"/>
                <w:color w:val="auto"/>
              </w:rPr>
              <w:t>3.03%</w:t>
            </w:r>
          </w:p>
        </w:tc>
        <w:tc>
          <w:tcPr>
            <w:tcW w:w="8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3/18/2022</w:t>
            </w:r>
          </w:p>
        </w:tc>
        <w:tc>
          <w:tcPr>
            <w:tcW w:w="7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487</w:t>
            </w:r>
          </w:p>
        </w:tc>
        <w:tc>
          <w:tcPr>
            <w:tcW w:w="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4,168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4,637</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15"/>
        </w:trPr>
        <w:tc>
          <w:tcPr>
            <w:tcW w:w="15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w:t>
            </w:r>
          </w:p>
        </w:tc>
        <w:tc>
          <w:tcPr>
            <w:tcW w:w="1260" w:type="dxa"/>
            <w:vAlign w:val="bottom"/>
            <w:shd w:val="clear" w:color="auto" w:fill="CCEEFF"/>
          </w:tcPr>
          <w:p>
            <w:pPr>
              <w:spacing w:after="0"/>
              <w:rPr>
                <w:sz w:val="9"/>
                <w:szCs w:val="9"/>
                <w:color w:val="auto"/>
              </w:rPr>
            </w:pPr>
          </w:p>
        </w:tc>
        <w:tc>
          <w:tcPr>
            <w:tcW w:w="32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40" w:type="dxa"/>
            <w:vAlign w:val="bottom"/>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Non-control/Non-affiliate</w:t>
            </w:r>
          </w:p>
        </w:tc>
        <w:tc>
          <w:tcPr>
            <w:tcW w:w="1260" w:type="dxa"/>
            <w:vAlign w:val="bottom"/>
            <w:shd w:val="clear" w:color="auto" w:fill="CCEEFF"/>
          </w:tcPr>
          <w:p>
            <w:pPr>
              <w:spacing w:after="0"/>
              <w:rPr>
                <w:sz w:val="11"/>
                <w:szCs w:val="11"/>
                <w:color w:val="auto"/>
              </w:rPr>
            </w:pPr>
          </w:p>
        </w:tc>
        <w:tc>
          <w:tcPr>
            <w:tcW w:w="3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Investments</w:t>
            </w:r>
          </w:p>
        </w:tc>
        <w:tc>
          <w:tcPr>
            <w:tcW w:w="1260" w:type="dxa"/>
            <w:vAlign w:val="bottom"/>
            <w:shd w:val="clear" w:color="auto" w:fill="CCEEFF"/>
          </w:tcPr>
          <w:p>
            <w:pPr>
              <w:spacing w:after="0"/>
              <w:rPr>
                <w:sz w:val="13"/>
                <w:szCs w:val="13"/>
                <w:color w:val="auto"/>
              </w:rPr>
            </w:pPr>
          </w:p>
        </w:tc>
        <w:tc>
          <w:tcPr>
            <w:tcW w:w="3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972,583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967,755</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20"/>
        </w:trPr>
        <w:tc>
          <w:tcPr>
            <w:tcW w:w="15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Investments</w:t>
            </w:r>
          </w:p>
        </w:tc>
        <w:tc>
          <w:tcPr>
            <w:tcW w:w="1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172%</w:t>
            </w:r>
          </w:p>
        </w:tc>
        <w:tc>
          <w:tcPr>
            <w:tcW w:w="0" w:type="dxa"/>
            <w:vAlign w:val="bottom"/>
          </w:tcPr>
          <w:p>
            <w:pPr>
              <w:spacing w:after="0" w:line="20" w:lineRule="exact"/>
              <w:rPr>
                <w:sz w:val="1"/>
                <w:szCs w:val="1"/>
                <w:color w:val="auto"/>
              </w:rPr>
            </w:pPr>
          </w:p>
        </w:tc>
      </w:tr>
      <w:tr>
        <w:trPr>
          <w:trHeight w:val="129"/>
        </w:trPr>
        <w:tc>
          <w:tcPr>
            <w:tcW w:w="154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u w:val="single" w:color="auto"/>
                <w:color w:val="auto"/>
                <w:w w:val="78"/>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1,025,576</w:t>
            </w: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5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1,048,071</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302" w:right="439" w:bottom="1440" w:gutter="0" w:footer="0" w:header="0"/>
          <w:type w:val="continuous"/>
        </w:sectPr>
      </w:pPr>
    </w:p>
    <w:bookmarkStart w:id="52" w:name="page53"/>
    <w:bookmarkEnd w:id="52"/>
    <w:tbl>
      <w:tblPr>
        <w:tblLayout w:type="fixed"/>
        <w:tblInd w:w="4" w:type="dxa"/>
        <w:tblCellMar>
          <w:top w:w="0" w:type="dxa"/>
          <w:left w:w="0" w:type="dxa"/>
          <w:bottom w:w="0" w:type="dxa"/>
          <w:right w:w="0" w:type="dxa"/>
        </w:tblCellMar>
      </w:tblPr>
      <w:tr>
        <w:trPr>
          <w:trHeight w:val="138"/>
        </w:trPr>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Variable</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Portfolio Company (a)(b)</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5"/>
              </w:rPr>
              <w:t>Percentage</w:t>
            </w:r>
          </w:p>
        </w:tc>
        <w:tc>
          <w:tcPr>
            <w:tcW w:w="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5"/>
              </w:rPr>
              <w:t>Index</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of Class</w:t>
            </w:r>
          </w:p>
        </w:tc>
        <w:tc>
          <w:tcPr>
            <w:tcW w:w="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8"/>
              </w:rPr>
              <w:t>Spread</w:t>
            </w:r>
          </w:p>
        </w:tc>
        <w:tc>
          <w:tcPr>
            <w:tcW w:w="8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2"/>
                <w:szCs w:val="12"/>
                <w:b w:val="1"/>
                <w:bCs w:val="1"/>
                <w:color w:val="auto"/>
                <w:w w:val="94"/>
              </w:rPr>
              <w:t>Rate (e)</w:t>
            </w:r>
          </w:p>
        </w:tc>
        <w:tc>
          <w:tcPr>
            <w:tcW w:w="7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Investment</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2"/>
              </w:rPr>
              <w:t>Principal</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6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1"/>
              </w:rPr>
              <w:t>Percent of</w:t>
            </w:r>
          </w:p>
        </w:tc>
        <w:tc>
          <w:tcPr>
            <w:tcW w:w="0" w:type="dxa"/>
            <w:vAlign w:val="bottom"/>
          </w:tcPr>
          <w:p>
            <w:pPr>
              <w:spacing w:after="0"/>
              <w:rPr>
                <w:sz w:val="1"/>
                <w:szCs w:val="1"/>
                <w:color w:val="auto"/>
              </w:rPr>
            </w:pPr>
          </w:p>
        </w:tc>
      </w:tr>
      <w:tr>
        <w:trPr>
          <w:trHeight w:val="165"/>
        </w:trPr>
        <w:tc>
          <w:tcPr>
            <w:tcW w:w="1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w w:val="95"/>
              </w:rPr>
              <w:t>Address of Portfolio Company</w:t>
            </w:r>
          </w:p>
        </w:tc>
        <w:tc>
          <w:tcPr>
            <w:tcW w:w="180" w:type="dxa"/>
            <w:vAlign w:val="bottom"/>
          </w:tcPr>
          <w:p>
            <w:pPr>
              <w:spacing w:after="0"/>
              <w:rPr>
                <w:sz w:val="14"/>
                <w:szCs w:val="14"/>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2"/>
                <w:szCs w:val="12"/>
                <w:b w:val="1"/>
                <w:bCs w:val="1"/>
                <w:color w:val="auto"/>
              </w:rPr>
              <w:t>Investment Type (c)</w:t>
            </w:r>
          </w:p>
        </w:tc>
        <w:tc>
          <w:tcPr>
            <w:tcW w:w="1500" w:type="dxa"/>
            <w:vAlign w:val="bottom"/>
            <w:gridSpan w:val="2"/>
          </w:tcPr>
          <w:p>
            <w:pPr>
              <w:ind w:left="480"/>
              <w:spacing w:after="0"/>
              <w:rPr>
                <w:sz w:val="20"/>
                <w:szCs w:val="20"/>
                <w:color w:val="auto"/>
              </w:rPr>
            </w:pPr>
            <w:r>
              <w:rPr>
                <w:rFonts w:ascii="Times New Roman" w:cs="Times New Roman" w:eastAsia="Times New Roman" w:hAnsi="Times New Roman"/>
                <w:sz w:val="12"/>
                <w:szCs w:val="12"/>
                <w:b w:val="1"/>
                <w:bCs w:val="1"/>
                <w:color w:val="auto"/>
              </w:rPr>
              <w:t>Industry</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Held (aw)</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 Floor (d)</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Cash/PIK</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Date (f)</w:t>
            </w:r>
          </w:p>
        </w:tc>
        <w:tc>
          <w:tcPr>
            <w:tcW w:w="1260" w:type="dxa"/>
            <w:vAlign w:val="bottom"/>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Maturity   Amount</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Cost</w:t>
            </w:r>
          </w:p>
        </w:tc>
        <w:tc>
          <w:tcPr>
            <w:tcW w:w="6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3"/>
              </w:rPr>
              <w:t>Value (g)</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0"/>
              </w:rPr>
              <w:t>Net Assets</w:t>
            </w:r>
          </w:p>
        </w:tc>
        <w:tc>
          <w:tcPr>
            <w:tcW w:w="0" w:type="dxa"/>
            <w:vAlign w:val="bottom"/>
          </w:tcPr>
          <w:p>
            <w:pPr>
              <w:spacing w:after="0"/>
              <w:rPr>
                <w:sz w:val="1"/>
                <w:szCs w:val="1"/>
                <w:color w:val="auto"/>
              </w:rPr>
            </w:pPr>
          </w:p>
        </w:tc>
      </w:tr>
      <w:tr>
        <w:trPr>
          <w:trHeight w:val="88"/>
        </w:trPr>
        <w:tc>
          <w:tcPr>
            <w:tcW w:w="1700" w:type="dxa"/>
            <w:vAlign w:val="bottom"/>
            <w:tcBorders>
              <w:top w:val="single" w:sz="8" w:color="CCEEFF"/>
            </w:tcBorders>
            <w:gridSpan w:val="2"/>
            <w:shd w:val="clear" w:color="auto" w:fill="CCEEFF"/>
          </w:tcPr>
          <w:p>
            <w:pPr>
              <w:spacing w:after="0" w:line="89" w:lineRule="exact"/>
              <w:rPr>
                <w:sz w:val="20"/>
                <w:szCs w:val="20"/>
                <w:color w:val="auto"/>
              </w:rPr>
            </w:pPr>
            <w:r>
              <w:rPr>
                <w:rFonts w:ascii="Times New Roman" w:cs="Times New Roman" w:eastAsia="Times New Roman" w:hAnsi="Times New Roman"/>
                <w:sz w:val="10"/>
                <w:szCs w:val="10"/>
                <w:b w:val="1"/>
                <w:bCs w:val="1"/>
                <w:color w:val="auto"/>
              </w:rPr>
              <w:t>Money market funds</w:t>
            </w:r>
          </w:p>
        </w:tc>
        <w:tc>
          <w:tcPr>
            <w:tcW w:w="1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right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700" w:type="dxa"/>
            <w:vAlign w:val="bottom"/>
            <w:gridSpan w:val="2"/>
            <w:shd w:val="clear" w:color="auto" w:fill="CCEEFF"/>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(included in cash and cash</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equivalents)</w:t>
            </w: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00" w:type="dxa"/>
            <w:vAlign w:val="bottom"/>
            <w:gridSpan w:val="2"/>
          </w:tcPr>
          <w:p>
            <w:pPr>
              <w:ind w:left="240"/>
              <w:spacing w:after="0" w:line="117" w:lineRule="exact"/>
              <w:rPr>
                <w:sz w:val="20"/>
                <w:szCs w:val="20"/>
                <w:color w:val="auto"/>
              </w:rPr>
            </w:pPr>
            <w:r>
              <w:rPr>
                <w:rFonts w:ascii="Times New Roman" w:cs="Times New Roman" w:eastAsia="Times New Roman" w:hAnsi="Times New Roman"/>
                <w:sz w:val="13"/>
                <w:szCs w:val="13"/>
                <w:color w:val="auto"/>
              </w:rPr>
              <w:t>Goldman Sachs Financial</w:t>
            </w: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Square Treasury</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Obligation Institution</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gridSpan w:val="2"/>
          </w:tcPr>
          <w:p>
            <w:pPr>
              <w:ind w:left="380"/>
              <w:spacing w:after="0" w:line="135" w:lineRule="exact"/>
              <w:rPr>
                <w:sz w:val="20"/>
                <w:szCs w:val="20"/>
                <w:color w:val="auto"/>
              </w:rPr>
            </w:pPr>
            <w:r>
              <w:rPr>
                <w:rFonts w:ascii="Times New Roman" w:cs="Times New Roman" w:eastAsia="Times New Roman" w:hAnsi="Times New Roman"/>
                <w:sz w:val="13"/>
                <w:szCs w:val="13"/>
                <w:color w:val="auto"/>
              </w:rPr>
              <w:t>CUSIP (38141W323)</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3"/>
                <w:szCs w:val="13"/>
                <w:color w:val="auto"/>
              </w:rPr>
              <w:t>(ad)</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23,142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23,142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7"/>
        </w:trPr>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7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Total money market funds</w:t>
            </w: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60" w:type="dxa"/>
            <w:vAlign w:val="bottom"/>
            <w:tcBorders>
              <w:right w:val="single" w:sz="8" w:color="CCEEFF"/>
            </w:tcBorders>
            <w:gridSpan w:val="4"/>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23,142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23,142</w:t>
            </w:r>
          </w:p>
        </w:tc>
        <w:tc>
          <w:tcPr>
            <w:tcW w:w="6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Investments and Money</w:t>
            </w: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70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Market Funds</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1,048,718</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u w:val="single" w:color="auto"/>
                <w:color w:val="auto"/>
                <w:w w:val="79"/>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6"/>
              </w:rPr>
              <w:t>1,071,213</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176%</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544" w:hanging="544"/>
        <w:spacing w:after="0"/>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3 to the consolidated financial statements included in our most recent Quarterly Report on Form 10-Q for portfolio composition by geographic location.</w:t>
      </w:r>
    </w:p>
    <w:p>
      <w:pPr>
        <w:spacing w:after="0" w:line="3" w:lineRule="exact"/>
        <w:rPr>
          <w:rFonts w:ascii="Times New Roman" w:cs="Times New Roman" w:eastAsia="Times New Roman" w:hAnsi="Times New Roman"/>
          <w:sz w:val="14"/>
          <w:szCs w:val="14"/>
          <w:color w:val="auto"/>
        </w:rPr>
      </w:pPr>
    </w:p>
    <w:p>
      <w:pPr>
        <w:ind w:left="544"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ownership may be held in shares or units of companies related to the portfolio companies.</w:t>
      </w:r>
    </w:p>
    <w:p>
      <w:pPr>
        <w:ind w:left="544" w:right="6380" w:hanging="544"/>
        <w:spacing w:after="0" w:line="221" w:lineRule="auto"/>
        <w:tabs>
          <w:tab w:leader="none" w:pos="533"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debt investments are income producing, unless otherwise indicated. Equity investments are non-income producing unless otherwise noted.</w:t>
      </w:r>
    </w:p>
    <w:p>
      <w:pPr>
        <w:ind w:left="544" w:right="120"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rate investments bear interest at a rate indexed to Prime (P) or SOFR (S), which are reset monthly, bimonthly, quarterly, or semi-annually. Certain variable rate investments also include a Prime or SOFR interest rate floor. For each investment, the Company has provided the spread over the reference rate and the Prime or SOFR floor, if any, as of March 31, 2024.</w:t>
      </w:r>
    </w:p>
    <w:p>
      <w:pPr>
        <w:ind w:left="544" w:right="100"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 includes the cash interest or dividend rate and paid-in-kind interest or dividend rate, if any, as of March 31, 2024. Generally, payment-in-kind interest can be paid-in-kind or all in cash.</w:t>
      </w:r>
    </w:p>
    <w:p>
      <w:pPr>
        <w:ind w:left="544"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date represents the date of the initial investment in the security.</w:t>
      </w:r>
    </w:p>
    <w:p>
      <w:pPr>
        <w:ind w:left="544" w:right="240"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ind w:left="544"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is held by a taxable subsidiary of the Company.</w:t>
      </w:r>
    </w:p>
    <w:p>
      <w:pPr>
        <w:ind w:left="544" w:right="100"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disclosed commitment represents the unfunded amount as of March 31, 2024. The Company is earning 0.50% interest on the unfunded balance of the commitment. The interest rate disclosed represents the rate which will be earned if the commitment is funded.</w:t>
      </w:r>
    </w:p>
    <w:p>
      <w:pPr>
        <w:ind w:left="544" w:right="120"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 included in our most recent Quarterly Report on Form 10-Q).</w:t>
      </w:r>
    </w:p>
    <w:p>
      <w:pPr>
        <w:ind w:left="544" w:right="60"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the investment not held by Fidus Mezzanine Capital II, LP or Fidus Mezzanine Capital III, LP, a wholly owned subsidiary operating as a small business investment company, is pledged as collateral for the Credit Facility and, as a result, is not directly available to the creditors of the Company to satisfy any obligations of the Company other than the Company’s obligations under the Credit Facility (see Note 6 to the consolidated financial statements in our most recent Quarterly Report on Form 10-Q).</w:t>
      </w:r>
    </w:p>
    <w:p>
      <w:pPr>
        <w:ind w:left="544" w:right="280"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 included in our most recent Quarterly Report on Form 10-Q.</w:t>
      </w:r>
    </w:p>
    <w:p>
      <w:pPr>
        <w:ind w:left="544" w:right="40"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Warrants entitle the Company to purchase a predetermined number of shares or units of common equity, and are non-income producing. The purchase price and number of shares are subject to adjustment under certain conditions until the expiration date, if any.</w:t>
      </w:r>
    </w:p>
    <w:p>
      <w:pPr>
        <w:ind w:left="544"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in portfolio company that has sold its operations and is in the process of winding down.</w:t>
      </w:r>
    </w:p>
    <w:p>
      <w:pPr>
        <w:ind w:left="544" w:right="20" w:hanging="544"/>
        <w:spacing w:after="0" w:line="221"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sold a participating interest of approximately $0.3 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 for the fiscal quarter ended March 31, 2024 included in our most recent Quarterly Report on Form 10-Q.</w:t>
      </w:r>
    </w:p>
    <w:p>
      <w:pPr>
        <w:ind w:left="544" w:right="40" w:hanging="544"/>
        <w:spacing w:after="0" w:line="233" w:lineRule="auto"/>
        <w:tabs>
          <w:tab w:leader="none" w:pos="54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4.75%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302" w:right="439" w:bottom="1440" w:gutter="0" w:footer="0" w:header="0"/>
        </w:sectPr>
      </w:pPr>
    </w:p>
    <w:bookmarkStart w:id="53" w:name="page54"/>
    <w:bookmarkEnd w:id="53"/>
    <w:p>
      <w:pPr>
        <w:ind w:left="544" w:hanging="544"/>
        <w:spacing w:after="0" w:line="229" w:lineRule="auto"/>
        <w:tabs>
          <w:tab w:leader="none" w:pos="54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addition to the interest earned based on the stated interest rate of this security, the Company is entitled to receive an additional interest amount of 2.91%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4" w:hanging="544"/>
        <w:spacing w:after="0" w:line="221" w:lineRule="auto"/>
        <w:tabs>
          <w:tab w:leader="none" w:pos="54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3.16%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4" w:hanging="544"/>
        <w:spacing w:after="0" w:line="221" w:lineRule="auto"/>
        <w:tabs>
          <w:tab w:leader="none" w:pos="54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2.15%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4" w:hanging="544"/>
        <w:spacing w:after="0" w:line="221" w:lineRule="auto"/>
        <w:tabs>
          <w:tab w:leader="none" w:pos="54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 included in our most recent Quarterly Report on Form 10-Q.</w:t>
      </w:r>
    </w:p>
    <w:p>
      <w:pPr>
        <w:spacing w:after="0" w:line="1" w:lineRule="exact"/>
        <w:rPr>
          <w:rFonts w:ascii="Times New Roman" w:cs="Times New Roman" w:eastAsia="Times New Roman" w:hAnsi="Times New Roman"/>
          <w:sz w:val="14"/>
          <w:szCs w:val="14"/>
          <w:color w:val="auto"/>
        </w:rPr>
      </w:pPr>
    </w:p>
    <w:p>
      <w:pPr>
        <w:ind w:left="544" w:hanging="544"/>
        <w:spacing w:after="0" w:line="221" w:lineRule="auto"/>
        <w:tabs>
          <w:tab w:leader="none" w:pos="54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2.28% on its “last out” tranche of</w:t>
      </w:r>
    </w:p>
    <w:p>
      <w:pPr>
        <w:ind w:left="544" w:right="200"/>
        <w:spacing w:after="0" w:line="221" w:lineRule="auto"/>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left="544" w:right="60" w:hanging="544"/>
        <w:spacing w:after="0" w:line="221" w:lineRule="auto"/>
        <w:tabs>
          <w:tab w:leader="none" w:pos="54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disclosed commitment represents the unfunded amount as of March 31, 2024. The Company is earning 3.00% interest on the unfunded balance of the commitment. The interest rate disclosed represents the rate which will be earned if the commitment is funded.</w:t>
      </w:r>
    </w:p>
    <w:p>
      <w:pPr>
        <w:spacing w:after="0" w:line="1" w:lineRule="exact"/>
        <w:rPr>
          <w:sz w:val="20"/>
          <w:szCs w:val="20"/>
          <w:color w:val="auto"/>
        </w:rPr>
      </w:pPr>
    </w:p>
    <w:p>
      <w:pPr>
        <w:ind w:left="544" w:right="60" w:hanging="544"/>
        <w:spacing w:after="0" w:line="221" w:lineRule="auto"/>
        <w:tabs>
          <w:tab w:leader="none" w:pos="5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disclosed commitment represents the unfunded amount as of March 31, 2024. The Company is earning 1.00% interest on the unfunded balance of the commitment. The interest rate disclosed represents the rate earned on the outstanding, funded balance of the commitment.</w:t>
      </w:r>
    </w:p>
    <w:p>
      <w:pPr>
        <w:ind w:left="544" w:hanging="544"/>
        <w:spacing w:after="0" w:line="221" w:lineRule="auto"/>
        <w:tabs>
          <w:tab w:leader="none" w:pos="5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2.27%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ind w:left="544" w:hanging="544"/>
        <w:spacing w:after="0" w:line="221" w:lineRule="auto"/>
        <w:tabs>
          <w:tab w:leader="none" w:pos="5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was on non-accrual status as of March 31, 2024.</w:t>
      </w:r>
    </w:p>
    <w:p>
      <w:pPr>
        <w:ind w:left="544" w:hanging="544"/>
        <w:spacing w:after="0" w:line="221" w:lineRule="auto"/>
        <w:tabs>
          <w:tab w:leader="none" w:pos="54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4.54% on its “last out” tranche of</w:t>
      </w:r>
    </w:p>
    <w:p>
      <w:pPr>
        <w:ind w:left="544" w:right="200"/>
        <w:spacing w:after="0" w:line="221" w:lineRule="auto"/>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spacing w:after="0" w:line="1" w:lineRule="exact"/>
        <w:rPr>
          <w:sz w:val="20"/>
          <w:szCs w:val="20"/>
          <w:color w:val="auto"/>
        </w:rPr>
      </w:pPr>
    </w:p>
    <w:p>
      <w:pPr>
        <w:ind w:left="544" w:right="400" w:hanging="544"/>
        <w:spacing w:after="0" w:line="221" w:lineRule="auto"/>
        <w:tabs>
          <w:tab w:leader="none" w:pos="54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sold a participating interest of approximately $4.0 million in aggregate principal amount of the portfolio company’s first lien senior secured term loan. As the transaction did not qualify as a “true sale” in accordance with GAAP, the Company recorded a corresponding secured borrowing in the Consolidated Statements of Assets and Liabilities for the fiscal quarter ended March 31, 2024 included in our most recent Quarterly Report on Form 10-Q.</w:t>
      </w:r>
    </w:p>
    <w:tbl>
      <w:tblPr>
        <w:tblLayout w:type="fixed"/>
        <w:tblInd w:w="4" w:type="dxa"/>
        <w:tblCellMar>
          <w:top w:w="0" w:type="dxa"/>
          <w:left w:w="0" w:type="dxa"/>
          <w:bottom w:w="0" w:type="dxa"/>
          <w:right w:w="0" w:type="dxa"/>
        </w:tblCellMar>
      </w:tblPr>
      <w:tr>
        <w:trPr>
          <w:trHeight w:val="133"/>
        </w:trPr>
        <w:tc>
          <w:tcPr>
            <w:tcW w:w="38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(ab)</w:t>
            </w:r>
          </w:p>
        </w:tc>
        <w:tc>
          <w:tcPr>
            <w:tcW w:w="10600" w:type="dxa"/>
            <w:vAlign w:val="bottom"/>
          </w:tcPr>
          <w:p>
            <w:pPr>
              <w:ind w:left="160"/>
              <w:spacing w:after="0" w:line="133"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7.72% on its “last out” tranche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w:t>
            </w: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cash interest amount of 1.65% and PIK interest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amount of 1.37% on its “last out” tranche of the portfolio company’s senior term debt, which was previously syndicated into “first out” and “last out” tranches, whereby the “first</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(ad)</w:t>
            </w: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out” tranche will have priority as to 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This investment is classified as a Level 1 investment. For further detail on the fair value measurements, see Note 4 to the consolidated financial statements in our most recent</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(ae)</w:t>
            </w: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Quarterly Report on Form 10-Q.</w:t>
            </w: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1.88% on its “last out” tranche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(af)</w:t>
            </w: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380" w:type="dxa"/>
            <w:vAlign w:val="bottom"/>
            <w:vMerge w:val="continue"/>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3.22% on its “last out” tranche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(ag)</w:t>
            </w: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9"/>
        </w:trPr>
        <w:tc>
          <w:tcPr>
            <w:tcW w:w="380" w:type="dxa"/>
            <w:vAlign w:val="bottom"/>
            <w:vMerge w:val="continue"/>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4.36% on its “last out” tranche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106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88"/>
        </w:trPr>
        <w:tc>
          <w:tcPr>
            <w:tcW w:w="380" w:type="dxa"/>
            <w:vAlign w:val="bottom"/>
          </w:tcPr>
          <w:p>
            <w:pPr>
              <w:spacing w:after="0"/>
              <w:rPr>
                <w:sz w:val="16"/>
                <w:szCs w:val="16"/>
                <w:color w:val="auto"/>
              </w:rPr>
            </w:pPr>
          </w:p>
        </w:tc>
        <w:tc>
          <w:tcPr>
            <w:tcW w:w="106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348"/>
        </w:trPr>
        <w:tc>
          <w:tcPr>
            <w:tcW w:w="380" w:type="dxa"/>
            <w:vAlign w:val="bottom"/>
          </w:tcPr>
          <w:p>
            <w:pPr>
              <w:spacing w:after="0"/>
              <w:rPr>
                <w:sz w:val="24"/>
                <w:szCs w:val="24"/>
                <w:color w:val="auto"/>
              </w:rPr>
            </w:pPr>
          </w:p>
        </w:tc>
        <w:tc>
          <w:tcPr>
            <w:tcW w:w="1060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0984"/>
          </w:cols>
          <w:pgMar w:left="436" w:top="292" w:right="47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20"/>
                <w:szCs w:val="20"/>
                <w:color w:val="auto"/>
              </w:rPr>
            </w:pPr>
            <w:r>
              <w:rPr>
                <w:rFonts w:ascii="Times New Roman" w:cs="Times New Roman" w:eastAsia="Times New Roman" w:hAnsi="Times New Roman"/>
                <w:sz w:val="14"/>
                <w:szCs w:val="14"/>
                <w:color w:val="auto"/>
              </w:rPr>
              <w:t>(ah)</w:t>
            </w:r>
          </w:p>
        </w:tc>
        <w:tc>
          <w:tcPr>
            <w:tcW w:w="10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1.63% on its “last out” tranche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(ai)</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3.32% on its “last out” tranche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(aj)</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4.11% on its “last out” tranche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(ak)</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3.48% on its “last out” tranche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(al)</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9"/>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4.99% on its “last out” tranche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(am)</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3.18% on its “last out” tranche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(an)</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9"/>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Company sold a participating interest of approximately $13.5 million in aggregate principal amount of the portfolio company’s first lien senior secured term loan. As the</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transaction did not qualify as a “true sale” in accordance with GAAP, the Company recorded a corresponding secured borrowing in the Consolidated Statements of Assets and</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(ao)</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Liabilities for the fiscal quarter ended March 31, 2024 included in our most recent Quarterly Report on Form 10-Q.</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investment is treated as a non-qualifying asset under Section 55(a) of the 1940 Act. Under the 1940 Act, the Company can not acquire any non-qualifying asset unless, at the</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time the acquisition is made, qualifying assets represent at least 70% of the Company’s total assets. As of March 31, 2024, total non-qualifying assets at fair value represented 1.17%</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(ap)</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of the Company’s total assets calculated in accordance with the 1940 Act.</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cash interest amount of 2.00% on its “last out”</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tranche of the portfolio company’s senior term debt, which was previously syndicated into “first out” and “last out” tranches, whereby the “first out” tranche will have priority as to</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(aq)</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“last 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headquarters of this portfolio company is located in Canada.</w:t>
            </w:r>
          </w:p>
        </w:tc>
        <w:tc>
          <w:tcPr>
            <w:tcW w:w="0" w:type="dxa"/>
            <w:vAlign w:val="bottom"/>
          </w:tcPr>
          <w:p>
            <w:pPr>
              <w:spacing w:after="0"/>
              <w:rPr>
                <w:sz w:val="1"/>
                <w:szCs w:val="1"/>
                <w:color w:val="auto"/>
              </w:rPr>
            </w:pPr>
          </w:p>
        </w:tc>
      </w:tr>
      <w:tr>
        <w:trPr>
          <w:trHeight w:val="148"/>
        </w:trPr>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(ar)</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3.11% on its “last out” tranche of</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(as)</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2.79% on its “last out” tranche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(at)</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9"/>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2.21% on its “last out” tranche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(au)</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0.00% on its “last out” tranche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(av)</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48"/>
        </w:trPr>
        <w:tc>
          <w:tcPr>
            <w:tcW w:w="400" w:type="dxa"/>
            <w:vAlign w:val="bottom"/>
            <w:vMerge w:val="continue"/>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 addition to the interest earned based on the stated interest rate of this security, the Company is entitled to receive an additional interest amount of 0.76% on its “last out” tranche of</w:t>
            </w:r>
          </w:p>
        </w:tc>
        <w:tc>
          <w:tcPr>
            <w:tcW w:w="0" w:type="dxa"/>
            <w:vAlign w:val="bottom"/>
          </w:tcPr>
          <w:p>
            <w:pPr>
              <w:spacing w:after="0"/>
              <w:rPr>
                <w:sz w:val="1"/>
                <w:szCs w:val="1"/>
                <w:color w:val="auto"/>
              </w:rPr>
            </w:pPr>
          </w:p>
        </w:tc>
      </w:tr>
      <w:tr>
        <w:trPr>
          <w:trHeight w:val="148"/>
        </w:trPr>
        <w:tc>
          <w:tcPr>
            <w:tcW w:w="400" w:type="dxa"/>
            <w:vAlign w:val="bottom"/>
          </w:tcPr>
          <w:p>
            <w:pPr>
              <w:spacing w:after="0"/>
              <w:rPr>
                <w:sz w:val="12"/>
                <w:szCs w:val="12"/>
                <w:color w:val="auto"/>
              </w:rPr>
            </w:pP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the portfolio company’s senior term debt, which was previously syndicated into “first out” and “last out” tranches, whereby the “first out” tranche will have priority as to the “last</w:t>
            </w:r>
          </w:p>
        </w:tc>
        <w:tc>
          <w:tcPr>
            <w:tcW w:w="0" w:type="dxa"/>
            <w:vAlign w:val="bottom"/>
          </w:tcPr>
          <w:p>
            <w:pPr>
              <w:spacing w:after="0"/>
              <w:rPr>
                <w:sz w:val="1"/>
                <w:szCs w:val="1"/>
                <w:color w:val="auto"/>
              </w:rPr>
            </w:pPr>
          </w:p>
        </w:tc>
      </w:tr>
      <w:tr>
        <w:trPr>
          <w:trHeight w:val="148"/>
        </w:trPr>
        <w:tc>
          <w:tcPr>
            <w:tcW w:w="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(aw)</w:t>
            </w:r>
          </w:p>
        </w:tc>
        <w:tc>
          <w:tcPr>
            <w:tcW w:w="105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out” tranche with respect to payments of principal, interest and any other amounts due thereunder.</w:t>
            </w:r>
          </w:p>
        </w:tc>
        <w:tc>
          <w:tcPr>
            <w:tcW w:w="0" w:type="dxa"/>
            <w:vAlign w:val="bottom"/>
          </w:tcPr>
          <w:p>
            <w:pPr>
              <w:spacing w:after="0"/>
              <w:rPr>
                <w:sz w:val="1"/>
                <w:szCs w:val="1"/>
                <w:color w:val="auto"/>
              </w:rPr>
            </w:pPr>
          </w:p>
        </w:tc>
      </w:tr>
      <w:tr>
        <w:trPr>
          <w:trHeight w:val="188"/>
        </w:trPr>
        <w:tc>
          <w:tcPr>
            <w:tcW w:w="400" w:type="dxa"/>
            <w:vAlign w:val="bottom"/>
            <w:vMerge w:val="continue"/>
          </w:tcPr>
          <w:p>
            <w:pPr>
              <w:spacing w:after="0"/>
              <w:rPr>
                <w:sz w:val="16"/>
                <w:szCs w:val="16"/>
                <w:color w:val="auto"/>
              </w:rPr>
            </w:pPr>
          </w:p>
        </w:tc>
        <w:tc>
          <w:tcPr>
            <w:tcW w:w="10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Percentage of class held refers only to equity held, if any, calculated on a fully diluted basis.</w:t>
            </w:r>
          </w:p>
        </w:tc>
        <w:tc>
          <w:tcPr>
            <w:tcW w:w="0" w:type="dxa"/>
            <w:vAlign w:val="bottom"/>
          </w:tcPr>
          <w:p>
            <w:pPr>
              <w:spacing w:after="0"/>
              <w:rPr>
                <w:sz w:val="1"/>
                <w:szCs w:val="1"/>
                <w:color w:val="auto"/>
              </w:rPr>
            </w:pPr>
          </w:p>
        </w:tc>
      </w:tr>
      <w:tr>
        <w:trPr>
          <w:trHeight w:val="348"/>
        </w:trPr>
        <w:tc>
          <w:tcPr>
            <w:tcW w:w="400" w:type="dxa"/>
            <w:vAlign w:val="bottom"/>
          </w:tcPr>
          <w:p>
            <w:pPr>
              <w:spacing w:after="0"/>
              <w:rPr>
                <w:sz w:val="24"/>
                <w:szCs w:val="24"/>
                <w:color w:val="auto"/>
              </w:rPr>
            </w:pPr>
          </w:p>
        </w:tc>
        <w:tc>
          <w:tcPr>
            <w:tcW w:w="1058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0980"/>
          </w:cols>
          <w:pgMar w:left="440" w:top="280" w:right="47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MANAGEMENT</w:t>
      </w:r>
    </w:p>
    <w:p>
      <w:pPr>
        <w:spacing w:after="0" w:line="229" w:lineRule="exact"/>
        <w:rPr>
          <w:sz w:val="20"/>
          <w:szCs w:val="20"/>
          <w:color w:val="auto"/>
        </w:rPr>
      </w:pPr>
    </w:p>
    <w:p>
      <w:pPr>
        <w:jc w:val="both"/>
        <w:ind w:firstLine="44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information in the sections entitled “Proposal No. 1,” “Information About Executive Officer Who is Not a Director,” “Corporate Governance” “Compensation Discussion and Analysis,” “Certain Relationships and Related Transactions — Investment Committee,” and “Certain Relationships and Related Transactions — Portfolio Management” in our most recent </w:t>
      </w:r>
      <w:hyperlink r:id="rId33">
        <w:r>
          <w:rPr>
            <w:rFonts w:ascii="Times New Roman" w:cs="Times New Roman" w:eastAsia="Times New Roman" w:hAnsi="Times New Roman"/>
            <w:sz w:val="17"/>
            <w:szCs w:val="17"/>
            <w:u w:val="single" w:color="auto"/>
            <w:color w:val="0000EE"/>
          </w:rPr>
          <w:t>Definitive Proxy Statement on Schedule 14A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is incorporated herein by reference.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93" w:right="459" w:bottom="1440" w:gutter="0" w:footer="0" w:header="0"/>
        </w:sectPr>
      </w:pPr>
    </w:p>
    <w:bookmarkStart w:id="56" w:name="page57"/>
    <w:bookmarkEnd w:id="56"/>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MANAGEMENT AND OTHER AGREEMENTS</w:t>
      </w:r>
    </w:p>
    <w:p>
      <w:pPr>
        <w:spacing w:after="0" w:line="229" w:lineRule="exact"/>
        <w:rPr>
          <w:sz w:val="20"/>
          <w:szCs w:val="20"/>
          <w:color w:val="auto"/>
        </w:rPr>
      </w:pPr>
    </w:p>
    <w:p>
      <w:pPr>
        <w:jc w:val="both"/>
        <w:ind w:firstLine="440"/>
        <w:spacing w:after="0" w:line="266" w:lineRule="auto"/>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auto"/>
          </w:rPr>
          <w:t xml:space="preserve">The information in the section entitled “Business — Management and Other Agreements” in Part I, Item 1 of our most recent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in the notes to our consolidated financial statements under the caption “Note 5. Related Party Transactions” in our most recent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Annual</w:t>
        </w:r>
      </w:hyperlink>
      <w:r>
        <w:rPr>
          <w:rFonts w:ascii="Times New Roman" w:cs="Times New Roman" w:eastAsia="Times New Roman" w:hAnsi="Times New Roman"/>
          <w:sz w:val="18"/>
          <w:szCs w:val="18"/>
          <w:color w:val="0000EE"/>
        </w:rPr>
        <w:t xml:space="preserve"> </w:t>
      </w:r>
      <w:hyperlink r:id="rId31">
        <w:r>
          <w:rPr>
            <w:rFonts w:ascii="Times New Roman" w:cs="Times New Roman" w:eastAsia="Times New Roman" w:hAnsi="Times New Roman"/>
            <w:sz w:val="18"/>
            <w:szCs w:val="18"/>
            <w:u w:val="single" w:color="auto"/>
            <w:color w:val="0000EE"/>
          </w:rPr>
          <w:t>Report on 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is incorporated herein by reference.</w:t>
        </w:r>
      </w:hyperlink>
    </w:p>
    <w:p>
      <w:pPr>
        <w:spacing w:after="0" w:line="108"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20"/>
          </w:cols>
          <w:pgMar w:left="440" w:top="293" w:right="639" w:bottom="1440" w:gutter="0" w:footer="0" w:header="0"/>
        </w:sectPr>
      </w:pPr>
    </w:p>
    <w:bookmarkStart w:id="57" w:name="page58"/>
    <w:bookmarkEnd w:id="57"/>
    <w:p>
      <w:pPr>
        <w:ind w:left="2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RELATIONSHIPS AND RELATED TRANSACTIONS</w:t>
      </w:r>
    </w:p>
    <w:p>
      <w:pPr>
        <w:spacing w:after="0" w:line="229" w:lineRule="exact"/>
        <w:rPr>
          <w:sz w:val="20"/>
          <w:szCs w:val="20"/>
          <w:color w:val="auto"/>
        </w:rPr>
      </w:pPr>
    </w:p>
    <w:p>
      <w:pPr>
        <w:ind w:firstLine="440"/>
        <w:spacing w:after="0" w:line="282" w:lineRule="auto"/>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The information in the section entitled “Certain Relationships and Related Transactions” in our most recent </w:t>
        </w:r>
        <w:r>
          <w:rPr>
            <w:rFonts w:ascii="Times New Roman" w:cs="Times New Roman" w:eastAsia="Times New Roman" w:hAnsi="Times New Roman"/>
            <w:sz w:val="18"/>
            <w:szCs w:val="18"/>
            <w:u w:val="single" w:color="auto"/>
            <w:color w:val="0000EE"/>
          </w:rPr>
          <w:t>Definitive Proxy Statement</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on Schedule 14A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is incorporated herein by reference.</w:t>
        </w:r>
      </w:hyperlink>
    </w:p>
    <w:p>
      <w:pPr>
        <w:spacing w:after="0" w:line="9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180"/>
          </w:cols>
          <w:pgMar w:left="440" w:top="293" w:right="1279" w:bottom="1440" w:gutter="0" w:footer="0" w:header="0"/>
        </w:sectPr>
      </w:pPr>
    </w:p>
    <w:bookmarkStart w:id="58" w:name="page59"/>
    <w:bookmarkEnd w:id="5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CONTROL PERSONS AND PRINCIPAL STOCKHOLDERS</w:t>
      </w:r>
    </w:p>
    <w:p>
      <w:pPr>
        <w:spacing w:after="0" w:line="229" w:lineRule="exact"/>
        <w:rPr>
          <w:sz w:val="20"/>
          <w:szCs w:val="20"/>
          <w:color w:val="auto"/>
        </w:rPr>
      </w:pPr>
    </w:p>
    <w:p>
      <w:pPr>
        <w:ind w:firstLine="440"/>
        <w:spacing w:after="0" w:line="282" w:lineRule="auto"/>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auto"/>
          </w:rPr>
          <w:t xml:space="preserve">The information in the section entitled “Security Ownership of Certain Beneficial Owners and Management” in our most recent </w:t>
        </w:r>
        <w:r>
          <w:rPr>
            <w:rFonts w:ascii="Times New Roman" w:cs="Times New Roman" w:eastAsia="Times New Roman" w:hAnsi="Times New Roman"/>
            <w:sz w:val="18"/>
            <w:szCs w:val="18"/>
            <w:u w:val="single" w:color="auto"/>
            <w:color w:val="0000EE"/>
          </w:rPr>
          <w:t>Definitive Proxy</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Statement on Schedule 14A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is incorporated herein by reference.</w:t>
        </w:r>
      </w:hyperlink>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880"/>
          </w:cols>
          <w:pgMar w:left="440" w:top="293" w:right="57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SALES OF COMMON STOCK BELOW NET ASSET VALUE</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June 8, 2023, our stockholders approved our ability to sell or otherwise issue shares of our common stock at a discount from net asset value per share for a period of one year ending on the earlier of June 8, 2024 or the date of our 2024 Annual Meeting of Stockholders. Our stockholders are being asked to consider and approve a similar proposal at our 2024 Annual Meeting of Stockholders. In order to sell shares pursuant to this authorization, a majority of our directors who have no financial interest in the sale or issuance and a majority of our independent directors must (a) find that the sale or issuance is in our best interests and in the best interests of our stockholders, and (b) in consultation with any underwriter or underwriters of the offering, make a good faith determination as of a time either immediately prior to the first solicitation by us or on our behalf of firm commitments to purchase such shares, or immediately prior to the issuance of such shares, that the price at which such shares are to be sold or otherwise issued is not less than a price which closely approximates the market value of such shares, less any distributing commission or discount. It should be noted that the maximum number of shares issuable below net asset value pursuant to this authority that could result in such dilution is limited to 25% of the Company’s then outstanding common stock immediately prior to each such sale. Any offering of common stock below net asset value per share will be designed to raise capital for investment in accordance with our investment objective.</w:t>
      </w:r>
    </w:p>
    <w:p>
      <w:pPr>
        <w:spacing w:after="0" w:line="19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below net asset value per share is in our and our stockholders’ best interests, our board of directors considers a variety of factors, including:</w:t>
      </w:r>
    </w:p>
    <w:p>
      <w:pPr>
        <w:spacing w:after="0" w:line="67" w:lineRule="exact"/>
        <w:rPr>
          <w:sz w:val="20"/>
          <w:szCs w:val="20"/>
          <w:color w:val="auto"/>
        </w:rPr>
      </w:pPr>
    </w:p>
    <w:p>
      <w:pPr>
        <w:ind w:left="960" w:right="38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net asset value per share would have on our stockholders, including the potential dilution they would experience as a result of the offering;</w:t>
      </w:r>
    </w:p>
    <w:p>
      <w:pPr>
        <w:spacing w:after="0" w:line="67" w:lineRule="exact"/>
        <w:rPr>
          <w:rFonts w:ascii="Times New Roman" w:cs="Times New Roman" w:eastAsia="Times New Roman" w:hAnsi="Times New Roman"/>
          <w:sz w:val="18"/>
          <w:szCs w:val="18"/>
          <w:color w:val="auto"/>
        </w:rPr>
      </w:pPr>
    </w:p>
    <w:p>
      <w:pPr>
        <w:ind w:left="960" w:right="24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Sales or other issuances by us of our common stock at a discount from the net asset value per share pose potential risks for our existing stockholders whether or not they participate in the offering, as well as for new investors who participate in the offering.</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three headings and accompanying tables will explain and provide hypothetical examples on the impact of an offering at a price less than the net asset value per share on three different sets of investors:</w:t>
      </w:r>
    </w:p>
    <w:p>
      <w:pPr>
        <w:spacing w:after="0" w:line="67" w:lineRule="exact"/>
        <w:rPr>
          <w:sz w:val="20"/>
          <w:szCs w:val="20"/>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purchase a relatively small amount of shares of our common stock in the offering or a relatively large amount of shares of our common stock in the offering;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of our common stock in the offering.</w:t>
      </w:r>
    </w:p>
    <w:p>
      <w:pPr>
        <w:spacing w:after="0" w:line="225"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tables below provide hypothetical examples of the impact that an offering at a price less than net asset value per share may have on the net asset value per share of stockholders and investors who do and do not participate in such an offering. However, the tables below do not show, nor are they intended to show, any potential changes in market price that may occur from an offering at a price less than net asset value per share and it is not possible to predict any potential market price change that may occur from such an offering.</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60"/>
          </w:cols>
          <w:pgMar w:left="440" w:top="293"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Impact on Existing Stockholders Who Do Not Participate in an Offering of Our Common Stock</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below net asset value per share or who do not buy additional shares in the secondary market at the same or lower price we obtain in the offering (after expenses and commissions) face the greatest potential risk of an immediate decrease (often called dilution)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w:t>
      </w:r>
    </w:p>
    <w:p>
      <w:pPr>
        <w:spacing w:after="0" w:line="189"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illustrates the level of net asset value dilution that would be experienced by a nonparticipating stockholder in three different hypothetical offerings of different sizes and levels of discount from net asset value per share, although it is not possible to predict the level of market price decline that may occur. Actual sales prices and discounts may differ from the presentation below.</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$15,000,000 in total assets and $5,000,000 in total liabilities. The current net asset value and net asset value per share are thus $10,000,000 and $10.00. The table illustrates the dilutive effect on nonparticipating Stockholder A of (1) an offering of 50,000 shares (5.0% of the outstanding shares) at $9.50 per share after offering expenses and commission (a 5.0% discount from net asset value), (2) an offering of 100,000 shares (10.0% of the outstanding shares) at $9.00 per share after offering expenses and commissions (a 10.0% discount from net asset value) and (3) an offering of 200,000 shares (20.0% of the outstanding shares) at $8.00 per share after offering expenses and commissions (a 20.0% discount from net asset value). The acronym “NAV” stands for “net asset value.”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100" w:type="dxa"/>
            <w:vAlign w:val="bottom"/>
          </w:tcPr>
          <w:p>
            <w:pPr>
              <w:spacing w:after="0"/>
              <w:rPr>
                <w:sz w:val="13"/>
                <w:szCs w:val="13"/>
                <w:color w:val="auto"/>
              </w:rPr>
            </w:pPr>
          </w:p>
        </w:tc>
        <w:tc>
          <w:tcPr>
            <w:tcW w:w="17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4"/>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5.0% Offering</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10.0% Offering</w:t>
            </w:r>
          </w:p>
        </w:tc>
        <w:tc>
          <w:tcPr>
            <w:tcW w:w="100" w:type="dxa"/>
            <w:vAlign w:val="bottom"/>
          </w:tcPr>
          <w:p>
            <w:pPr>
              <w:spacing w:after="0"/>
              <w:rPr>
                <w:sz w:val="12"/>
                <w:szCs w:val="12"/>
                <w:color w:val="auto"/>
              </w:rPr>
            </w:pPr>
          </w:p>
        </w:tc>
        <w:tc>
          <w:tcPr>
            <w:tcW w:w="170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20.0% Offering</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At 5.0% Discount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At 10.0% Discount</w:t>
            </w:r>
          </w:p>
        </w:tc>
        <w:tc>
          <w:tcPr>
            <w:tcW w:w="100" w:type="dxa"/>
            <w:vAlign w:val="bottom"/>
          </w:tcPr>
          <w:p>
            <w:pPr>
              <w:spacing w:after="0"/>
              <w:rPr>
                <w:sz w:val="15"/>
                <w:szCs w:val="15"/>
                <w:color w:val="auto"/>
              </w:rPr>
            </w:pPr>
          </w:p>
        </w:tc>
        <w:tc>
          <w:tcPr>
            <w:tcW w:w="17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At 20.0% Discount</w:t>
            </w:r>
          </w:p>
        </w:tc>
        <w:tc>
          <w:tcPr>
            <w:tcW w:w="0" w:type="dxa"/>
            <w:vAlign w:val="bottom"/>
          </w:tcPr>
          <w:p>
            <w:pPr>
              <w:spacing w:after="0"/>
              <w:rPr>
                <w:sz w:val="1"/>
                <w:szCs w:val="1"/>
                <w:color w:val="auto"/>
              </w:rPr>
            </w:pPr>
          </w:p>
        </w:tc>
      </w:tr>
      <w:tr>
        <w:trPr>
          <w:trHeight w:val="117"/>
        </w:trPr>
        <w:tc>
          <w:tcPr>
            <w:tcW w:w="4480" w:type="dxa"/>
            <w:vAlign w:val="bottom"/>
            <w:gridSpan w:val="2"/>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10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480" w:type="dxa"/>
            <w:vAlign w:val="bottom"/>
            <w:gridSpan w:val="2"/>
            <w:vMerge w:val="continue"/>
          </w:tcPr>
          <w:p>
            <w:pPr>
              <w:spacing w:after="0"/>
              <w:rPr>
                <w:sz w:val="15"/>
                <w:szCs w:val="15"/>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9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3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i w:val="1"/>
                <w:iCs w:val="1"/>
                <w:color w:val="auto"/>
              </w:rPr>
              <w:t>Offering Price</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Price per Share to Public</w:t>
            </w:r>
          </w:p>
        </w:tc>
        <w:tc>
          <w:tcPr>
            <w:tcW w:w="120" w:type="dxa"/>
            <w:vAlign w:val="bottom"/>
          </w:tcPr>
          <w:p>
            <w:pPr>
              <w:spacing w:after="0"/>
              <w:rPr>
                <w:sz w:val="14"/>
                <w:szCs w:val="14"/>
                <w:color w:val="auto"/>
              </w:rPr>
            </w:pPr>
          </w:p>
        </w:tc>
        <w:tc>
          <w:tcPr>
            <w:tcW w:w="86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78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9.47</w:t>
            </w:r>
          </w:p>
        </w:tc>
        <w:tc>
          <w:tcPr>
            <w:tcW w:w="8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8.42</w:t>
            </w: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Proceeds per Share to Issuer</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9.50</w:t>
            </w:r>
          </w:p>
        </w:tc>
        <w:tc>
          <w:tcPr>
            <w:tcW w:w="78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9.00</w:t>
            </w:r>
          </w:p>
        </w:tc>
        <w:tc>
          <w:tcPr>
            <w:tcW w:w="8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8.00</w:t>
            </w: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Increase (Decrease) to NAV</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Shares Outstanding</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w w:val="99"/>
              </w:rPr>
              <w:t>1,050,000</w:t>
            </w:r>
          </w:p>
        </w:tc>
        <w:tc>
          <w:tcPr>
            <w:tcW w:w="7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5.00%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w w:val="99"/>
              </w:rPr>
              <w:t>1,100,000</w:t>
            </w:r>
          </w:p>
        </w:tc>
        <w:tc>
          <w:tcPr>
            <w:tcW w:w="8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w w:val="99"/>
              </w:rPr>
              <w:t>1,200,000</w:t>
            </w:r>
          </w:p>
        </w:tc>
        <w:tc>
          <w:tcPr>
            <w:tcW w:w="7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NAV per Share</w:t>
            </w:r>
          </w:p>
        </w:tc>
        <w:tc>
          <w:tcPr>
            <w:tcW w:w="12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1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9.98</w:t>
            </w:r>
          </w:p>
        </w:tc>
        <w:tc>
          <w:tcPr>
            <w:tcW w:w="7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(0.24)%</w:t>
            </w:r>
          </w:p>
        </w:tc>
        <w:tc>
          <w:tcPr>
            <w:tcW w:w="2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9.91</w:t>
            </w:r>
          </w:p>
        </w:tc>
        <w:tc>
          <w:tcPr>
            <w:tcW w:w="800" w:type="dxa"/>
            <w:vAlign w:val="bottom"/>
            <w:gridSpan w:val="2"/>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(0.91)%</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(Dilution) Accretion to Stockholder</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Shares Held by Stockholder A</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78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80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spacing w:after="0"/>
              <w:rPr>
                <w:sz w:val="14"/>
                <w:szCs w:val="14"/>
                <w:color w:val="auto"/>
              </w:rPr>
            </w:pPr>
          </w:p>
        </w:tc>
        <w:tc>
          <w:tcPr>
            <w:tcW w:w="980" w:type="dxa"/>
            <w:vAlign w:val="bottom"/>
            <w:gridSpan w:val="2"/>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Percentage Held by Stockholder A</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0.95%</w:t>
            </w:r>
          </w:p>
        </w:tc>
        <w:tc>
          <w:tcPr>
            <w:tcW w:w="7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(4.76)%</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0.91%</w:t>
            </w:r>
          </w:p>
        </w:tc>
        <w:tc>
          <w:tcPr>
            <w:tcW w:w="8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(9.09)%</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0.83%</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(16.67)%</w:t>
            </w: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Total Asset Values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NAV Held by Stockholder A</w:t>
            </w:r>
          </w:p>
        </w:tc>
        <w:tc>
          <w:tcPr>
            <w:tcW w:w="1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100,000</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99,762</w:t>
            </w:r>
          </w:p>
        </w:tc>
        <w:tc>
          <w:tcPr>
            <w:tcW w:w="78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(0.24)%</w:t>
            </w:r>
          </w:p>
        </w:tc>
        <w:tc>
          <w:tcPr>
            <w:tcW w:w="2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99,091</w:t>
            </w:r>
          </w:p>
        </w:tc>
        <w:tc>
          <w:tcPr>
            <w:tcW w:w="8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(0.91)%</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96,667</w:t>
            </w:r>
          </w:p>
        </w:tc>
        <w:tc>
          <w:tcPr>
            <w:tcW w:w="72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145"/>
        </w:trPr>
        <w:tc>
          <w:tcPr>
            <w:tcW w:w="448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5"/>
                <w:szCs w:val="15"/>
                <w:color w:val="auto"/>
              </w:rPr>
              <w:t>Total Investment by Stockholder A (Assumed to Be $10.00 per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Share)</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100,000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100,000</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100,000</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100,000</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448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Total (Dilution) Accretion to Stockholder A (Total NAV Less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4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Total Investment)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(238)</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(909)</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(3,333)</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Per Share Amounts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8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NAV per Share Held by Stockholder A</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9.98</w:t>
            </w:r>
          </w:p>
        </w:tc>
        <w:tc>
          <w:tcPr>
            <w:tcW w:w="78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9.91</w:t>
            </w:r>
          </w:p>
        </w:tc>
        <w:tc>
          <w:tcPr>
            <w:tcW w:w="80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360"/>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448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5"/>
                <w:szCs w:val="15"/>
                <w:color w:val="auto"/>
              </w:rPr>
              <w:t>Investment per Share Held by Stockholder A (Assumed to be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$10.00 per Share)</w:t>
            </w: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10.00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10.00</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10.00</w:t>
            </w: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10.00</w:t>
            </w: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4480" w:type="dxa"/>
            <w:vAlign w:val="bottom"/>
            <w:gridSpan w:val="2"/>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(Dilution) Accretion per Share Held by Stockholder A (NAV per</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4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Share Less Investment per Share)</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(0.02)</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— </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(0.09)</w:t>
            </w:r>
          </w:p>
        </w:tc>
        <w:tc>
          <w:tcPr>
            <w:tcW w:w="8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(0.33)</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4480" w:type="dxa"/>
            <w:vAlign w:val="bottom"/>
            <w:gridSpan w:val="2"/>
          </w:tcPr>
          <w:p>
            <w:pPr>
              <w:ind w:left="300"/>
              <w:spacing w:after="0" w:line="145" w:lineRule="exact"/>
              <w:rPr>
                <w:sz w:val="20"/>
                <w:szCs w:val="20"/>
                <w:color w:val="auto"/>
              </w:rPr>
            </w:pPr>
            <w:r>
              <w:rPr>
                <w:rFonts w:ascii="Times New Roman" w:cs="Times New Roman" w:eastAsia="Times New Roman" w:hAnsi="Times New Roman"/>
                <w:sz w:val="15"/>
                <w:szCs w:val="15"/>
                <w:color w:val="auto"/>
              </w:rPr>
              <w:t>Percentage (Dilution) Accretion to Stockholder A (Dilution per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480" w:type="dxa"/>
            <w:vAlign w:val="bottom"/>
            <w:gridSpan w:val="2"/>
          </w:tcPr>
          <w:p>
            <w:pPr>
              <w:ind w:left="460"/>
              <w:spacing w:after="0"/>
              <w:rPr>
                <w:sz w:val="20"/>
                <w:szCs w:val="20"/>
                <w:color w:val="auto"/>
              </w:rPr>
            </w:pPr>
            <w:r>
              <w:rPr>
                <w:rFonts w:ascii="Times New Roman" w:cs="Times New Roman" w:eastAsia="Times New Roman" w:hAnsi="Times New Roman"/>
                <w:sz w:val="15"/>
                <w:szCs w:val="15"/>
                <w:color w:val="auto"/>
              </w:rPr>
              <w:t>Share Divided by Investment per Share)</w:t>
            </w:r>
          </w:p>
        </w:tc>
        <w:tc>
          <w:tcPr>
            <w:tcW w:w="12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— </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(0.91)%</w:t>
            </w:r>
          </w:p>
        </w:tc>
        <w:tc>
          <w:tcPr>
            <w:tcW w:w="10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93"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Impact on Existing Stockholders Who Do Participate in an Offering of Our Common Stock</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Our existing stockholders who participate in an offering below net asset value per share or who buy additional shares in the secondary market at the same or lower price as we obtain in the offering (after expenses and commissions) will experience the same types of net asset value dilution as the nonparticipating stockholders, albeit at a lower level, to the extent they purchase less than the same percentage of the discounted offering as their interest in our shares immediately prior to the offering. The level of net asset value dilution will decrease as the number of shares such stockholders purchase increases. Existing stockholders who buy more than such percentage will experience net asset value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 participates will, however, be subject to the risk that we may make additional discounted offerings in which such stockholder does not participate, in which case such a stockholder will experience net asset value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the level of discounts increases.</w:t>
      </w:r>
    </w:p>
    <w:p>
      <w:pPr>
        <w:spacing w:after="0" w:line="187"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The following table illustrates the level of dilution and accretion in the hypothetical 20.0% discount offering from the prior table (Example 3) for a stockholder that acquires shares equal to (1) 50.0% of its proportionate share of the offering (i.e., 1,000 shares, which is 0.5% of an offering of 200,000 shares) rather than its 1.0% proportionate share and (2) 150% of such percentage (i.e. 3,000 shares, which is 1.5% of an offering of</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200,000 shares rather than its 1.0% proportionate share).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gridSpan w:val="4"/>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50.0% Participation</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150.0%</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188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Participation</w:t>
            </w:r>
          </w:p>
        </w:tc>
        <w:tc>
          <w:tcPr>
            <w:tcW w:w="0" w:type="dxa"/>
            <w:vAlign w:val="bottom"/>
          </w:tcPr>
          <w:p>
            <w:pPr>
              <w:spacing w:after="0"/>
              <w:rPr>
                <w:sz w:val="1"/>
                <w:szCs w:val="1"/>
                <w:color w:val="auto"/>
              </w:rPr>
            </w:pPr>
          </w:p>
        </w:tc>
      </w:tr>
      <w:tr>
        <w:trPr>
          <w:trHeight w:val="117"/>
        </w:trPr>
        <w:tc>
          <w:tcPr>
            <w:tcW w:w="554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8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160" w:type="dxa"/>
            <w:vAlign w:val="bottom"/>
            <w:tcBorders>
              <w:top w:val="single" w:sz="8" w:color="auto"/>
            </w:tcBorders>
            <w:gridSpan w:val="3"/>
          </w:tcPr>
          <w:p>
            <w:pPr>
              <w:jc w:val="right"/>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Borders>
              <w:top w:val="single" w:sz="8" w:color="auto"/>
            </w:tcBorders>
            <w:gridSpan w:val="3"/>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10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55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i w:val="1"/>
                <w:iCs w:val="1"/>
                <w:color w:val="auto"/>
              </w:rPr>
              <w:t>Offering Price</w:t>
            </w:r>
          </w:p>
        </w:tc>
        <w:tc>
          <w:tcPr>
            <w:tcW w:w="2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Price per Share to Public</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8.42</w:t>
            </w:r>
          </w:p>
        </w:tc>
        <w:tc>
          <w:tcPr>
            <w:tcW w:w="80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8.42</w:t>
            </w: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55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Proceeds per Share to Issuer</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8.00</w:t>
            </w:r>
          </w:p>
        </w:tc>
        <w:tc>
          <w:tcPr>
            <w:tcW w:w="800" w:type="dxa"/>
            <w:vAlign w:val="bottom"/>
            <w:gridSpan w:val="2"/>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8.00</w:t>
            </w: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Increase (Decrease) to NAV</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Shares Outstanding</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w w:val="99"/>
              </w:rPr>
              <w:t>1,200,000</w:t>
            </w:r>
          </w:p>
        </w:tc>
        <w:tc>
          <w:tcPr>
            <w:tcW w:w="8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w w:val="99"/>
              </w:rPr>
              <w:t>1,200,000</w:t>
            </w:r>
          </w:p>
        </w:tc>
        <w:tc>
          <w:tcPr>
            <w:tcW w:w="7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NAV per Share</w:t>
            </w:r>
          </w:p>
        </w:tc>
        <w:tc>
          <w:tcPr>
            <w:tcW w:w="40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80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(3.33)%</w:t>
            </w: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162"/>
        </w:trPr>
        <w:tc>
          <w:tcPr>
            <w:tcW w:w="55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(Dilution) Accretion to Stockholder</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Held by Stockholder A</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10,000</w:t>
            </w:r>
          </w:p>
        </w:tc>
        <w:tc>
          <w:tcPr>
            <w:tcW w:w="80" w:type="dxa"/>
            <w:vAlign w:val="bottom"/>
          </w:tcPr>
          <w:p>
            <w:pPr>
              <w:spacing w:after="0"/>
              <w:rPr>
                <w:sz w:val="14"/>
                <w:szCs w:val="14"/>
                <w:color w:val="auto"/>
              </w:rPr>
            </w:pPr>
          </w:p>
        </w:tc>
        <w:tc>
          <w:tcPr>
            <w:tcW w:w="108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11,000</w:t>
            </w:r>
          </w:p>
        </w:tc>
        <w:tc>
          <w:tcPr>
            <w:tcW w:w="8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13,000</w:t>
            </w:r>
          </w:p>
        </w:tc>
        <w:tc>
          <w:tcPr>
            <w:tcW w:w="720" w:type="dxa"/>
            <w:vAlign w:val="bottom"/>
            <w:gridSpan w:val="2"/>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30.00</w:t>
            </w:r>
          </w:p>
        </w:tc>
        <w:tc>
          <w:tcPr>
            <w:tcW w:w="0" w:type="dxa"/>
            <w:vAlign w:val="bottom"/>
          </w:tcPr>
          <w:p>
            <w:pPr>
              <w:spacing w:after="0"/>
              <w:rPr>
                <w:sz w:val="1"/>
                <w:szCs w:val="1"/>
                <w:color w:val="auto"/>
              </w:rPr>
            </w:pPr>
          </w:p>
        </w:tc>
      </w:tr>
      <w:tr>
        <w:trPr>
          <w:trHeight w:val="162"/>
        </w:trPr>
        <w:tc>
          <w:tcPr>
            <w:tcW w:w="55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Percentage Held by Stockholder A</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1.0%</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20"/>
              <w:spacing w:after="0" w:line="162" w:lineRule="exact"/>
              <w:rPr>
                <w:sz w:val="20"/>
                <w:szCs w:val="20"/>
                <w:color w:val="auto"/>
              </w:rPr>
            </w:pPr>
            <w:r>
              <w:rPr>
                <w:rFonts w:ascii="Times New Roman" w:cs="Times New Roman" w:eastAsia="Times New Roman" w:hAnsi="Times New Roman"/>
                <w:sz w:val="15"/>
                <w:szCs w:val="15"/>
                <w:color w:val="auto"/>
              </w:rPr>
              <w:t>0.92%</w:t>
            </w:r>
          </w:p>
        </w:tc>
        <w:tc>
          <w:tcPr>
            <w:tcW w:w="80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(8.33)%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300"/>
              <w:spacing w:after="0" w:line="162" w:lineRule="exact"/>
              <w:rPr>
                <w:sz w:val="20"/>
                <w:szCs w:val="20"/>
                <w:color w:val="auto"/>
              </w:rPr>
            </w:pPr>
            <w:r>
              <w:rPr>
                <w:rFonts w:ascii="Times New Roman" w:cs="Times New Roman" w:eastAsia="Times New Roman" w:hAnsi="Times New Roman"/>
                <w:sz w:val="15"/>
                <w:szCs w:val="15"/>
                <w:color w:val="auto"/>
              </w:rPr>
              <w:t>1.08%</w:t>
            </w:r>
          </w:p>
        </w:tc>
        <w:tc>
          <w:tcPr>
            <w:tcW w:w="7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8.33%</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Total Asset Values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NAV Held by Stockholder A</w:t>
            </w:r>
          </w:p>
        </w:tc>
        <w:tc>
          <w:tcPr>
            <w:tcW w:w="400" w:type="dxa"/>
            <w:vAlign w:val="bottom"/>
            <w:gridSpan w:val="2"/>
            <w:shd w:val="clear" w:color="auto" w:fill="CCEEFF"/>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100,000</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106,333</w:t>
            </w:r>
          </w:p>
        </w:tc>
        <w:tc>
          <w:tcPr>
            <w:tcW w:w="800" w:type="dxa"/>
            <w:vAlign w:val="bottom"/>
            <w:gridSpan w:val="2"/>
            <w:shd w:val="clear" w:color="auto" w:fill="CCEEFF"/>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6.33%</w:t>
            </w:r>
          </w:p>
        </w:tc>
        <w:tc>
          <w:tcPr>
            <w:tcW w:w="2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125,667</w:t>
            </w:r>
          </w:p>
        </w:tc>
        <w:tc>
          <w:tcPr>
            <w:tcW w:w="7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25.67%</w:t>
            </w:r>
          </w:p>
        </w:tc>
        <w:tc>
          <w:tcPr>
            <w:tcW w:w="0" w:type="dxa"/>
            <w:vAlign w:val="bottom"/>
          </w:tcPr>
          <w:p>
            <w:pPr>
              <w:spacing w:after="0"/>
              <w:rPr>
                <w:sz w:val="1"/>
                <w:szCs w:val="1"/>
                <w:color w:val="auto"/>
              </w:rPr>
            </w:pPr>
          </w:p>
        </w:tc>
      </w:tr>
      <w:tr>
        <w:trPr>
          <w:trHeight w:val="162"/>
        </w:trPr>
        <w:tc>
          <w:tcPr>
            <w:tcW w:w="55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Investment by Stockholder A (Assumed to Be $10.00 per Share)</w:t>
            </w:r>
          </w:p>
        </w:tc>
        <w:tc>
          <w:tcPr>
            <w:tcW w:w="40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100,000</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108,421</w:t>
            </w:r>
          </w:p>
        </w:tc>
        <w:tc>
          <w:tcPr>
            <w:tcW w:w="80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125,263</w:t>
            </w: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55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(Dilution) Accretion to Stockholder A (Total NAV Less Total Investment)</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(2,088)</w:t>
            </w:r>
          </w:p>
        </w:tc>
        <w:tc>
          <w:tcPr>
            <w:tcW w:w="800" w:type="dxa"/>
            <w:vAlign w:val="bottom"/>
            <w:gridSpan w:val="2"/>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404</w:t>
            </w: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554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Per Share Amounts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NAV per Share Held by Stockholder A</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800" w:type="dxa"/>
            <w:vAlign w:val="bottom"/>
            <w:gridSpan w:val="2"/>
            <w:shd w:val="clear" w:color="auto" w:fill="CCEEFF"/>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72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55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Investment per Share Held by Stockholder A (Assumed to be $10.00 per Share)</w:t>
            </w:r>
          </w:p>
        </w:tc>
        <w:tc>
          <w:tcPr>
            <w:tcW w:w="400" w:type="dxa"/>
            <w:vAlign w:val="bottom"/>
            <w:gridSpan w:val="2"/>
          </w:tcPr>
          <w:p>
            <w:pPr>
              <w:ind w:lef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9.86</w:t>
            </w:r>
          </w:p>
        </w:tc>
        <w:tc>
          <w:tcPr>
            <w:tcW w:w="800" w:type="dxa"/>
            <w:vAlign w:val="bottom"/>
            <w:gridSpan w:val="2"/>
          </w:tcPr>
          <w:p>
            <w:pPr>
              <w:jc w:val="right"/>
              <w:ind w:right="3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9.64</w:t>
            </w:r>
          </w:p>
        </w:tc>
        <w:tc>
          <w:tcPr>
            <w:tcW w:w="72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554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(Dilution) Accretion per Share Held by Stockholder A (NAV per Share Less</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5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Investment per Share)</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5"/>
                <w:szCs w:val="15"/>
                <w:color w:val="auto"/>
              </w:rPr>
              <w:t>(0.19)</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5"/>
                <w:szCs w:val="15"/>
                <w:color w:val="auto"/>
              </w:rPr>
              <w:t>— 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5"/>
                <w:szCs w:val="15"/>
                <w:color w:val="auto"/>
              </w:rPr>
              <w:t>0.03</w:t>
            </w:r>
          </w:p>
        </w:tc>
        <w:tc>
          <w:tcPr>
            <w:tcW w:w="7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554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Percentage (Dilution) Accretion to Stockholder A (Dilution per Share Divided by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54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Investment per Share)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color w:val="auto"/>
              </w:rPr>
              <w:t>— </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(1.93)%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0.32%</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93"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Impact on New Investors of Our Common Stock</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our common stock below net asset value but whose investment per share is greater than the resulting net asset value per share due to selling compensation and expenses paid by the issuer will experience an immediate decrease, albeit small, in the net asset value of their shares of common stock and their net asset value per share compared to the price they pay for their shares of common stock. Investors who are not currently stockholders and who participate in an offering below net asset value per share and whose investment per share is also less than the resulting net asset value per share due to selling compensation and expenses paid by the issuer being significantly less than the discount per share will experience an immediate increase in the net asset value of their shares of common stock and their net asset value per share compared to the price they pay for their shares of common stock.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of common stock, which often reflects to some degree announced or potential increases and decreases in net asset value per share. This decrease could be more pronounced as the size of the offering and level of discounts increases.</w:t>
      </w:r>
    </w:p>
    <w:p>
      <w:pPr>
        <w:spacing w:after="0" w:line="19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illustrates the level of dilution or accretion for new investors that would be experienced by a new investor in the same hypothetical 5.0%, 10.0% and 20.0% discounted offerings as described in the first table above. The illustration is for a new investor who purchases the same percentage (1.0%) of the shares in the offering as Stockholder A in the prior examples held immediately prior to the offering. The prospectus supplement pursuant to which any discounted offering is made will include a table for these examples based on the actual number of shares in such offering and the actual discount from the most recently determined net asset value per share. It is not possible to predict the level of market price decline that may occur. Actual sales prices and discounts may differ from the presentation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80" w:type="dxa"/>
            <w:vAlign w:val="bottom"/>
          </w:tcPr>
          <w:p>
            <w:pPr>
              <w:spacing w:after="0"/>
              <w:rPr>
                <w:sz w:val="13"/>
                <w:szCs w:val="13"/>
                <w:color w:val="auto"/>
              </w:rPr>
            </w:pPr>
          </w:p>
        </w:tc>
        <w:tc>
          <w:tcPr>
            <w:tcW w:w="17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3"/>
                <w:szCs w:val="13"/>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4"/>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5.0% Offering</w:t>
            </w:r>
          </w:p>
        </w:tc>
        <w:tc>
          <w:tcPr>
            <w:tcW w:w="80" w:type="dxa"/>
            <w:vAlign w:val="bottom"/>
          </w:tcPr>
          <w:p>
            <w:pPr>
              <w:spacing w:after="0"/>
              <w:rPr>
                <w:sz w:val="12"/>
                <w:szCs w:val="12"/>
                <w:color w:val="auto"/>
              </w:rPr>
            </w:pPr>
          </w:p>
        </w:tc>
        <w:tc>
          <w:tcPr>
            <w:tcW w:w="176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10.0% Offering</w:t>
            </w:r>
          </w:p>
        </w:tc>
        <w:tc>
          <w:tcPr>
            <w:tcW w:w="80" w:type="dxa"/>
            <w:vAlign w:val="bottom"/>
          </w:tcPr>
          <w:p>
            <w:pPr>
              <w:spacing w:after="0"/>
              <w:rPr>
                <w:sz w:val="12"/>
                <w:szCs w:val="12"/>
                <w:color w:val="auto"/>
              </w:rPr>
            </w:pPr>
          </w:p>
        </w:tc>
        <w:tc>
          <w:tcPr>
            <w:tcW w:w="1680" w:type="dxa"/>
            <w:vAlign w:val="bottom"/>
            <w:gridSpan w:val="4"/>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20.0% Offering</w:t>
            </w:r>
          </w:p>
        </w:tc>
        <w:tc>
          <w:tcPr>
            <w:tcW w:w="0" w:type="dxa"/>
            <w:vAlign w:val="bottom"/>
          </w:tcPr>
          <w:p>
            <w:pPr>
              <w:spacing w:after="0"/>
              <w:rPr>
                <w:sz w:val="1"/>
                <w:szCs w:val="1"/>
                <w:color w:val="auto"/>
              </w:rPr>
            </w:pPr>
          </w:p>
        </w:tc>
      </w:tr>
      <w:tr>
        <w:trPr>
          <w:trHeight w:val="173"/>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80" w:type="dxa"/>
            <w:vAlign w:val="bottom"/>
          </w:tcPr>
          <w:p>
            <w:pPr>
              <w:spacing w:after="0"/>
              <w:rPr>
                <w:sz w:val="15"/>
                <w:szCs w:val="15"/>
                <w:color w:val="auto"/>
              </w:rPr>
            </w:pPr>
          </w:p>
        </w:tc>
        <w:tc>
          <w:tcPr>
            <w:tcW w:w="1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At 5.0% Discount</w:t>
            </w:r>
          </w:p>
        </w:tc>
        <w:tc>
          <w:tcPr>
            <w:tcW w:w="80" w:type="dxa"/>
            <w:vAlign w:val="bottom"/>
          </w:tcPr>
          <w:p>
            <w:pPr>
              <w:spacing w:after="0"/>
              <w:rPr>
                <w:sz w:val="15"/>
                <w:szCs w:val="15"/>
                <w:color w:val="auto"/>
              </w:rPr>
            </w:pPr>
          </w:p>
        </w:tc>
        <w:tc>
          <w:tcPr>
            <w:tcW w:w="176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At 10.0% Discount</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 20.0% Discount</w:t>
            </w:r>
          </w:p>
        </w:tc>
        <w:tc>
          <w:tcPr>
            <w:tcW w:w="0" w:type="dxa"/>
            <w:vAlign w:val="bottom"/>
          </w:tcPr>
          <w:p>
            <w:pPr>
              <w:spacing w:after="0"/>
              <w:rPr>
                <w:sz w:val="1"/>
                <w:szCs w:val="1"/>
                <w:color w:val="auto"/>
              </w:rPr>
            </w:pPr>
          </w:p>
        </w:tc>
      </w:tr>
      <w:tr>
        <w:trPr>
          <w:trHeight w:val="117"/>
        </w:trPr>
        <w:tc>
          <w:tcPr>
            <w:tcW w:w="4360" w:type="dxa"/>
            <w:vAlign w:val="bottom"/>
            <w:vMerge w:val="restart"/>
          </w:tcPr>
          <w:p>
            <w:pPr>
              <w:ind w:left="19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980" w:type="dxa"/>
            <w:vAlign w:val="bottom"/>
            <w:tcBorders>
              <w:top w:val="single" w:sz="8" w:color="auto"/>
            </w:tcBorders>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8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36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i w:val="1"/>
                <w:iCs w:val="1"/>
                <w:color w:val="auto"/>
              </w:rPr>
              <w:t>Offering Price</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Price per Share to Public</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8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9.47</w:t>
            </w:r>
          </w:p>
        </w:tc>
        <w:tc>
          <w:tcPr>
            <w:tcW w:w="8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8.42</w:t>
            </w:r>
          </w:p>
        </w:tc>
        <w:tc>
          <w:tcPr>
            <w:tcW w:w="72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Proceeds per Share to Issuer</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9.50</w:t>
            </w:r>
          </w:p>
        </w:tc>
        <w:tc>
          <w:tcPr>
            <w:tcW w:w="8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9.00</w:t>
            </w:r>
          </w:p>
        </w:tc>
        <w:tc>
          <w:tcPr>
            <w:tcW w:w="8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8.00</w:t>
            </w:r>
          </w:p>
        </w:tc>
        <w:tc>
          <w:tcPr>
            <w:tcW w:w="720" w:type="dxa"/>
            <w:vAlign w:val="bottom"/>
            <w:gridSpan w:val="2"/>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(Decrease) Increase to NAV</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Total Shares Outstanding</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1,000,000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w w:val="99"/>
              </w:rPr>
              <w:t>1,050,000</w:t>
            </w:r>
          </w:p>
        </w:tc>
        <w:tc>
          <w:tcPr>
            <w:tcW w:w="8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5.00%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w w:val="99"/>
              </w:rPr>
              <w:t>1,100,000</w:t>
            </w:r>
          </w:p>
        </w:tc>
        <w:tc>
          <w:tcPr>
            <w:tcW w:w="86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w w:val="99"/>
              </w:rPr>
              <w:t>1,200,000</w:t>
            </w:r>
          </w:p>
        </w:tc>
        <w:tc>
          <w:tcPr>
            <w:tcW w:w="72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NAV per Share</w:t>
            </w:r>
          </w:p>
        </w:tc>
        <w:tc>
          <w:tcPr>
            <w:tcW w:w="22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9.98</w:t>
            </w:r>
          </w:p>
        </w:tc>
        <w:tc>
          <w:tcPr>
            <w:tcW w:w="8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(0.24)%</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9.91</w:t>
            </w:r>
          </w:p>
        </w:tc>
        <w:tc>
          <w:tcPr>
            <w:tcW w:w="86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(0.91)%</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72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color w:val="auto"/>
              </w:rPr>
              <w:t>(3.33)%</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rPr>
              <w:t>(Dilution) Accretion to Stockholder</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Shares Held by Investor A</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500</w:t>
            </w:r>
          </w:p>
        </w:tc>
        <w:tc>
          <w:tcPr>
            <w:tcW w:w="8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8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4"/>
                <w:szCs w:val="14"/>
                <w:color w:val="auto"/>
              </w:rPr>
            </w:pPr>
          </w:p>
        </w:tc>
        <w:tc>
          <w:tcPr>
            <w:tcW w:w="96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72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Percentage Held by Investor A</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0.05%</w:t>
            </w:r>
          </w:p>
        </w:tc>
        <w:tc>
          <w:tcPr>
            <w:tcW w:w="8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line="162" w:lineRule="exact"/>
              <w:rPr>
                <w:sz w:val="20"/>
                <w:szCs w:val="20"/>
                <w:color w:val="auto"/>
              </w:rPr>
            </w:pPr>
            <w:r>
              <w:rPr>
                <w:rFonts w:ascii="Times New Roman" w:cs="Times New Roman" w:eastAsia="Times New Roman" w:hAnsi="Times New Roman"/>
                <w:sz w:val="15"/>
                <w:szCs w:val="15"/>
                <w:color w:val="auto"/>
              </w:rPr>
              <w:t>0.09%</w:t>
            </w:r>
          </w:p>
        </w:tc>
        <w:tc>
          <w:tcPr>
            <w:tcW w:w="8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0.17%</w:t>
            </w:r>
          </w:p>
        </w:tc>
        <w:tc>
          <w:tcPr>
            <w:tcW w:w="720" w:type="dxa"/>
            <w:vAlign w:val="bottom"/>
            <w:gridSpan w:val="2"/>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Total Asset Values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NAV Held by Investor A</w:t>
            </w:r>
          </w:p>
        </w:tc>
        <w:tc>
          <w:tcPr>
            <w:tcW w:w="220" w:type="dxa"/>
            <w:vAlign w:val="bottom"/>
            <w:gridSpan w:val="2"/>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4,988</w:t>
            </w:r>
          </w:p>
        </w:tc>
        <w:tc>
          <w:tcPr>
            <w:tcW w:w="8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9,909</w:t>
            </w:r>
          </w:p>
        </w:tc>
        <w:tc>
          <w:tcPr>
            <w:tcW w:w="8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19,333</w:t>
            </w:r>
          </w:p>
        </w:tc>
        <w:tc>
          <w:tcPr>
            <w:tcW w:w="720" w:type="dxa"/>
            <w:vAlign w:val="bottom"/>
            <w:gridSpan w:val="2"/>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Total Investment by Investor A (At Price to Public)</w:t>
            </w:r>
          </w:p>
        </w:tc>
        <w:tc>
          <w:tcPr>
            <w:tcW w:w="22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5,000</w:t>
            </w:r>
          </w:p>
        </w:tc>
        <w:tc>
          <w:tcPr>
            <w:tcW w:w="8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9,474</w:t>
            </w:r>
          </w:p>
        </w:tc>
        <w:tc>
          <w:tcPr>
            <w:tcW w:w="8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16,842</w:t>
            </w:r>
          </w:p>
        </w:tc>
        <w:tc>
          <w:tcPr>
            <w:tcW w:w="72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43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Total (Dilution) Accretion to Investor A (Total NAV Less Total</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Investment)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435</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2,491</w:t>
            </w: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Per Share Amounts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NAV per Share Held by Investor A</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9.98</w:t>
            </w:r>
          </w:p>
        </w:tc>
        <w:tc>
          <w:tcPr>
            <w:tcW w:w="8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9.91</w:t>
            </w:r>
          </w:p>
        </w:tc>
        <w:tc>
          <w:tcPr>
            <w:tcW w:w="860" w:type="dxa"/>
            <w:vAlign w:val="bottom"/>
            <w:gridSpan w:val="2"/>
            <w:shd w:val="clear" w:color="auto" w:fill="CCEEFF"/>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9.67</w:t>
            </w:r>
          </w:p>
        </w:tc>
        <w:tc>
          <w:tcPr>
            <w:tcW w:w="720" w:type="dxa"/>
            <w:vAlign w:val="bottom"/>
            <w:gridSpan w:val="2"/>
            <w:shd w:val="clear" w:color="auto" w:fill="CCEEFF"/>
          </w:tcPr>
          <w:p>
            <w:pPr>
              <w:ind w:left="2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62"/>
        </w:trPr>
        <w:tc>
          <w:tcPr>
            <w:tcW w:w="436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Investment per Share Held by Investor A</w:t>
            </w:r>
          </w:p>
        </w:tc>
        <w:tc>
          <w:tcPr>
            <w:tcW w:w="220" w:type="dxa"/>
            <w:vAlign w:val="bottom"/>
            <w:gridSpan w:val="2"/>
          </w:tcPr>
          <w:p>
            <w:pPr>
              <w:ind w:left="10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ind w:left="4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8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9.47</w:t>
            </w:r>
          </w:p>
        </w:tc>
        <w:tc>
          <w:tcPr>
            <w:tcW w:w="860" w:type="dxa"/>
            <w:vAlign w:val="bottom"/>
            <w:gridSpan w:val="2"/>
          </w:tcPr>
          <w:p>
            <w:pPr>
              <w:ind w:left="24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8.42</w:t>
            </w:r>
          </w:p>
        </w:tc>
        <w:tc>
          <w:tcPr>
            <w:tcW w:w="720" w:type="dxa"/>
            <w:vAlign w:val="bottom"/>
            <w:gridSpan w:val="2"/>
          </w:tcPr>
          <w:p>
            <w:pPr>
              <w:ind w:left="260"/>
              <w:spacing w:after="0" w:line="162" w:lineRule="exact"/>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43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5"/>
                <w:szCs w:val="15"/>
                <w:color w:val="auto"/>
              </w:rPr>
              <w:t>(Dilution) Accretion per Share Held by Investor A (NAV per</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Share Less Investment per Share)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(0.02)</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0.44</w:t>
            </w:r>
          </w:p>
        </w:tc>
        <w:tc>
          <w:tcPr>
            <w:tcW w:w="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1.25</w:t>
            </w: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w:t>
            </w:r>
          </w:p>
        </w:tc>
        <w:tc>
          <w:tcPr>
            <w:tcW w:w="0" w:type="dxa"/>
            <w:vAlign w:val="bottom"/>
          </w:tcPr>
          <w:p>
            <w:pPr>
              <w:spacing w:after="0"/>
              <w:rPr>
                <w:sz w:val="1"/>
                <w:szCs w:val="1"/>
                <w:color w:val="auto"/>
              </w:rPr>
            </w:pPr>
          </w:p>
        </w:tc>
      </w:tr>
      <w:tr>
        <w:trPr>
          <w:trHeight w:val="145"/>
        </w:trPr>
        <w:tc>
          <w:tcPr>
            <w:tcW w:w="4360" w:type="dxa"/>
            <w:vAlign w:val="bottom"/>
          </w:tcPr>
          <w:p>
            <w:pPr>
              <w:ind w:left="300"/>
              <w:spacing w:after="0" w:line="145" w:lineRule="exact"/>
              <w:rPr>
                <w:sz w:val="20"/>
                <w:szCs w:val="20"/>
                <w:color w:val="auto"/>
              </w:rPr>
            </w:pPr>
            <w:r>
              <w:rPr>
                <w:rFonts w:ascii="Times New Roman" w:cs="Times New Roman" w:eastAsia="Times New Roman" w:hAnsi="Times New Roman"/>
                <w:sz w:val="15"/>
                <w:szCs w:val="15"/>
                <w:color w:val="auto"/>
              </w:rPr>
              <w:t>Percentage (Dilution) Accretion to Investor A (Dilution per Share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6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Divided by Investment per Share)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ind w:left="440"/>
              <w:spacing w:after="0"/>
              <w:rPr>
                <w:sz w:val="20"/>
                <w:szCs w:val="20"/>
                <w:color w:val="auto"/>
              </w:rPr>
            </w:pPr>
            <w:r>
              <w:rPr>
                <w:rFonts w:ascii="Times New Roman" w:cs="Times New Roman" w:eastAsia="Times New Roman" w:hAnsi="Times New Roman"/>
                <w:sz w:val="15"/>
                <w:szCs w:val="15"/>
                <w:color w:val="auto"/>
              </w:rPr>
              <w:t>— </w:t>
            </w:r>
          </w:p>
        </w:tc>
        <w:tc>
          <w:tcPr>
            <w:tcW w:w="8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(0.24)%</w:t>
            </w:r>
          </w:p>
        </w:tc>
        <w:tc>
          <w:tcPr>
            <w:tcW w:w="8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— </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4.60%</w:t>
            </w:r>
          </w:p>
        </w:tc>
        <w:tc>
          <w:tcPr>
            <w:tcW w:w="80" w:type="dxa"/>
            <w:vAlign w:val="bottom"/>
          </w:tcPr>
          <w:p>
            <w:pPr>
              <w:spacing w:after="0"/>
              <w:rPr>
                <w:sz w:val="17"/>
                <w:szCs w:val="17"/>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color w:val="auto"/>
              </w:rPr>
              <w:t>— </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14.79%</w:t>
            </w: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93" w:right="4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DIVIDEND REINVESTMENT PLAN</w:t>
      </w:r>
    </w:p>
    <w:p>
      <w:pPr>
        <w:spacing w:after="0" w:line="22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provides for reinvestment of our distributions on behalf of our stockholders, unless a stockholder elects to receive cash as provided below.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w:t>
      </w:r>
    </w:p>
    <w:p>
      <w:pPr>
        <w:spacing w:after="0" w:line="180"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auto"/>
        </w:rPr>
        <w:t>No action is required on the part of a registered stockholder to have their cash distribution reinvested in shares of our common stock. A registered stockholder may elect to receive an entire distribution in cash by notifying Equiniti Trust Company, LLC, the plan administrator and our transfer agent and registrar, in writing so that such notice is received by the plan administrator no later than three days prior to the payment date for distributions to stockholders. The plan administrator will set up an account for shares acquired through the plan for each stockholder who has not elected to receive distributions in cash and hold such shares in non-certificated form. Upon request by a stockholder participating in the plan, received in writing not less than three days prior to the payment date, the plan administrator will, instead of crediting shares to and/or carrying shares in the participant’s account, issue a certificate registered in the participant’s name for the number of whole shares of our common stock and a check for any fractional share.</w:t>
      </w:r>
    </w:p>
    <w:p>
      <w:pPr>
        <w:spacing w:after="0" w:line="17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Those stockholders whose shares are held by a broker or other financial intermediary may receive distributions in cash by notifying their broker or other financial intermediary of their election.</w:t>
      </w:r>
    </w:p>
    <w:p>
      <w:pPr>
        <w:spacing w:after="0" w:line="162"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intend to use primarily newly issued shares to implement the plan, so long as our shares are trading at or above net asset value. If our shares are trading below net asset value, we intend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fixed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distribution cannot be established until the value per share at which additional shares will be issued has been determined and elections of our stockholders have been tabulated.</w:t>
      </w:r>
    </w:p>
    <w:p>
      <w:pPr>
        <w:spacing w:after="0" w:line="192"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There will be no brokerage charges or other charges to stockholders who participate in the plan.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 from the proceeds.</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Stockholders who receive distributions in the form of stock are subject to the same U.S. federal, state and local tax consequences as are stockholders who elect to receive their distributions in cash; however, since their cash distributions will be reinvested, such stockholders will not receive cash with which to pay any applicable taxes on reinvested distributions. A stockholder’s basis for determining gain or loss upon the sale of stock received in a distribution from us will be equal to the total dollar amount of the distribution payable to the stockholder. Any stock received in a distribution will have a new holding period for tax purposes commencing on the day following the day on which the shares are credited to the U.S. stockholder’s account.</w:t>
      </w:r>
    </w:p>
    <w:p>
      <w:pPr>
        <w:spacing w:after="0" w:line="185" w:lineRule="exact"/>
        <w:rPr>
          <w:sz w:val="20"/>
          <w:szCs w:val="20"/>
          <w:color w:val="auto"/>
        </w:rPr>
      </w:pPr>
    </w:p>
    <w:p>
      <w:pPr>
        <w:ind w:right="1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Participants may terminate their accounts under the plan by notifying the plan administrator via its website at </w:t>
      </w:r>
      <w:r>
        <w:rPr>
          <w:rFonts w:ascii="Times New Roman" w:cs="Times New Roman" w:eastAsia="Times New Roman" w:hAnsi="Times New Roman"/>
          <w:sz w:val="18"/>
          <w:szCs w:val="18"/>
          <w:i w:val="1"/>
          <w:iCs w:val="1"/>
          <w:color w:val="auto"/>
        </w:rPr>
        <w:t>www.amstock.com</w:t>
      </w:r>
      <w:r>
        <w:rPr>
          <w:rFonts w:ascii="Times New Roman" w:cs="Times New Roman" w:eastAsia="Times New Roman" w:hAnsi="Times New Roman"/>
          <w:sz w:val="18"/>
          <w:szCs w:val="18"/>
          <w:color w:val="auto"/>
        </w:rPr>
        <w:t xml:space="preserve"> or by filling out the transaction request form located at bottom of their statement and sending it to Equiniti Trust Company, LLC, Post Office Box 922, Wall Street Station, New York, New York 10269-0560 or by calling the plan administrator’s Interactive Voice Response System at 1-877-573-4005.</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93" w:right="459" w:bottom="1440" w:gutter="0" w:footer="0" w:header="0"/>
        </w:sectPr>
      </w:pPr>
    </w:p>
    <w:bookmarkStart w:id="64" w:name="page65"/>
    <w:bookmarkEnd w:id="64"/>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plan may be terminated by us upon notice in writing mailed to each participant at least 30 days prior to any record date for the payment of any distribution by us. All correspondence concerning the plan should be directed to the plan administrator by mail or phone at the address and phone number noted above.</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you withdraw or the plan is terminated, you will receive the number of whole shares in your account under the plan and a cash adjustment for any fractional shares in your account.</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distribution reinvestment may be effected on different terms than those described above. Consult your financial advisor for more information.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97" w:right="459" w:bottom="1440" w:gutter="0" w:footer="0" w:header="0"/>
        </w:sectPr>
      </w:pPr>
    </w:p>
    <w:bookmarkStart w:id="65" w:name="page66"/>
    <w:bookmarkEnd w:id="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U.S. FEDERAL INCOME TAX CONSIDERATIONS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federal income tax considerations applicable to us and to an investment in shares of our common stock. This summary does not purport to be a complete description of the income tax considerations applicable to us or to investors in such an investment.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financial institutions,</w:t>
      </w:r>
    </w:p>
    <w:p>
      <w:pPr>
        <w:spacing w:after="0" w:line="3"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U.S. stockholders (as defined below) whose functional currency is not the U.S. dollar, persons who mark-to-market our shares, persons who hold our shares as part of a “straddle,” “hedge” or “conversion” transaction, U.S. expatriates, regulated investment companies, real estate investment trusts, personal holding companies, persons required to accelerate the recognition of gross income as a result of such income being recognized on an applicable financial statement, and persons who acquire an interest in the Company in connection with the performance of services. Such persons should consult with their own tax advisers as to the U.S. federal income tax consequences of an investment in our common stock, which may differ substantially from those described herein. This summary assumes that investors hold shares of our common stock as capital assets (within the meaning of the Code). The discussion is based upon the Code, U.S. Department of Treasury regulations, (“Treasury Regulations”), and administrative and judicial interpretations, each as of the date of this prospectus and all of which are subject to change, possibly retroactively, which could affect the continuing validity of this discussion. We have not sought and do not intend to seek any ruling from the Internal Revenue Service, or the IRS, regarding any offer and sale of our securities under this prospectus.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8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For purposes of our discussion, a “U.S. stockholder” means a beneficial owner of shares of our common stock that is for U.S. federal income tax purposes:</w:t>
      </w:r>
    </w:p>
    <w:p>
      <w:pPr>
        <w:spacing w:after="0" w:line="67" w:lineRule="exact"/>
        <w:rPr>
          <w:sz w:val="20"/>
          <w:szCs w:val="20"/>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created or organized in or under the laws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is able to exercise primary supervision over the administration of such trust and one or more U.S. persons have the authority to control all substantial decisions of the trust or (2) it has a valid election in place to be treated as a U.S. person.</w:t>
      </w:r>
    </w:p>
    <w:p>
      <w:pPr>
        <w:spacing w:after="0" w:line="162" w:lineRule="exact"/>
        <w:rPr>
          <w:sz w:val="20"/>
          <w:szCs w:val="20"/>
          <w:color w:val="auto"/>
        </w:rPr>
      </w:pPr>
    </w:p>
    <w:p>
      <w:pPr>
        <w:ind w:right="1080" w:firstLine="440"/>
        <w:spacing w:after="0" w:line="282" w:lineRule="auto"/>
        <w:rPr>
          <w:sz w:val="20"/>
          <w:szCs w:val="20"/>
          <w:color w:val="auto"/>
        </w:rPr>
      </w:pPr>
      <w:r>
        <w:rPr>
          <w:rFonts w:ascii="Times New Roman" w:cs="Times New Roman" w:eastAsia="Times New Roman" w:hAnsi="Times New Roman"/>
          <w:sz w:val="18"/>
          <w:szCs w:val="18"/>
          <w:color w:val="auto"/>
        </w:rPr>
        <w:t>For purposes of our discussion, a “Non-U.S. stockholder” means a beneficial owner of shares of our common stock that is neither a U.S. stockholder nor a partnership (including an entity or arrangement treated as a partnership for U.S. federal income tax purposes).</w:t>
      </w:r>
    </w:p>
    <w:p>
      <w:pPr>
        <w:spacing w:after="0" w:line="162"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shares of our common stock, the tax treatment of a partner or member of the partnership will generally depend upon the status of the partner and the activities of the partnership. Each partner in a partnership that is considering acquiring shares of our common stock should consult his, her or its tax advisors with respect to the purchase, ownership and disposition of shares of our common stock.</w:t>
      </w:r>
    </w:p>
    <w:p>
      <w:pPr>
        <w:spacing w:after="0" w:line="180"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80"/>
          </w:cols>
          <w:pgMar w:left="440" w:top="293"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Taxation in Connection with Holding Securities other than our Common Stock</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subscription rights, debt securities, or warrants to purchase our common stock, preferred stock or debt securities, the U.S. federal income tax considerations applicable to such securities as will be sold by us pursuant to that prospectus supplement, including the taxation of any debt securities that will be sold at an original issue discount, and the tax treatment of sales, exchanges or retirements of our debt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to be Taxed as a RIC</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As a RIC, we generally will not be subject to U.S. federal income tax on any income that we timely distribute to our stockholders. To maintain our tax status as a RIC, we must, among other things, meet certain source-of-income and asset diversification requirements (as described below). In addition, in order to maintain our tax treatment as a RIC, we generally must distribute to our stockholders, for each taxable year, at least 90% of our “investment company taxable income,” which is generally our net ordinary income plus the excess, if any, of realized net short-term capital gain over realized net long-term capital loss, or the Annual Distribution Requirement. Depending on the level of taxable income earned in a tax year, we may choose to carry forward taxable income in excess of current year distributions into the next tax year and pay a 4% nondeductible U.S. federal excise tax on such income. In such case, we must distribute any such carryover taxable income through a distribution declared prior to filing the final tax return for the year in which we generated such taxable income. Even if we maintain our status as a RIC, we generally will be subject to U.S. federal income tax imposed at corporate rates on our undistributed taxable income and could be subject to U.S. federal excise, state, local and foreign taxes.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Provided that we maintain our status as a RIC and satisfy the Annual Distribution Requirement, we will not be subject to U.S. federal income tax on the portion of our investment company taxable income and net capital gain (which is defined as net long-term capital gain in excess of net short-term capital loss) that we timely distribute to stockholders as dividends. We will be subject to U.S. federal income tax at the regular corporate rates on any income or capital gain not distributed (or deemed distributed) to our stockholders.</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will be subject to a 4% nondeductible U.S. federal excise tax on certain undistributed income unless we distribute in a timely manner an amount at least equal to the sum of (1) 98% of our investment company taxable income for each calendar year, (2) 98.2% of our capital gain net income for the one-year period ending October 31 in that calendar year (or, if we so elect, for that calendar year) and (3) any income and net capital gains that we recognized in preceding years, but were not distributed during such years, and on which we paid no U.S. federal income tax.</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order to maintain our status as a RIC for U.S. federal income tax purposes, we must, among other things:</w:t>
      </w:r>
    </w:p>
    <w:p>
      <w:pPr>
        <w:spacing w:after="0" w:line="131" w:lineRule="exact"/>
        <w:rPr>
          <w:sz w:val="20"/>
          <w:szCs w:val="20"/>
          <w:color w:val="auto"/>
        </w:rPr>
      </w:pPr>
    </w:p>
    <w:p>
      <w:pPr>
        <w:ind w:left="960" w:right="220" w:hanging="424"/>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qualify as a BDC or be registered as a management investment company under the 1940 Act at all times during each taxable year;</w:t>
      </w:r>
    </w:p>
    <w:p>
      <w:pPr>
        <w:spacing w:after="0" w:line="67" w:lineRule="exact"/>
        <w:rPr>
          <w:rFonts w:ascii="Times New Roman" w:cs="Times New Roman" w:eastAsia="Times New Roman" w:hAnsi="Times New Roman"/>
          <w:sz w:val="18"/>
          <w:szCs w:val="18"/>
          <w:color w:val="auto"/>
        </w:rPr>
      </w:pPr>
    </w:p>
    <w:p>
      <w:pPr>
        <w:ind w:left="960" w:right="40" w:hanging="424"/>
        <w:spacing w:after="0" w:line="261"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or other disposition of stock or other securities or foreign currencies, other income derived with respect to our business of investing in such stock, securities or currencies and net income derived from an interest in a “qualified publicly traded partnership” (as defined in Subchapter M of the Code), or the 90% Income Test;</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Annual Distribution Requirement;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so that at the end of each quarter of the taxable year:</w:t>
      </w:r>
    </w:p>
    <w:p>
      <w:pPr>
        <w:spacing w:after="0" w:line="130" w:lineRule="exact"/>
        <w:rPr>
          <w:rFonts w:ascii="Times New Roman" w:cs="Times New Roman" w:eastAsia="Times New Roman" w:hAnsi="Times New Roman"/>
          <w:sz w:val="18"/>
          <w:szCs w:val="18"/>
          <w:color w:val="auto"/>
        </w:rPr>
      </w:pPr>
    </w:p>
    <w:p>
      <w:pPr>
        <w:ind w:left="1420" w:right="180" w:hanging="331"/>
        <w:spacing w:after="0" w:line="282" w:lineRule="auto"/>
        <w:tabs>
          <w:tab w:leader="none" w:pos="14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80"/>
          </w:cols>
          <w:pgMar w:left="440" w:top="293" w:right="479" w:bottom="1440" w:gutter="0" w:footer="0" w:header="0"/>
        </w:sectPr>
      </w:pPr>
    </w:p>
    <w:bookmarkStart w:id="67" w:name="page68"/>
    <w:bookmarkEnd w:id="67"/>
    <w:p>
      <w:pPr>
        <w:ind w:left="1420"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do not represent more than 5% of the value of our assets or more than 10% of the outstanding voting securities of the issuer (which for these purposes includes the equity securities of a “qualified publicly traded partnership”); and</w:t>
      </w:r>
    </w:p>
    <w:p>
      <w:pPr>
        <w:spacing w:after="0" w:line="67" w:lineRule="exact"/>
        <w:rPr>
          <w:sz w:val="20"/>
          <w:szCs w:val="20"/>
          <w:color w:val="auto"/>
        </w:rPr>
      </w:pPr>
    </w:p>
    <w:p>
      <w:pPr>
        <w:ind w:left="1420" w:right="240" w:hanging="331"/>
        <w:spacing w:after="0" w:line="261" w:lineRule="auto"/>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(i) the securities, other than U.S. Government securities or securities of other RICs, of one issuer (ii) the securities, other than securities of other RICs, of two or more issuers that are controlled, as determined under applicable tax rules, by us and that are engaged in the same or similar or related trades or businesses or (iii) the securities of one or more “qualified publicly traded partnerships,” or the Diversification Tests.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we invest in entities treated as partnerships for U.S. federal income tax purposes (other than a “qualified publicly traded partnership”), we generally must include our allocable share of the items of gross income derived by the partnerships for purposes of the 90% Income Test, and the income that is derived from a partnership (other than, a “qualified publicly traded partnership”) will be treated as qualifying income for purposes of the 90% Income Test only to the extent that such income is attributable to items of income of the partnership which would be qualifying income if realized by us directly. In addition, we generally must take into account our proportionate share of the assets held by partnerships (other than a “qualified publicly traded partnership”) in which we are a partner for purposes of the Diversification Tests.</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In order to meet the 90% Income Test, we have established several special purpose corporations, and in the future may establish additional such corporations, to hold assets from which we do not anticipate earning dividends, interest or other qualifying income under the 90% Income Test (the “Taxable Subsidiaries”). Any investments held through the Taxable Subsidiaries are generally subject to U.S. federal income tax imposed at corporate rates, and therefore we can expect to achieve a reduced after-tax yield on such investments.</w:t>
      </w:r>
    </w:p>
    <w:p>
      <w:pPr>
        <w:spacing w:after="0" w:line="180"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a corresponding payment in cash. For example, if we hold debt instruments that are treated under applicable tax rules as having OID or debt instruments with PIK interest, we must include in income each year a portion of the OID that accrues over the life of the instrument and PIK interest, regardless of whether cash representing such income is received by us in the same taxable year. We may also have to include in income other amounts that we have not yet received in cash, such as deferred loan origination fees that are paid after origination of the loan or are paid in non-cash compensation such as warrants or stock. We anticipate that a portion of our income may constitute OID or other income required to be included in taxable income prior to our receipt of cash.</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Because any OID or other amounts accrued will be included in our investment company taxable income for the year of the accrual, we may be required to make a distribution to our stockholders in order to satisfy the Annual Distribution Requirement, even though we will not have received any corresponding cash amount. As a result, we may have difficulty meeting the Annual Distribution Requirement. We may have to sell some of our investments at times and/or at prices we would not consider advantageous, raise additional debt or equity capital or forgo new investment opportunities for this purpose. If we are not able to obtain cash from other sources, we may fail to qualify for RIC tax treatment and thus become subject to U.S. federal income tax.</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62"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Investments by us in non-U.S. securities may be subject to non-U.S. income, withholding and other taxes, and therefore, our yield on any such securities may be reduced by such non-U.S. taxes. Stockholders will generally not be entitled to claim a credit or deduction with respect to non-U.S. taxes paid by us.</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Although we do not presently expect to do so, we are authorized to borrow funds and to sell assets in order to satisfy the Annual Distribution Requirement and the 4% U.S. federal excise tax. However, under the 1940 Act,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97" w:right="479" w:bottom="1440" w:gutter="0" w:footer="0" w:header="0"/>
        </w:sectPr>
      </w:pPr>
    </w:p>
    <w:bookmarkStart w:id="68" w:name="page69"/>
    <w:bookmarkEnd w:id="68"/>
    <w:p>
      <w:pPr>
        <w:ind w:left="4"/>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are not permitted to make distributions to our stockholders while our debt obligations and other senior securities are outstanding unless certain “asset coverage” tests are met. See “Regulation — Qualifying Assets” and “Regulation — Senior Securities.” Moreover, our ability to dispose of assets to satisfy the Annual Distribution Requirement and to avoid corporate-level U.S. federal income tax and the 4% U.S. federal excise tax may be limited by</w:t>
      </w:r>
    </w:p>
    <w:p>
      <w:pPr>
        <w:spacing w:after="0" w:line="2" w:lineRule="exact"/>
        <w:rPr>
          <w:sz w:val="20"/>
          <w:szCs w:val="20"/>
          <w:color w:val="auto"/>
        </w:rPr>
      </w:pPr>
    </w:p>
    <w:p>
      <w:pPr>
        <w:ind w:left="4" w:right="220" w:hanging="4"/>
        <w:spacing w:after="0" w:line="255"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illiquid nature of our portfolio and (2) other requirements relating to our status as a RIC, including the Diversification Tests. If we dispose of assets in order to meet the Annual Distribution Requirement or to avoid corporate-level U.S. federal income tax or the 4% U.S. federal excise tax, we may make such dispositions at times that, from an investment standpoint, are not advantageous.</w:t>
      </w:r>
    </w:p>
    <w:p>
      <w:pPr>
        <w:spacing w:after="0" w:line="186"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A RIC is limited in its ability to deduct expenses in excess of its “investment company taxable income.” If our expenses in a given year exceed investment company taxable income, we would experience a net operating loss for that year. As a RIC, we are not allowed to carry forward or carry back a net operating loss for purposes of computing our investment company taxable income in other taxable years. U.S. federal income tax law generally permits a RIC to carry forward its capital losses. However, future transactions in which we may engage could cause our ability to use any capital loss carryforwards, and unrealized losses once realized, to be limited under Section 382 of the Code.</w:t>
      </w:r>
    </w:p>
    <w:p>
      <w:pPr>
        <w:spacing w:after="0" w:line="183"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Certain of our investment practices may be subject to special and complex U.S. federal income tax provisions that may, among other things,</w:t>
      </w:r>
    </w:p>
    <w:p>
      <w:pPr>
        <w:spacing w:after="0" w:line="27" w:lineRule="exact"/>
        <w:rPr>
          <w:sz w:val="20"/>
          <w:szCs w:val="20"/>
          <w:color w:val="auto"/>
        </w:rPr>
      </w:pPr>
    </w:p>
    <w:p>
      <w:pPr>
        <w:ind w:left="4" w:right="20" w:hanging="4"/>
        <w:spacing w:after="0" w:line="252" w:lineRule="auto"/>
        <w:tabs>
          <w:tab w:leader="none" w:pos="2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disallow, suspend or otherwise limit the allowance of certain losses or deductions, (ii) convert lower taxed long-term capital gain and qualified dividend income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be qualifying income for purposes of the 90% Income Test. We will monitor our transactions and may make certain tax elections in order to mitigate the effect of these provisions.</w:t>
      </w:r>
    </w:p>
    <w:p>
      <w:pPr>
        <w:spacing w:after="0" w:line="190" w:lineRule="exact"/>
        <w:rPr>
          <w:sz w:val="20"/>
          <w:szCs w:val="20"/>
          <w:color w:val="auto"/>
        </w:rPr>
      </w:pPr>
    </w:p>
    <w:p>
      <w:pPr>
        <w:ind w:left="4" w:right="140" w:firstLine="440"/>
        <w:spacing w:after="0" w:line="252" w:lineRule="auto"/>
        <w:rPr>
          <w:sz w:val="20"/>
          <w:szCs w:val="20"/>
          <w:color w:val="auto"/>
        </w:rPr>
      </w:pPr>
      <w:r>
        <w:rPr>
          <w:rFonts w:ascii="Times New Roman" w:cs="Times New Roman" w:eastAsia="Times New Roman" w:hAnsi="Times New Roman"/>
          <w:sz w:val="18"/>
          <w:szCs w:val="18"/>
          <w:color w:val="auto"/>
        </w:rPr>
        <w:t>We may make distributions that are payable in cash or shares of our stock at the election of each stockholder. In accordance with Treasury regulations and published guidance issued by the Internal Revenue Service, a publicly offered RIC may treat distributions of its own stock as counting towards its RIC distribution requirements if each stockholder may elect to receive his, her, or its entire distribution in either cash or stock of the RIC. The Internal Revenue Procedure has published guidance indicating that this rule will apply where the aggregate amount of cash available to be distributed to all stockholders is not less than 20% of the aggregate declared distribution. Under the published guidance, if too many stockholders elect to receive their distributions in cash, the cash available for distribution must be allocated among the stockholders electing to receive cash (with the balance of the distribution paid in stock). If we decide to make any distributions that are payable in part in shares of our stock, U.S. stockholders receiving such distributions will be required to include the full amount of the distribution (whether received in cash, shares of our stock, or a combination thereof) as ordinary income (or as long-term capital gain to the extent such distribution is properly reported as a capital gain dividend) to the extent of our current and accumulated earnings and profits. As a result, a U.S. stockholder may be required to pay tax with respect to such distributions in excess of any cash received. If a U.S. stockholder sells the stock it receives in order to pay this tax, the sales proceeds may be less than the amount included in income with respect to the distribution, depending on the market price of our stock at the time of the sale. Furthermore, with respect to Non-U.S. stockholders, we may be required to withhold U.S. federal tax with respect to such distributions, including in respect of all or a portion of such distributions that are payable in stock. In addition, if a significant number of our stockholders determine to sell shares of our stock in order to pay taxes owed on such distributions, it may put downward pressure on the trading price of shares of our stock.</w:t>
      </w:r>
    </w:p>
    <w:p>
      <w:pPr>
        <w:spacing w:after="0" w:line="3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Failure To Obtain RIC Tax Treatment</w:t>
      </w:r>
    </w:p>
    <w:p>
      <w:pPr>
        <w:spacing w:after="0" w:line="12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U.S. federal taxes or to dispose of certain assets).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97" w:right="479" w:bottom="1440" w:gutter="0" w:footer="0" w:header="0"/>
        </w:sectPr>
      </w:pPr>
    </w:p>
    <w:bookmarkStart w:id="69" w:name="page70"/>
    <w:bookmarkEnd w:id="69"/>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If we were unable to maintain our tax treatment as a RIC, we would be subject to U.S. federal income tax on all of our taxable income imposed at corporate rates. We would not be able to deduct distributions to stockholders, nor would distributions be compulsory. Distributions would generally be taxable to our stockholders as dividend income to the extent of our current and accumulated earnings and profits. Subject to certain holding period and other limitations under Subchapter M of the Code, corporate distributees would be eligible for the dividends-received deduction;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adjusted tax basis, and any remaining distributions would be treated as a capital gain.</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In order to requalify as a RIC, in addition to the other requirements discussed above, we would be required to distribute all of our previously undistributed earnings attributable to the period we failed to qualify as a RIC by the end of the first year that we intend to requalify as a RIC. If we fail to qualify as a RIC for two or more taxable years, to qualify as a RIC in a subsequent year we may be subject to U.S. federal income tax on any net built-in gains with respect to certain of our assets (i.e., the excess of the aggregate gains, including items of income, over aggregate losses that would have been realized with respect to such assets if we had been liquidated) that we elect to recognize on requalification or when recognized over the next five years.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Whether an investment in shares of our common stock is appropriate for a U.S. stockholder will depend upon that person’s particular circumstances. An investment in shares of our common stock by a U.S. stockholder may have adverse tax consequences. The following summary generally describes certain U.S. federal income tax consequences of an investment in shares of our common stock by taxable U.S. stockholders. Prospective investors should consult their own tax advisors before making an investment in our common stock.</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Distributions by us generally are taxable to U.S. stockholders as ordinary income or capital gain. Distributions of our “investment company taxable income” (which is, generally, our ordinary income excluding net capital gain) will be taxable as ordinary income to U.S. stockholders to the extent of our current or accumulated earnings and profits, whether paid in cash or reinvested in additional common stock. To the extent such distributions paid by us to noncorporate U.S. stockholders (including individuals) are attributable to dividends from U.S. corporations and certain qualified foreign corporations, such distributions generally will be eligible for taxation at rates applicable to “qualifying dividends” (at a maximum tax rate of 20%) provided that we properly report such distribution as “qualified dividend income” in a written statement furnished to our stockholders and certain holding period and other requirements are satisfied. In this regard, it is not anticipated that a significant portion of distributions paid by us will be attributable to qualifying dividends; therefore, our distributions generally will not qualify for the preferential rates applicable to qualified dividend income. Distributions of our net capital gain (which is generally our net long-term capital gain in excess of net short-term capital loss) properly designated by us as “capital gain dividends” will be taxable to a U.S. stockholder as long-term capital gain (at a maximum rate of 20% in the case of individuals, trusts or estates), regardless of the U.S. stockholder’s holding period for his, her or its common stock and regardless of whether paid in cash or reinvested in additional common stock. Distributions in excess of our current and accumulated earnings and profits first will reduce a</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U.S. stockholder’s adjusted tax basis in such stockholder’s common stock and, after the adjusted basis is reduced to zero, will constitute capital gain to such U.S. stockholder.</w:t>
      </w:r>
    </w:p>
    <w:p>
      <w:pPr>
        <w:spacing w:after="0" w:line="18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In order to satisfy the Annual Distribution Requirement we intend to distribute any long-term capital gain at least annually; however, we may in the future decide to retain some or all of our long-term capital gain, but designate the retained amount as a “deemed distribution.” In that case, among other consequences, we will pay tax on the retained amount, each U.S. stockholder will be required to include his, her or its proportionate share of the deemed distribution in income as if it had been actually distributed to the U.S. stockholder, and the U.S. stockholder will be entitled to claim a credit equal to his, her or its allocable share of the tax paid thereon by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97" w:right="479" w:bottom="1440" w:gutter="0" w:footer="0" w:header="0"/>
        </w:sectPr>
      </w:pPr>
    </w:p>
    <w:bookmarkStart w:id="70" w:name="page71"/>
    <w:bookmarkEnd w:id="7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us. The amount of the deemed distribution net of such tax will be added to the U.S. stockholder’s adjusted tax basis for his, her or its common stock. Since we expect to pay tax on any retained capital gain at our regular corporate tax rate, and since that rate is in excess of the maximum rate currently payable by individuals on net capital gain,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We cannot treat any of our investment company taxable income as a “deemed distribution.”</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any dividend declared by us in October, November or December of any calendar year, payable to stockholders of record on a specified date in any such month and actually paid during January of the following year, will be treated as if it had been received by our U.S. stockholders on December 31 of the year in which the dividend was declared.</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it represents a return of his, her or its investment.</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A U.S. stockholder generally will recognize taxable gain or loss if the stockholder sells or otherwise disposes of his, her or its shares of our common stock. The amount of gain or loss will be measured by the difference between such stockholder’s adjusted tax basis in the common stock sold and the amount of the proceeds received in exchange. Any gain arising from such sale or disposition generally will be treated as long-term capital gain or loss if the stockholder has held his, her or its shares for more than one year. Otherwise, it will be classified as short-term capital gain or loss. However, any capital loss arising from the sale or disposition of shares of our common stock held for six months or less will be treated as long-term capital loss to the extent of the amount of capital gain dividends received, or undistributed capital gain deemed received, with respect to such shares. In addition, all or a portion of any loss recognized upon a disposition of shares of our common stock may be disallowed if other substantially identical shares are purchased (whether through reinvestment of distributions or otherwise) within a 61-day period beginning 30 days before and ending 30 days after the date that the shares are disposed. The ability to otherwise deduct capital loss may be subject to other limitations under the Code.</w:t>
      </w:r>
    </w:p>
    <w:p>
      <w:pPr>
        <w:spacing w:after="0" w:line="18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general, noncorporate U.S. stockholders, including individuals, trusts and estates, are subject to U.S. federal income tax (at a maximum rate of 20%) on their net capital gain, or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U.S. federal income tax on net capital gain at the maximum 21% rate also applied to ordinary income. Noncorporate stockholders with net capital loss for a year (which we define as capital loss in excess of capital gain) generally may deduct up to $3,000 of such losses against their ordinary income each year; any net capital loss of a noncorporate stockholder in excess of $3,000 generally may be carried forward and used in subsequent years as provided in the Code. Corporate stockholders generally may not deduct any net capital loss for a year, but may carry forward such losses for five years.</w:t>
      </w:r>
    </w:p>
    <w:p>
      <w:pPr>
        <w:spacing w:after="0" w:line="19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Certain U.S. stockholders who are individuals, estates or trusts generally will be subject to a 3.8% Medicare tax on, among other things, dividends on, and capital gain from the sale or other disposition of shares, of our common stock.</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A “publicly offered” RIC is a RIC whose shares are either (i) continuously offered pursuant to a public offering, (ii) regularly traded on an established securities market or (iii) held by at least 500 persons at all times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97" w:right="459" w:bottom="1440" w:gutter="0" w:footer="0" w:header="0"/>
        </w:sectPr>
      </w:pPr>
    </w:p>
    <w:bookmarkStart w:id="71" w:name="page72"/>
    <w:bookmarkEnd w:id="7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during the taxable year. If we are not a publicly offered RIC for any period, a noncorporate stockholder’s pro rata portion of our affected expenses, including our management fees, will be treated as an additional distribution to the stockholder and will be deductible by such stockholder only to the extent permitted under the limitations described below. For noncorporate stockholders, including individuals, trusts, and estates, significant limitations generally apply to the deductibility of certain expenses of a nonpublicly offered RIC, including advisory fees. In particular, these expenses, referred to as miscellaneous itemized deductions, are deductible only to individuals to the extent they exceed 2% of such a stockholder’s adjusted gross income, and are not deductible for AMT purposes. Because we anticipate that shares of our common stock will continue to be regularly traded on an established securities market, we believe that we will continue to qualify as a publicly offered RIC, for our current taxable year, but there can be no assurance that we will in fact so qualify for any of our taxable years.</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written statement detailing, on a per share and per distribution basis, the amounts includible in such U.S. stockholder’s taxable income for such year as ordinary income and as long-term capital gain. In addition, the U.S. federal income tax status of each year’s distributions generally will be reported to the IRS (including the amount of dividends, if any, eligible for the current 20% maximum rate). Distributions may also be subject to additional state, local and foreign taxes depending on a U.S. stockholder’s particular situation.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may be required to withhold U.S. federal income tax, or backup withholding, from all taxable distributions to any noncorporate</w:t>
      </w:r>
    </w:p>
    <w:p>
      <w:pPr>
        <w:spacing w:after="0" w:line="27"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8"/>
          <w:szCs w:val="18"/>
          <w:color w:val="auto"/>
        </w:rPr>
        <w:t>U.S. stockholder (1) who fails to furnish us with a correct taxpayer identification number or a certificate that such stockholder is exempt from backup withholding or (2) with respect to whom the IRS notifies us that such stockholder has failed to properly report certain interest and dividend income to the IRS and to respond to notices to that effect. An individual’s taxpayer identification number is generally his or her social security number. Backup withholding tax is not an additional tax, and any amount withheld may be refunded or credited against the U.S. stockholder’s U.S. federal income tax liability, provided that proper information is timely provided to the IRS.</w:t>
      </w:r>
    </w:p>
    <w:p>
      <w:pPr>
        <w:spacing w:after="0" w:line="187"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Under applicable Treasury Regulations, if a stockholder recognizes a loss with respect to shares of our stock of $2 million or more for an individual, S corporation, trust, or a partnership with at least one noncorporate partner or $10 million or more for a stockholder that is either a corporation or a partnership with only corporate partners in any single taxable year (or a greater loss over a combination of years), the stockholder must comply with the appropriate disclosure requirements. Direct stockholders of portfolio securities in many cases are excepted from this reporting requirement, but under current guidance, stockholders of a RIC are not excepted. Future guidance may extend the current exception from this reporting requirement to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Stockholders should consult their own tax advisors to determine the applicability of these regulations in light of their individual circumstances.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Distributions of our “investment company taxable income” to Non-U.S. stockholders (including interest income and realized net short-term capital gains in excess of realized long-term capital losses) will be subject to U.S. withholding tax imposed at a rate of 30% (or lower rate provided by an applicable treaty) to the extent of our current and accumulated earnings and profits unless an applicable exception applies. No withholding is required with respect to certain distributions if (i) the distributions are properly reported as “interest-related dividends” or “short-term capital gain dividends,” (ii) the distributions are derived from sources specified in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97" w:right="459" w:bottom="1440" w:gutter="0" w:footer="0" w:header="0"/>
        </w:sectPr>
      </w:pPr>
    </w:p>
    <w:bookmarkStart w:id="72" w:name="page73"/>
    <w:bookmarkEnd w:id="72"/>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Code for such dividends and (iii) certain other requirements are satisfied. No assurance can be provided as to whether any of our distributions will be reported as eligible for this exemption. If the distributions are effectively connected with a U.S. trade or business of the Non-U.S. stockholder (and if an income tax treaty applies, such distributions are attributable to a permanent establishment maintained by the Non-U.S. stockholder within the United States), we will not be required to withhold U.S. federal tax if the Non-U.S. stockholder complies with applicable certification and disclosure requirements. (Special certification requirements apply to a Non-U.S. stockholder that is a foreign partnership or a foreign trust, and such entities are urged to consult their own tax advisers.)</w:t>
      </w:r>
    </w:p>
    <w:p>
      <w:pPr>
        <w:spacing w:after="0" w:line="187"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Actual or deemed distributions of our net capital gain to a Non-U.S. stockholder, and gain realized by a Non-U.S. stockholder upon the sale of our common stock, that are not effectively connected with a U.S. trade or business carried on by the Non-U.S. stockholder (and if an income tax treaty applies, such distributions or gains are attributable to a permanent establishment maintained by the Non-U.S. stockholder within the United States), will generally not be subject to U.S. federal income tax.</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Under our reinvestment of dividends policy, if a Non-U.S. stockholder owns shares of our common stock registered in its own name, the Non-U.S. stockholder will have all cash distributions automatically reinvested in additional shares of our common stock unless it opts out of the reinvestment of dividends. If the distribution is a distribution of our investment company taxable income, is not designated by us as a short-term capital gains dividend or interest-related dividend and it is not effectively connected with a U.S. trade or business of the Non-U.S. stockholder (or, if required by an applicable income tax treaty, is not attributable to a U.S. permanent establishment maintained by the Non-U.S. stockholder within the United States), the amount distributed (to the extent of our current or accumulated earnings and profits) will be subject to withholding of U.S. federal income tax imposed at a rate of 30% (or lower rate provided by an applicable treaty) and only the net after-tax amount will be reinvested in our common stock. The Non-U.S. stockholder will have an adjusted tax basis in the additional common stock purchased through the reinvestment equal to the amount reinvested. The additional shares will have a new holding period commencing on the day following the day on which the shares are credited to the Non-U.S. stockholder’s account.</w:t>
      </w:r>
    </w:p>
    <w:p>
      <w:pPr>
        <w:spacing w:after="0" w:line="194"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tax consequences to Non-U.S. stockholders that are individuals that are present in the U.S. for 183 days or more during a taxable year may be different from those described herein. Non-U.S. stockholders are urged to consult their tax advisers with respect to the procedure for claiming the benefit of a lower treaty rate and the applicability of foreign taxes.</w:t>
      </w:r>
    </w:p>
    <w:p>
      <w:pPr>
        <w:spacing w:after="0" w:line="176"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If we distribute our net capital gain in the form of deemed rather than actual distributions (which we may do in the future), a Non-U.S. stockholder will be entitled to a U.S. federal income tax credit or tax refund equal to the stockholder’s allocable share of the tax we pay on the capital gain deemed to have been distributed. In order to obtain the refund, the Non-U.S. stockholder must obtain a U.S. taxpayer identification number and file a</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U.S. federal income tax return even if the Non-U.S. stockholder would not otherwise be required to obtain a U.S. taxpayer identification number or file a U.S. federal income tax return. Accordingly, investment in the shares may not be appropriate for a Non-U.S. stockholder.</w:t>
      </w:r>
    </w:p>
    <w:p>
      <w:pPr>
        <w:spacing w:after="0" w:line="18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Distributions of our “investment company taxable income” and net capital gain (including deemed distributions) to Non-U.S. stockholders, and gain realized by Non-U.S. stockholders upon the sale of our common stock that is “effectively connected” with a U.S. trade or business carried on by the Non-U.S. stockholder (or if an income tax treaty applies, attributable to a “permanent establishment” in the United States), will be subject to</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U.S. federal income tax at the graduated rates applicable to U.S. citizens, residents and domestic corporations. Corporate Non-U.S. stockholders may also be subject to an additional branch profits tax at a rate of 30% imposed by the Code (or lower rate provided by an applicable treaty).</w:t>
      </w:r>
    </w:p>
    <w:p>
      <w:pPr>
        <w:spacing w:after="0" w:line="18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tax consequences to a Non-U.S. stockholder entitled to claim the benefits of an applicable tax treaty may differ from those described herein. Non-U.S. stockholders are advised to consult their own tax advisers with respect to the particular tax consequences to them of an investment in our shares.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97" w:right="459" w:bottom="1440" w:gutter="0" w:footer="0" w:header="0"/>
        </w:sectPr>
      </w:pPr>
    </w:p>
    <w:bookmarkStart w:id="73" w:name="page74"/>
    <w:bookmarkEnd w:id="73"/>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must generally report to our Non-U.S. stockholders and the IRS the amount of dividends paid during each calendar year and the amount of any tax withheld. Information reporting requirements may apply even if no withholding was required because the distributions were effectively connected with the Non-U.S. stockholder’s conduct of a U.S. trade or business or withholding was reduced or eliminated by an applicable income tax treaty. This information also may be made available under a specific treaty or agreement with the tax authorities in the country in which the Non-U.S. stockholder resides or is established. Under U.S. federal income tax law, interest, dividends and other reportable payments may, under certain circumstances, be subject to “backup withholding” at the then applicable rate (currently 24%). Backup withholding, however, generally will not apply to distributions to a Non-U.S. stockholder, provided the Non-U.S. stockholder furnishes to us the required certification as to its non-U.S. status, such as by providing a valid IRS Form W-8BEN or IRS Form W-8BEN-E, or certain other requirements are met. Backup withholding is not an additional tax but can be credited against a Non-U.S. stockholder’s U.S. federal income tax, and may be refunded to the extent it results in an overpayment of tax and the appropriate information is timely supplied to the IRS.</w:t>
      </w:r>
    </w:p>
    <w:p>
      <w:pPr>
        <w:spacing w:after="0" w:line="194"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held by foreign entities that have certain specified U.S. persons as substantial owners) or (ii) reside in a jurisdiction that has entered into an intergovernmental agreement (“IGA”) with the United States to collect and share such information and are in compliance with the terms of such IGA and any enabling legislation or regulations.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subsequent proposed regulations, which state that taxpayers may rely on the proposed regulations until final regulations are issued. The information required to be reported includes the identity and taxpayer identification number of each account holder that is a specified U.S. person and transaction activity within the holder’s account. In addition, subject to certain exceptions, FATCA also imposes a 30% withholding on certain payments to certain foreign entities that are not FFIs unless the foreign entity certifies that it does not have a greater than 10% U.S. owner that is a specified U.S. person or provides the withholding agent with identifying information on each greater than 10% U.S. owner that is a specified U.S. person. Depending on the status of a Non-U.S. stockholder and the status of the intermediaries through which they hold their shares, Non-U.S. stockholder could be subject to this 30% withholding tax with respect to distributions on their common stock. Under certain circumstances, a non-U.S. stockholder might be eligible for refunds or credits of such taxes.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Legislative or Other Actions Affecting Tax Considerations</w:t>
      </w:r>
    </w:p>
    <w:p>
      <w:pPr>
        <w:spacing w:after="0" w:line="121"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Prospective investors should recognize that the present U.S. federal income tax treatment of an investment in our stock may be modified by legislative, judicial or administrative action at any time, and that any such action may affect investments and commitments previously made. The rules dealing with U.S. federal income taxation are constantly under review by persons involved in the legislative process any by the IRS and the</w:t>
      </w:r>
    </w:p>
    <w:p>
      <w:pPr>
        <w:spacing w:after="0" w:line="1"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color w:val="auto"/>
        </w:rPr>
        <w:t>U.S. Treasury Department, resulting in revisions of regulations and revised interpretations of established concepts as well as statutory changes. Revisions in U.S. federal tax laws and interpretations thereof could adversely affect the tax consequences of an investment in our stock. See Risk Related to Our Business and Structure – Recent tax legislation could have a negative effect on the Company.</w:t>
      </w:r>
    </w:p>
    <w:p>
      <w:pPr>
        <w:spacing w:after="0" w:line="18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discussion set forth herein does not constitute tax advice, and potential investors should consult their own tax advisors concerning the tax considerations relevant to their particular situation.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97" w:right="4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CAPITAL STOCK</w:t>
      </w:r>
    </w:p>
    <w:p>
      <w:pPr>
        <w:spacing w:after="0" w:line="22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$0.001 per share, of which 31,553,663 were outstanding as of May 3, 2024. Our common stock trades on the Nasdaq Global Select Market under the ticker symbol “FDUS.” There are no outstanding options or warrants to purchase our stock. No stock has been authorized for issuance under any equity compensation plan. Under Maryland law, our stockholders generally are not personally liable for our debts or obligations.</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SBA debentures issued by Fund III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March 31, 2024, Fund III had $175.0 million of outstanding SBA debentures.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Funds are not collateral for the Credit Facility. On April 24, 2019, we entered into an Amended &amp; Restated Senior Secured Revolving Credit Agreement (the “Amended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93" w:right="459" w:bottom="1440" w:gutter="0" w:footer="0" w:header="0"/>
        </w:sectPr>
      </w:pPr>
    </w:p>
    <w:bookmarkStart w:id="75" w:name="page76"/>
    <w:bookmarkEnd w:id="75"/>
    <w:p>
      <w:pPr>
        <w:ind w:left="4"/>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spacing w:after="0" w:line="17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spacing w:after="0" w:line="180"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spacing w:after="0" w:line="180"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2024, we were in compliance in all material respects with the terms of the Credit Agreement and the Company had $22.5 million of borrowings outstanding under the Credit Facility.</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Outstanding Securities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shows our outstanding classes of securities as of March 31, 2024:</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9"/>
              </w:rPr>
              <w:t>(c) Amount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 Amount</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Held by</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 Amount</w:t>
            </w: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us or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 Title of Class</w:t>
            </w:r>
          </w:p>
        </w:tc>
        <w:tc>
          <w:tcPr>
            <w:tcW w:w="4260" w:type="dxa"/>
            <w:vAlign w:val="bottom"/>
            <w:vMerge w:val="restart"/>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for Our</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162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124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1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Shown Under (c)</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100,000,000</w:t>
            </w:r>
          </w:p>
        </w:tc>
        <w:tc>
          <w:tcPr>
            <w:tcW w:w="3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70,540</w:t>
            </w:r>
          </w:p>
        </w:tc>
        <w:tc>
          <w:tcPr>
            <w:tcW w:w="5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31,426,149</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SBA Debentures</w:t>
            </w:r>
          </w:p>
        </w:tc>
        <w:tc>
          <w:tcPr>
            <w:tcW w:w="1620" w:type="dxa"/>
            <w:vAlign w:val="bottom"/>
            <w:gridSpan w:val="2"/>
          </w:tcPr>
          <w:p>
            <w:pPr>
              <w:jc w:val="center"/>
              <w:ind w:right="380"/>
              <w:spacing w:after="0" w:line="216" w:lineRule="exact"/>
              <w:rPr>
                <w:sz w:val="20"/>
                <w:szCs w:val="20"/>
                <w:color w:val="auto"/>
              </w:rPr>
            </w:pPr>
            <w:r>
              <w:rPr>
                <w:rFonts w:ascii="Times New Roman" w:cs="Times New Roman" w:eastAsia="Times New Roman" w:hAnsi="Times New Roman"/>
                <w:sz w:val="18"/>
                <w:szCs w:val="18"/>
                <w:color w:val="auto"/>
                <w:w w:val="93"/>
              </w:rPr>
              <w:t xml:space="preserve">$325.0 million </w:t>
            </w:r>
            <w:r>
              <w:rPr>
                <w:rFonts w:ascii="Times New Roman" w:cs="Times New Roman" w:eastAsia="Times New Roman" w:hAnsi="Times New Roman"/>
                <w:sz w:val="22"/>
                <w:szCs w:val="22"/>
                <w:color w:val="auto"/>
                <w:w w:val="93"/>
                <w:vertAlign w:val="superscript"/>
              </w:rPr>
              <w:t>(1)</w:t>
            </w: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$175.0 million</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Facility</w:t>
            </w:r>
          </w:p>
        </w:tc>
        <w:tc>
          <w:tcPr>
            <w:tcW w:w="162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$100.0 million</w:t>
            </w:r>
          </w:p>
        </w:tc>
        <w:tc>
          <w:tcPr>
            <w:tcW w:w="1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$22.5 million</w:t>
            </w: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w:t>
            </w: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$250.0 million</w:t>
            </w: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$250.0 million</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24" w:right="20" w:hanging="424"/>
        <w:spacing w:after="0" w:line="234" w:lineRule="auto"/>
        <w:tabs>
          <w:tab w:leader="none" w:pos="424" w:val="left"/>
        </w:tabs>
        <w:numPr>
          <w:ilvl w:val="0"/>
          <w:numId w:val="3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For more information regarding our limitations as to SBA debenture issuances, see “Regulation — Small Business Administration Regulations” in our most recent Annual Report on Form 10-K.</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 w:right="760" w:firstLine="440"/>
        <w:spacing w:after="0" w:line="282"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limiting the liability of its directors and officers to the corporation and its stockholders for money damages except for liability resulting</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97" w:right="459" w:bottom="1440" w:gutter="0" w:footer="0" w:header="0"/>
        </w:sectPr>
      </w:pPr>
    </w:p>
    <w:bookmarkStart w:id="76" w:name="page77"/>
    <w:bookmarkEnd w:id="76"/>
    <w:p>
      <w:pPr>
        <w:ind w:right="5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6"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 Our bylaws obligate us, to the maximum extent permitted by Maryland law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7"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The indemnification agreements provide our directors the maximum indemnification permitted under Maryland law and the 1940 Act.</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We have purchased directors’ and officers’ insurance policies covering our directors and officers and us for any acts and omissions committed, attempted or allegedly committed by any director or officer during the policy period. The policy is subject to customary exclusions.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97"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Provisions of the Maryland General Corporation Law and Our Charter and Bylaws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acquiror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expire in 2024, 2025 and 2026, respectively, and in each case, those directors will serve until their successors are elected and qualify.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charter and bylaws provide that the affirmative vote of the holders of a plurality of the outstanding shares of stock entitled to vote in the election of directors cast at a meeting of stockholders duly called and at which a quorum is present is required to elect a director. Pursuant to our bylaws our board of directors may amend the bylaws to alter the vote required to elect directors.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Number of Directors; Vacancies; Removal</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eight.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8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Action by Stockholders</w:t>
      </w:r>
    </w:p>
    <w:p>
      <w:pPr>
        <w:spacing w:after="0" w:line="12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Provisions for Stockholder Nominations and Stockholder Proposals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93" w:right="459" w:bottom="1440" w:gutter="0" w:footer="0" w:header="0"/>
        </w:sectPr>
      </w:pPr>
    </w:p>
    <w:bookmarkStart w:id="78" w:name="page79"/>
    <w:bookmarkEnd w:id="78"/>
    <w:p>
      <w:pPr>
        <w:ind w:left="4" w:right="6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only (a) pursuant to our notice of the meeting, (b) by the board of directors or (c) by a stockholder who was a stockholder of record both at the time of giving notice and at the time of the annual meeting and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(a) pursuant to our notice of the meeting,</w:t>
      </w:r>
    </w:p>
    <w:p>
      <w:pPr>
        <w:spacing w:after="0" w:line="3" w:lineRule="exact"/>
        <w:rPr>
          <w:sz w:val="20"/>
          <w:szCs w:val="20"/>
          <w:color w:val="auto"/>
        </w:rPr>
      </w:pPr>
    </w:p>
    <w:p>
      <w:pPr>
        <w:ind w:left="4" w:right="20" w:hanging="4"/>
        <w:spacing w:after="0" w:line="255" w:lineRule="auto"/>
        <w:tabs>
          <w:tab w:leader="none" w:pos="2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or (c) provided that the board of directors has determined that directors will be elected at the meeting, by a stockholder who was a stockholder of record both at the time of giving notice and at the time of the annual meeting and who is entitled to vote at the meeting and who has complied with the advance notice provisions of our bylaws.</w:t>
      </w:r>
    </w:p>
    <w:p>
      <w:pPr>
        <w:spacing w:after="0" w:line="18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(a) precluding a contest for the election of directors or the consideration of stockholder proposals if proper procedures are not followed and (b)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Calling of Special Meetings of Stockholders</w:t>
      </w:r>
    </w:p>
    <w:p>
      <w:pPr>
        <w:spacing w:after="0" w:line="121"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the chairman of our board of directors, our President or our board of directors. Additionally, our bylaws provide that, subject to the satisfaction of certain procedural and informational requirements by the stockholders requesting the special meeting, a special meeting of stockholders will be called by the secretary of the corporation upon the written request of stockholders entitled to cast not less than a majority of all the votes entitled to be cast at such meeting.</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Approval of Extraordinary Corporate Action; Amendment of Charter and Bylaws</w:t>
      </w:r>
    </w:p>
    <w:p>
      <w:pPr>
        <w:spacing w:after="0" w:line="121"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provides that certain charter amendments, any proposal for our conversion, whether by charter amendment, merger or otherwise, from a closed-end company to an open-end company and any proposal for our liquidation or dissolution requires the approval of the stockholders entitled to cast at least 80.0% of the votes entitled to be cast on such matter.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(a) our current directors, (b) those directors whose nomination for election by the stockholders or whose election by the directors to fill vacancies is approved by a majority of our current directors then on the board of directors or (c) any successor directors whose nomination for election by the stockholders or whose election by the directors to fill vacancies is approved by a majority of the continuing directors or the successor continuing directors then in office.</w:t>
      </w:r>
    </w:p>
    <w:p>
      <w:pPr>
        <w:spacing w:after="0" w:line="190" w:lineRule="exact"/>
        <w:rPr>
          <w:sz w:val="20"/>
          <w:szCs w:val="20"/>
          <w:color w:val="auto"/>
        </w:rPr>
      </w:pPr>
    </w:p>
    <w:p>
      <w:pPr>
        <w:jc w:val="center"/>
        <w:ind w:left="660" w:right="220"/>
        <w:spacing w:after="0" w:line="454" w:lineRule="auto"/>
        <w:rPr>
          <w:sz w:val="20"/>
          <w:szCs w:val="20"/>
          <w:color w:val="auto"/>
        </w:rPr>
      </w:pPr>
      <w:r>
        <w:rPr>
          <w:rFonts w:ascii="Times New Roman" w:cs="Times New Roman" w:eastAsia="Times New Roman" w:hAnsi="Times New Roman"/>
          <w:sz w:val="18"/>
          <w:szCs w:val="18"/>
          <w:color w:val="auto"/>
        </w:rPr>
        <w:t>Our charter and bylaws provide that the board of directors has the exclusive power to make, alter, amend or repeal any provision of our bylaws. -60-</w:t>
      </w:r>
    </w:p>
    <w:p>
      <w:pPr>
        <w:sectPr>
          <w:pgSz w:w="11900" w:h="16838" w:orient="portrait"/>
          <w:cols w:equalWidth="0" w:num="1">
            <w:col w:w="10984"/>
          </w:cols>
          <w:pgMar w:left="436" w:top="297" w:right="4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 Appraisal Rights</w:t>
      </w:r>
    </w:p>
    <w:p>
      <w:pPr>
        <w:spacing w:after="0" w:line="121"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Act discussed below, as permitted by the Maryland General Corporation Law, our charter provides that stockholders will not be entitled to exercise appraisal rights unless a majority of the board of directors shall determine such rights apply.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Share Acquisitions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Maryland General Corporation Law provides that control shares of a Maryland corporation acquired in a control share acquisition have no voting rights except to the extent approved by a vote of two-thirds of the votes entitled to be cast on the matter (the “Control Share Act”).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w:t>
      </w:r>
    </w:p>
    <w:p>
      <w:pPr>
        <w:spacing w:after="0" w:line="93" w:lineRule="exact"/>
        <w:rPr>
          <w:sz w:val="20"/>
          <w:szCs w:val="20"/>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acquiror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176"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voting rights are not approved at the meeting or if the acquiring person does not deliver an acquiring person statement as required by the statute, then the corporation may redeem for fair value any or all of the control shares, except those for which voting rights have previously been approved. The right of the corporation to redeem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acquiror or of any meeting of stockholders at which the voting rights of the shares are considered and not approved. If voting rights for control shares are approved at a stockholders meeting and the acquiror becomes entitled to vote a majority of the shares entitled to vote, all other stockholders may exercise appraisal rights. The fair value of the shares as determined for purposes of appraisal rights may not be less than the highest price per share paid by the acquiror in the control share acquisition.</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Control Share Act does not apply (a) to shares acquired in a merger, consolidation or share exchange if the corporation is a party to the transaction or (b) to acquisitions approved or exempted by the charter or bylaws of the corporation. 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the board of directors determines that it would be in our best interests and if the SEC staff does not object to our determination that our being subject to the Control Share Act does not conflict with the 1940 Act.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93"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Business Combinations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85" w:lineRule="exact"/>
        <w:rPr>
          <w:sz w:val="20"/>
          <w:szCs w:val="20"/>
          <w:color w:val="auto"/>
        </w:rPr>
      </w:pPr>
    </w:p>
    <w:p>
      <w:pPr>
        <w:ind w:left="960" w:hanging="424"/>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10.0% or more of the voting power of the corporation’s outstanding voting stock; or</w:t>
      </w:r>
    </w:p>
    <w:p>
      <w:pPr>
        <w:spacing w:after="0" w:line="130" w:lineRule="exact"/>
        <w:rPr>
          <w:rFonts w:ascii="Times New Roman" w:cs="Times New Roman" w:eastAsia="Times New Roman" w:hAnsi="Times New Roman"/>
          <w:sz w:val="18"/>
          <w:szCs w:val="18"/>
          <w:color w:val="auto"/>
        </w:rPr>
      </w:pPr>
    </w:p>
    <w:p>
      <w:pPr>
        <w:ind w:left="960" w:right="420" w:hanging="424"/>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of 10.0% or more of the voting power of the then outstanding voting stock of the corporation.</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76"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67" w:lineRule="exact"/>
        <w:rPr>
          <w:sz w:val="20"/>
          <w:szCs w:val="20"/>
          <w:color w:val="auto"/>
        </w:rPr>
      </w:pPr>
    </w:p>
    <w:p>
      <w:pPr>
        <w:ind w:left="960" w:hanging="42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of the votes entitled to be cast by holders of outstanding shares of voting stock of the corporation; and</w:t>
      </w:r>
    </w:p>
    <w:p>
      <w:pPr>
        <w:spacing w:after="0" w:line="130" w:lineRule="exact"/>
        <w:rPr>
          <w:rFonts w:ascii="Times New Roman" w:cs="Times New Roman" w:eastAsia="Times New Roman" w:hAnsi="Times New Roman"/>
          <w:sz w:val="18"/>
          <w:szCs w:val="18"/>
          <w:color w:val="auto"/>
        </w:rPr>
      </w:pPr>
    </w:p>
    <w:p>
      <w:pPr>
        <w:ind w:left="960" w:right="100" w:hanging="424"/>
        <w:spacing w:after="0" w:line="266" w:lineRule="auto"/>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76"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4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subject to the provisions of the 1940 Act,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may be altered or repealed in whole or in part at any time; however, our board of directors will adopt 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with 1940 Act</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Our bylaws provide that, if and to the extent that any provision of the Maryland General Corporation Law, including the Control Share Act (if we amend our bylaws to be subject to such Act) and the Business Combination Act, or any provision of our charter or bylaws conflicts with any provision of the 1940 Act, the applicable provision of the 1940 Act will control.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93" w:right="4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PREFERRED STOCK</w:t>
      </w:r>
    </w:p>
    <w:p>
      <w:pPr>
        <w:spacing w:after="0" w:line="22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and conditions of redemption for each class or series. Thus, our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 Maryland law and any other limitations imposed by law.</w:t>
      </w:r>
    </w:p>
    <w:p>
      <w:pPr>
        <w:spacing w:after="0" w:line="18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preferred stock we may issue from time to time. Particular terms of any preferred stock we offer will be described in the prospectus supplement relating to such preferred stock.</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If we issue preferred stock, it will pay dividends to the holders of the preferred stock at either a fixed rate or a rate that will be reset frequently based on short-term interest rates, as described in a prospectus supplement accompanying each preferred share offering.</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Subject to the election described below, the 1940 Act requires, among other things, that (1) immediately after issuance and before any distribution is made with respect to our common stock and before any purchase of common stock is made, such preferred stock, together with all other senior securities, must not exceed an amount equal to 50.0%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Further, the 1940 Act requires that any distributions we make on preferred stock be cumulative. We believe that the availability for issuance of preferred stock will provide us with increased flexibility in structuring future financings and acquisitions. Notwithstanding the foregoing, we are currently allowed to borrow amounts such that our asset coverage, as calculated pursuant to the 1940 Act, equals at least 150% after such borrowing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we are able to borrow up to two dollars for every dollar we have in assets less all liabilities and indebtedness not represented by senior securities issued by us).</w:t>
      </w:r>
    </w:p>
    <w:p>
      <w:pPr>
        <w:spacing w:after="0" w:line="19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67" w:lineRule="exact"/>
        <w:rPr>
          <w:sz w:val="20"/>
          <w:szCs w:val="20"/>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distributions will be paid on shares of such series, as well as whether such distributions are participating or non-participating;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distributions on, or acquire or redeem, other securities while shares of such series are outstanding;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93" w:right="479" w:bottom="1440" w:gutter="0" w:footer="0" w:header="0"/>
        </w:sectPr>
      </w:pPr>
    </w:p>
    <w:bookmarkStart w:id="82" w:name="page83"/>
    <w:bookmarkEnd w:id="82"/>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right="580" w:hanging="424"/>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preferred stock may be either fixed rate preferred stock or variable rate preferred stock, which is sometimes referred to as “auction rate” preferred stock. 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distributions, if any, thereon will be cumulative. If we issue shares of preferred stock, holders of such preferred stock will be entitled to receive cash distributions at an annual rate that will be fixed or will vary for the successive distribution periods for each series. In general, the distribution periods for fixed rate preferred stock can range from quarterly to weekly and are subject to extension. The distribution rate to be variable and determined for each distribution period.</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820"/>
          </w:cols>
          <w:pgMar w:left="440" w:top="297" w:right="63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SUBSCRIPTION RIGHTS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Our common stockholders will indirectly bear the expenses of such subscription rights offerings, regardless of whether our common stockholders exercise any subscription rights.</w:t>
      </w:r>
    </w:p>
    <w:p>
      <w:pPr>
        <w:spacing w:after="0" w:line="19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shall expire (subject to any extension);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shall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 We have not previously completed such an offering of subscription rights.</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93" w:right="479" w:bottom="1440" w:gutter="0" w:footer="0" w:header="0"/>
        </w:sectPr>
      </w:pPr>
    </w:p>
    <w:bookmarkStart w:id="84" w:name="page85"/>
    <w:bookmarkEnd w:id="84"/>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duly executed at the corporate trust office of the subscription rights agent or any other office indicated in the prospectus supplement, we will forward, as soon as practicable, the shares of common stock or other securities purchasable upon such exercise. To the extent permissible under applicable law,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the Company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97" w:right="4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OUR DEBT SECURITIES</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 — Remedies if an Event of Default Occurs.” Second, the trustee performs certain administrative duties for us with respect to our debt securities.</w:t>
      </w:r>
    </w:p>
    <w:p>
      <w:pPr>
        <w:spacing w:after="0" w:line="183"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This section includes a description of the material provisions of the indenture.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or incorporated by reference, as an exhibit to the registration statement of which this prospectus is a part. We will file a supplemental indenture with the SEC in connection with any debt offering, at which time the supplemental indenture would be publicly available. See “Available Information” for information on how to obtain a copy of the indenture.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prospectus supplement, which will accompany this prospectus, will describe the particular series of debt securities being offered by including:</w:t>
      </w:r>
    </w:p>
    <w:p>
      <w:pPr>
        <w:spacing w:after="0" w:line="142" w:lineRule="exact"/>
        <w:rPr>
          <w:sz w:val="20"/>
          <w:szCs w:val="20"/>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960" w:right="34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93" w:right="459" w:bottom="1440" w:gutter="0" w:footer="0" w:header="0"/>
        </w:sectPr>
      </w:pPr>
    </w:p>
    <w:bookmarkStart w:id="86" w:name="page87"/>
    <w:bookmarkEnd w:id="86"/>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provision for any sinking fund;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(as defined in “Events of Default” below);</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960" w:right="80" w:hanging="42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U.S.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Under the provisions of the 1940 Act, we, as a BDC, pursuant to the approval of our board of directors, are permitted to issue debt only in amounts such that our asset coverage, as defined in the 1940 Act, equals at least 150% after each issuance of debt, but giving effect to any exemptive relief granted to us by the SEC. For a discussion of the legislation that took effect that allows us to incur additional leverage, see “Risk Factors —Risks Relating to Our Business and Structure — Effective April 29, 2020, our asset coverage requirement was reduced from 200% to 150%, which could increase the risk of investment in the Company” in Part I, Item 1A of our most recent Annual Report on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jc w:val="both"/>
        <w:ind w:right="440" w:firstLine="440"/>
        <w:spacing w:after="0" w:line="257"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60"/>
          </w:cols>
          <w:pgMar w:left="440" w:top="297" w:right="499" w:bottom="1440" w:gutter="0" w:footer="0" w:header="0"/>
        </w:sectPr>
      </w:pPr>
    </w:p>
    <w:bookmarkStart w:id="87" w:name="page88"/>
    <w:bookmarkEnd w:id="87"/>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Except as described under “— Events of Default” and “— Merger or Consolidation” below, 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Book-Entry Holders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3"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97"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Street Name Holders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Holders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3"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When we refer to you in this Description of Our Debt Securities,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for Indirect Holders</w:t>
      </w:r>
    </w:p>
    <w:p>
      <w:pPr>
        <w:spacing w:after="0" w:line="121"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67" w:lineRule="exact"/>
        <w:rPr>
          <w:sz w:val="20"/>
          <w:szCs w:val="20"/>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93"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Global Securities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0"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A global security may not be transferred to or registered in the name of anyone other than the depositary or its nominee, unless special termination situations arise. We describe those situations below under “— Termination of a Global Security.”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Special Considerations for Global Securities</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960" w:right="26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 Issuance of Securities in Registered Form” above;</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jc w:val="both"/>
        <w:ind w:left="960" w:right="60" w:hanging="424"/>
        <w:spacing w:after="0" w:line="266"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1"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93" w:right="459" w:bottom="1440" w:gutter="0" w:footer="0" w:header="0"/>
        </w:sectPr>
      </w:pPr>
    </w:p>
    <w:bookmarkStart w:id="90" w:name="page91"/>
    <w:bookmarkEnd w:id="90"/>
    <w:p>
      <w:pPr>
        <w:jc w:val="both"/>
        <w:ind w:left="960" w:right="440" w:hanging="424"/>
        <w:spacing w:after="0" w:line="26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1"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81"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of a Global Security</w:t>
      </w:r>
    </w:p>
    <w:p>
      <w:pPr>
        <w:spacing w:after="0" w:line="121" w:lineRule="exact"/>
        <w:rPr>
          <w:sz w:val="20"/>
          <w:szCs w:val="20"/>
          <w:color w:val="auto"/>
        </w:rPr>
      </w:pPr>
    </w:p>
    <w:p>
      <w:pPr>
        <w:ind w:right="60" w:firstLine="440"/>
        <w:spacing w:after="0" w:line="281" w:lineRule="auto"/>
        <w:rPr>
          <w:sz w:val="20"/>
          <w:szCs w:val="20"/>
          <w:color w:val="auto"/>
        </w:rPr>
      </w:pPr>
      <w:r>
        <w:rPr>
          <w:rFonts w:ascii="Times New Roman" w:cs="Times New Roman" w:eastAsia="Times New Roman" w:hAnsi="Times New Roman"/>
          <w:sz w:val="17"/>
          <w:szCs w:val="17"/>
          <w:color w:val="auto"/>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 Issuance of Securities in Registered Form” above.</w:t>
      </w:r>
    </w:p>
    <w:p>
      <w:pPr>
        <w:spacing w:after="0" w:line="164"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investors in whose names the debt securities represented by the global security will be registered and, therefore, who will be the holders of those debt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Global Securities</w:t>
      </w:r>
    </w:p>
    <w:p>
      <w:pPr>
        <w:spacing w:after="0" w:line="121"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Special Considerations for Global Securities.”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 on Certificated Securities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to the holder of debt securities as shown on the trustee’s records as of the close of business on the regular record date at our office and/or at other offices that may be specified in the prospectus supplement.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60"/>
          </w:cols>
          <w:pgMar w:left="440" w:top="297" w:right="499" w:bottom="1440" w:gutter="0" w:footer="0" w:header="0"/>
        </w:sectPr>
      </w:pPr>
    </w:p>
    <w:bookmarkStart w:id="91" w:name="page92"/>
    <w:bookmarkEnd w:id="91"/>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We will make all payments of principal and premium, if any, by check at the office of the applicable trustee and/or at other offices that may be specified in the prospectus supplement or in a notice to holders against surrender of the debt security.</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 When Offices Are Closed</w:t>
      </w:r>
    </w:p>
    <w:p>
      <w:pPr>
        <w:spacing w:after="0" w:line="121"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80"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within five days of its due date;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the debt securities of the series);</w:t>
      </w:r>
    </w:p>
    <w:p>
      <w:pPr>
        <w:spacing w:after="0" w:line="81"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67"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series of debt securities has an asset coverage, as such term is defined in the 1940 Act, of less than 100% on the last business day of each of twenty-four consecutive calendar months, after giving effect to any exemptive relief granted to the Company by the SEC; or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the debt securities of any default, except in the payment of principal, premium, interest, or sinking or purchase fund installment, if it in good faith considers the withholding of notice to be in the interest of the 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an Event of Default has occurred and is continuing, the trustee or the holders of not less than 25% in principal amount of the outstanding debt securities of the affected series may (and the trustee shall at the request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97" w:right="459" w:bottom="1440" w:gutter="0" w:footer="0" w:header="0"/>
        </w:sectPr>
      </w:pPr>
    </w:p>
    <w:bookmarkStart w:id="92" w:name="page93"/>
    <w:bookmarkEnd w:id="92"/>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such holders)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w:t>
      </w:r>
    </w:p>
    <w:p>
      <w:pPr>
        <w:spacing w:after="0" w:line="183" w:lineRule="exact"/>
        <w:rPr>
          <w:sz w:val="20"/>
          <w:szCs w:val="20"/>
          <w:color w:val="auto"/>
        </w:rPr>
      </w:pPr>
    </w:p>
    <w:p>
      <w:pPr>
        <w:jc w:val="both"/>
        <w:ind w:right="8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jc w:val="both"/>
        <w:ind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960" w:right="460" w:hanging="424"/>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with respect to the relevant debt securities has occurred and remains uncured;</w:t>
      </w:r>
    </w:p>
    <w:p>
      <w:pPr>
        <w:spacing w:after="0" w:line="67" w:lineRule="exact"/>
        <w:rPr>
          <w:rFonts w:ascii="Times New Roman" w:cs="Times New Roman" w:eastAsia="Times New Roman" w:hAnsi="Times New Roman"/>
          <w:sz w:val="18"/>
          <w:szCs w:val="18"/>
          <w:color w:val="auto"/>
        </w:rPr>
      </w:pPr>
    </w:p>
    <w:p>
      <w:pPr>
        <w:ind w:left="960" w:right="20" w:hanging="424"/>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the trustee indemnity, security or both reasonably satisfactory to it against the cost, expenses, and other liabilities of taking that action;</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 and/or security; and</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outstanding debt securities of that series must not have given the trustee a direction inconsistent with the above notice during that 60-day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2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Waiver of Default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Holders of a majority in principal amount of the outstanding debt securities of the affected series may waive any past defaults other than a default:</w:t>
      </w:r>
    </w:p>
    <w:p>
      <w:pPr>
        <w:spacing w:after="0" w:line="131" w:lineRule="exact"/>
        <w:rPr>
          <w:sz w:val="20"/>
          <w:szCs w:val="20"/>
          <w:color w:val="auto"/>
        </w:rPr>
      </w:pPr>
    </w:p>
    <w:p>
      <w:pPr>
        <w:ind w:left="960" w:hanging="424"/>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payment of principal or interest; or</w:t>
      </w:r>
    </w:p>
    <w:p>
      <w:pPr>
        <w:spacing w:after="0" w:line="130" w:lineRule="exact"/>
        <w:rPr>
          <w:rFonts w:ascii="Times New Roman" w:cs="Times New Roman" w:eastAsia="Times New Roman" w:hAnsi="Times New Roman"/>
          <w:sz w:val="18"/>
          <w:szCs w:val="18"/>
          <w:color w:val="auto"/>
        </w:rPr>
      </w:pPr>
    </w:p>
    <w:p>
      <w:pPr>
        <w:ind w:left="5360" w:right="3120" w:hanging="4824"/>
        <w:spacing w:after="0" w:line="454" w:lineRule="auto"/>
        <w:tabs>
          <w:tab w:leader="none" w:pos="97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 -74-</w:t>
      </w:r>
    </w:p>
    <w:p>
      <w:pPr>
        <w:sectPr>
          <w:pgSz w:w="11900" w:h="16838" w:orient="portrait"/>
          <w:cols w:equalWidth="0" w:num="1">
            <w:col w:w="11000"/>
          </w:cols>
          <w:pgMar w:left="440" w:top="297"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Merger or Consolidation</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67" w:lineRule="exact"/>
        <w:rPr>
          <w:sz w:val="20"/>
          <w:szCs w:val="20"/>
          <w:color w:val="auto"/>
        </w:rPr>
      </w:pPr>
    </w:p>
    <w:p>
      <w:pPr>
        <w:ind w:left="960" w:right="240" w:hanging="424"/>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convey or transfer our assets substantially as an entirety, the resulting entity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“Events of Default” above. A default for this purpose would also include any event that would be an Event of Default if the requirements for giving us a notice of default or our default having to exist for a specific period of time were disregarded;</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 or the terms of any sinking fund with respect to any security;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an original issue discount or indexed security following a default or upon the redemption thereof or the amount thereof provable in a bankruptcy proceeding;</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on a debt security (except as otherwise described in the prospectus or prospectus supplement);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with the consent of holders,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20"/>
          </w:cols>
          <w:pgMar w:left="440" w:top="293"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Changes Not Requiring Approval</w:t>
      </w:r>
    </w:p>
    <w:p>
      <w:pPr>
        <w:spacing w:after="0" w:line="121"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960" w:right="160" w:hanging="424"/>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the indenture, voting together as one class for this purpose, may waive our compliance with some of our covenants applicable to that series of debt securities. However, we cannot obtain a waiver of a payment default or of any of the matters covered by the bullet points included above under “— Changes Requiring Your Approval.”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60" w:right="140" w:hanging="424"/>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the principal face amount at original issuance or a special rule for that debt security described in the prospectus supplement;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 Defeasance — Full Defeasance.”</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9"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93"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Defeasance</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right="180" w:firstLine="440"/>
        <w:spacing w:after="0" w:line="255" w:lineRule="auto"/>
        <w:rPr>
          <w:sz w:val="20"/>
          <w:szCs w:val="20"/>
          <w:color w:val="auto"/>
        </w:rPr>
      </w:pPr>
      <w:r>
        <w:rPr>
          <w:rFonts w:ascii="Times New Roman" w:cs="Times New Roman" w:eastAsia="Times New Roman" w:hAnsi="Times New Roman"/>
          <w:sz w:val="18"/>
          <w:szCs w:val="18"/>
          <w:color w:val="auto"/>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 Indenture</w:t>
      </w:r>
    </w:p>
    <w:p>
      <w:pPr>
        <w:spacing w:after="0" w:line="3"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Provisions — Subordination”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we must do the following:</w:t>
      </w:r>
    </w:p>
    <w:p>
      <w:pPr>
        <w:spacing w:after="0" w:line="91" w:lineRule="exact"/>
        <w:rPr>
          <w:sz w:val="20"/>
          <w:szCs w:val="20"/>
          <w:color w:val="auto"/>
        </w:rPr>
      </w:pPr>
    </w:p>
    <w:p>
      <w:pPr>
        <w:ind w:left="960" w:right="40" w:hanging="424"/>
        <w:spacing w:after="0" w:line="258"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88"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w:t>
      </w:r>
    </w:p>
    <w:p>
      <w:pPr>
        <w:spacing w:after="0" w:line="67"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1"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result in a default under, of the indenture or any of our other material agreements or instruments;</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conditions for covenant defeasance contained in any supplemental indentures.</w:t>
      </w:r>
    </w:p>
    <w:p>
      <w:pPr>
        <w:spacing w:after="0" w:line="225"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If we accomplish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such a shortfall. However, there is no assurance that we would have sufficient funds to make payment of the shortfall.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If there is a change in U.S. federal tax law or we obtain an IRS ruling, as described in the second bullet below, we can legally release ourselves from all payment and other obligations on the debt securities of a particular series (called “full defeasance”) if we put in place the following other arrangements for you to be repaid:</w:t>
      </w:r>
    </w:p>
    <w:p>
      <w:pPr>
        <w:spacing w:after="0" w:line="81" w:lineRule="exact"/>
        <w:rPr>
          <w:sz w:val="20"/>
          <w:szCs w:val="20"/>
          <w:color w:val="auto"/>
        </w:rPr>
      </w:pPr>
    </w:p>
    <w:p>
      <w:pPr>
        <w:ind w:left="960" w:right="220" w:hanging="424"/>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a series of debt securities a combination of cash (in such currency in which such securities are then specified as payable at stated maturity)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93" w:right="479" w:bottom="1440" w:gutter="0" w:footer="0" w:header="0"/>
        </w:sectPr>
      </w:pPr>
    </w:p>
    <w:bookmarkStart w:id="96" w:name="page97"/>
    <w:bookmarkEnd w:id="96"/>
    <w:p>
      <w:pPr>
        <w:jc w:val="both"/>
        <w:ind w:left="98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w:t>
      </w:r>
    </w:p>
    <w:p>
      <w:pPr>
        <w:spacing w:after="0" w:line="203" w:lineRule="exact"/>
        <w:rPr>
          <w:sz w:val="20"/>
          <w:szCs w:val="20"/>
          <w:color w:val="auto"/>
        </w:rPr>
      </w:pPr>
    </w:p>
    <w:p>
      <w:pPr>
        <w:ind w:left="960" w:right="140" w:hanging="424"/>
        <w:spacing w:after="0" w:line="258"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w:t>
      </w:r>
    </w:p>
    <w:p>
      <w:pPr>
        <w:spacing w:after="0" w:line="27" w:lineRule="exact"/>
        <w:rPr>
          <w:rFonts w:ascii="Times New Roman" w:cs="Times New Roman" w:eastAsia="Times New Roman" w:hAnsi="Times New Roman"/>
          <w:sz w:val="18"/>
          <w:szCs w:val="18"/>
          <w:color w:val="auto"/>
        </w:rPr>
      </w:pPr>
    </w:p>
    <w:p>
      <w:pPr>
        <w:ind w:left="96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1940 Act, as amended, and a legal opinion and officers’ certificate stating that all conditions precedent to defeasance have been complied with;</w:t>
      </w:r>
    </w:p>
    <w:p>
      <w:pPr>
        <w:spacing w:after="0" w:line="86"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defeasance must not result in a breach or violation of, or constitute a default under, of the indenture or any of our other material agreements or instruments;</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such debt securities shall have occurred and be continuing and no defaults or events of default related to bankruptcy, insolvency or reorganization shall occur during the next 90 days;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satisfy the conditions for full defeasance contained in any supplemental indentures.</w:t>
      </w:r>
    </w:p>
    <w:p>
      <w:pPr>
        <w:spacing w:after="0" w:line="225"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your debt securities were subordinated as described later under “— Indenture Provisions — Subordination”,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31" w:lineRule="exact"/>
        <w:rPr>
          <w:sz w:val="20"/>
          <w:szCs w:val="20"/>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440" w:top="297" w:right="459" w:bottom="1440" w:gutter="0" w:footer="0" w:header="0"/>
        </w:sectPr>
      </w:pPr>
    </w:p>
    <w:bookmarkStart w:id="97" w:name="page98"/>
    <w:bookmarkEnd w:id="97"/>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3"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 — Subordination</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received by the trustee in respect of such subordinated debt securities or by the holders of any of such subordinated debt securities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2"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97"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Senior Indebtedness is defined in the indenture as the principal of (and premium, if any) and unpaid interest on:</w:t>
      </w:r>
    </w:p>
    <w:p>
      <w:pPr>
        <w:spacing w:after="0" w:line="131" w:lineRule="exact"/>
        <w:rPr>
          <w:sz w:val="20"/>
          <w:szCs w:val="20"/>
          <w:color w:val="auto"/>
        </w:rPr>
      </w:pPr>
    </w:p>
    <w:p>
      <w:pPr>
        <w:ind w:left="960" w:right="440" w:hanging="424"/>
        <w:spacing w:after="0" w:line="266" w:lineRule="auto"/>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of the Company will rank structurally junior to all existing and future indebtedness (including trade payables) incurred by our subsidiaries, financing vehicles, or similar facilities.</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intend to use a nationally recognized financial institution to serve as the trustee under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right="50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97" w:right="45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DESCRIPTION OF OUR WARRANTS</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960" w:hanging="424"/>
        <w:spacing w:after="0" w:line="266" w:lineRule="auto"/>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93" w:right="459" w:bottom="1440" w:gutter="0" w:footer="0" w:header="0"/>
        </w:sectPr>
      </w:pPr>
    </w:p>
    <w:bookmarkStart w:id="100" w:name="page101"/>
    <w:bookmarkEnd w:id="100"/>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distributions, if any, or payments upon our liquidation, dissolution or winding up or to exercise any voting rights.</w:t>
      </w:r>
    </w:p>
    <w:p>
      <w:pPr>
        <w:spacing w:after="0" w:line="18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of directors approves such issuance on the basis that the issuance is in our best interests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25.0% of our outstanding voting securities. Our stockholders voted to allow us to issue warrants at our 2012 Annual Meeting of Stockholders.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960"/>
          </w:cols>
          <w:pgMar w:left="440" w:top="297" w:right="499" w:bottom="1440" w:gutter="0" w:footer="0" w:header="0"/>
        </w:sectPr>
      </w:pPr>
    </w:p>
    <w:bookmarkStart w:id="101" w:name="page102"/>
    <w:bookmarkEnd w:id="10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REGULATION</w:t>
      </w:r>
    </w:p>
    <w:p>
      <w:pPr>
        <w:spacing w:after="0" w:line="227" w:lineRule="exact"/>
        <w:rPr>
          <w:sz w:val="20"/>
          <w:szCs w:val="20"/>
          <w:color w:val="auto"/>
        </w:rPr>
      </w:pPr>
    </w:p>
    <w:p>
      <w:pPr>
        <w:ind w:firstLine="4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section entitled “Business</w:t>
      </w:r>
      <w:r>
        <w:rPr>
          <w:rFonts w:ascii="Times New Roman" w:cs="Times New Roman" w:eastAsia="Times New Roman" w:hAnsi="Times New Roman"/>
          <w:sz w:val="18"/>
          <w:szCs w:val="18"/>
          <w:i w:val="1"/>
          <w:iCs w:val="1"/>
          <w:color w:val="auto"/>
        </w:rPr>
        <w:t> — </w:t>
      </w:r>
      <w:r>
        <w:rPr>
          <w:rFonts w:ascii="Times New Roman" w:cs="Times New Roman" w:eastAsia="Times New Roman" w:hAnsi="Times New Roman"/>
          <w:sz w:val="18"/>
          <w:szCs w:val="18"/>
          <w:color w:val="auto"/>
        </w:rPr>
        <w:t xml:space="preserve">Regulation” in Part I, Item 1 of our most recent </w:t>
      </w:r>
      <w:hyperlink r:id="rId3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herein by reference.</w:t>
      </w:r>
    </w:p>
    <w:p>
      <w:pPr>
        <w:spacing w:after="0" w:line="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00"/>
          </w:cols>
          <w:pgMar w:left="440" w:top="293" w:right="5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PLAN OF DISTRIBUTION</w:t>
      </w:r>
    </w:p>
    <w:p>
      <w:pPr>
        <w:spacing w:after="0" w:line="22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together or separately, up to $600,000,000 of common stock, preferred stock, subscription rights to purchase shares of common stock, warrants and debt securities, in one or more underwritten public offerings, at-the-market offerings to or through a market maker or into an existing trading market for our securities, on an exchange or otherwise, negotiated transactions, block trades, best efforts or a combination of these methods. The holders of our common stock will indirectly bear any fees and expenses in connection with any such offering.</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may sell our securities through underwriters or dealers, directly to one or more purchasers,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our securities will be named in the applicable prospectus supplement. A prospectus supplement or supplements will also describe the terms of the offering of our securities, including: the purchase price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our securities may be listed. Only underwriters or agents named in the prospectus supplement will be underwriters or agents of securities offered by the prospectus supplement.</w:t>
      </w:r>
    </w:p>
    <w:p>
      <w:pPr>
        <w:spacing w:after="0" w:line="18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our common stock, less any underwriting commissions or discounts, must equal or exceed the net asset value per share of our common stock at the time of the offering except (i) in connection with a rights offering to our existing stockholders, (ii) with the prior approval of the majority of our common stockholders, or (iii) under such other circumstances as the SEC may permit. Any offering of securities by us that requires the consent of the majority of our common stockholders, must occur, if at all, within one year after receiving such consent. The price at which our securities may be distributed may represent a discount from prevailing market prices. As an investor in our securities, you will indirectly bear the expenses incurred in connection with all of the distribution activities described herein.</w:t>
      </w:r>
    </w:p>
    <w:p>
      <w:pPr>
        <w:spacing w:after="0" w:line="19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On June 8, 2023, our common stockholders voted to allow us to issue common stock at a price below net asset value per share for a period of one year ending on the earlier of June 8, 2024 or the date of our 2024 Annual Meeting of Stockholders. Our stockholders are being asked to consider and approve a similar proposal at our 2024 Annual Meeting of Stockholders. The maximum number of shares issuable below net asset value pursuant to the authority granted by our stockholders that could result in such dilution is limited to 25.0% of the Company’s then outstanding common stock immediately prior to each such sale. We do not intend to issue shares of our common stock below net asset value unless our board of directors determines that it would be in our stockholders’ best interests to do so.</w:t>
      </w:r>
    </w:p>
    <w:p>
      <w:pPr>
        <w:spacing w:after="0" w:line="187"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securities, underwriters or agents may receive compensation from us or from purchasers of our securities, for whom they may act as agents, in the form of discounts, concessions or commissions. 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93" w:right="459" w:bottom="1440" w:gutter="0" w:footer="0" w:header="0"/>
        </w:sectPr>
      </w:pPr>
    </w:p>
    <w:bookmarkStart w:id="103" w:name="page104"/>
    <w:bookmarkEnd w:id="10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supplement. The maximum aggregate commission or discount to be received by any member of FINRA or independent broker-dealer will not be greater than 10% of the gross proceeds of the sale of our securities offered pursuant to this prospectus and any applicable prospectus supplement. We may also reimburse the underwriter or agent for certain fees and legal expenses incurred by it.</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our securities, either through exercise of the option to purchase additional shares from us or in the open market after the distribution is completed, to cover short positions. Penalty bids permit the underwriters to reclaim a selling concession from a dealer when our securities originally sold by the dealer are purchased in a stabilizing or covering transaction to cover short positions. Those activities may cause the price of our securities to be higher than it would otherwise be. If commenced, the underwriters may discontinue any of the activities at any time.</w:t>
      </w:r>
    </w:p>
    <w:p>
      <w:pPr>
        <w:spacing w:after="0" w:line="19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Any underwriters that are qualified market makers on the Nasdaq Global Select Market may engage in passive market making transactions in our common stock on the Nasdaq Global Select Market in accordance with Regulation M under the Exchange Act, during the business day prior to the pricing of the offering, before the commencement of offers or sales of our common stock.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our common stock at a level above that which might otherwise prevail in the open market and, if commenced, may be discontinued at any time.</w:t>
      </w:r>
    </w:p>
    <w:p>
      <w:pPr>
        <w:spacing w:after="0" w:line="189"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We may sell our securities directly or through agents we designate from time to time. We will name any agent involved in the offering and sale of our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Nasdaq Global Select Market.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97" w:right="459" w:bottom="1440" w:gutter="0" w:footer="0" w:header="0"/>
        </w:sectPr>
      </w:pPr>
    </w:p>
    <w:bookmarkStart w:id="104" w:name="page105"/>
    <w:bookmarkEnd w:id="104"/>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our securities offered hereby will be sold in such jurisdictions only through registered or licensed brokers or dealers.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60"/>
          </w:cols>
          <w:pgMar w:left="440" w:top="297" w:right="499" w:bottom="1440" w:gutter="0" w:footer="0" w:header="0"/>
        </w:sectPr>
      </w:pPr>
    </w:p>
    <w:bookmarkStart w:id="105" w:name="page106"/>
    <w:bookmarkEnd w:id="10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CUSTODIAN, TRANSFER AND DIVIDEND PAYING AGENT AND REGISTRAR</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securities are held by U.S. Bank National Association pursuant to a custody agreement. The principal business address of U.S. Bank National Association is Corporate Trust Services, One Federal Street, 3rd Floor, Boston, MA 02110, telephone: (617) 603-6538. Equiniti Trust Company, LLC will serve as our transfer agent, distribution paying agent and registrar. The principal business address of Equiniti Trust Company, LLC is 6201 15th Avenue, Brooklyn, New York 11219, telephone: (800) 937-5449.</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0"/>
          </w:cols>
          <w:pgMar w:left="440" w:top="293" w:right="49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BROKERAGE ALLOCATION AND OTHER PRACTICES</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 Subject to policies established by our board of directors, our investment advisor will be primarily responsible for selecting brokers and dealers to execute transactions with respect to the publicly-traded securities portion of our portfolio transactions and the allocation of brokerage commissions. Our investment advisor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Our investment advisor generally will seek reasonably competitive trade execution costs but will not necessarily pay the lowest spread or commission available. Subject to applicable legal requirements and consistent with Section 28(e) of the Exchange Act, our investment advisor may select a broker based upon brokerage or research services provided to our investment advisor and us and any other clients. In return for such services, we may pay a higher commission than other brokers would charge if our investment advisor determines in good faith that such commission is reasonable in relation to the services provided.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93" w:right="459" w:bottom="1440" w:gutter="0" w:footer="0" w:header="0"/>
        </w:sectPr>
      </w:pPr>
    </w:p>
    <w:bookmarkStart w:id="107" w:name="page108"/>
    <w:bookmarkEnd w:id="10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LEGAL MATTERS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Certain legal matters will be passed upon for us by Eversheds Sutherland (US) LLP. Eversheds Sutherland (US) LLP also represents our investment advisor. Certain legal matters in connection with any offering pursuant to this prospectus will be passed upon for the underwriters, if any, by the counsel named in the prospectus supplement.</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20"/>
          </w:cols>
          <w:pgMar w:left="440" w:top="293" w:right="539" w:bottom="1440" w:gutter="0" w:footer="0" w:header="0"/>
        </w:sectPr>
      </w:pPr>
    </w:p>
    <w:bookmarkStart w:id="108" w:name="page109"/>
    <w:bookmarkEnd w:id="108"/>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INDEPENDENT REGISTERED PUBLIC ACCOUNTING FIRM</w:t>
      </w:r>
    </w:p>
    <w:p>
      <w:pPr>
        <w:spacing w:after="0" w:line="229" w:lineRule="exact"/>
        <w:rPr>
          <w:sz w:val="20"/>
          <w:szCs w:val="20"/>
          <w:color w:val="auto"/>
        </w:rPr>
      </w:pPr>
    </w:p>
    <w:p>
      <w:pPr>
        <w:ind w:right="120" w:firstLine="440"/>
        <w:spacing w:after="0" w:line="312" w:lineRule="auto"/>
        <w:rPr>
          <w:sz w:val="20"/>
          <w:szCs w:val="20"/>
          <w:color w:val="auto"/>
        </w:rPr>
      </w:pPr>
      <w:r>
        <w:rPr>
          <w:rFonts w:ascii="Times New Roman" w:cs="Times New Roman" w:eastAsia="Times New Roman" w:hAnsi="Times New Roman"/>
          <w:sz w:val="17"/>
          <w:szCs w:val="17"/>
          <w:color w:val="auto"/>
        </w:rPr>
        <w:t>We have selected RSM US LLP as our independent registered public accounting firm located at 30 South Wacker Drive, Suite 3300, Chicago, Illinois 60606. The consolidated financial statements of Fidus Investment Corporation as of December 31, 2023, have been audited by RSM US LLP.</w:t>
      </w:r>
    </w:p>
    <w:p>
      <w:pPr>
        <w:spacing w:after="0" w:line="14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and the Senior Securities table incorporated by reference under the heading “Senior Securities” for Fidus Investment Corporation and subsidiaries have been incorporated by reference herein and in the registration statement in reliance upon the reports of RSM US LLP, our independent registered public accounting firm, incorporated by reference herein, in reliance upon such report and upon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880"/>
          </w:cols>
          <w:pgMar w:left="440" w:top="293" w:right="57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AVAILABLE INFORMATION</w:t>
      </w:r>
    </w:p>
    <w:p>
      <w:pPr>
        <w:spacing w:after="0" w:line="229"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reports, proxy statements and other information meeting the informational requirements of the Exchange Act. This information is available free of charge on our website at </w:t>
      </w:r>
      <w:r>
        <w:rPr>
          <w:rFonts w:ascii="Times New Roman" w:cs="Times New Roman" w:eastAsia="Times New Roman" w:hAnsi="Times New Roman"/>
          <w:sz w:val="18"/>
          <w:szCs w:val="18"/>
          <w:i w:val="1"/>
          <w:iCs w:val="1"/>
          <w:color w:val="auto"/>
        </w:rPr>
        <w:t>www.fdus.com</w:t>
      </w:r>
      <w:r>
        <w:rPr>
          <w:rFonts w:ascii="Times New Roman" w:cs="Times New Roman" w:eastAsia="Times New Roman" w:hAnsi="Times New Roman"/>
          <w:sz w:val="18"/>
          <w:szCs w:val="18"/>
          <w:color w:val="auto"/>
        </w:rPr>
        <w:t xml:space="preserve">. Information contained on our website is not incorporated into this prospectus and you should not consider such information to be part of this document. The SEC maintains an Internet site that contains reports, proxy and information statements and other information filed electronically by us with the SEC, which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may also obtain such information by contacting us in writing at 1603 Orrington Avenue, Suite 1005, Evanston, Illinois 60201, Attention: Investor Relations.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93" w:right="47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INCORPORATION OF CERTAIN INFORMATION BY REFERENCE</w:t>
      </w:r>
    </w:p>
    <w:p>
      <w:pPr>
        <w:spacing w:after="0" w:line="22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We may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subsequent to the date of the initial registration statement and prior to effectiveness of the registration statement, and subsequent to the date of this prospectus and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incorporate by reference into this prospectus our filings listed below and any future filings that we may file with the SEC under Section 13(a), 13(c), 14 or 15(d) of the Exchange Act, subsequent to the date of the initial registration statement and prior to effectiveness of the registration statement, and subsequent to the date of this prospectus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subsequent to the date of the initial registration statement will automatically update and may supersede information in this prospectus, any accompanying prospectus supplement and information previously filed with the SEC.</w:t>
      </w:r>
    </w:p>
    <w:p>
      <w:pPr>
        <w:spacing w:after="0" w:line="19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7" w:lineRule="exact"/>
        <w:rPr>
          <w:sz w:val="20"/>
          <w:szCs w:val="20"/>
          <w:color w:val="auto"/>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year ended December 31, 2023 filed with the SEC on February 29, 2024;</w:t>
      </w:r>
    </w:p>
    <w:p>
      <w:pPr>
        <w:spacing w:after="0" w:line="130" w:lineRule="exact"/>
        <w:rPr>
          <w:rFonts w:ascii="Times New Roman" w:cs="Times New Roman" w:eastAsia="Times New Roman" w:hAnsi="Times New Roman"/>
          <w:sz w:val="18"/>
          <w:szCs w:val="18"/>
          <w:color w:val="0000EE"/>
        </w:rPr>
      </w:pPr>
    </w:p>
    <w:p>
      <w:pPr>
        <w:ind w:left="960" w:hanging="424"/>
        <w:spacing w:after="0"/>
        <w:tabs>
          <w:tab w:leader="none" w:pos="960" w:val="left"/>
        </w:tabs>
        <w:numPr>
          <w:ilvl w:val="0"/>
          <w:numId w:val="57"/>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u w:val="single" w:color="auto"/>
            <w:color w:val="0000EE"/>
          </w:rPr>
          <w:t>Quarterly Report on 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fiscal quarter ended March 31, 2024 filed with the SEC on May 2, 2024;</w:t>
      </w:r>
    </w:p>
    <w:p>
      <w:pPr>
        <w:spacing w:after="0" w:line="130" w:lineRule="exact"/>
        <w:rPr>
          <w:rFonts w:ascii="Times New Roman" w:cs="Times New Roman" w:eastAsia="Times New Roman" w:hAnsi="Times New Roman"/>
          <w:sz w:val="18"/>
          <w:szCs w:val="18"/>
          <w:color w:val="0000EE"/>
        </w:rPr>
      </w:pPr>
    </w:p>
    <w:p>
      <w:pPr>
        <w:ind w:left="960" w:right="500" w:hanging="424"/>
        <w:spacing w:after="0" w:line="282" w:lineRule="auto"/>
        <w:tabs>
          <w:tab w:leader="none" w:pos="960" w:val="left"/>
        </w:tabs>
        <w:numPr>
          <w:ilvl w:val="0"/>
          <w:numId w:val="5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 on Form 8-K (other than information furnished rather than filed in accordance with SEC rules) filed with the SEC on </w:t>
      </w:r>
      <w:hyperlink r:id="rId302">
        <w:r>
          <w:rPr>
            <w:rFonts w:ascii="Times New Roman" w:cs="Times New Roman" w:eastAsia="Times New Roman" w:hAnsi="Times New Roman"/>
            <w:sz w:val="18"/>
            <w:szCs w:val="18"/>
            <w:u w:val="single" w:color="auto"/>
            <w:color w:val="0000EE"/>
          </w:rPr>
          <w:t>February 29, 2024</w:t>
        </w:r>
      </w:hyperlink>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color w:val="0000EE"/>
        </w:rPr>
      </w:pPr>
    </w:p>
    <w:p>
      <w:pPr>
        <w:ind w:left="960" w:hanging="424"/>
        <w:spacing w:after="0" w:line="282" w:lineRule="auto"/>
        <w:tabs>
          <w:tab w:leader="none" w:pos="960" w:val="left"/>
        </w:tabs>
        <w:numPr>
          <w:ilvl w:val="0"/>
          <w:numId w:val="57"/>
        </w:numPr>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(but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only with respect to information required by Part III of our Annual Report on Form 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for the fiscal year ended December 31, 2024), filed with the SEC on March 22, 2024; and</w:t>
      </w:r>
    </w:p>
    <w:p>
      <w:pPr>
        <w:spacing w:after="0" w:line="67" w:lineRule="exact"/>
        <w:rPr>
          <w:rFonts w:ascii="Times New Roman" w:cs="Times New Roman" w:eastAsia="Times New Roman" w:hAnsi="Times New Roman"/>
          <w:sz w:val="18"/>
          <w:szCs w:val="18"/>
          <w:color w:val="0000EE"/>
        </w:rPr>
      </w:pPr>
    </w:p>
    <w:p>
      <w:pPr>
        <w:ind w:left="960" w:right="60" w:hanging="424"/>
        <w:spacing w:after="0" w:line="261" w:lineRule="auto"/>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31">
        <w:r>
          <w:rPr>
            <w:rFonts w:ascii="Times New Roman" w:cs="Times New Roman" w:eastAsia="Times New Roman" w:hAnsi="Times New Roman"/>
            <w:sz w:val="18"/>
            <w:szCs w:val="18"/>
            <w:u w:val="single" w:color="auto"/>
            <w:color w:val="0000EE"/>
          </w:rPr>
          <w:t>Exhibit 4.8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for the year ended December 31, 2023, which updated the description thereof in our Registration Statement on </w:t>
      </w:r>
      <w:hyperlink r:id="rId35">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001-35207), as filed with the SEC on June 16, 2011, including any amendment or report filed for the purpose of updating such description prior to the termination of the offering of the common stock registered hereby.</w:t>
      </w:r>
    </w:p>
    <w:p>
      <w:pPr>
        <w:spacing w:after="0" w:line="180" w:lineRule="exact"/>
        <w:rPr>
          <w:rFonts w:ascii="Times New Roman" w:cs="Times New Roman" w:eastAsia="Times New Roman" w:hAnsi="Times New Roman"/>
          <w:sz w:val="18"/>
          <w:szCs w:val="18"/>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To obtain copies of these filings, see “Available Information,” or you may request a copy of these filings (other than exhibits, unless the exhibits are specifically incorporated by reference into these documents) at no cost by writing or calling the following address and telephone number:</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Fidus Investment Corporation</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1603 Orrington Avenue</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1005, Evanston, Illinois 60201</w:t>
      </w:r>
    </w:p>
    <w:p>
      <w:pPr>
        <w:spacing w:after="0" w:line="9" w:lineRule="exact"/>
        <w:rPr>
          <w:rFonts w:ascii="Times New Roman" w:cs="Times New Roman" w:eastAsia="Times New Roman" w:hAnsi="Times New Roman"/>
          <w:sz w:val="18"/>
          <w:szCs w:val="18"/>
          <w:color w:val="auto"/>
        </w:rPr>
      </w:pPr>
    </w:p>
    <w:p>
      <w:pPr>
        <w:ind w:left="5360" w:right="4960" w:hanging="418"/>
        <w:spacing w:after="0" w:line="472" w:lineRule="auto"/>
        <w:tabs>
          <w:tab w:leader="none" w:pos="5382"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859-3940 -92-</w:t>
      </w:r>
    </w:p>
    <w:p>
      <w:pPr>
        <w:sectPr>
          <w:pgSz w:w="11900" w:h="16838" w:orient="portrait"/>
          <w:cols w:equalWidth="0" w:num="1">
            <w:col w:w="11020"/>
          </w:cols>
          <w:pgMar w:left="440" w:top="293" w:right="439" w:bottom="1440" w:gutter="0" w:footer="0" w:header="0"/>
        </w:sectPr>
      </w:pPr>
    </w:p>
    <w:bookmarkStart w:id="111" w:name="page112"/>
    <w:bookmarkEnd w:id="11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80"/>
          </w:cols>
          <w:pgMar w:left="440" w:top="297" w:right="47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226060</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277495</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3174365</wp:posOffset>
            </wp:positionH>
            <wp:positionV relativeFrom="page">
              <wp:posOffset>628650</wp:posOffset>
            </wp:positionV>
            <wp:extent cx="1209040" cy="6172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Up to $300,000,000</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FIDUS INVESTMENT CORPORATION</w:t>
      </w: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Raymond James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B. Riley Securities</w:t>
      </w:r>
    </w:p>
    <w:p>
      <w:pPr>
        <w:spacing w:after="0" w:line="200" w:lineRule="exact"/>
        <w:rPr>
          <w:sz w:val="20"/>
          <w:szCs w:val="20"/>
          <w:color w:val="auto"/>
        </w:rPr>
      </w:pPr>
    </w:p>
    <w:p>
      <w:pPr>
        <w:sectPr>
          <w:pgSz w:w="11900" w:h="16838" w:orient="portrait"/>
          <w:cols w:equalWidth="0" w:num="2">
            <w:col w:w="8040" w:space="720"/>
            <w:col w:w="2260"/>
          </w:cols>
          <w:pgMar w:left="440" w:top="1440" w:right="439" w:bottom="1440" w:gutter="0" w:footer="0" w:header="0"/>
          <w:type w:val="continuous"/>
        </w:sect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3740150</wp:posOffset>
            </wp:positionV>
            <wp:extent cx="69951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3808730</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020"/>
      </w:cols>
      <w:pgMar w:left="440" w:top="144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A95F874"/>
    <w:multiLevelType w:val="hybridMultilevel"/>
    <w:lvl w:ilvl="0">
      <w:lvlJc w:val="left"/>
      <w:lvlText w:val="(%1)"/>
      <w:numFmt w:val="decimal"/>
      <w:start w:val="1"/>
    </w:lvl>
  </w:abstractNum>
  <w:abstractNum w:abstractNumId="1">
    <w:nsid w:val="8138641"/>
    <w:multiLevelType w:val="hybridMultilevel"/>
    <w:lvl w:ilvl="0">
      <w:lvlJc w:val="left"/>
      <w:lvlText w:val="(%1)"/>
      <w:numFmt w:val="decimal"/>
      <w:start w:val="7"/>
    </w:lvl>
  </w:abstractNum>
  <w:abstractNum w:abstractNumId="2">
    <w:nsid w:val="1E7FF521"/>
    <w:multiLevelType w:val="hybridMultilevel"/>
    <w:lvl w:ilvl="0">
      <w:lvlJc w:val="left"/>
      <w:lvlText w:val="(%1)"/>
      <w:numFmt w:val="decimal"/>
      <w:start w:val="10"/>
    </w:lvl>
  </w:abstractNum>
  <w:abstractNum w:abstractNumId="3">
    <w:nsid w:val="7C3DBD3D"/>
    <w:multiLevelType w:val="hybridMultilevel"/>
    <w:lvl w:ilvl="0">
      <w:lvlJc w:val="left"/>
      <w:lvlText w:val="(%1)"/>
      <w:numFmt w:val="decimal"/>
      <w:start w:val="12"/>
    </w:lvl>
  </w:abstractNum>
  <w:abstractNum w:abstractNumId="4">
    <w:nsid w:val="737B8DDC"/>
    <w:multiLevelType w:val="hybridMultilevel"/>
    <w:lvl w:ilvl="0">
      <w:lvlJc w:val="left"/>
      <w:lvlText w:val="•"/>
      <w:numFmt w:val="bullet"/>
      <w:start w:val="1"/>
    </w:lvl>
  </w:abstractNum>
  <w:abstractNum w:abstractNumId="5">
    <w:nsid w:val="6CEAF087"/>
    <w:multiLevelType w:val="hybridMultilevel"/>
    <w:lvl w:ilvl="0">
      <w:lvlJc w:val="left"/>
      <w:lvlText w:val="•"/>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1)"/>
      <w:numFmt w:val="decimal"/>
      <w:start w:val="847"/>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1)"/>
      <w:numFmt w:val="decimal"/>
      <w:start w:val="7"/>
    </w:lvl>
    <w:lvl w:ilvl="1">
      <w:lvlJc w:val="left"/>
      <w:lvlText w:val="-"/>
      <w:numFmt w:val="bullet"/>
      <w:start w:val="1"/>
    </w:lvl>
  </w:abstractNum>
  <w:abstractNum w:abstractNumId="11">
    <w:nsid w:val="5577F8E1"/>
    <w:multiLevelType w:val="hybridMultilevel"/>
    <w:lvl w:ilvl="0">
      <w:lvlJc w:val="left"/>
      <w:lvlText w:val="(%1)"/>
      <w:numFmt w:val="decimal"/>
      <w:start w:val="12"/>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lowerLetter"/>
      <w:start w:val="17"/>
    </w:lvl>
  </w:abstractNum>
  <w:abstractNum w:abstractNumId="20">
    <w:nsid w:val="51EAD36B"/>
    <w:multiLevelType w:val="hybridMultilevel"/>
    <w:lvl w:ilvl="0">
      <w:lvlJc w:val="left"/>
      <w:lvlText w:val="(%1)"/>
      <w:numFmt w:val="lowerRoman"/>
      <w:start w:val="1"/>
    </w:lvl>
  </w:abstractNum>
  <w:abstractNum w:abstractNumId="21">
    <w:nsid w:val="2D517796"/>
    <w:multiLevelType w:val="hybridMultilevel"/>
    <w:lvl w:ilvl="0">
      <w:lvlJc w:val="left"/>
      <w:lvlText w:val="(%1)"/>
      <w:numFmt w:val="lowerLetter"/>
      <w:start w:val="23"/>
    </w:lvl>
  </w:abstractNum>
  <w:abstractNum w:abstractNumId="22">
    <w:nsid w:val="580BD78F"/>
    <w:multiLevelType w:val="hybridMultilevel"/>
    <w:lvl w:ilvl="0">
      <w:lvlJc w:val="left"/>
      <w:lvlText w:val="(%1)"/>
      <w:numFmt w:val="lowerLetter"/>
      <w:start w:val="27"/>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lvl w:ilvl="1">
      <w:lvlJc w:val="left"/>
      <w:lvlText w:val="•"/>
      <w:numFmt w:val="bullet"/>
      <w:start w:val="1"/>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1)"/>
      <w:numFmt w:val="lowerRoman"/>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lowerLetter"/>
      <w:start w:val="2"/>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
      <w:numFmt w:val="bullet"/>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
      <w:numFmt w:val="bullet"/>
      <w:start w:val="1"/>
    </w:lvl>
  </w:abstractNum>
  <w:abstractNum w:abstractNumId="57">
    <w:nsid w:val="235BA861"/>
    <w:multiLevelType w:val="hybridMultilevel"/>
    <w:lvl w:ilvl="0">
      <w:lvlJc w:val="left"/>
      <w:lvlText w:val="(%1)"/>
      <w:numFmt w:val="decimal"/>
      <w:start w:val="84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jpe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3" Type="http://schemas.openxmlformats.org/officeDocument/2006/relationships/image" Target="media/image288.png"/><Relationship Id="rId304" Type="http://schemas.openxmlformats.org/officeDocument/2006/relationships/image" Target="media/image289.png"/><Relationship Id="rId305" Type="http://schemas.openxmlformats.org/officeDocument/2006/relationships/image" Target="media/image290.png"/><Relationship Id="rId306" Type="http://schemas.openxmlformats.org/officeDocument/2006/relationships/image" Target="media/image291.png"/><Relationship Id="rId307" Type="http://schemas.openxmlformats.org/officeDocument/2006/relationships/image" Target="media/image292.jpeg"/><Relationship Id="rId308" Type="http://schemas.openxmlformats.org/officeDocument/2006/relationships/image" Target="media/image293.png"/><Relationship Id="rId309" Type="http://schemas.openxmlformats.org/officeDocument/2006/relationships/image" Target="media/image294.png"/><Relationship Id="rId310" Type="http://schemas.openxmlformats.org/officeDocument/2006/relationships/image" Target="media/image295.png"/><Relationship Id="rId311" Type="http://schemas.openxmlformats.org/officeDocument/2006/relationships/image" Target="media/image296.png"/><Relationship Id="rId31" Type="http://schemas.openxmlformats.org/officeDocument/2006/relationships/hyperlink" Target="http://www.sec.gov/ix?doc=/Archives/edgar/data/1513363/000095017024023065/fdus-20231231.htm" TargetMode="External"/><Relationship Id="rId32" Type="http://schemas.openxmlformats.org/officeDocument/2006/relationships/hyperlink" Target="http://www.sec.gov/ix?doc=/Archives/edgar/data/1513363/000095017024052089/fdus-20240331.htm" TargetMode="External"/><Relationship Id="rId33" Type="http://schemas.openxmlformats.org/officeDocument/2006/relationships/hyperlink" Target="http://www.sec.gov/ix?doc=/Archives/edgar/data/1513363/000119312524075189/d787423ddef14a.htm" TargetMode="External"/><Relationship Id="rId34" Type="http://schemas.openxmlformats.org/officeDocument/2006/relationships/hyperlink" Target="http://www.sec.gov/ix?doc=/Archives/edgar/data/1513363/000119312524053672/d803783d8k.htm" TargetMode="External"/><Relationship Id="rId35" Type="http://schemas.openxmlformats.org/officeDocument/2006/relationships/hyperlink" Target="http://www.sec.gov/Archives/edgar/data/1513363/000095012311059556/w83196e8va12b.htm" TargetMode="External"/><Relationship Id="rId36" Type="http://schemas.openxmlformats.org/officeDocument/2006/relationships/hyperlink" Target="http://www.sec.gov/Archives/edgar/data/1513363/000095017022002806/fdus-ex4_8.htm" TargetMode="External"/><Relationship Id="rId63" Type="http://schemas.openxmlformats.org/officeDocument/2006/relationships/hyperlink" Target="http://www.sec.gov/ix?doc=/Archives/edgar/data/0001513363/000095017024052089/fdus-20240331.htm" TargetMode="External"/><Relationship Id="rId302" Type="http://schemas.openxmlformats.org/officeDocument/2006/relationships/hyperlink" Target="http://www.sec.gov/ix?doc=/Archives/edgar/data/0001513363/000119312524053672/d803783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2024-05-09T08:29:49Z</dcterms:created>
  <dcterms:modified xsi:type="dcterms:W3CDTF">2024-05-09T08:29:49Z</dcterms:modified>
</cp:coreProperties>
</file>