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jc w:val="center"/>
        <w:ind w:right="40"/>
        <w:spacing w:after="0" w:line="235" w:lineRule="auto"/>
        <w:rPr>
          <w:sz w:val="20"/>
          <w:szCs w:val="20"/>
          <w:color w:val="auto"/>
        </w:rPr>
      </w:pPr>
      <w:r>
        <w:rPr>
          <w:rFonts w:ascii="Times New Roman" w:cs="Times New Roman" w:eastAsia="Times New Roman" w:hAnsi="Times New Roman"/>
          <w:sz w:val="22"/>
          <w:szCs w:val="22"/>
          <w:color w:val="auto"/>
        </w:rPr>
        <w:t>CURRENT REPORT</w:t>
      </w:r>
    </w:p>
    <w:tbl>
      <w:tblPr>
        <w:tblLayout w:type="fixed"/>
        <w:tblInd w:w="720" w:type="dxa"/>
        <w:tblCellMar>
          <w:top w:w="0" w:type="dxa"/>
          <w:left w:w="0" w:type="dxa"/>
          <w:bottom w:w="0" w:type="dxa"/>
          <w:right w:w="0" w:type="dxa"/>
        </w:tblCellMar>
      </w:tblPr>
      <w:tr>
        <w:trPr>
          <w:trHeight w:val="196"/>
        </w:trPr>
        <w:tc>
          <w:tcPr>
            <w:tcW w:w="7480" w:type="dxa"/>
            <w:vAlign w:val="bottom"/>
            <w:gridSpan w:val="2"/>
          </w:tcPr>
          <w:p>
            <w:pPr>
              <w:jc w:val="center"/>
              <w:ind w:left="2182"/>
              <w:spacing w:after="0" w:line="196" w:lineRule="exact"/>
              <w:rPr>
                <w:sz w:val="20"/>
                <w:szCs w:val="20"/>
                <w:color w:val="auto"/>
              </w:rPr>
            </w:pPr>
            <w:r>
              <w:rPr>
                <w:rFonts w:ascii="Times New Roman" w:cs="Times New Roman" w:eastAsia="Times New Roman" w:hAnsi="Times New Roman"/>
                <w:sz w:val="18"/>
                <w:szCs w:val="18"/>
                <w:color w:val="auto"/>
                <w:w w:val="99"/>
              </w:rPr>
              <w:t>Pursuant to Section 13 or 15(d) of the Securities Exchange Act of 1934</w:t>
            </w:r>
          </w:p>
        </w:tc>
        <w:tc>
          <w:tcPr>
            <w:tcW w:w="2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480" w:type="dxa"/>
            <w:vAlign w:val="bottom"/>
            <w:gridSpan w:val="2"/>
          </w:tcPr>
          <w:p>
            <w:pPr>
              <w:ind w:left="1740"/>
              <w:spacing w:after="0" w:line="183" w:lineRule="exact"/>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2540" w:type="dxa"/>
            <w:vAlign w:val="bottom"/>
          </w:tcPr>
          <w:p>
            <w:pPr>
              <w:jc w:val="right"/>
              <w:ind w:right="690"/>
              <w:spacing w:after="0" w:line="183" w:lineRule="exact"/>
              <w:rPr>
                <w:sz w:val="20"/>
                <w:szCs w:val="20"/>
                <w:color w:val="auto"/>
              </w:rPr>
            </w:pPr>
            <w:r>
              <w:rPr>
                <w:rFonts w:ascii="Times New Roman" w:cs="Times New Roman" w:eastAsia="Times New Roman" w:hAnsi="Times New Roman"/>
                <w:sz w:val="18"/>
                <w:szCs w:val="18"/>
                <w:color w:val="auto"/>
              </w:rPr>
              <w:t>February 18, 2025</w:t>
            </w:r>
          </w:p>
        </w:tc>
        <w:tc>
          <w:tcPr>
            <w:tcW w:w="0" w:type="dxa"/>
            <w:vAlign w:val="bottom"/>
          </w:tcPr>
          <w:p>
            <w:pPr>
              <w:spacing w:after="0"/>
              <w:rPr>
                <w:sz w:val="1"/>
                <w:szCs w:val="1"/>
                <w:color w:val="auto"/>
              </w:rPr>
            </w:pPr>
          </w:p>
        </w:tc>
      </w:tr>
      <w:tr>
        <w:trPr>
          <w:trHeight w:val="533"/>
        </w:trPr>
        <w:tc>
          <w:tcPr>
            <w:tcW w:w="10020" w:type="dxa"/>
            <w:vAlign w:val="bottom"/>
            <w:gridSpan w:val="3"/>
          </w:tcPr>
          <w:p>
            <w:pPr>
              <w:jc w:val="right"/>
              <w:ind w:right="2270"/>
              <w:spacing w:after="0"/>
              <w:rPr>
                <w:sz w:val="20"/>
                <w:szCs w:val="20"/>
                <w:color w:val="auto"/>
              </w:rPr>
            </w:pPr>
            <w:r>
              <w:rPr>
                <w:rFonts w:ascii="Times New Roman" w:cs="Times New Roman" w:eastAsia="Times New Roman" w:hAnsi="Times New Roman"/>
                <w:sz w:val="43"/>
                <w:szCs w:val="43"/>
                <w:b w:val="1"/>
                <w:bCs w:val="1"/>
                <w:color w:val="auto"/>
              </w:rPr>
              <w:t>Fidus Investment Corporation</w:t>
            </w:r>
          </w:p>
        </w:tc>
        <w:tc>
          <w:tcPr>
            <w:tcW w:w="0" w:type="dxa"/>
            <w:vAlign w:val="bottom"/>
          </w:tcPr>
          <w:p>
            <w:pPr>
              <w:spacing w:after="0"/>
              <w:rPr>
                <w:sz w:val="1"/>
                <w:szCs w:val="1"/>
                <w:color w:val="auto"/>
              </w:rPr>
            </w:pPr>
          </w:p>
        </w:tc>
      </w:tr>
      <w:tr>
        <w:trPr>
          <w:trHeight w:val="216"/>
        </w:trPr>
        <w:tc>
          <w:tcPr>
            <w:tcW w:w="7480" w:type="dxa"/>
            <w:vAlign w:val="bottom"/>
            <w:gridSpan w:val="2"/>
          </w:tcPr>
          <w:p>
            <w:pPr>
              <w:jc w:val="center"/>
              <w:ind w:left="2202"/>
              <w:spacing w:after="0"/>
              <w:rPr>
                <w:sz w:val="20"/>
                <w:szCs w:val="20"/>
                <w:color w:val="auto"/>
              </w:rPr>
            </w:pPr>
            <w:r>
              <w:rPr>
                <w:rFonts w:ascii="Times New Roman" w:cs="Times New Roman" w:eastAsia="Times New Roman" w:hAnsi="Times New Roman"/>
                <w:sz w:val="18"/>
                <w:szCs w:val="18"/>
                <w:color w:val="auto"/>
                <w:w w:val="99"/>
              </w:rPr>
              <w:t>__________________________________________</w:t>
            </w: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jc w:val="center"/>
              <w:ind w:left="2222"/>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jc w:val="center"/>
              <w:ind w:right="102"/>
              <w:spacing w:after="0"/>
              <w:rPr>
                <w:sz w:val="20"/>
                <w:szCs w:val="20"/>
                <w:color w:val="auto"/>
              </w:rPr>
            </w:pPr>
            <w:r>
              <w:rPr>
                <w:rFonts w:ascii="Times New Roman" w:cs="Times New Roman" w:eastAsia="Times New Roman" w:hAnsi="Times New Roman"/>
                <w:sz w:val="18"/>
                <w:szCs w:val="18"/>
                <w:color w:val="auto"/>
                <w:w w:val="99"/>
              </w:rPr>
              <w:t>Maryland</w:t>
            </w:r>
          </w:p>
        </w:tc>
        <w:tc>
          <w:tcPr>
            <w:tcW w:w="3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814-00861</w:t>
            </w:r>
          </w:p>
        </w:tc>
        <w:tc>
          <w:tcPr>
            <w:tcW w:w="254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rPr>
              <w:t>27-5017321</w:t>
            </w:r>
          </w:p>
        </w:tc>
        <w:tc>
          <w:tcPr>
            <w:tcW w:w="0" w:type="dxa"/>
            <w:vAlign w:val="bottom"/>
          </w:tcPr>
          <w:p>
            <w:pPr>
              <w:spacing w:after="0"/>
              <w:rPr>
                <w:sz w:val="1"/>
                <w:szCs w:val="1"/>
                <w:color w:val="auto"/>
              </w:rPr>
            </w:pPr>
          </w:p>
        </w:tc>
      </w:tr>
      <w:tr>
        <w:trPr>
          <w:trHeight w:val="216"/>
        </w:trPr>
        <w:tc>
          <w:tcPr>
            <w:tcW w:w="4180" w:type="dxa"/>
            <w:vAlign w:val="bottom"/>
          </w:tcPr>
          <w:p>
            <w:pPr>
              <w:jc w:val="right"/>
              <w:ind w:right="1142"/>
              <w:spacing w:after="0"/>
              <w:rPr>
                <w:sz w:val="20"/>
                <w:szCs w:val="20"/>
                <w:color w:val="auto"/>
              </w:rPr>
            </w:pPr>
            <w:r>
              <w:rPr>
                <w:rFonts w:ascii="Times New Roman" w:cs="Times New Roman" w:eastAsia="Times New Roman" w:hAnsi="Times New Roman"/>
                <w:sz w:val="18"/>
                <w:szCs w:val="18"/>
                <w:color w:val="auto"/>
              </w:rPr>
              <w:t>_____________________</w:t>
            </w:r>
          </w:p>
        </w:tc>
        <w:tc>
          <w:tcPr>
            <w:tcW w:w="3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_____________</w:t>
            </w:r>
          </w:p>
        </w:tc>
        <w:tc>
          <w:tcPr>
            <w:tcW w:w="254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______________</w:t>
            </w:r>
          </w:p>
        </w:tc>
        <w:tc>
          <w:tcPr>
            <w:tcW w:w="0" w:type="dxa"/>
            <w:vAlign w:val="bottom"/>
          </w:tcPr>
          <w:p>
            <w:pPr>
              <w:spacing w:after="0"/>
              <w:rPr>
                <w:sz w:val="1"/>
                <w:szCs w:val="1"/>
                <w:color w:val="auto"/>
              </w:rPr>
            </w:pPr>
          </w:p>
        </w:tc>
      </w:tr>
      <w:tr>
        <w:trPr>
          <w:trHeight w:val="216"/>
        </w:trPr>
        <w:tc>
          <w:tcPr>
            <w:tcW w:w="4180" w:type="dxa"/>
            <w:vAlign w:val="bottom"/>
          </w:tcPr>
          <w:p>
            <w:pPr>
              <w:jc w:val="center"/>
              <w:ind w:right="102"/>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(Commission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4180" w:type="dxa"/>
            <w:vAlign w:val="bottom"/>
          </w:tcPr>
          <w:p>
            <w:pPr>
              <w:jc w:val="center"/>
              <w:ind w:right="102"/>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File Number)</w:t>
            </w:r>
          </w:p>
        </w:tc>
        <w:tc>
          <w:tcPr>
            <w:tcW w:w="254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657"/>
        </w:trPr>
        <w:tc>
          <w:tcPr>
            <w:tcW w:w="4180" w:type="dxa"/>
            <w:vAlign w:val="bottom"/>
          </w:tcPr>
          <w:p>
            <w:pPr>
              <w:jc w:val="center"/>
              <w:ind w:right="142"/>
              <w:spacing w:after="0"/>
              <w:rPr>
                <w:sz w:val="20"/>
                <w:szCs w:val="20"/>
                <w:color w:val="auto"/>
              </w:rPr>
            </w:pPr>
            <w:r>
              <w:rPr>
                <w:rFonts w:ascii="Times New Roman" w:cs="Times New Roman" w:eastAsia="Times New Roman" w:hAnsi="Times New Roman"/>
                <w:sz w:val="18"/>
                <w:szCs w:val="18"/>
                <w:color w:val="auto"/>
                <w:w w:val="99"/>
              </w:rPr>
              <w:t>1603 Orrington Avenue, Suite 1005, Evanston, Illinois</w:t>
            </w:r>
          </w:p>
        </w:tc>
        <w:tc>
          <w:tcPr>
            <w:tcW w:w="3300" w:type="dxa"/>
            <w:vAlign w:val="bottom"/>
          </w:tcPr>
          <w:p>
            <w:pPr>
              <w:spacing w:after="0"/>
              <w:rPr>
                <w:sz w:val="24"/>
                <w:szCs w:val="24"/>
                <w:color w:val="auto"/>
              </w:rPr>
            </w:pPr>
          </w:p>
        </w:tc>
        <w:tc>
          <w:tcPr>
            <w:tcW w:w="254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7"/>
              </w:rPr>
              <w:t>60201</w:t>
            </w:r>
          </w:p>
        </w:tc>
        <w:tc>
          <w:tcPr>
            <w:tcW w:w="0" w:type="dxa"/>
            <w:vAlign w:val="bottom"/>
          </w:tcPr>
          <w:p>
            <w:pPr>
              <w:spacing w:after="0"/>
              <w:rPr>
                <w:sz w:val="1"/>
                <w:szCs w:val="1"/>
                <w:color w:val="auto"/>
              </w:rPr>
            </w:pPr>
          </w:p>
        </w:tc>
      </w:tr>
      <w:tr>
        <w:trPr>
          <w:trHeight w:val="216"/>
        </w:trPr>
        <w:tc>
          <w:tcPr>
            <w:tcW w:w="4180" w:type="dxa"/>
            <w:vAlign w:val="bottom"/>
          </w:tcPr>
          <w:p>
            <w:pPr>
              <w:jc w:val="right"/>
              <w:ind w:right="602"/>
              <w:spacing w:after="0"/>
              <w:rPr>
                <w:sz w:val="20"/>
                <w:szCs w:val="20"/>
                <w:color w:val="auto"/>
              </w:rPr>
            </w:pPr>
            <w:r>
              <w:rPr>
                <w:rFonts w:ascii="Times New Roman" w:cs="Times New Roman" w:eastAsia="Times New Roman" w:hAnsi="Times New Roman"/>
                <w:sz w:val="18"/>
                <w:szCs w:val="18"/>
                <w:color w:val="auto"/>
              </w:rPr>
              <w:t>_________________________________</w:t>
            </w:r>
          </w:p>
        </w:tc>
        <w:tc>
          <w:tcPr>
            <w:tcW w:w="3300" w:type="dxa"/>
            <w:vAlign w:val="bottom"/>
          </w:tcPr>
          <w:p>
            <w:pPr>
              <w:spacing w:after="0"/>
              <w:rPr>
                <w:sz w:val="18"/>
                <w:szCs w:val="18"/>
                <w:color w:val="auto"/>
              </w:rPr>
            </w:pPr>
          </w:p>
        </w:tc>
        <w:tc>
          <w:tcPr>
            <w:tcW w:w="254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rPr>
              <w:t>___________</w:t>
            </w:r>
          </w:p>
        </w:tc>
        <w:tc>
          <w:tcPr>
            <w:tcW w:w="0" w:type="dxa"/>
            <w:vAlign w:val="bottom"/>
          </w:tcPr>
          <w:p>
            <w:pPr>
              <w:spacing w:after="0"/>
              <w:rPr>
                <w:sz w:val="1"/>
                <w:szCs w:val="1"/>
                <w:color w:val="auto"/>
              </w:rPr>
            </w:pPr>
          </w:p>
        </w:tc>
      </w:tr>
      <w:tr>
        <w:trPr>
          <w:trHeight w:val="234"/>
        </w:trPr>
        <w:tc>
          <w:tcPr>
            <w:tcW w:w="4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300" w:type="dxa"/>
            <w:vAlign w:val="bottom"/>
          </w:tcPr>
          <w:p>
            <w:pPr>
              <w:spacing w:after="0"/>
              <w:rPr>
                <w:sz w:val="20"/>
                <w:szCs w:val="20"/>
                <w:color w:val="auto"/>
              </w:rPr>
            </w:pPr>
          </w:p>
        </w:tc>
        <w:tc>
          <w:tcPr>
            <w:tcW w:w="254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702"/>
        </w:trPr>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3300" w:type="dxa"/>
            <w:vAlign w:val="bottom"/>
            <w:vMerge w:val="restart"/>
          </w:tcPr>
          <w:p>
            <w:pPr>
              <w:jc w:val="center"/>
              <w:ind w:right="1810"/>
              <w:spacing w:after="0"/>
              <w:rPr>
                <w:sz w:val="20"/>
                <w:szCs w:val="20"/>
                <w:color w:val="auto"/>
              </w:rPr>
            </w:pPr>
            <w:r>
              <w:rPr>
                <w:rFonts w:ascii="Times New Roman" w:cs="Times New Roman" w:eastAsia="Times New Roman" w:hAnsi="Times New Roman"/>
                <w:sz w:val="18"/>
                <w:szCs w:val="18"/>
                <w:color w:val="auto"/>
              </w:rPr>
              <w:t>Not Applicable</w:t>
            </w:r>
          </w:p>
        </w:tc>
        <w:tc>
          <w:tcPr>
            <w:tcW w:w="254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847-859-3940</w:t>
            </w:r>
          </w:p>
        </w:tc>
        <w:tc>
          <w:tcPr>
            <w:tcW w:w="0" w:type="dxa"/>
            <w:vAlign w:val="bottom"/>
          </w:tcPr>
          <w:p>
            <w:pPr>
              <w:spacing w:after="0"/>
              <w:rPr>
                <w:sz w:val="1"/>
                <w:szCs w:val="1"/>
                <w:color w:val="auto"/>
              </w:rPr>
            </w:pPr>
          </w:p>
        </w:tc>
      </w:tr>
      <w:tr>
        <w:trPr>
          <w:trHeight w:val="198"/>
        </w:trPr>
        <w:tc>
          <w:tcPr>
            <w:tcW w:w="4180" w:type="dxa"/>
            <w:vAlign w:val="bottom"/>
          </w:tcPr>
          <w:p>
            <w:pPr>
              <w:spacing w:after="0"/>
              <w:rPr>
                <w:sz w:val="17"/>
                <w:szCs w:val="17"/>
                <w:color w:val="auto"/>
              </w:rPr>
            </w:pPr>
          </w:p>
        </w:tc>
        <w:tc>
          <w:tcPr>
            <w:tcW w:w="3300" w:type="dxa"/>
            <w:vAlign w:val="bottom"/>
            <w:vMerge w:val="continue"/>
          </w:tcPr>
          <w:p>
            <w:pPr>
              <w:spacing w:after="0"/>
              <w:rPr>
                <w:sz w:val="17"/>
                <w:szCs w:val="17"/>
                <w:color w:val="auto"/>
              </w:rPr>
            </w:pPr>
          </w:p>
        </w:tc>
        <w:tc>
          <w:tcPr>
            <w:tcW w:w="2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jc w:val="center"/>
              <w:ind w:left="2242"/>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w:t>
            </w: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80" w:type="dxa"/>
            <w:vAlign w:val="bottom"/>
            <w:gridSpan w:val="2"/>
          </w:tcPr>
          <w:p>
            <w:pPr>
              <w:jc w:val="center"/>
              <w:ind w:left="2182"/>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4820"/>
        <w:spacing w:after="0" w:line="206" w:lineRule="auto"/>
        <w:rPr>
          <w:sz w:val="20"/>
          <w:szCs w:val="20"/>
          <w:color w:val="auto"/>
        </w:rPr>
      </w:pPr>
      <w:r>
        <w:rPr>
          <w:rFonts w:ascii="Calibri" w:cs="Calibri" w:eastAsia="Calibri" w:hAnsi="Calibri"/>
          <w:sz w:val="20"/>
          <w:szCs w:val="20"/>
          <w:b w:val="1"/>
          <w:bCs w:val="1"/>
          <w:color w:val="auto"/>
        </w:rPr>
        <w:t>________________</w:t>
      </w:r>
    </w:p>
    <w:p>
      <w:pPr>
        <w:spacing w:after="0" w:line="191" w:lineRule="exact"/>
        <w:rPr>
          <w:sz w:val="24"/>
          <w:szCs w:val="24"/>
          <w:color w:val="auto"/>
        </w:rPr>
      </w:pPr>
    </w:p>
    <w:p>
      <w:pPr>
        <w:ind w:right="680"/>
        <w:spacing w:after="0" w:line="27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7" w:lineRule="exact"/>
        <w:rPr>
          <w:sz w:val="24"/>
          <w:szCs w:val="24"/>
          <w:color w:val="auto"/>
        </w:rPr>
      </w:pPr>
    </w:p>
    <w:tbl>
      <w:tblPr>
        <w:tblLayout w:type="fixed"/>
        <w:tblInd w:w="10" w:type="dxa"/>
        <w:tblCellMar>
          <w:top w:w="0" w:type="dxa"/>
          <w:left w:w="0" w:type="dxa"/>
          <w:bottom w:w="0" w:type="dxa"/>
          <w:right w:w="0" w:type="dxa"/>
        </w:tblCellMar>
      </w:tblPr>
      <w:tr>
        <w:trPr>
          <w:trHeight w:val="310"/>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4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94"/>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FDUS</w:t>
            </w:r>
          </w:p>
        </w:tc>
        <w:tc>
          <w:tcPr>
            <w:tcW w:w="4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998855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ind w:right="160" w:firstLine="479"/>
        <w:spacing w:after="0" w:line="266" w:lineRule="auto"/>
        <w:rPr>
          <w:sz w:val="20"/>
          <w:szCs w:val="20"/>
          <w:color w:val="auto"/>
        </w:rPr>
      </w:pPr>
      <w:r>
        <w:rPr>
          <w:rFonts w:ascii="Times New Roman" w:cs="Times New Roman" w:eastAsia="Times New Roman" w:hAnsi="Times New Roman"/>
          <w:sz w:val="18"/>
          <w:szCs w:val="18"/>
          <w:color w:val="auto"/>
        </w:rPr>
        <w:t>Fidus Investment Corporation issued a press release on February 18, 2025 announcing the declaration of a base dividend of $0.43 per share and a supplemental dividend of $0.11 per share which are payable on March 27, 2025 to stockholders of record as of March 20, 2025, a copy of which has been furnished as Exhibit 99.1 hereto and is incorporated by reference herein.</w:t>
      </w:r>
    </w:p>
    <w:p>
      <w:pPr>
        <w:spacing w:after="0" w:line="12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information disclosed under this Item 7.01, including Exhibit 99.1 attached hereto, is being furnished and shall not be deemed “filed” for purposes of Section 18 of the Securities Exchange Act of 1934, as amended (the “Exchange Act”), or otherwise subject to the liabilities of that section, and shall not be deemed incorporated by reference into any filing made under the Securities Act of 1933, as amended, or the Exchange Act, except as expressly set forth by specific reference in such filing.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 Exhibits</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Exhibit 99.1 is being furnished herewith to this Current Report on Form 8-K:</w:t>
      </w:r>
    </w:p>
    <w:p>
      <w:pPr>
        <w:spacing w:after="0" w:line="3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Exhibit</w:t>
      </w:r>
    </w:p>
    <w:p>
      <w:pPr>
        <w:ind w:left="860"/>
        <w:spacing w:after="0"/>
        <w:tabs>
          <w:tab w:leader="none" w:pos="132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-9525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ind w:left="760"/>
        <w:spacing w:after="0"/>
        <w:rPr>
          <w:sz w:val="20"/>
          <w:szCs w:val="20"/>
          <w:color w:val="auto"/>
        </w:rPr>
      </w:pPr>
      <w:r>
        <w:rPr>
          <w:rFonts w:ascii="Times New Roman" w:cs="Times New Roman" w:eastAsia="Times New Roman" w:hAnsi="Times New Roman"/>
          <w:sz w:val="18"/>
          <w:szCs w:val="18"/>
          <w:u w:val="single" w:color="auto"/>
          <w:color w:val="0000FF"/>
        </w:rPr>
        <w:t>99.1 Press Release dated February 18, 2025 of Fidus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-20320</wp:posOffset>
            </wp:positionV>
            <wp:extent cx="35223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22345" cy="8255"/>
                    </a:xfrm>
                    <a:prstGeom prst="rect">
                      <a:avLst/>
                    </a:prstGeom>
                    <a:noFill/>
                  </pic:spPr>
                </pic:pic>
              </a:graphicData>
            </a:graphic>
          </wp:anchor>
        </w:drawing>
      </w:r>
    </w:p>
    <w:p>
      <w:pPr>
        <w:ind w:left="760"/>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XBRL document)</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February 18, 2025</w:t>
            </w:r>
          </w:p>
        </w:tc>
        <w:tc>
          <w:tcPr>
            <w:tcW w:w="960" w:type="dxa"/>
            <w:vAlign w:val="bottom"/>
          </w:tcPr>
          <w:p>
            <w:pPr>
              <w:spacing w:after="0"/>
              <w:rPr>
                <w:sz w:val="19"/>
                <w:szCs w:val="19"/>
                <w:color w:val="auto"/>
              </w:rPr>
            </w:pPr>
          </w:p>
        </w:tc>
        <w:tc>
          <w:tcPr>
            <w:tcW w:w="774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tc>
      </w:tr>
      <w:tr>
        <w:trPr>
          <w:trHeight w:val="194"/>
        </w:trPr>
        <w:tc>
          <w:tcPr>
            <w:tcW w:w="2540" w:type="dxa"/>
            <w:vAlign w:val="bottom"/>
          </w:tcPr>
          <w:p>
            <w:pPr>
              <w:spacing w:after="0"/>
              <w:rPr>
                <w:sz w:val="16"/>
                <w:szCs w:val="16"/>
                <w:color w:val="auto"/>
              </w:rPr>
            </w:pPr>
          </w:p>
        </w:tc>
        <w:tc>
          <w:tcPr>
            <w:tcW w:w="8700" w:type="dxa"/>
            <w:vAlign w:val="bottom"/>
            <w:gridSpan w:val="3"/>
          </w:tcPr>
          <w:p>
            <w:pPr>
              <w:ind w:left="660"/>
              <w:spacing w:after="0" w:line="194" w:lineRule="exact"/>
              <w:rPr>
                <w:sz w:val="20"/>
                <w:szCs w:val="20"/>
                <w:color w:val="auto"/>
              </w:rPr>
            </w:pPr>
            <w:r>
              <w:rPr>
                <w:rFonts w:ascii="Times New Roman" w:cs="Times New Roman" w:eastAsia="Times New Roman" w:hAnsi="Times New Roman"/>
                <w:sz w:val="18"/>
                <w:szCs w:val="18"/>
                <w:color w:val="auto"/>
              </w:rPr>
              <w:t>By: /s/ Shelby E. Sherard</w:t>
            </w:r>
          </w:p>
        </w:tc>
      </w:tr>
      <w:tr>
        <w:trPr>
          <w:trHeight w:val="20"/>
        </w:trPr>
        <w:tc>
          <w:tcPr>
            <w:tcW w:w="2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218"/>
        </w:trPr>
        <w:tc>
          <w:tcPr>
            <w:tcW w:w="2540" w:type="dxa"/>
            <w:vAlign w:val="bottom"/>
          </w:tcPr>
          <w:p>
            <w:pPr>
              <w:spacing w:after="0"/>
              <w:rPr>
                <w:sz w:val="18"/>
                <w:szCs w:val="18"/>
                <w:color w:val="auto"/>
              </w:rPr>
            </w:pPr>
          </w:p>
        </w:tc>
        <w:tc>
          <w:tcPr>
            <w:tcW w:w="87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Shelby E. Sherard</w:t>
            </w:r>
          </w:p>
        </w:tc>
      </w:tr>
      <w:tr>
        <w:trPr>
          <w:trHeight w:val="234"/>
        </w:trPr>
        <w:tc>
          <w:tcPr>
            <w:tcW w:w="2540" w:type="dxa"/>
            <w:vAlign w:val="bottom"/>
          </w:tcPr>
          <w:p>
            <w:pPr>
              <w:spacing w:after="0"/>
              <w:rPr>
                <w:sz w:val="20"/>
                <w:szCs w:val="20"/>
                <w:color w:val="auto"/>
              </w:rPr>
            </w:pPr>
          </w:p>
        </w:tc>
        <w:tc>
          <w:tcPr>
            <w:tcW w:w="87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Chief Financial Officer and Secretary</w:t>
            </w:r>
          </w:p>
        </w:tc>
      </w:tr>
      <w:tr>
        <w:trPr>
          <w:trHeight w:val="2086"/>
        </w:trPr>
        <w:tc>
          <w:tcPr>
            <w:tcW w:w="25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1354455" cy="677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5445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FIDUS INVESTMENT CORPORATION DECLARES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FIRST QUARTER 2025 DIVIDEND</w:t>
      </w:r>
    </w:p>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b w:val="1"/>
          <w:bCs w:val="1"/>
          <w:color w:val="auto"/>
        </w:rPr>
        <w:t>EVANSTON, Ill., February 18, 2025</w:t>
      </w:r>
      <w:r>
        <w:rPr>
          <w:rFonts w:ascii="Times New Roman" w:cs="Times New Roman" w:eastAsia="Times New Roman" w:hAnsi="Times New Roman"/>
          <w:sz w:val="16"/>
          <w:szCs w:val="16"/>
          <w:color w:val="auto"/>
        </w:rPr>
        <w:t>– Fidus Investment Corporation (NASDAQ:FDUS) (“Fidus” or the “Company”) today announced that its Board of Directors 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February 18, 2025 declared a base dividend of $0.43 per share and a supplemental dividend of $0.11 per share for the first quarter of 2025. The Company’s dividends will be payable on March 27, 2025 to stockholders of record as of March 20, 2025.</w:t>
      </w:r>
    </w:p>
    <w:p>
      <w:pPr>
        <w:spacing w:after="0" w:line="16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When declaring dividends, the Company’s Board of Directors reviews estimates of taxable income available for distribution, which differs from consolidated income under U.S. generally accepted accounting principles due to (i) changes in unrealized appreciation and depreciation, (ii) temporary and permanent differences in income and expense recognition, and (iii) the amount of undistributed taxable income carried over from a given year for distribution in the following year. The final determination of 2025 taxable income, as well as the tax attributes for 2025 dividends, will be made after the close of the 2025 tax year. The final tax attributes for 2025 dividends will generally include ordinary taxable income but may also include capital gains, qualified dividends and return of capital.</w:t>
      </w:r>
    </w:p>
    <w:p>
      <w:pPr>
        <w:spacing w:after="0" w:line="17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Fidus has adopted a dividend reinvestment plan (“DRIP”) that provides for reinvestment of dividends on behalf of its stockholders, unless a stockholder elects to receive cash. As a result, when the Company declares a cash dividend, stockholders who have not “opted out” of the DRIP at least two days prior to the dividend payment date will have their cash dividends automatically reinvested in additional shares of the Company’s common stock. Those stockholders whose shares are held by a broker or other financial intermediary may receive dividends in cash by notifying their broker or other financial intermediary of their election.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FIDUS INVESTMENT CORPORATION</w:t>
      </w:r>
    </w:p>
    <w:p>
      <w:pPr>
        <w:spacing w:after="0" w:line="22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Fidus Investment Corporation provides customized debt and equity financing solutions to lower middle-market companies, which management generally defines as U.S. based companies with revenues between $10 million and $150 million. The Company’s investment objective is to provide attractive risk-adjusted returns by generating both current income from debt investments and capital appreciation from equity related investments. Fidus seeks to partner with business owners, management teams and financial sponsors by providing customized financing for change of ownership transactions, recapitalizations, strategic acquisitions, business expansion and other growth initiatives.</w:t>
      </w:r>
    </w:p>
    <w:p>
      <w:pPr>
        <w:spacing w:after="0" w:line="37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Fidus is an externally managed, closed-end, non-diversified management investment company that has elected to be treated as a business development company under the Investment Company Act of 1940, as amended. In addition, for tax purposes, Fidus has elected to be treated for U.S. federal income tax purposes as a regulated investment company under Subchapter M of the Internal Revenue Code of 1986, as amended. Fidus was formed in February 2011 to continue and expand the business of Fidus Mezzanine Capital, L.P., which commenced operations in May 2007 and is licensed by the U.S. Small Business Administration as a small business investment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Company Contact:</w:t>
            </w:r>
          </w:p>
        </w:tc>
        <w:tc>
          <w:tcPr>
            <w:tcW w:w="756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tc>
      </w:tr>
      <w:tr>
        <w:trPr>
          <w:trHeight w:val="216"/>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Shelby E. Sherard</w:t>
            </w:r>
          </w:p>
        </w:tc>
        <w:tc>
          <w:tcPr>
            <w:tcW w:w="75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Jody Burfening</w:t>
            </w:r>
          </w:p>
        </w:tc>
      </w:tr>
      <w:tr>
        <w:trPr>
          <w:trHeight w:val="216"/>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75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Alliance Advisors IR</w:t>
            </w:r>
          </w:p>
        </w:tc>
      </w:tr>
      <w:tr>
        <w:trPr>
          <w:trHeight w:val="216"/>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(847) 859-3940</w:t>
            </w:r>
          </w:p>
        </w:tc>
        <w:tc>
          <w:tcPr>
            <w:tcW w:w="75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(212) 838-3777</w:t>
            </w:r>
          </w:p>
        </w:tc>
      </w:tr>
      <w:tr>
        <w:trPr>
          <w:trHeight w:val="23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ssherard@fidusinv.com</w:t>
            </w:r>
          </w:p>
        </w:tc>
        <w:tc>
          <w:tcPr>
            <w:tcW w:w="75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jburfening@allianceadvisors.com</w:t>
            </w:r>
          </w:p>
        </w:tc>
      </w:tr>
      <w:tr>
        <w:trPr>
          <w:trHeight w:val="1627"/>
        </w:trPr>
        <w:tc>
          <w:tcPr>
            <w:tcW w:w="3680" w:type="dxa"/>
            <w:vAlign w:val="bottom"/>
            <w:tcBorders>
              <w:bottom w:val="single" w:sz="8" w:color="9A9A9A"/>
            </w:tcBorders>
          </w:tcPr>
          <w:p>
            <w:pPr>
              <w:spacing w:after="0"/>
              <w:rPr>
                <w:sz w:val="24"/>
                <w:szCs w:val="24"/>
                <w:color w:val="auto"/>
              </w:rPr>
            </w:pPr>
          </w:p>
        </w:tc>
        <w:tc>
          <w:tcPr>
            <w:tcW w:w="7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2025-02-18T15:13:29Z</dcterms:created>
  <dcterms:modified xsi:type="dcterms:W3CDTF">2025-02-18T15:13:29Z</dcterms:modified>
</cp:coreProperties>
</file>