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35" w:lineRule="exact"/>
        <w:rPr>
          <w:sz w:val="24"/>
          <w:szCs w:val="24"/>
          <w:color w:val="auto"/>
        </w:rPr>
      </w:pPr>
    </w:p>
    <w:p>
      <w:pPr>
        <w:ind w:left="320"/>
        <w:spacing w:after="0" w:line="141" w:lineRule="exact"/>
        <w:rPr>
          <w:sz w:val="20"/>
          <w:szCs w:val="20"/>
          <w:color w:val="auto"/>
        </w:rPr>
      </w:pPr>
      <w:r>
        <w:rPr>
          <w:rFonts w:ascii="MS PGothic" w:cs="MS PGothic" w:eastAsia="MS PGothic" w:hAnsi="MS PGothic"/>
          <w:sz w:val="14"/>
          <w:szCs w:val="14"/>
          <w:color w:val="auto"/>
          <w:highlight w:val="black"/>
        </w:rPr>
        <w:t>☑</w:t>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320"/>
        <w:spacing w:after="0" w:line="181" w:lineRule="exact"/>
        <w:rPr>
          <w:sz w:val="20"/>
          <w:szCs w:val="20"/>
          <w:color w:val="auto"/>
        </w:rPr>
      </w:pP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ind w:left="3440"/>
        <w:spacing w:after="0" w:line="183" w:lineRule="auto"/>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8"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9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8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7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79" w:lineRule="exact"/>
        <w:rPr>
          <w:sz w:val="24"/>
          <w:szCs w:val="24"/>
          <w:color w:val="auto"/>
        </w:rPr>
      </w:pPr>
    </w:p>
    <w:tbl>
      <w:tblPr>
        <w:tblLayout w:type="fixed"/>
        <w:tblInd w:w="3160" w:type="dxa"/>
        <w:tblCellMar>
          <w:top w:w="0" w:type="dxa"/>
          <w:left w:w="0" w:type="dxa"/>
          <w:bottom w:w="0" w:type="dxa"/>
          <w:right w:w="0" w:type="dxa"/>
        </w:tblCellMar>
      </w:tblPr>
      <w:tr>
        <w:trPr>
          <w:trHeight w:val="207"/>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640" w:type="dxa"/>
            <w:vAlign w:val="bottom"/>
            <w:tcBorders>
              <w:bottom w:val="single" w:sz="8" w:color="auto"/>
            </w:tcBorders>
          </w:tcPr>
          <w:p>
            <w:pPr>
              <w:spacing w:after="0"/>
              <w:rPr>
                <w:sz w:val="17"/>
                <w:szCs w:val="17"/>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3"/>
              </w:rPr>
              <w:t>to</w:t>
            </w:r>
          </w:p>
        </w:tc>
      </w:tr>
      <w:tr>
        <w:trPr>
          <w:trHeight w:val="29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Commission file number 814-00861</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3"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43"/>
          <w:szCs w:val="43"/>
          <w:b w:val="1"/>
          <w:bCs w:val="1"/>
          <w:color w:val="auto"/>
        </w:rPr>
        <w:t>Fidus Investment Corporation</w:t>
      </w:r>
    </w:p>
    <w:p>
      <w:pPr>
        <w:spacing w:after="0" w:line="45"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32" w:lineRule="exact"/>
        <w:rPr>
          <w:sz w:val="24"/>
          <w:szCs w:val="24"/>
          <w:color w:val="auto"/>
        </w:rPr>
      </w:pPr>
    </w:p>
    <w:tbl>
      <w:tblPr>
        <w:tblLayout w:type="fixed"/>
        <w:tblInd w:w="400" w:type="dxa"/>
        <w:tblCellMar>
          <w:top w:w="0" w:type="dxa"/>
          <w:left w:w="0" w:type="dxa"/>
          <w:bottom w:w="0" w:type="dxa"/>
          <w:right w:w="0" w:type="dxa"/>
        </w:tblCellMar>
      </w:tblPr>
      <w:tr>
        <w:trPr>
          <w:trHeight w:val="207"/>
        </w:trPr>
        <w:tc>
          <w:tcPr>
            <w:tcW w:w="3140" w:type="dxa"/>
            <w:vAlign w:val="bottom"/>
          </w:tcPr>
          <w:p>
            <w:pPr>
              <w:jc w:val="center"/>
              <w:ind w:right="379"/>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4380" w:type="dxa"/>
            <w:vAlign w:val="bottom"/>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27-5017321</w:t>
            </w:r>
          </w:p>
        </w:tc>
        <w:tc>
          <w:tcPr>
            <w:tcW w:w="0" w:type="dxa"/>
            <w:vAlign w:val="bottom"/>
          </w:tcPr>
          <w:p>
            <w:pPr>
              <w:spacing w:after="0"/>
              <w:rPr>
                <w:sz w:val="1"/>
                <w:szCs w:val="1"/>
                <w:color w:val="auto"/>
              </w:rPr>
            </w:pPr>
          </w:p>
        </w:tc>
      </w:tr>
      <w:tr>
        <w:trPr>
          <w:trHeight w:val="148"/>
        </w:trPr>
        <w:tc>
          <w:tcPr>
            <w:tcW w:w="3140" w:type="dxa"/>
            <w:vAlign w:val="bottom"/>
          </w:tcPr>
          <w:p>
            <w:pPr>
              <w:jc w:val="center"/>
              <w:ind w:right="4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380" w:type="dxa"/>
            <w:vAlign w:val="bottom"/>
          </w:tcPr>
          <w:p>
            <w:pPr>
              <w:jc w:val="center"/>
              <w:ind w:left="313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140" w:type="dxa"/>
            <w:vAlign w:val="bottom"/>
          </w:tcPr>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380" w:type="dxa"/>
            <w:vAlign w:val="bottom"/>
          </w:tcPr>
          <w:p>
            <w:pPr>
              <w:jc w:val="center"/>
              <w:ind w:left="3159"/>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39"/>
        </w:trPr>
        <w:tc>
          <w:tcPr>
            <w:tcW w:w="3140" w:type="dxa"/>
            <w:vAlign w:val="bottom"/>
          </w:tcPr>
          <w:p>
            <w:pPr>
              <w:jc w:val="center"/>
              <w:ind w:right="379"/>
              <w:spacing w:after="0"/>
              <w:rPr>
                <w:sz w:val="20"/>
                <w:szCs w:val="20"/>
                <w:color w:val="auto"/>
              </w:rPr>
            </w:pPr>
            <w:r>
              <w:rPr>
                <w:rFonts w:ascii="Times New Roman" w:cs="Times New Roman" w:eastAsia="Times New Roman" w:hAnsi="Times New Roman"/>
                <w:sz w:val="18"/>
                <w:szCs w:val="18"/>
                <w:b w:val="1"/>
                <w:bCs w:val="1"/>
                <w:color w:val="auto"/>
                <w:w w:val="99"/>
              </w:rPr>
              <w:t>1603 Orrington Avenue, Suite 1005</w:t>
            </w:r>
          </w:p>
        </w:tc>
        <w:tc>
          <w:tcPr>
            <w:tcW w:w="4380" w:type="dxa"/>
            <w:vAlign w:val="bottom"/>
            <w:vMerge w:val="restart"/>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60201</w:t>
            </w:r>
          </w:p>
        </w:tc>
        <w:tc>
          <w:tcPr>
            <w:tcW w:w="0" w:type="dxa"/>
            <w:vAlign w:val="bottom"/>
          </w:tcPr>
          <w:p>
            <w:pPr>
              <w:spacing w:after="0"/>
              <w:rPr>
                <w:sz w:val="1"/>
                <w:szCs w:val="1"/>
                <w:color w:val="auto"/>
              </w:rPr>
            </w:pPr>
          </w:p>
        </w:tc>
      </w:tr>
      <w:tr>
        <w:trPr>
          <w:trHeight w:val="191"/>
        </w:trPr>
        <w:tc>
          <w:tcPr>
            <w:tcW w:w="3140" w:type="dxa"/>
            <w:vAlign w:val="bottom"/>
          </w:tcPr>
          <w:p>
            <w:pPr>
              <w:jc w:val="center"/>
              <w:ind w:right="399"/>
              <w:spacing w:after="0" w:line="191" w:lineRule="exact"/>
              <w:rPr>
                <w:sz w:val="20"/>
                <w:szCs w:val="20"/>
                <w:color w:val="auto"/>
              </w:rPr>
            </w:pPr>
            <w:r>
              <w:rPr>
                <w:rFonts w:ascii="Times New Roman" w:cs="Times New Roman" w:eastAsia="Times New Roman" w:hAnsi="Times New Roman"/>
                <w:sz w:val="18"/>
                <w:szCs w:val="18"/>
                <w:b w:val="1"/>
                <w:bCs w:val="1"/>
                <w:color w:val="auto"/>
                <w:w w:val="99"/>
              </w:rPr>
              <w:t>Evanston, Illinois</w:t>
            </w:r>
          </w:p>
        </w:tc>
        <w:tc>
          <w:tcPr>
            <w:tcW w:w="4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40" w:type="dxa"/>
            <w:vAlign w:val="bottom"/>
          </w:tcPr>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380" w:type="dxa"/>
            <w:vAlign w:val="bottom"/>
          </w:tcPr>
          <w:p>
            <w:pPr>
              <w:jc w:val="center"/>
              <w:ind w:left="315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68"/>
        </w:trPr>
        <w:tc>
          <w:tcPr>
            <w:tcW w:w="3140" w:type="dxa"/>
            <w:vAlign w:val="bottom"/>
          </w:tcPr>
          <w:p>
            <w:pPr>
              <w:spacing w:after="0"/>
              <w:rPr>
                <w:sz w:val="23"/>
                <w:szCs w:val="23"/>
                <w:color w:val="auto"/>
              </w:rPr>
            </w:pPr>
          </w:p>
        </w:tc>
        <w:tc>
          <w:tcPr>
            <w:tcW w:w="4380" w:type="dxa"/>
            <w:vAlign w:val="bottom"/>
          </w:tcPr>
          <w:p>
            <w:pPr>
              <w:jc w:val="right"/>
              <w:ind w:right="2739"/>
              <w:spacing w:after="0"/>
              <w:rPr>
                <w:sz w:val="20"/>
                <w:szCs w:val="20"/>
                <w:color w:val="auto"/>
              </w:rPr>
            </w:pPr>
            <w:r>
              <w:rPr>
                <w:rFonts w:ascii="Times New Roman" w:cs="Times New Roman" w:eastAsia="Times New Roman" w:hAnsi="Times New Roman"/>
                <w:sz w:val="18"/>
                <w:szCs w:val="18"/>
                <w:b w:val="1"/>
                <w:bCs w:val="1"/>
                <w:color w:val="auto"/>
              </w:rPr>
              <w:t>(847) 859-3940</w:t>
            </w:r>
          </w:p>
        </w:tc>
        <w:tc>
          <w:tcPr>
            <w:tcW w:w="0" w:type="dxa"/>
            <w:vAlign w:val="bottom"/>
          </w:tcPr>
          <w:p>
            <w:pPr>
              <w:spacing w:after="0"/>
              <w:rPr>
                <w:sz w:val="1"/>
                <w:szCs w:val="1"/>
                <w:color w:val="auto"/>
              </w:rPr>
            </w:pPr>
          </w:p>
        </w:tc>
      </w:tr>
    </w:tbl>
    <w:p>
      <w:pPr>
        <w:ind w:left="2200"/>
        <w:spacing w:after="0" w:line="187" w:lineRule="auto"/>
        <w:rPr>
          <w:sz w:val="20"/>
          <w:szCs w:val="20"/>
          <w:color w:val="auto"/>
        </w:rPr>
      </w:pPr>
      <w:r>
        <w:rPr>
          <w:rFonts w:ascii="Times New Roman" w:cs="Times New Roman" w:eastAsia="Times New Roman" w:hAnsi="Times New Roman"/>
          <w:sz w:val="12"/>
          <w:szCs w:val="12"/>
          <w:i w:val="1"/>
          <w:iCs w:val="1"/>
          <w:color w:val="auto"/>
        </w:rPr>
        <w:t>(Registrant’s telephone number, including area code)</w:t>
      </w:r>
    </w:p>
    <w:p>
      <w:pPr>
        <w:ind w:left="3800"/>
        <w:spacing w:after="0" w:line="204" w:lineRule="auto"/>
        <w:rPr>
          <w:sz w:val="20"/>
          <w:szCs w:val="20"/>
          <w:color w:val="auto"/>
        </w:rPr>
      </w:pPr>
      <w:r>
        <w:rPr>
          <w:rFonts w:ascii="Times New Roman" w:cs="Times New Roman" w:eastAsia="Times New Roman" w:hAnsi="Times New Roman"/>
          <w:sz w:val="18"/>
          <w:szCs w:val="18"/>
          <w:color w:val="auto"/>
        </w:rPr>
        <w:t>________________</w:t>
      </w:r>
    </w:p>
    <w:p>
      <w:pPr>
        <w:jc w:val="center"/>
        <w:ind w:right="1060"/>
        <w:spacing w:after="0" w:line="234" w:lineRule="auto"/>
        <w:rPr>
          <w:sz w:val="20"/>
          <w:szCs w:val="20"/>
          <w:color w:val="auto"/>
        </w:rPr>
      </w:pPr>
      <w:r>
        <w:rPr>
          <w:rFonts w:ascii="Times New Roman" w:cs="Times New Roman" w:eastAsia="Times New Roman" w:hAnsi="Times New Roman"/>
          <w:sz w:val="18"/>
          <w:szCs w:val="18"/>
          <w:b w:val="1"/>
          <w:bCs w:val="1"/>
          <w:color w:val="auto"/>
        </w:rPr>
        <w:t>n/a</w:t>
      </w:r>
    </w:p>
    <w:p>
      <w:pPr>
        <w:jc w:val="center"/>
        <w:ind w:right="1060"/>
        <w:spacing w:after="0" w:line="235" w:lineRule="auto"/>
        <w:rPr>
          <w:sz w:val="20"/>
          <w:szCs w:val="20"/>
          <w:color w:val="auto"/>
        </w:rPr>
      </w:pPr>
      <w:r>
        <w:rPr>
          <w:rFonts w:ascii="Times New Roman" w:cs="Times New Roman" w:eastAsia="Times New Roman" w:hAnsi="Times New Roman"/>
          <w:sz w:val="18"/>
          <w:szCs w:val="18"/>
          <w:i w:val="1"/>
          <w:iCs w:val="1"/>
          <w:color w:val="auto"/>
        </w:rPr>
        <w:t>(Former name, former address and former fiscal year, if changed since last report)</w:t>
      </w:r>
    </w:p>
    <w:p>
      <w:pPr>
        <w:spacing w:after="0" w:line="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_______________</w:t>
      </w:r>
    </w:p>
    <w:p>
      <w:pPr>
        <w:spacing w:after="0" w:line="39"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2" w:lineRule="exact"/>
        <w:rPr>
          <w:sz w:val="24"/>
          <w:szCs w:val="24"/>
          <w:color w:val="auto"/>
        </w:rPr>
      </w:pPr>
    </w:p>
    <w:p>
      <w:pPr>
        <w:sectPr>
          <w:pgSz w:w="11900" w:h="16838" w:orient="portrait"/>
          <w:cols w:equalWidth="0" w:num="2">
            <w:col w:w="860" w:space="220"/>
            <w:col w:w="10160"/>
          </w:cols>
          <w:pgMar w:left="320" w:top="583" w:right="339" w:bottom="1440" w:gutter="0" w:footer="0" w:header="0"/>
        </w:sectPr>
      </w:pPr>
    </w:p>
    <w:tbl>
      <w:tblPr>
        <w:tblLayout w:type="fixed"/>
        <w:tblInd w:w="10" w:type="dxa"/>
        <w:tblCellMar>
          <w:top w:w="0" w:type="dxa"/>
          <w:left w:w="0" w:type="dxa"/>
          <w:bottom w:w="0" w:type="dxa"/>
          <w:right w:w="0" w:type="dxa"/>
        </w:tblCellMar>
      </w:tblPr>
      <w:tr>
        <w:trPr>
          <w:trHeight w:val="270"/>
        </w:trPr>
        <w:tc>
          <w:tcPr>
            <w:tcW w:w="4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400" w:type="dxa"/>
            <w:vAlign w:val="bottom"/>
            <w:tcBorders>
              <w:top w:val="single" w:sz="8" w:color="auto"/>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94"/>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FDUS</w:t>
            </w:r>
          </w:p>
        </w:tc>
        <w:tc>
          <w:tcPr>
            <w:tcW w:w="440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36"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2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jc w:val="both"/>
        <w:ind w:firstLine="361"/>
        <w:spacing w:after="0" w:line="2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8" w:lineRule="exact"/>
        <w:rPr>
          <w:sz w:val="24"/>
          <w:szCs w:val="24"/>
          <w:color w:val="auto"/>
        </w:rPr>
      </w:pPr>
    </w:p>
    <w:p>
      <w:pPr>
        <w:jc w:val="both"/>
        <w:ind w:right="20" w:firstLine="36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Layout w:type="fixed"/>
        <w:tblInd w:w="220" w:type="dxa"/>
        <w:tblCellMar>
          <w:top w:w="0" w:type="dxa"/>
          <w:left w:w="0" w:type="dxa"/>
          <w:bottom w:w="0" w:type="dxa"/>
          <w:right w:w="0" w:type="dxa"/>
        </w:tblCellMar>
      </w:tblPr>
      <w:tr>
        <w:trPr>
          <w:trHeight w:val="201"/>
        </w:trPr>
        <w:tc>
          <w:tcPr>
            <w:tcW w:w="220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20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rPr>
              <w:t>Accelerated filer</w:t>
            </w:r>
          </w:p>
        </w:tc>
        <w:tc>
          <w:tcPr>
            <w:tcW w:w="2200" w:type="dxa"/>
            <w:vAlign w:val="bottom"/>
          </w:tcPr>
          <w:p>
            <w:pPr>
              <w:jc w:val="center"/>
              <w:ind w:left="119"/>
              <w:spacing w:after="0" w:line="201" w:lineRule="exact"/>
              <w:rPr>
                <w:sz w:val="20"/>
                <w:szCs w:val="20"/>
                <w:color w:val="auto"/>
              </w:rPr>
            </w:pPr>
            <w:r>
              <w:rPr>
                <w:rFonts w:ascii="Times New Roman" w:cs="Times New Roman" w:eastAsia="Times New Roman" w:hAnsi="Times New Roman"/>
                <w:sz w:val="18"/>
                <w:szCs w:val="18"/>
                <w:color w:val="auto"/>
                <w:w w:val="99"/>
              </w:rPr>
              <w:t>Non-accelerated filer</w:t>
            </w:r>
          </w:p>
        </w:tc>
        <w:tc>
          <w:tcPr>
            <w:tcW w:w="2340" w:type="dxa"/>
            <w:vAlign w:val="bottom"/>
          </w:tcPr>
          <w:p>
            <w:pPr>
              <w:jc w:val="center"/>
              <w:ind w:left="10"/>
              <w:spacing w:after="0" w:line="201" w:lineRule="exact"/>
              <w:rPr>
                <w:sz w:val="20"/>
                <w:szCs w:val="20"/>
                <w:color w:val="auto"/>
              </w:rPr>
            </w:pPr>
            <w:r>
              <w:rPr>
                <w:rFonts w:ascii="Times New Roman" w:cs="Times New Roman" w:eastAsia="Times New Roman" w:hAnsi="Times New Roman"/>
                <w:sz w:val="18"/>
                <w:szCs w:val="18"/>
                <w:color w:val="auto"/>
                <w:w w:val="99"/>
              </w:rPr>
              <w:t>Smaller reporting company</w:t>
            </w:r>
          </w:p>
        </w:tc>
        <w:tc>
          <w:tcPr>
            <w:tcW w:w="2100" w:type="dxa"/>
            <w:vAlign w:val="bottom"/>
          </w:tcPr>
          <w:p>
            <w:pPr>
              <w:jc w:val="center"/>
              <w:ind w:left="50"/>
              <w:spacing w:after="0" w:line="201" w:lineRule="exact"/>
              <w:rPr>
                <w:sz w:val="20"/>
                <w:szCs w:val="20"/>
                <w:color w:val="auto"/>
              </w:rPr>
            </w:pPr>
            <w:r>
              <w:rPr>
                <w:rFonts w:ascii="Times New Roman" w:cs="Times New Roman" w:eastAsia="Times New Roman" w:hAnsi="Times New Roman"/>
                <w:sz w:val="18"/>
                <w:szCs w:val="18"/>
                <w:color w:val="auto"/>
                <w:w w:val="99"/>
              </w:rPr>
              <w:t>Emerging growth company</w:t>
            </w:r>
          </w:p>
        </w:tc>
        <w:tc>
          <w:tcPr>
            <w:tcW w:w="0" w:type="dxa"/>
            <w:vAlign w:val="bottom"/>
          </w:tcPr>
          <w:p>
            <w:pPr>
              <w:spacing w:after="0"/>
              <w:rPr>
                <w:sz w:val="1"/>
                <w:szCs w:val="1"/>
                <w:color w:val="auto"/>
              </w:rPr>
            </w:pPr>
          </w:p>
        </w:tc>
      </w:tr>
      <w:tr>
        <w:trPr>
          <w:trHeight w:val="218"/>
        </w:trPr>
        <w:tc>
          <w:tcPr>
            <w:tcW w:w="2200" w:type="dxa"/>
            <w:vAlign w:val="bottom"/>
            <w:vMerge w:val="continue"/>
          </w:tcPr>
          <w:p>
            <w:pPr>
              <w:spacing w:after="0"/>
              <w:rPr>
                <w:sz w:val="18"/>
                <w:szCs w:val="18"/>
                <w:color w:val="auto"/>
              </w:rPr>
            </w:pPr>
          </w:p>
        </w:tc>
        <w:tc>
          <w:tcPr>
            <w:tcW w:w="20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2200" w:type="dxa"/>
            <w:vAlign w:val="bottom"/>
          </w:tcPr>
          <w:p>
            <w:pPr>
              <w:jc w:val="center"/>
              <w:ind w:left="119"/>
              <w:spacing w:after="0" w:line="141" w:lineRule="exact"/>
              <w:rPr>
                <w:sz w:val="20"/>
                <w:szCs w:val="20"/>
                <w:color w:val="auto"/>
              </w:rPr>
            </w:pPr>
            <w:r>
              <w:rPr>
                <w:rFonts w:ascii="MS PGothic" w:cs="MS PGothic" w:eastAsia="MS PGothic" w:hAnsi="MS PGothic"/>
                <w:sz w:val="14"/>
                <w:szCs w:val="14"/>
                <w:color w:val="auto"/>
                <w:w w:val="85"/>
              </w:rPr>
              <w:t>☑</w:t>
            </w:r>
          </w:p>
        </w:tc>
        <w:tc>
          <w:tcPr>
            <w:tcW w:w="2340" w:type="dxa"/>
            <w:vAlign w:val="bottom"/>
          </w:tcPr>
          <w:p>
            <w:pPr>
              <w:jc w:val="center"/>
              <w:ind w:left="50"/>
              <w:spacing w:after="0" w:line="181" w:lineRule="exact"/>
              <w:rPr>
                <w:sz w:val="20"/>
                <w:szCs w:val="20"/>
                <w:color w:val="auto"/>
              </w:rPr>
            </w:pPr>
            <w:r>
              <w:rPr>
                <w:rFonts w:ascii="MS PGothic" w:cs="MS PGothic" w:eastAsia="MS PGothic" w:hAnsi="MS PGothic"/>
                <w:sz w:val="18"/>
                <w:szCs w:val="18"/>
                <w:color w:val="auto"/>
                <w:w w:val="88"/>
              </w:rPr>
              <w:t>☐</w:t>
            </w:r>
          </w:p>
        </w:tc>
        <w:tc>
          <w:tcPr>
            <w:tcW w:w="2100" w:type="dxa"/>
            <w:vAlign w:val="bottom"/>
          </w:tcPr>
          <w:p>
            <w:pPr>
              <w:jc w:val="center"/>
              <w:ind w:left="9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(Do not check if a smaller reporting company)</w:t>
      </w:r>
    </w:p>
    <w:p>
      <w:pPr>
        <w:spacing w:after="0" w:line="30"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9" w:lineRule="exact"/>
        <w:rPr>
          <w:sz w:val="24"/>
          <w:szCs w:val="24"/>
          <w:color w:val="auto"/>
        </w:rPr>
      </w:pPr>
    </w:p>
    <w:p>
      <w:pPr>
        <w:ind w:right="2100"/>
        <w:spacing w:after="0" w:line="26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8"/>
          <w:szCs w:val="18"/>
          <w:color w:val="auto"/>
        </w:rPr>
        <w:t xml:space="preserve"> As of May 3, 2022, the Registrant had outstanding 24,437,400 shares of 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type w:val="continuous"/>
        </w:sectPr>
      </w:pPr>
    </w:p>
    <w:bookmarkStart w:id="1" w:name="page2"/>
    <w:bookmarkEnd w:id="1"/>
    <w:p>
      <w:pPr>
        <w:ind w:left="4000"/>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3040" w:type="dxa"/>
            <w:vAlign w:val="bottom"/>
            <w:gridSpan w:val="6"/>
          </w:tcPr>
          <w:p>
            <w:pPr>
              <w:spacing w:after="0"/>
              <w:rPr>
                <w:sz w:val="17"/>
                <w:szCs w:val="17"/>
                <w:color w:val="auto"/>
              </w:rPr>
            </w:pPr>
          </w:p>
        </w:tc>
        <w:tc>
          <w:tcPr>
            <w:tcW w:w="740" w:type="dxa"/>
            <w:vAlign w:val="bottom"/>
          </w:tcPr>
          <w:p>
            <w:pPr>
              <w:spacing w:after="0"/>
              <w:rPr>
                <w:sz w:val="17"/>
                <w:szCs w:val="17"/>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56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w:t>
            </w:r>
          </w:p>
        </w:tc>
        <w:tc>
          <w:tcPr>
            <w:tcW w:w="8000" w:type="dxa"/>
            <w:vAlign w:val="bottom"/>
            <w:gridSpan w:val="16"/>
          </w:tcPr>
          <w:p>
            <w:pPr>
              <w:spacing w:after="0"/>
              <w:rPr>
                <w:sz w:val="17"/>
                <w:szCs w:val="17"/>
                <w:color w:val="auto"/>
              </w:rPr>
            </w:pPr>
          </w:p>
        </w:tc>
        <w:tc>
          <w:tcPr>
            <w:tcW w:w="74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4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Assets and Liabilities — March 31, 2022 (unaudited) and December 31, 2021</w:t>
            </w:r>
          </w:p>
        </w:tc>
        <w:tc>
          <w:tcPr>
            <w:tcW w:w="1920" w:type="dxa"/>
            <w:vAlign w:val="bottom"/>
            <w:gridSpan w:val="4"/>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 three months ended March 31, 2022 (unaudited) and 2021 (unaudited)</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Changes in Net Assets — three months ended March 31, 2022 (unaudited) and 2021 (unaudited)</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80" w:type="dxa"/>
            <w:vAlign w:val="bottom"/>
            <w:tcBorders>
              <w:top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 three months ended March 31, 2022, (unaudited) and 2021 (unaudited)</w:t>
            </w:r>
          </w:p>
        </w:tc>
        <w:tc>
          <w:tcPr>
            <w:tcW w:w="58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tcBorders>
              <w:top w:val="single" w:sz="8" w:color="0000FF"/>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Schedules of Investments — March 31, 2022 (unaudited) and December 31, 2021</w:t>
            </w:r>
          </w:p>
        </w:tc>
        <w:tc>
          <w:tcPr>
            <w:tcW w:w="1340" w:type="dxa"/>
            <w:vAlign w:val="bottom"/>
            <w:tcBorders>
              <w:top w:val="single" w:sz="8" w:color="0000FF"/>
            </w:tcBorders>
            <w:gridSpan w:val="3"/>
          </w:tcPr>
          <w:p>
            <w:pPr>
              <w:spacing w:after="0"/>
              <w:rPr>
                <w:sz w:val="17"/>
                <w:szCs w:val="17"/>
                <w:color w:val="auto"/>
              </w:rPr>
            </w:pPr>
          </w:p>
        </w:tc>
        <w:tc>
          <w:tcPr>
            <w:tcW w:w="1320" w:type="dxa"/>
            <w:vAlign w:val="bottom"/>
            <w:gridSpan w:val="2"/>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r>
              <w:rPr>
                <w:rFonts w:ascii="Times New Roman" w:cs="Times New Roman" w:eastAsia="Times New Roman" w:hAnsi="Times New Roman"/>
                <w:sz w:val="18"/>
                <w:szCs w:val="18"/>
                <w:color w:val="000000"/>
              </w:rPr>
              <w:t>.</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420" w:type="dxa"/>
            <w:vAlign w:val="bottom"/>
            <w:tcBorders>
              <w:top w:val="single" w:sz="8" w:color="0000FF"/>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40" w:type="dxa"/>
            <w:vAlign w:val="bottom"/>
            <w:tcBorders>
              <w:top w:val="single" w:sz="8" w:color="0000FF"/>
            </w:tcBorders>
            <w:gridSpan w:val="2"/>
          </w:tcPr>
          <w:p>
            <w:pPr>
              <w:spacing w:after="0"/>
              <w:rPr>
                <w:sz w:val="17"/>
                <w:szCs w:val="17"/>
                <w:color w:val="auto"/>
              </w:rPr>
            </w:pPr>
          </w:p>
        </w:tc>
        <w:tc>
          <w:tcPr>
            <w:tcW w:w="3100" w:type="dxa"/>
            <w:vAlign w:val="bottom"/>
            <w:gridSpan w:val="7"/>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1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740" w:type="dxa"/>
            <w:vAlign w:val="bottom"/>
          </w:tcPr>
          <w:p>
            <w:pPr>
              <w:spacing w:after="0"/>
              <w:rPr>
                <w:sz w:val="17"/>
                <w:szCs w:val="17"/>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34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2940" w:type="dxa"/>
            <w:vAlign w:val="bottom"/>
            <w:tcBorders>
              <w:top w:val="single" w:sz="8" w:color="0000FF"/>
            </w:tcBorders>
            <w:gridSpan w:val="4"/>
          </w:tcPr>
          <w:p>
            <w:pPr>
              <w:spacing w:after="0"/>
              <w:rPr>
                <w:sz w:val="17"/>
                <w:szCs w:val="17"/>
                <w:color w:val="auto"/>
              </w:rPr>
            </w:pPr>
          </w:p>
        </w:tc>
        <w:tc>
          <w:tcPr>
            <w:tcW w:w="3160" w:type="dxa"/>
            <w:vAlign w:val="bottom"/>
            <w:gridSpan w:val="8"/>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6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Risk Factors.</w:t>
            </w:r>
          </w:p>
        </w:tc>
        <w:tc>
          <w:tcPr>
            <w:tcW w:w="420" w:type="dxa"/>
            <w:vAlign w:val="bottom"/>
            <w:tcBorders>
              <w:top w:val="single" w:sz="8" w:color="0000FF"/>
            </w:tcBorders>
            <w:gridSpan w:val="2"/>
          </w:tcPr>
          <w:p>
            <w:pPr>
              <w:spacing w:after="0"/>
              <w:rPr>
                <w:sz w:val="17"/>
                <w:szCs w:val="17"/>
                <w:color w:val="auto"/>
              </w:rPr>
            </w:pPr>
          </w:p>
        </w:tc>
        <w:tc>
          <w:tcPr>
            <w:tcW w:w="8180" w:type="dxa"/>
            <w:vAlign w:val="bottom"/>
            <w:gridSpan w:val="17"/>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40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160" w:type="dxa"/>
            <w:vAlign w:val="bottom"/>
            <w:gridSpan w:val="10"/>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8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7180" w:type="dxa"/>
            <w:vAlign w:val="bottom"/>
            <w:gridSpan w:val="14"/>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8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7740" w:type="dxa"/>
            <w:vAlign w:val="bottom"/>
            <w:gridSpan w:val="15"/>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60" w:type="dxa"/>
            <w:vAlign w:val="bottom"/>
            <w:tcBorders>
              <w:top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8200" w:type="dxa"/>
            <w:vAlign w:val="bottom"/>
            <w:gridSpan w:val="18"/>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20"/>
        </w:trPr>
        <w:tc>
          <w:tcPr>
            <w:tcW w:w="7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Index</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482"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1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Assets and Liabilities</w:t>
      </w:r>
    </w:p>
    <w:p>
      <w:pPr>
        <w:ind w:left="3780"/>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5"/>
        </w:trPr>
        <w:tc>
          <w:tcPr>
            <w:tcW w:w="7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at fair value:</w:t>
            </w: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7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Control investments (cost: $6,832 and $6,833, respectively)</w:t>
            </w: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2,150</w:t>
            </w:r>
          </w:p>
        </w:tc>
        <w:tc>
          <w:tcPr>
            <w:tcW w:w="4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2,151</w:t>
            </w:r>
          </w:p>
        </w:tc>
      </w:tr>
      <w:tr>
        <w:trPr>
          <w:trHeight w:val="176"/>
        </w:trPr>
        <w:tc>
          <w:tcPr>
            <w:tcW w:w="7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Affiliate investments (cost: $46,542 and $55,519, respectively)</w:t>
            </w:r>
          </w:p>
        </w:tc>
        <w:tc>
          <w:tcPr>
            <w:tcW w:w="280" w:type="dxa"/>
            <w:vAlign w:val="bottom"/>
          </w:tcPr>
          <w:p>
            <w:pPr>
              <w:spacing w:after="0"/>
              <w:rPr>
                <w:sz w:val="15"/>
                <w:szCs w:val="15"/>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122,428</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137,284</w:t>
            </w:r>
          </w:p>
        </w:tc>
      </w:tr>
      <w:tr>
        <w:trPr>
          <w:trHeight w:val="175"/>
        </w:trPr>
        <w:tc>
          <w:tcPr>
            <w:tcW w:w="77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Non-control/non-affiliate investments (cost: $666,602 and $559,434, respectively)</w:t>
            </w:r>
          </w:p>
        </w:tc>
        <w:tc>
          <w:tcPr>
            <w:tcW w:w="28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687,417</w:t>
            </w:r>
          </w:p>
        </w:tc>
        <w:tc>
          <w:tcPr>
            <w:tcW w:w="1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579,689</w:t>
            </w:r>
          </w:p>
        </w:tc>
      </w:tr>
      <w:tr>
        <w:trPr>
          <w:trHeight w:val="169"/>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investments, at fair value (cost: $719,976 and $621,786, respectively)</w:t>
            </w:r>
          </w:p>
        </w:tc>
        <w:tc>
          <w:tcPr>
            <w:tcW w:w="280" w:type="dxa"/>
            <w:vAlign w:val="bottom"/>
          </w:tcPr>
          <w:p>
            <w:pPr>
              <w:spacing w:after="0"/>
              <w:rPr>
                <w:sz w:val="14"/>
                <w:szCs w:val="14"/>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811,995</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719,124</w:t>
            </w:r>
          </w:p>
        </w:tc>
      </w:tr>
      <w:tr>
        <w:trPr>
          <w:trHeight w:val="17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86,113</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169,417</w:t>
            </w:r>
          </w:p>
        </w:tc>
      </w:tr>
      <w:tr>
        <w:trPr>
          <w:trHeight w:val="17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280" w:type="dxa"/>
            <w:vAlign w:val="bottom"/>
          </w:tcPr>
          <w:p>
            <w:pPr>
              <w:spacing w:after="0"/>
              <w:rPr>
                <w:sz w:val="15"/>
                <w:szCs w:val="15"/>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10,318</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8,231</w:t>
            </w:r>
          </w:p>
        </w:tc>
      </w:tr>
      <w:tr>
        <w:trPr>
          <w:trHeight w:val="1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8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580</w:t>
            </w:r>
          </w:p>
        </w:tc>
        <w:tc>
          <w:tcPr>
            <w:tcW w:w="1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413</w:t>
            </w:r>
          </w:p>
        </w:tc>
      </w:tr>
      <w:tr>
        <w:trPr>
          <w:trHeight w:val="169"/>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909,006</w:t>
            </w:r>
          </w:p>
        </w:tc>
        <w:tc>
          <w:tcPr>
            <w:tcW w:w="4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897,185</w:t>
            </w:r>
          </w:p>
        </w:tc>
      </w:tr>
      <w:tr>
        <w:trPr>
          <w:trHeight w:val="20"/>
        </w:trPr>
        <w:tc>
          <w:tcPr>
            <w:tcW w:w="7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77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8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debentures, net of deferred financing costs (Note 6)</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124,803</w:t>
            </w:r>
          </w:p>
        </w:tc>
        <w:tc>
          <w:tcPr>
            <w:tcW w:w="4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103,978</w:t>
            </w:r>
          </w:p>
        </w:tc>
      </w:tr>
      <w:tr>
        <w:trPr>
          <w:trHeight w:val="17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Notes, net of deferred financing costs (Note 6)</w:t>
            </w:r>
          </w:p>
        </w:tc>
        <w:tc>
          <w:tcPr>
            <w:tcW w:w="28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245,290</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245,016</w:t>
            </w: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Borrowings under Credit Facility, net of deferred financing costs (Note 6)</w:t>
            </w:r>
          </w:p>
        </w:tc>
        <w:tc>
          <w:tcPr>
            <w:tcW w:w="2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(483 )</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(595 )</w:t>
            </w:r>
          </w:p>
        </w:tc>
      </w:tr>
      <w:tr>
        <w:trPr>
          <w:trHeight w:val="17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Secured Borrowings</w:t>
            </w:r>
          </w:p>
        </w:tc>
        <w:tc>
          <w:tcPr>
            <w:tcW w:w="28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17,443</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17,637</w:t>
            </w:r>
          </w:p>
        </w:tc>
      </w:tr>
      <w:tr>
        <w:trPr>
          <w:trHeight w:val="17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and fees payable</w:t>
            </w:r>
          </w:p>
        </w:tc>
        <w:tc>
          <w:tcPr>
            <w:tcW w:w="280" w:type="dxa"/>
            <w:vAlign w:val="bottom"/>
          </w:tcPr>
          <w:p>
            <w:pPr>
              <w:spacing w:after="0"/>
              <w:rPr>
                <w:sz w:val="15"/>
                <w:szCs w:val="15"/>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3,615</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4,668</w:t>
            </w:r>
          </w:p>
        </w:tc>
      </w:tr>
      <w:tr>
        <w:trPr>
          <w:trHeight w:val="17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Base management fee payable, net of base management fee waiver – due to affiliate</w:t>
            </w:r>
          </w:p>
        </w:tc>
        <w:tc>
          <w:tcPr>
            <w:tcW w:w="28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3,268</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3,135</w:t>
            </w:r>
          </w:p>
        </w:tc>
      </w:tr>
      <w:tr>
        <w:trPr>
          <w:trHeight w:val="17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incentive fee payable – due to affiliate</w:t>
            </w:r>
          </w:p>
        </w:tc>
        <w:tc>
          <w:tcPr>
            <w:tcW w:w="280" w:type="dxa"/>
            <w:vAlign w:val="bottom"/>
          </w:tcPr>
          <w:p>
            <w:pPr>
              <w:spacing w:after="0"/>
              <w:rPr>
                <w:sz w:val="15"/>
                <w:szCs w:val="15"/>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1,053</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2,622</w:t>
            </w:r>
          </w:p>
        </w:tc>
      </w:tr>
      <w:tr>
        <w:trPr>
          <w:trHeight w:val="17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Capital gains incentive fee payable – due to affiliate</w:t>
            </w:r>
          </w:p>
        </w:tc>
        <w:tc>
          <w:tcPr>
            <w:tcW w:w="28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23,361</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29,227</w:t>
            </w:r>
          </w:p>
        </w:tc>
      </w:tr>
      <w:tr>
        <w:trPr>
          <w:trHeight w:val="17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Administration fee payable and other – due to affiliate</w:t>
            </w:r>
          </w:p>
        </w:tc>
        <w:tc>
          <w:tcPr>
            <w:tcW w:w="280" w:type="dxa"/>
            <w:vAlign w:val="bottom"/>
          </w:tcPr>
          <w:p>
            <w:pPr>
              <w:spacing w:after="0"/>
              <w:rPr>
                <w:sz w:val="15"/>
                <w:szCs w:val="15"/>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420</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668</w:t>
            </w:r>
          </w:p>
        </w:tc>
      </w:tr>
      <w:tr>
        <w:trPr>
          <w:trHeight w:val="17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Taxes (receivable) payable</w:t>
            </w:r>
          </w:p>
        </w:tc>
        <w:tc>
          <w:tcPr>
            <w:tcW w:w="28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2,043</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2,410</w:t>
            </w:r>
          </w:p>
        </w:tc>
      </w:tr>
      <w:tr>
        <w:trPr>
          <w:trHeight w:val="17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and other liabilities</w:t>
            </w: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1,691</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655</w:t>
            </w:r>
          </w:p>
        </w:tc>
      </w:tr>
      <w:tr>
        <w:trPr>
          <w:trHeight w:val="16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8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422,504</w:t>
            </w:r>
          </w:p>
        </w:tc>
        <w:tc>
          <w:tcPr>
            <w:tcW w:w="1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409,421</w:t>
            </w:r>
          </w:p>
        </w:tc>
      </w:tr>
      <w:tr>
        <w:trPr>
          <w:trHeight w:val="169"/>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7)</w:t>
            </w: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28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r>
      <w:tr>
        <w:trPr>
          <w:trHeight w:val="17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$0.001 par value (100,000,000 shares authorized, 24,437,400 and 24,437,400 shares</w:t>
            </w: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5"/>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issued and outstanding at March 31, 2022 and December 31, 2021, respectively)</w:t>
            </w: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24</w:t>
            </w:r>
          </w:p>
        </w:tc>
        <w:tc>
          <w:tcPr>
            <w:tcW w:w="4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24</w:t>
            </w: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80" w:type="dxa"/>
            <w:vAlign w:val="bottom"/>
          </w:tcPr>
          <w:p>
            <w:pPr>
              <w:spacing w:after="0"/>
              <w:rPr>
                <w:sz w:val="15"/>
                <w:szCs w:val="15"/>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361,807</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361,807</w:t>
            </w:r>
          </w:p>
        </w:tc>
      </w:tr>
      <w:tr>
        <w:trPr>
          <w:trHeight w:val="175"/>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distributable earnings</w:t>
            </w:r>
          </w:p>
        </w:tc>
        <w:tc>
          <w:tcPr>
            <w:tcW w:w="28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124,671</w:t>
            </w:r>
          </w:p>
        </w:tc>
        <w:tc>
          <w:tcPr>
            <w:tcW w:w="1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125,933</w:t>
            </w:r>
          </w:p>
        </w:tc>
      </w:tr>
      <w:tr>
        <w:trPr>
          <w:trHeight w:val="169"/>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assets</w:t>
            </w: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486,502</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487,764</w:t>
            </w: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net assets</w:t>
            </w:r>
          </w:p>
        </w:tc>
        <w:tc>
          <w:tcPr>
            <w:tcW w:w="28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909,006</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897,185</w:t>
            </w:r>
          </w:p>
        </w:tc>
      </w:tr>
      <w:tr>
        <w:trPr>
          <w:trHeight w:val="156"/>
        </w:trPr>
        <w:tc>
          <w:tcPr>
            <w:tcW w:w="772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Net asset value per common share</w:t>
            </w:r>
          </w:p>
        </w:tc>
        <w:tc>
          <w:tcPr>
            <w:tcW w:w="280" w:type="dxa"/>
            <w:vAlign w:val="bottom"/>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rPr>
              <w:t>19.91</w:t>
            </w:r>
          </w:p>
        </w:tc>
        <w:tc>
          <w:tcPr>
            <w:tcW w:w="420" w:type="dxa"/>
            <w:vAlign w:val="bottom"/>
            <w:gridSpan w:val="2"/>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rPr>
              <w:t>19.96</w:t>
            </w:r>
          </w:p>
        </w:tc>
      </w:tr>
      <w:tr>
        <w:trPr>
          <w:trHeight w:val="20"/>
        </w:trPr>
        <w:tc>
          <w:tcPr>
            <w:tcW w:w="7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-3136900</wp:posOffset>
            </wp:positionV>
            <wp:extent cx="1111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-2682240</wp:posOffset>
            </wp:positionV>
            <wp:extent cx="1111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-1079500</wp:posOffset>
            </wp:positionV>
            <wp:extent cx="1111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-402590</wp:posOffset>
            </wp:positionV>
            <wp:extent cx="1111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-162560</wp:posOffset>
            </wp:positionV>
            <wp:extent cx="1111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-145415</wp:posOffset>
            </wp:positionV>
            <wp:extent cx="111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 (unaudited).</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5"/>
                <w:szCs w:val="15"/>
                <w:color w:val="auto"/>
              </w:rPr>
            </w:pPr>
          </w:p>
        </w:tc>
      </w:tr>
      <w:tr>
        <w:trPr>
          <w:trHeight w:val="187"/>
        </w:trPr>
        <w:tc>
          <w:tcPr>
            <w:tcW w:w="76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00" w:type="dxa"/>
            <w:vAlign w:val="bottom"/>
            <w:tcBorders>
              <w:bottom w:val="single" w:sz="8" w:color="auto"/>
            </w:tcBorders>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9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r>
      <w:tr>
        <w:trPr>
          <w:trHeight w:val="175"/>
        </w:trPr>
        <w:tc>
          <w:tcPr>
            <w:tcW w:w="7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income</w:t>
            </w: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Control investments</w:t>
            </w:r>
          </w:p>
        </w:tc>
        <w:tc>
          <w:tcPr>
            <w:tcW w:w="980" w:type="dxa"/>
            <w:vAlign w:val="bottom"/>
            <w:shd w:val="clear" w:color="auto" w:fill="CFF0FC"/>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593</w:t>
            </w:r>
          </w:p>
        </w:tc>
      </w:tr>
      <w:tr>
        <w:trPr>
          <w:trHeight w:val="176"/>
        </w:trPr>
        <w:tc>
          <w:tcPr>
            <w:tcW w:w="76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Affiliate investments</w:t>
            </w:r>
          </w:p>
        </w:tc>
        <w:tc>
          <w:tcPr>
            <w:tcW w:w="98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884</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848</w:t>
            </w:r>
          </w:p>
        </w:tc>
      </w:tr>
      <w:tr>
        <w:trPr>
          <w:trHeight w:val="175"/>
        </w:trPr>
        <w:tc>
          <w:tcPr>
            <w:tcW w:w="76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Non-control/non-affiliate investments</w:t>
            </w:r>
          </w:p>
        </w:tc>
        <w:tc>
          <w:tcPr>
            <w:tcW w:w="98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16,197</w:t>
            </w:r>
          </w:p>
        </w:tc>
        <w:tc>
          <w:tcPr>
            <w:tcW w:w="1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17,697</w:t>
            </w:r>
          </w:p>
        </w:tc>
      </w:tr>
      <w:tr>
        <w:trPr>
          <w:trHeight w:val="169"/>
        </w:trPr>
        <w:tc>
          <w:tcPr>
            <w:tcW w:w="76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interest income</w:t>
            </w:r>
          </w:p>
        </w:tc>
        <w:tc>
          <w:tcPr>
            <w:tcW w:w="9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17,081</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19,138</w:t>
            </w:r>
          </w:p>
        </w:tc>
      </w:tr>
      <w:tr>
        <w:trPr>
          <w:trHeight w:val="176"/>
        </w:trPr>
        <w:tc>
          <w:tcPr>
            <w:tcW w:w="7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Payment-in-kind interest income</w:t>
            </w:r>
          </w:p>
        </w:tc>
        <w:tc>
          <w:tcPr>
            <w:tcW w:w="9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r>
      <w:tr>
        <w:trPr>
          <w:trHeight w:val="175"/>
        </w:trPr>
        <w:tc>
          <w:tcPr>
            <w:tcW w:w="76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Control investments</w:t>
            </w:r>
          </w:p>
        </w:tc>
        <w:tc>
          <w:tcPr>
            <w:tcW w:w="98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341</w:t>
            </w:r>
          </w:p>
        </w:tc>
      </w:tr>
      <w:tr>
        <w:trPr>
          <w:trHeight w:val="176"/>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Affiliate investments</w:t>
            </w:r>
          </w:p>
        </w:tc>
        <w:tc>
          <w:tcPr>
            <w:tcW w:w="98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111</w:t>
            </w:r>
          </w:p>
        </w:tc>
      </w:tr>
      <w:tr>
        <w:trPr>
          <w:trHeight w:val="175"/>
        </w:trPr>
        <w:tc>
          <w:tcPr>
            <w:tcW w:w="76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Non-control/non-affiliate investments</w:t>
            </w:r>
          </w:p>
        </w:tc>
        <w:tc>
          <w:tcPr>
            <w:tcW w:w="9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517</w:t>
            </w:r>
          </w:p>
        </w:tc>
        <w:tc>
          <w:tcPr>
            <w:tcW w:w="1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516</w:t>
            </w:r>
          </w:p>
        </w:tc>
      </w:tr>
      <w:tr>
        <w:trPr>
          <w:trHeight w:val="169"/>
        </w:trPr>
        <w:tc>
          <w:tcPr>
            <w:tcW w:w="76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Total payment-in-kind interest income</w:t>
            </w:r>
          </w:p>
        </w:tc>
        <w:tc>
          <w:tcPr>
            <w:tcW w:w="9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547</w:t>
            </w: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1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968</w:t>
            </w:r>
          </w:p>
        </w:tc>
      </w:tr>
      <w:tr>
        <w:trPr>
          <w:trHeight w:val="176"/>
        </w:trPr>
        <w:tc>
          <w:tcPr>
            <w:tcW w:w="7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Dividend income</w:t>
            </w: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Control investments</w:t>
            </w:r>
          </w:p>
        </w:tc>
        <w:tc>
          <w:tcPr>
            <w:tcW w:w="98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6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Affiliate investments</w:t>
            </w:r>
          </w:p>
        </w:tc>
        <w:tc>
          <w:tcPr>
            <w:tcW w:w="98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656</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6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Non-control/non-affiliate investments</w:t>
            </w:r>
          </w:p>
        </w:tc>
        <w:tc>
          <w:tcPr>
            <w:tcW w:w="98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33</w:t>
            </w:r>
          </w:p>
        </w:tc>
        <w:tc>
          <w:tcPr>
            <w:tcW w:w="1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93</w:t>
            </w:r>
          </w:p>
        </w:tc>
      </w:tr>
      <w:tr>
        <w:trPr>
          <w:trHeight w:val="169"/>
        </w:trPr>
        <w:tc>
          <w:tcPr>
            <w:tcW w:w="76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dividend income</w:t>
            </w:r>
          </w:p>
        </w:tc>
        <w:tc>
          <w:tcPr>
            <w:tcW w:w="9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689</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93</w:t>
            </w:r>
          </w:p>
        </w:tc>
      </w:tr>
      <w:tr>
        <w:trPr>
          <w:trHeight w:val="176"/>
        </w:trPr>
        <w:tc>
          <w:tcPr>
            <w:tcW w:w="7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Fee income</w:t>
            </w:r>
          </w:p>
        </w:tc>
        <w:tc>
          <w:tcPr>
            <w:tcW w:w="9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r>
      <w:tr>
        <w:trPr>
          <w:trHeight w:val="175"/>
        </w:trPr>
        <w:tc>
          <w:tcPr>
            <w:tcW w:w="76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Control investments</w:t>
            </w:r>
          </w:p>
        </w:tc>
        <w:tc>
          <w:tcPr>
            <w:tcW w:w="98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400</w:t>
            </w:r>
          </w:p>
        </w:tc>
      </w:tr>
      <w:tr>
        <w:trPr>
          <w:trHeight w:val="176"/>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Affiliate investments</w:t>
            </w:r>
          </w:p>
        </w:tc>
        <w:tc>
          <w:tcPr>
            <w:tcW w:w="98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137</w:t>
            </w: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183</w:t>
            </w:r>
          </w:p>
        </w:tc>
      </w:tr>
      <w:tr>
        <w:trPr>
          <w:trHeight w:val="175"/>
        </w:trPr>
        <w:tc>
          <w:tcPr>
            <w:tcW w:w="76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Non-control/non-affiliate investments</w:t>
            </w:r>
          </w:p>
        </w:tc>
        <w:tc>
          <w:tcPr>
            <w:tcW w:w="9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2,061</w:t>
            </w:r>
          </w:p>
        </w:tc>
        <w:tc>
          <w:tcPr>
            <w:tcW w:w="1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2,508</w:t>
            </w:r>
          </w:p>
        </w:tc>
      </w:tr>
      <w:tr>
        <w:trPr>
          <w:trHeight w:val="169"/>
        </w:trPr>
        <w:tc>
          <w:tcPr>
            <w:tcW w:w="76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Total fee income</w:t>
            </w:r>
          </w:p>
        </w:tc>
        <w:tc>
          <w:tcPr>
            <w:tcW w:w="9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2,198</w:t>
            </w: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1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3,091</w:t>
            </w:r>
          </w:p>
        </w:tc>
      </w:tr>
      <w:tr>
        <w:trPr>
          <w:trHeight w:val="176"/>
        </w:trPr>
        <w:tc>
          <w:tcPr>
            <w:tcW w:w="7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on idle funds</w:t>
            </w:r>
          </w:p>
        </w:tc>
        <w:tc>
          <w:tcPr>
            <w:tcW w:w="9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investment income</w:t>
            </w:r>
          </w:p>
        </w:tc>
        <w:tc>
          <w:tcPr>
            <w:tcW w:w="9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20,518</w:t>
            </w:r>
          </w:p>
        </w:tc>
        <w:tc>
          <w:tcPr>
            <w:tcW w:w="16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23,290</w:t>
            </w:r>
          </w:p>
        </w:tc>
      </w:tr>
      <w:tr>
        <w:trPr>
          <w:trHeight w:val="169"/>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6"/>
        </w:trPr>
        <w:tc>
          <w:tcPr>
            <w:tcW w:w="7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Interest and financing expenses</w:t>
            </w:r>
          </w:p>
        </w:tc>
        <w:tc>
          <w:tcPr>
            <w:tcW w:w="98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4,412</w:t>
            </w: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5,194</w:t>
            </w:r>
          </w:p>
        </w:tc>
      </w:tr>
      <w:tr>
        <w:trPr>
          <w:trHeight w:val="176"/>
        </w:trPr>
        <w:tc>
          <w:tcPr>
            <w:tcW w:w="7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Base management fee</w:t>
            </w:r>
          </w:p>
        </w:tc>
        <w:tc>
          <w:tcPr>
            <w:tcW w:w="98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3,343</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3,176</w:t>
            </w:r>
          </w:p>
        </w:tc>
      </w:tr>
      <w:tr>
        <w:trPr>
          <w:trHeight w:val="175"/>
        </w:trPr>
        <w:tc>
          <w:tcPr>
            <w:tcW w:w="7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Incentive fee - income</w:t>
            </w:r>
          </w:p>
        </w:tc>
        <w:tc>
          <w:tcPr>
            <w:tcW w:w="98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1,053</w:t>
            </w: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2,669</w:t>
            </w:r>
          </w:p>
        </w:tc>
      </w:tr>
      <w:tr>
        <w:trPr>
          <w:trHeight w:val="176"/>
        </w:trPr>
        <w:tc>
          <w:tcPr>
            <w:tcW w:w="7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Incentive fee (reversal) - capital gains</w:t>
            </w:r>
          </w:p>
        </w:tc>
        <w:tc>
          <w:tcPr>
            <w:tcW w:w="98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270</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91</w:t>
            </w:r>
          </w:p>
        </w:tc>
      </w:tr>
      <w:tr>
        <w:trPr>
          <w:trHeight w:val="175"/>
        </w:trPr>
        <w:tc>
          <w:tcPr>
            <w:tcW w:w="7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Administrative service expenses</w:t>
            </w:r>
          </w:p>
        </w:tc>
        <w:tc>
          <w:tcPr>
            <w:tcW w:w="98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422</w:t>
            </w: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413</w:t>
            </w:r>
          </w:p>
        </w:tc>
      </w:tr>
      <w:tr>
        <w:trPr>
          <w:trHeight w:val="175"/>
        </w:trPr>
        <w:tc>
          <w:tcPr>
            <w:tcW w:w="7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Professional fees</w:t>
            </w:r>
          </w:p>
        </w:tc>
        <w:tc>
          <w:tcPr>
            <w:tcW w:w="98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515</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323</w:t>
            </w:r>
          </w:p>
        </w:tc>
      </w:tr>
      <w:tr>
        <w:trPr>
          <w:trHeight w:val="175"/>
        </w:trPr>
        <w:tc>
          <w:tcPr>
            <w:tcW w:w="7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98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287</w:t>
            </w:r>
          </w:p>
        </w:tc>
        <w:tc>
          <w:tcPr>
            <w:tcW w:w="1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345</w:t>
            </w:r>
          </w:p>
        </w:tc>
      </w:tr>
      <w:tr>
        <w:trPr>
          <w:trHeight w:val="169"/>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expenses before base management fee waiver</w:t>
            </w:r>
          </w:p>
        </w:tc>
        <w:tc>
          <w:tcPr>
            <w:tcW w:w="9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10,302</w:t>
            </w:r>
          </w:p>
        </w:tc>
        <w:tc>
          <w:tcPr>
            <w:tcW w:w="1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12,211</w:t>
            </w:r>
          </w:p>
        </w:tc>
      </w:tr>
      <w:tr>
        <w:trPr>
          <w:trHeight w:val="169"/>
        </w:trPr>
        <w:tc>
          <w:tcPr>
            <w:tcW w:w="7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Base management fee waiver</w:t>
            </w:r>
          </w:p>
        </w:tc>
        <w:tc>
          <w:tcPr>
            <w:tcW w:w="9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(76 )</w:t>
            </w:r>
          </w:p>
        </w:tc>
        <w:tc>
          <w:tcPr>
            <w:tcW w:w="16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expenses, net of base management fee waiver</w:t>
            </w:r>
          </w:p>
        </w:tc>
        <w:tc>
          <w:tcPr>
            <w:tcW w:w="9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10,226</w:t>
            </w:r>
          </w:p>
        </w:tc>
        <w:tc>
          <w:tcPr>
            <w:tcW w:w="1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12,211</w:t>
            </w:r>
          </w:p>
        </w:tc>
      </w:tr>
      <w:tr>
        <w:trPr>
          <w:trHeight w:val="16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investment income before income taxes</w:t>
            </w:r>
          </w:p>
        </w:tc>
        <w:tc>
          <w:tcPr>
            <w:tcW w:w="9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10,292</w:t>
            </w: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1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11,079</w:t>
            </w:r>
          </w:p>
        </w:tc>
      </w:tr>
      <w:tr>
        <w:trPr>
          <w:trHeight w:val="175"/>
        </w:trPr>
        <w:tc>
          <w:tcPr>
            <w:tcW w:w="7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9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1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6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9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10,338</w:t>
            </w:r>
          </w:p>
        </w:tc>
        <w:tc>
          <w:tcPr>
            <w:tcW w:w="16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11,081</w:t>
            </w:r>
          </w:p>
        </w:tc>
      </w:tr>
      <w:tr>
        <w:trPr>
          <w:trHeight w:val="169"/>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realized and unrealized gains (losses) on investments:</w:t>
            </w: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5"/>
        </w:trPr>
        <w:tc>
          <w:tcPr>
            <w:tcW w:w="7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Net realized gains (losses):</w:t>
            </w:r>
          </w:p>
        </w:tc>
        <w:tc>
          <w:tcPr>
            <w:tcW w:w="9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r>
      <w:tr>
        <w:trPr>
          <w:trHeight w:val="175"/>
        </w:trPr>
        <w:tc>
          <w:tcPr>
            <w:tcW w:w="76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Control investments</w:t>
            </w:r>
          </w:p>
        </w:tc>
        <w:tc>
          <w:tcPr>
            <w:tcW w:w="98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139</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957</w:t>
            </w:r>
          </w:p>
        </w:tc>
      </w:tr>
      <w:tr>
        <w:trPr>
          <w:trHeight w:val="175"/>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Affiliate investments</w:t>
            </w:r>
          </w:p>
        </w:tc>
        <w:tc>
          <w:tcPr>
            <w:tcW w:w="98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324</w:t>
            </w: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6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Non-control/non-affiliate investments</w:t>
            </w:r>
          </w:p>
        </w:tc>
        <w:tc>
          <w:tcPr>
            <w:tcW w:w="9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6,405</w:t>
            </w:r>
          </w:p>
        </w:tc>
        <w:tc>
          <w:tcPr>
            <w:tcW w:w="1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2,259</w:t>
            </w:r>
          </w:p>
        </w:tc>
      </w:tr>
      <w:tr>
        <w:trPr>
          <w:trHeight w:val="169"/>
        </w:trPr>
        <w:tc>
          <w:tcPr>
            <w:tcW w:w="7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Total net realized gain (loss) on investments</w:t>
            </w:r>
          </w:p>
        </w:tc>
        <w:tc>
          <w:tcPr>
            <w:tcW w:w="9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6,868</w:t>
            </w:r>
          </w:p>
        </w:tc>
        <w:tc>
          <w:tcPr>
            <w:tcW w:w="16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3,216</w:t>
            </w:r>
          </w:p>
        </w:tc>
      </w:tr>
      <w:tr>
        <w:trPr>
          <w:trHeight w:val="169"/>
        </w:trPr>
        <w:tc>
          <w:tcPr>
            <w:tcW w:w="7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tax (provision) benefit from realized gains on investments</w:t>
            </w:r>
          </w:p>
        </w:tc>
        <w:tc>
          <w:tcPr>
            <w:tcW w:w="9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Net change in unrealized appreciation (depreciation):</w:t>
            </w:r>
          </w:p>
        </w:tc>
        <w:tc>
          <w:tcPr>
            <w:tcW w:w="9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r>
      <w:tr>
        <w:trPr>
          <w:trHeight w:val="175"/>
        </w:trPr>
        <w:tc>
          <w:tcPr>
            <w:tcW w:w="76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Control investments</w:t>
            </w:r>
          </w:p>
        </w:tc>
        <w:tc>
          <w:tcPr>
            <w:tcW w:w="98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892</w:t>
            </w:r>
          </w:p>
        </w:tc>
      </w:tr>
      <w:tr>
        <w:trPr>
          <w:trHeight w:val="175"/>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Affiliate investments</w:t>
            </w:r>
          </w:p>
        </w:tc>
        <w:tc>
          <w:tcPr>
            <w:tcW w:w="9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(5,879 )</w:t>
            </w: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3,952</w:t>
            </w:r>
          </w:p>
        </w:tc>
      </w:tr>
      <w:tr>
        <w:trPr>
          <w:trHeight w:val="175"/>
        </w:trPr>
        <w:tc>
          <w:tcPr>
            <w:tcW w:w="76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Non-control/non-affiliate investments</w:t>
            </w:r>
          </w:p>
        </w:tc>
        <w:tc>
          <w:tcPr>
            <w:tcW w:w="9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560</w:t>
            </w:r>
          </w:p>
        </w:tc>
        <w:tc>
          <w:tcPr>
            <w:tcW w:w="1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(5,423 )</w:t>
            </w:r>
          </w:p>
        </w:tc>
      </w:tr>
      <w:tr>
        <w:trPr>
          <w:trHeight w:val="169"/>
        </w:trPr>
        <w:tc>
          <w:tcPr>
            <w:tcW w:w="7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Total net change in unrealized appreciation (depreciation) on investments</w:t>
            </w:r>
          </w:p>
        </w:tc>
        <w:tc>
          <w:tcPr>
            <w:tcW w:w="9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(5,319 )</w:t>
            </w:r>
          </w:p>
        </w:tc>
        <w:tc>
          <w:tcPr>
            <w:tcW w:w="16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(579 )</w:t>
            </w:r>
          </w:p>
        </w:tc>
      </w:tr>
      <w:tr>
        <w:trPr>
          <w:trHeight w:val="169"/>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gain (loss) on investments</w:t>
            </w:r>
          </w:p>
        </w:tc>
        <w:tc>
          <w:tcPr>
            <w:tcW w:w="9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1,550</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2,637</w:t>
            </w:r>
          </w:p>
        </w:tc>
      </w:tr>
      <w:tr>
        <w:trPr>
          <w:trHeight w:val="175"/>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Realized losses on extinguishment of debt</w:t>
            </w:r>
          </w:p>
        </w:tc>
        <w:tc>
          <w:tcPr>
            <w:tcW w:w="98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(198 )</w:t>
            </w:r>
          </w:p>
        </w:tc>
        <w:tc>
          <w:tcPr>
            <w:tcW w:w="1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(2,180 )</w:t>
            </w:r>
          </w:p>
        </w:tc>
      </w:tr>
      <w:tr>
        <w:trPr>
          <w:trHeight w:val="169"/>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net assets resulting from operations</w:t>
            </w: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11,690</w:t>
            </w:r>
          </w:p>
        </w:tc>
        <w:tc>
          <w:tcPr>
            <w:tcW w:w="740" w:type="dxa"/>
            <w:vAlign w:val="bottom"/>
            <w:gridSpan w:val="2"/>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11,538</w:t>
            </w:r>
          </w:p>
        </w:tc>
      </w:tr>
      <w:tr>
        <w:trPr>
          <w:trHeight w:val="20"/>
        </w:trPr>
        <w:tc>
          <w:tcPr>
            <w:tcW w:w="7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76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Per common share data:</w:t>
            </w:r>
          </w:p>
        </w:tc>
        <w:tc>
          <w:tcPr>
            <w:tcW w:w="9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r>
      <w:tr>
        <w:trPr>
          <w:trHeight w:val="175"/>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investment income per share-basic and diluted</w:t>
            </w:r>
          </w:p>
        </w:tc>
        <w:tc>
          <w:tcPr>
            <w:tcW w:w="98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0.42</w:t>
            </w:r>
          </w:p>
        </w:tc>
        <w:tc>
          <w:tcPr>
            <w:tcW w:w="160" w:type="dxa"/>
            <w:vAlign w:val="bottom"/>
          </w:tcPr>
          <w:p>
            <w:pPr>
              <w:spacing w:after="0"/>
              <w:rPr>
                <w:sz w:val="15"/>
                <w:szCs w:val="15"/>
                <w:color w:val="auto"/>
              </w:rPr>
            </w:pPr>
          </w:p>
        </w:tc>
        <w:tc>
          <w:tcPr>
            <w:tcW w:w="5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0.45</w:t>
            </w:r>
          </w:p>
        </w:tc>
      </w:tr>
      <w:tr>
        <w:trPr>
          <w:trHeight w:val="20"/>
        </w:trPr>
        <w:tc>
          <w:tcPr>
            <w:tcW w:w="7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7680" w:type="dxa"/>
            <w:vAlign w:val="bottom"/>
            <w:tcBorders>
              <w:bottom w:val="single" w:sz="8" w:color="CFF0FC"/>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Net increase in net assets resulting from operations per share — basic and diluted</w:t>
            </w:r>
          </w:p>
        </w:tc>
        <w:tc>
          <w:tcPr>
            <w:tcW w:w="980" w:type="dxa"/>
            <w:vAlign w:val="bottom"/>
            <w:tcBorders>
              <w:top w:val="single" w:sz="8" w:color="auto"/>
              <w:bottom w:val="single" w:sz="8" w:color="auto"/>
            </w:tcBorders>
            <w:shd w:val="clear" w:color="auto" w:fill="CFF0FC"/>
          </w:tcPr>
          <w:p>
            <w:pPr>
              <w:jc w:val="right"/>
              <w:ind w:right="82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FF0FC"/>
          </w:tcPr>
          <w:p>
            <w:pPr>
              <w:jc w:val="right"/>
              <w:ind w:right="28"/>
              <w:spacing w:after="0" w:line="156" w:lineRule="exact"/>
              <w:rPr>
                <w:sz w:val="20"/>
                <w:szCs w:val="20"/>
                <w:color w:val="auto"/>
              </w:rPr>
            </w:pPr>
            <w:r>
              <w:rPr>
                <w:rFonts w:ascii="Times New Roman" w:cs="Times New Roman" w:eastAsia="Times New Roman" w:hAnsi="Times New Roman"/>
                <w:sz w:val="14"/>
                <w:szCs w:val="14"/>
                <w:color w:val="auto"/>
              </w:rPr>
              <w:t>0.48</w:t>
            </w:r>
          </w:p>
        </w:tc>
        <w:tc>
          <w:tcPr>
            <w:tcW w:w="16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ind w:right="42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FF0FC"/>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rPr>
              <w:t>0.47</w:t>
            </w:r>
          </w:p>
        </w:tc>
      </w:tr>
      <w:tr>
        <w:trPr>
          <w:trHeight w:val="156"/>
        </w:trPr>
        <w:tc>
          <w:tcPr>
            <w:tcW w:w="768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Dividends declared per share</w:t>
            </w:r>
          </w:p>
        </w:tc>
        <w:tc>
          <w:tcPr>
            <w:tcW w:w="980" w:type="dxa"/>
            <w:vAlign w:val="bottom"/>
          </w:tcPr>
          <w:p>
            <w:pPr>
              <w:jc w:val="right"/>
              <w:ind w:right="82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28"/>
              <w:spacing w:after="0" w:line="156" w:lineRule="exact"/>
              <w:rPr>
                <w:sz w:val="20"/>
                <w:szCs w:val="20"/>
                <w:color w:val="auto"/>
              </w:rPr>
            </w:pPr>
            <w:r>
              <w:rPr>
                <w:rFonts w:ascii="Times New Roman" w:cs="Times New Roman" w:eastAsia="Times New Roman" w:hAnsi="Times New Roman"/>
                <w:sz w:val="14"/>
                <w:szCs w:val="14"/>
                <w:color w:val="auto"/>
              </w:rPr>
              <w:t>0.53</w:t>
            </w:r>
          </w:p>
        </w:tc>
        <w:tc>
          <w:tcPr>
            <w:tcW w:w="740" w:type="dxa"/>
            <w:vAlign w:val="bottom"/>
            <w:gridSpan w:val="2"/>
          </w:tcPr>
          <w:p>
            <w:pPr>
              <w:jc w:val="right"/>
              <w:ind w:right="42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rPr>
              <w:t>0.38</w:t>
            </w:r>
          </w:p>
        </w:tc>
      </w:tr>
      <w:tr>
        <w:trPr>
          <w:trHeight w:val="20"/>
        </w:trPr>
        <w:tc>
          <w:tcPr>
            <w:tcW w:w="7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7680" w:type="dxa"/>
            <w:vAlign w:val="bottom"/>
            <w:tcBorders>
              <w:bottom w:val="single" w:sz="8" w:color="CFF0FC"/>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Weighted average number of shares outstanding — basic and diluted</w:t>
            </w:r>
          </w:p>
        </w:tc>
        <w:tc>
          <w:tcPr>
            <w:tcW w:w="9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28"/>
              <w:spacing w:after="0" w:line="156" w:lineRule="exact"/>
              <w:rPr>
                <w:sz w:val="20"/>
                <w:szCs w:val="20"/>
                <w:color w:val="auto"/>
              </w:rPr>
            </w:pPr>
            <w:r>
              <w:rPr>
                <w:rFonts w:ascii="Times New Roman" w:cs="Times New Roman" w:eastAsia="Times New Roman" w:hAnsi="Times New Roman"/>
                <w:sz w:val="14"/>
                <w:szCs w:val="14"/>
                <w:color w:val="auto"/>
                <w:w w:val="98"/>
              </w:rPr>
              <w:t>24,437,400</w:t>
            </w:r>
          </w:p>
        </w:tc>
        <w:tc>
          <w:tcPr>
            <w:tcW w:w="16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rPr>
              <w:t>24,437,400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-6068695</wp:posOffset>
            </wp:positionV>
            <wp:extent cx="1028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-4937125</wp:posOffset>
            </wp:positionV>
            <wp:extent cx="102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-4019550</wp:posOffset>
            </wp:positionV>
            <wp:extent cx="1028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-3119755</wp:posOffset>
            </wp:positionV>
            <wp:extent cx="1028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-2879725</wp:posOffset>
            </wp:positionV>
            <wp:extent cx="1028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-2407920</wp:posOffset>
            </wp:positionV>
            <wp:extent cx="1028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-1722120</wp:posOffset>
            </wp:positionV>
            <wp:extent cx="1028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-1036320</wp:posOffset>
            </wp:positionV>
            <wp:extent cx="1028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-805180</wp:posOffset>
            </wp:positionV>
            <wp:extent cx="1028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-299085</wp:posOffset>
            </wp:positionV>
            <wp:extent cx="1028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-281940</wp:posOffset>
            </wp:positionV>
            <wp:extent cx="1028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028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028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 (unaudited).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4" w:name="page5"/>
    <w:bookmarkEnd w:id="4"/>
    <w:p>
      <w:pPr>
        <w:ind w:left="4020"/>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Net Assets (unaudited)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180" w:type="dxa"/>
            <w:vAlign w:val="bottom"/>
          </w:tcPr>
          <w:p>
            <w:pPr>
              <w:spacing w:after="0"/>
              <w:rPr>
                <w:sz w:val="22"/>
                <w:szCs w:val="22"/>
                <w:color w:val="auto"/>
              </w:rPr>
            </w:pPr>
          </w:p>
        </w:tc>
        <w:tc>
          <w:tcPr>
            <w:tcW w:w="222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194"/>
        </w:trPr>
        <w:tc>
          <w:tcPr>
            <w:tcW w:w="5180" w:type="dxa"/>
            <w:vAlign w:val="bottom"/>
          </w:tcPr>
          <w:p>
            <w:pPr>
              <w:spacing w:after="0"/>
              <w:rPr>
                <w:sz w:val="16"/>
                <w:szCs w:val="16"/>
                <w:color w:val="auto"/>
              </w:rPr>
            </w:pPr>
          </w:p>
        </w:tc>
        <w:tc>
          <w:tcPr>
            <w:tcW w:w="1260" w:type="dxa"/>
            <w:vAlign w:val="bottom"/>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250"/>
              <w:spacing w:after="0" w:line="194" w:lineRule="exact"/>
              <w:rPr>
                <w:sz w:val="20"/>
                <w:szCs w:val="20"/>
                <w:color w:val="auto"/>
              </w:rPr>
            </w:pPr>
            <w:r>
              <w:rPr>
                <w:rFonts w:ascii="Times New Roman" w:cs="Times New Roman" w:eastAsia="Times New Roman" w:hAnsi="Times New Roman"/>
                <w:sz w:val="18"/>
                <w:szCs w:val="18"/>
                <w:b w:val="1"/>
                <w:bCs w:val="1"/>
                <w:color w:val="auto"/>
              </w:rPr>
              <w:t>Par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paid-in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distributable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4"/>
              </w:rPr>
              <w:t>Total net</w:t>
            </w:r>
          </w:p>
        </w:tc>
      </w:tr>
      <w:tr>
        <w:trPr>
          <w:trHeight w:val="259"/>
        </w:trPr>
        <w:tc>
          <w:tcPr>
            <w:tcW w:w="5180" w:type="dxa"/>
            <w:vAlign w:val="bottom"/>
          </w:tcPr>
          <w:p>
            <w:pPr>
              <w:spacing w:after="0"/>
              <w:rPr>
                <w:sz w:val="22"/>
                <w:szCs w:val="22"/>
                <w:color w:val="auto"/>
              </w:rPr>
            </w:pPr>
          </w:p>
        </w:tc>
        <w:tc>
          <w:tcPr>
            <w:tcW w:w="12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assets</w:t>
            </w:r>
          </w:p>
        </w:tc>
      </w:tr>
      <w:tr>
        <w:trPr>
          <w:trHeight w:val="21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2020</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24,437,400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363,751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46,985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410,760</w:t>
            </w: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11,081</w:t>
            </w:r>
          </w:p>
        </w:tc>
      </w:tr>
      <w:tr>
        <w:trPr>
          <w:trHeight w:val="21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realized gain (loss) on investments, net of taxes</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3,216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3,216</w:t>
            </w: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appreciation (depreciation) on investments</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(579 )</w:t>
            </w:r>
          </w:p>
        </w:tc>
      </w:tr>
      <w:tr>
        <w:trPr>
          <w:trHeight w:val="21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Realized losses on extinguishment of debt</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(2,180 )</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(2,180 )</w:t>
            </w: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(9,286 )</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(9,286 )</w:t>
            </w:r>
          </w:p>
        </w:tc>
      </w:tr>
      <w:tr>
        <w:trPr>
          <w:trHeight w:val="254"/>
        </w:trPr>
        <w:tc>
          <w:tcPr>
            <w:tcW w:w="5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2021</w:t>
            </w:r>
          </w:p>
        </w:tc>
        <w:tc>
          <w:tcPr>
            <w:tcW w:w="126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24,437,400</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363,751</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49,237</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413,012</w:t>
            </w:r>
          </w:p>
        </w:tc>
      </w:tr>
      <w:tr>
        <w:trPr>
          <w:trHeight w:val="197"/>
        </w:trPr>
        <w:tc>
          <w:tcPr>
            <w:tcW w:w="518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Balances at December 31, 2021</w:t>
            </w:r>
          </w:p>
        </w:tc>
        <w:tc>
          <w:tcPr>
            <w:tcW w:w="1260" w:type="dxa"/>
            <w:vAlign w:val="bottom"/>
            <w:tcBorders>
              <w:top w:val="single" w:sz="8" w:color="auto"/>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24,437,400</w:t>
            </w: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361,807</w:t>
            </w: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125,933</w:t>
            </w: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487,764</w:t>
            </w:r>
          </w:p>
        </w:tc>
      </w:tr>
      <w:tr>
        <w:trPr>
          <w:trHeight w:val="20"/>
        </w:trPr>
        <w:tc>
          <w:tcPr>
            <w:tcW w:w="5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7"/>
        </w:trPr>
        <w:tc>
          <w:tcPr>
            <w:tcW w:w="51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investment income</w:t>
            </w:r>
          </w:p>
        </w:tc>
        <w:tc>
          <w:tcPr>
            <w:tcW w:w="1260" w:type="dxa"/>
            <w:vAlign w:val="bottom"/>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10,338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10,338</w:t>
            </w: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gain (loss) on investments, net of taxes</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6,869</w:t>
            </w:r>
          </w:p>
        </w:tc>
      </w:tr>
      <w:tr>
        <w:trPr>
          <w:trHeight w:val="21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unrealized appreciation (depreciation) on investments</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(5,319 )</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(5,319 )</w:t>
            </w: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losses on extinguishment of debt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r>
      <w:tr>
        <w:trPr>
          <w:trHeight w:val="216"/>
        </w:trPr>
        <w:tc>
          <w:tcPr>
            <w:tcW w:w="5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(12,952 )</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(12,952 )</w:t>
            </w:r>
          </w:p>
        </w:tc>
      </w:tr>
      <w:tr>
        <w:trPr>
          <w:trHeight w:val="20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2022</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24,437,400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361,807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124,671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486,502</w:t>
            </w:r>
          </w:p>
        </w:tc>
      </w:tr>
      <w:tr>
        <w:trPr>
          <w:trHeight w:val="20"/>
        </w:trPr>
        <w:tc>
          <w:tcPr>
            <w:tcW w:w="5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-1028065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-1045210</wp:posOffset>
            </wp:positionV>
            <wp:extent cx="768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-1028065</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-1045210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-1028065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-1045210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-1028065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-170815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-170815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-170815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-170815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 (unaudited).</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gridSpan w:val="5"/>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83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169"/>
        </w:trPr>
        <w:tc>
          <w:tcPr>
            <w:tcW w:w="8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5"/>
        </w:trPr>
        <w:tc>
          <w:tcPr>
            <w:tcW w:w="8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11,690</w:t>
            </w:r>
          </w:p>
        </w:tc>
        <w:tc>
          <w:tcPr>
            <w:tcW w:w="28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11,538</w:t>
            </w:r>
          </w:p>
        </w:tc>
        <w:tc>
          <w:tcPr>
            <w:tcW w:w="60" w:type="dxa"/>
            <w:vAlign w:val="bottom"/>
          </w:tcPr>
          <w:p>
            <w:pPr>
              <w:spacing w:after="0"/>
              <w:rPr>
                <w:sz w:val="15"/>
                <w:szCs w:val="15"/>
                <w:color w:val="auto"/>
              </w:rPr>
            </w:pPr>
          </w:p>
        </w:tc>
      </w:tr>
      <w:tr>
        <w:trPr>
          <w:trHeight w:val="176"/>
        </w:trPr>
        <w:tc>
          <w:tcPr>
            <w:tcW w:w="8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increase (decrease) in net assets resulting from operations to net cash provided by (used for) operating activities:</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6"/>
        </w:trPr>
        <w:tc>
          <w:tcPr>
            <w:tcW w:w="8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change in unrealized (appreciation) depreciation on investments</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5,319</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60" w:type="dxa"/>
            <w:vAlign w:val="bottom"/>
          </w:tcPr>
          <w:p>
            <w:pPr>
              <w:spacing w:after="0"/>
              <w:rPr>
                <w:sz w:val="15"/>
                <w:szCs w:val="15"/>
                <w:color w:val="auto"/>
              </w:rPr>
            </w:pPr>
          </w:p>
        </w:tc>
      </w:tr>
      <w:tr>
        <w:trPr>
          <w:trHeight w:val="175"/>
        </w:trPr>
        <w:tc>
          <w:tcPr>
            <w:tcW w:w="8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2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(6,868 )</w:t>
            </w:r>
          </w:p>
        </w:tc>
        <w:tc>
          <w:tcPr>
            <w:tcW w:w="3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(3,216 )</w:t>
            </w:r>
          </w:p>
        </w:tc>
      </w:tr>
      <w:tr>
        <w:trPr>
          <w:trHeight w:val="176"/>
        </w:trPr>
        <w:tc>
          <w:tcPr>
            <w:tcW w:w="8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Interest and dividend income paid-in-kind</w:t>
            </w:r>
          </w:p>
        </w:tc>
        <w:tc>
          <w:tcPr>
            <w:tcW w:w="26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(547 )</w:t>
            </w:r>
          </w:p>
        </w:tc>
        <w:tc>
          <w:tcPr>
            <w:tcW w:w="30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(968 )</w:t>
            </w:r>
          </w:p>
        </w:tc>
      </w:tr>
      <w:tr>
        <w:trPr>
          <w:trHeight w:val="175"/>
        </w:trPr>
        <w:tc>
          <w:tcPr>
            <w:tcW w:w="8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Accretion of original issue discount</w:t>
            </w:r>
          </w:p>
        </w:tc>
        <w:tc>
          <w:tcPr>
            <w:tcW w:w="2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(23 )</w:t>
            </w:r>
          </w:p>
        </w:tc>
        <w:tc>
          <w:tcPr>
            <w:tcW w:w="3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(597 )</w:t>
            </w:r>
          </w:p>
        </w:tc>
      </w:tr>
      <w:tr>
        <w:trPr>
          <w:trHeight w:val="176"/>
        </w:trPr>
        <w:tc>
          <w:tcPr>
            <w:tcW w:w="8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Accretion of loan origination fees</w:t>
            </w:r>
          </w:p>
        </w:tc>
        <w:tc>
          <w:tcPr>
            <w:tcW w:w="26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(280 )</w:t>
            </w:r>
          </w:p>
        </w:tc>
        <w:tc>
          <w:tcPr>
            <w:tcW w:w="30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(747 )</w:t>
            </w:r>
          </w:p>
        </w:tc>
      </w:tr>
      <w:tr>
        <w:trPr>
          <w:trHeight w:val="176"/>
        </w:trPr>
        <w:tc>
          <w:tcPr>
            <w:tcW w:w="8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Purchase of investments</w:t>
            </w:r>
          </w:p>
        </w:tc>
        <w:tc>
          <w:tcPr>
            <w:tcW w:w="2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(114,428 )</w:t>
            </w:r>
          </w:p>
        </w:tc>
        <w:tc>
          <w:tcPr>
            <w:tcW w:w="3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(63,107 )</w:t>
            </w:r>
          </w:p>
        </w:tc>
      </w:tr>
      <w:tr>
        <w:trPr>
          <w:trHeight w:val="175"/>
        </w:trPr>
        <w:tc>
          <w:tcPr>
            <w:tcW w:w="8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sales and repayments of investments</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23,185</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98,565</w:t>
            </w:r>
          </w:p>
        </w:tc>
        <w:tc>
          <w:tcPr>
            <w:tcW w:w="60" w:type="dxa"/>
            <w:vAlign w:val="bottom"/>
          </w:tcPr>
          <w:p>
            <w:pPr>
              <w:spacing w:after="0"/>
              <w:rPr>
                <w:sz w:val="15"/>
                <w:szCs w:val="15"/>
                <w:color w:val="auto"/>
              </w:rPr>
            </w:pPr>
          </w:p>
        </w:tc>
      </w:tr>
      <w:tr>
        <w:trPr>
          <w:trHeight w:val="176"/>
        </w:trPr>
        <w:tc>
          <w:tcPr>
            <w:tcW w:w="8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Proceeds from loan origination fees</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60" w:type="dxa"/>
            <w:vAlign w:val="bottom"/>
            <w:shd w:val="clear" w:color="auto" w:fill="CFF0FC"/>
          </w:tcPr>
          <w:p>
            <w:pPr>
              <w:spacing w:after="0"/>
              <w:rPr>
                <w:sz w:val="15"/>
                <w:szCs w:val="15"/>
                <w:color w:val="auto"/>
              </w:rPr>
            </w:pPr>
          </w:p>
        </w:tc>
      </w:tr>
      <w:tr>
        <w:trPr>
          <w:trHeight w:val="175"/>
        </w:trPr>
        <w:tc>
          <w:tcPr>
            <w:tcW w:w="8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Realized losses on extinguishment of debt</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2,180</w:t>
            </w:r>
          </w:p>
        </w:tc>
        <w:tc>
          <w:tcPr>
            <w:tcW w:w="60" w:type="dxa"/>
            <w:vAlign w:val="bottom"/>
          </w:tcPr>
          <w:p>
            <w:pPr>
              <w:spacing w:after="0"/>
              <w:rPr>
                <w:sz w:val="15"/>
                <w:szCs w:val="15"/>
                <w:color w:val="auto"/>
              </w:rPr>
            </w:pPr>
          </w:p>
        </w:tc>
      </w:tr>
      <w:tr>
        <w:trPr>
          <w:trHeight w:val="176"/>
        </w:trPr>
        <w:tc>
          <w:tcPr>
            <w:tcW w:w="8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60" w:type="dxa"/>
            <w:vAlign w:val="bottom"/>
            <w:shd w:val="clear" w:color="auto" w:fill="CFF0FC"/>
          </w:tcPr>
          <w:p>
            <w:pPr>
              <w:spacing w:after="0"/>
              <w:rPr>
                <w:sz w:val="15"/>
                <w:szCs w:val="15"/>
                <w:color w:val="auto"/>
              </w:rPr>
            </w:pPr>
          </w:p>
        </w:tc>
      </w:tr>
      <w:tr>
        <w:trPr>
          <w:trHeight w:val="175"/>
        </w:trPr>
        <w:tc>
          <w:tcPr>
            <w:tcW w:w="8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83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Interest receivable</w:t>
            </w:r>
          </w:p>
        </w:tc>
        <w:tc>
          <w:tcPr>
            <w:tcW w:w="2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(2,087 )</w:t>
            </w: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60" w:type="dxa"/>
            <w:vAlign w:val="bottom"/>
            <w:shd w:val="clear" w:color="auto" w:fill="CFF0FC"/>
          </w:tcPr>
          <w:p>
            <w:pPr>
              <w:spacing w:after="0"/>
              <w:rPr>
                <w:sz w:val="15"/>
                <w:szCs w:val="15"/>
                <w:color w:val="auto"/>
              </w:rPr>
            </w:pPr>
          </w:p>
        </w:tc>
      </w:tr>
      <w:tr>
        <w:trPr>
          <w:trHeight w:val="176"/>
        </w:trPr>
        <w:tc>
          <w:tcPr>
            <w:tcW w:w="83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6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(167 )</w:t>
            </w:r>
          </w:p>
        </w:tc>
        <w:tc>
          <w:tcPr>
            <w:tcW w:w="30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(652 )</w:t>
            </w:r>
          </w:p>
        </w:tc>
      </w:tr>
      <w:tr>
        <w:trPr>
          <w:trHeight w:val="175"/>
        </w:trPr>
        <w:tc>
          <w:tcPr>
            <w:tcW w:w="83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Accrued interest and fees payable</w:t>
            </w:r>
          </w:p>
        </w:tc>
        <w:tc>
          <w:tcPr>
            <w:tcW w:w="2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(1,053 )</w:t>
            </w:r>
          </w:p>
        </w:tc>
        <w:tc>
          <w:tcPr>
            <w:tcW w:w="3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(533 )</w:t>
            </w:r>
          </w:p>
        </w:tc>
      </w:tr>
      <w:tr>
        <w:trPr>
          <w:trHeight w:val="176"/>
        </w:trPr>
        <w:tc>
          <w:tcPr>
            <w:tcW w:w="83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Base management fee payable, net of base management fee waiver – due to affiliate</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(68 )</w:t>
            </w:r>
          </w:p>
        </w:tc>
      </w:tr>
      <w:tr>
        <w:trPr>
          <w:trHeight w:val="175"/>
        </w:trPr>
        <w:tc>
          <w:tcPr>
            <w:tcW w:w="83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Income incentive fee payable – due to affiliate</w:t>
            </w:r>
          </w:p>
        </w:tc>
        <w:tc>
          <w:tcPr>
            <w:tcW w:w="2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(1,569 )</w:t>
            </w: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60" w:type="dxa"/>
            <w:vAlign w:val="bottom"/>
            <w:shd w:val="clear" w:color="auto" w:fill="CFF0FC"/>
          </w:tcPr>
          <w:p>
            <w:pPr>
              <w:spacing w:after="0"/>
              <w:rPr>
                <w:sz w:val="15"/>
                <w:szCs w:val="15"/>
                <w:color w:val="auto"/>
              </w:rPr>
            </w:pPr>
          </w:p>
        </w:tc>
      </w:tr>
      <w:tr>
        <w:trPr>
          <w:trHeight w:val="176"/>
        </w:trPr>
        <w:tc>
          <w:tcPr>
            <w:tcW w:w="83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Capital gains incentive fee (reversal) – due to (from) affiliate</w:t>
            </w:r>
          </w:p>
        </w:tc>
        <w:tc>
          <w:tcPr>
            <w:tcW w:w="26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(5,866 )</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60" w:type="dxa"/>
            <w:vAlign w:val="bottom"/>
          </w:tcPr>
          <w:p>
            <w:pPr>
              <w:spacing w:after="0"/>
              <w:rPr>
                <w:sz w:val="15"/>
                <w:szCs w:val="15"/>
                <w:color w:val="auto"/>
              </w:rPr>
            </w:pPr>
          </w:p>
        </w:tc>
      </w:tr>
      <w:tr>
        <w:trPr>
          <w:trHeight w:val="176"/>
        </w:trPr>
        <w:tc>
          <w:tcPr>
            <w:tcW w:w="83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Administration fee payable and other – due to affiliate</w:t>
            </w:r>
          </w:p>
        </w:tc>
        <w:tc>
          <w:tcPr>
            <w:tcW w:w="2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(248 )</w:t>
            </w:r>
          </w:p>
        </w:tc>
        <w:tc>
          <w:tcPr>
            <w:tcW w:w="3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(382 )</w:t>
            </w:r>
          </w:p>
        </w:tc>
      </w:tr>
      <w:tr>
        <w:trPr>
          <w:trHeight w:val="175"/>
        </w:trPr>
        <w:tc>
          <w:tcPr>
            <w:tcW w:w="83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Taxes payable</w:t>
            </w:r>
          </w:p>
        </w:tc>
        <w:tc>
          <w:tcPr>
            <w:tcW w:w="26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(367 )</w:t>
            </w:r>
          </w:p>
        </w:tc>
        <w:tc>
          <w:tcPr>
            <w:tcW w:w="30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(700 )</w:t>
            </w:r>
          </w:p>
        </w:tc>
      </w:tr>
      <w:tr>
        <w:trPr>
          <w:trHeight w:val="176"/>
        </w:trPr>
        <w:tc>
          <w:tcPr>
            <w:tcW w:w="83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Accounts payable and other liabilities</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(57 )</w:t>
            </w:r>
          </w:p>
        </w:tc>
      </w:tr>
      <w:tr>
        <w:trPr>
          <w:trHeight w:val="20"/>
        </w:trPr>
        <w:tc>
          <w:tcPr>
            <w:tcW w:w="8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r>
      <w:tr>
        <w:trPr>
          <w:trHeight w:val="169"/>
        </w:trPr>
        <w:tc>
          <w:tcPr>
            <w:tcW w:w="830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Net cash provided by (used for) operating activities</w:t>
            </w:r>
          </w:p>
        </w:tc>
        <w:tc>
          <w:tcPr>
            <w:tcW w:w="26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(90,647 )</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43,501</w:t>
            </w:r>
          </w:p>
        </w:tc>
        <w:tc>
          <w:tcPr>
            <w:tcW w:w="60" w:type="dxa"/>
            <w:vAlign w:val="bottom"/>
          </w:tcPr>
          <w:p>
            <w:pPr>
              <w:spacing w:after="0"/>
              <w:rPr>
                <w:sz w:val="14"/>
                <w:szCs w:val="14"/>
                <w:color w:val="auto"/>
              </w:rPr>
            </w:pPr>
          </w:p>
        </w:tc>
      </w:tr>
      <w:tr>
        <w:trPr>
          <w:trHeight w:val="169"/>
        </w:trPr>
        <w:tc>
          <w:tcPr>
            <w:tcW w:w="8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6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6"/>
        </w:trPr>
        <w:tc>
          <w:tcPr>
            <w:tcW w:w="8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received from SBA debentures</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41,500</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60" w:type="dxa"/>
            <w:vAlign w:val="bottom"/>
          </w:tcPr>
          <w:p>
            <w:pPr>
              <w:spacing w:after="0"/>
              <w:rPr>
                <w:sz w:val="15"/>
                <w:szCs w:val="15"/>
                <w:color w:val="auto"/>
              </w:rPr>
            </w:pPr>
          </w:p>
        </w:tc>
      </w:tr>
      <w:tr>
        <w:trPr>
          <w:trHeight w:val="175"/>
        </w:trPr>
        <w:tc>
          <w:tcPr>
            <w:tcW w:w="8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Repayments of SBA debentures</w:t>
            </w:r>
          </w:p>
        </w:tc>
        <w:tc>
          <w:tcPr>
            <w:tcW w:w="2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(20,000 )</w:t>
            </w:r>
          </w:p>
        </w:tc>
        <w:tc>
          <w:tcPr>
            <w:tcW w:w="3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(19,200 )</w:t>
            </w:r>
          </w:p>
        </w:tc>
      </w:tr>
      <w:tr>
        <w:trPr>
          <w:trHeight w:val="176"/>
        </w:trPr>
        <w:tc>
          <w:tcPr>
            <w:tcW w:w="8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Principal payments on Notes</w:t>
            </w:r>
          </w:p>
        </w:tc>
        <w:tc>
          <w:tcPr>
            <w:tcW w:w="260" w:type="dxa"/>
            <w:vAlign w:val="bottom"/>
          </w:tcPr>
          <w:p>
            <w:pPr>
              <w:spacing w:after="0"/>
              <w:rPr>
                <w:sz w:val="15"/>
                <w:szCs w:val="15"/>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(100,000 )</w:t>
            </w:r>
          </w:p>
        </w:tc>
      </w:tr>
      <w:tr>
        <w:trPr>
          <w:trHeight w:val="175"/>
        </w:trPr>
        <w:tc>
          <w:tcPr>
            <w:tcW w:w="8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Proceeds received from (repayments of) borrowings under Credit Facility, net</w:t>
            </w:r>
          </w:p>
        </w:tc>
        <w:tc>
          <w:tcPr>
            <w:tcW w:w="2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60" w:type="dxa"/>
            <w:vAlign w:val="bottom"/>
            <w:shd w:val="clear" w:color="auto" w:fill="CFF0FC"/>
          </w:tcPr>
          <w:p>
            <w:pPr>
              <w:spacing w:after="0"/>
              <w:rPr>
                <w:sz w:val="15"/>
                <w:szCs w:val="15"/>
                <w:color w:val="auto"/>
              </w:rPr>
            </w:pPr>
          </w:p>
        </w:tc>
      </w:tr>
      <w:tr>
        <w:trPr>
          <w:trHeight w:val="175"/>
        </w:trPr>
        <w:tc>
          <w:tcPr>
            <w:tcW w:w="8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received from (repayments of) Secured Borrowings, net</w:t>
            </w:r>
          </w:p>
        </w:tc>
        <w:tc>
          <w:tcPr>
            <w:tcW w:w="26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(194 )</w:t>
            </w:r>
          </w:p>
        </w:tc>
        <w:tc>
          <w:tcPr>
            <w:tcW w:w="300" w:type="dxa"/>
            <w:vAlign w:val="bottom"/>
          </w:tcPr>
          <w:p>
            <w:pPr>
              <w:spacing w:after="0"/>
              <w:rPr>
                <w:sz w:val="15"/>
                <w:szCs w:val="15"/>
                <w:color w:val="auto"/>
              </w:rPr>
            </w:pP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8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Payment of deferred financing costs</w:t>
            </w:r>
          </w:p>
        </w:tc>
        <w:tc>
          <w:tcPr>
            <w:tcW w:w="2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(1,011 )</w:t>
            </w:r>
          </w:p>
        </w:tc>
        <w:tc>
          <w:tcPr>
            <w:tcW w:w="3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(148 )</w:t>
            </w:r>
          </w:p>
        </w:tc>
      </w:tr>
      <w:tr>
        <w:trPr>
          <w:trHeight w:val="175"/>
        </w:trPr>
        <w:tc>
          <w:tcPr>
            <w:tcW w:w="8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Dividends paid to stockholders, including expenses</w:t>
            </w:r>
          </w:p>
        </w:tc>
        <w:tc>
          <w:tcPr>
            <w:tcW w:w="26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(12,952 )</w:t>
            </w:r>
          </w:p>
        </w:tc>
        <w:tc>
          <w:tcPr>
            <w:tcW w:w="30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(9,286 )</w:t>
            </w:r>
          </w:p>
        </w:tc>
      </w:tr>
      <w:tr>
        <w:trPr>
          <w:trHeight w:val="169"/>
        </w:trPr>
        <w:tc>
          <w:tcPr>
            <w:tcW w:w="830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4"/>
                <w:szCs w:val="14"/>
                <w:b w:val="1"/>
                <w:bCs w:val="1"/>
                <w:color w:val="auto"/>
              </w:rPr>
              <w:t>Net cash provided by (used for) financing activities</w:t>
            </w: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7,343</w:t>
            </w:r>
          </w:p>
        </w:tc>
        <w:tc>
          <w:tcPr>
            <w:tcW w:w="280" w:type="dxa"/>
            <w:vAlign w:val="bottom"/>
            <w:tcBorders>
              <w:top w:val="single" w:sz="8" w:color="CFF0FC"/>
              <w:bottom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(107,634</w:t>
            </w:r>
          </w:p>
        </w:tc>
        <w:tc>
          <w:tcPr>
            <w:tcW w:w="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69"/>
        </w:trPr>
        <w:tc>
          <w:tcPr>
            <w:tcW w:w="830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Net increase (decrease) in cash and cash equivalents</w:t>
            </w:r>
          </w:p>
        </w:tc>
        <w:tc>
          <w:tcPr>
            <w:tcW w:w="26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(83,304 )</w:t>
            </w:r>
          </w:p>
        </w:tc>
        <w:tc>
          <w:tcPr>
            <w:tcW w:w="3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(64,133 )</w:t>
            </w:r>
          </w:p>
        </w:tc>
      </w:tr>
      <w:tr>
        <w:trPr>
          <w:trHeight w:val="175"/>
        </w:trPr>
        <w:tc>
          <w:tcPr>
            <w:tcW w:w="8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5"/>
        </w:trPr>
        <w:tc>
          <w:tcPr>
            <w:tcW w:w="8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Beginning of period</w:t>
            </w: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169,417</w:t>
            </w: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124,308</w:t>
            </w:r>
          </w:p>
        </w:tc>
        <w:tc>
          <w:tcPr>
            <w:tcW w:w="60" w:type="dxa"/>
            <w:vAlign w:val="bottom"/>
          </w:tcPr>
          <w:p>
            <w:pPr>
              <w:spacing w:after="0"/>
              <w:rPr>
                <w:sz w:val="15"/>
                <w:szCs w:val="15"/>
                <w:color w:val="auto"/>
              </w:rPr>
            </w:pPr>
          </w:p>
        </w:tc>
      </w:tr>
      <w:tr>
        <w:trPr>
          <w:trHeight w:val="209"/>
        </w:trPr>
        <w:tc>
          <w:tcPr>
            <w:tcW w:w="83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End of period</w:t>
            </w: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86,113</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60,175</w:t>
            </w:r>
          </w:p>
        </w:tc>
        <w:tc>
          <w:tcPr>
            <w:tcW w:w="60" w:type="dxa"/>
            <w:vAlign w:val="bottom"/>
            <w:tcBorders>
              <w:bottom w:val="single" w:sz="8" w:color="CFF0FC"/>
            </w:tcBorders>
            <w:shd w:val="clear" w:color="auto" w:fill="CFF0FC"/>
          </w:tcPr>
          <w:p>
            <w:pPr>
              <w:spacing w:after="0"/>
              <w:rPr>
                <w:sz w:val="18"/>
                <w:szCs w:val="18"/>
                <w:color w:val="auto"/>
              </w:rPr>
            </w:pPr>
          </w:p>
        </w:tc>
      </w:tr>
      <w:tr>
        <w:trPr>
          <w:trHeight w:val="156"/>
        </w:trPr>
        <w:tc>
          <w:tcPr>
            <w:tcW w:w="83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5"/>
        </w:trPr>
        <w:tc>
          <w:tcPr>
            <w:tcW w:w="8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Cash payments for interest</w:t>
            </w: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4,941</w:t>
            </w: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5,144</w:t>
            </w:r>
          </w:p>
        </w:tc>
        <w:tc>
          <w:tcPr>
            <w:tcW w:w="60" w:type="dxa"/>
            <w:vAlign w:val="bottom"/>
            <w:shd w:val="clear" w:color="auto" w:fill="CFF0FC"/>
          </w:tcPr>
          <w:p>
            <w:pPr>
              <w:spacing w:after="0"/>
              <w:rPr>
                <w:sz w:val="15"/>
                <w:szCs w:val="15"/>
                <w:color w:val="auto"/>
              </w:rPr>
            </w:pPr>
          </w:p>
        </w:tc>
      </w:tr>
      <w:tr>
        <w:trPr>
          <w:trHeight w:val="188"/>
        </w:trPr>
        <w:tc>
          <w:tcPr>
            <w:tcW w:w="8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Cash payments for taxes, net of tax refunds received</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28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-1970405</wp:posOffset>
            </wp:positionV>
            <wp:extent cx="514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-1970405</wp:posOffset>
            </wp:positionV>
            <wp:extent cx="431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-963295</wp:posOffset>
            </wp:positionV>
            <wp:extent cx="7683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-963295</wp:posOffset>
            </wp:positionV>
            <wp:extent cx="6858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-367665</wp:posOffset>
            </wp:positionV>
            <wp:extent cx="514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-350520</wp:posOffset>
            </wp:positionV>
            <wp:extent cx="514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-367665</wp:posOffset>
            </wp:positionV>
            <wp:extent cx="431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-350520</wp:posOffset>
            </wp:positionV>
            <wp:extent cx="431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 (unaudited).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6" w:name="page7"/>
    <w:bookmarkEnd w:id="6"/>
    <w:p>
      <w:pPr>
        <w:ind w:left="4020"/>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March 31,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118"/>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b w:val="1"/>
                <w:bCs w:val="1"/>
                <w:color w:val="auto"/>
              </w:rPr>
              <w:t>Portfolio Company (a)(b)</w:t>
            </w:r>
          </w:p>
        </w:tc>
        <w:tc>
          <w:tcPr>
            <w:tcW w:w="1820" w:type="dxa"/>
            <w:vAlign w:val="bottom"/>
          </w:tcPr>
          <w:p>
            <w:pPr>
              <w:spacing w:after="0"/>
              <w:rPr>
                <w:sz w:val="10"/>
                <w:szCs w:val="10"/>
                <w:color w:val="auto"/>
              </w:rPr>
            </w:pPr>
          </w:p>
        </w:tc>
        <w:tc>
          <w:tcPr>
            <w:tcW w:w="1380" w:type="dxa"/>
            <w:vAlign w:val="bottom"/>
          </w:tcPr>
          <w:p>
            <w:pPr>
              <w:ind w:left="360"/>
              <w:spacing w:after="0"/>
              <w:rPr>
                <w:sz w:val="20"/>
                <w:szCs w:val="20"/>
                <w:color w:val="auto"/>
              </w:rPr>
            </w:pPr>
            <w:r>
              <w:rPr>
                <w:rFonts w:ascii="Times New Roman" w:cs="Times New Roman" w:eastAsia="Times New Roman" w:hAnsi="Times New Roman"/>
                <w:sz w:val="9"/>
                <w:szCs w:val="9"/>
                <w:b w:val="1"/>
                <w:bCs w:val="1"/>
                <w:color w:val="auto"/>
              </w:rPr>
              <w:t>Variable Index</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b w:val="1"/>
                <w:bCs w:val="1"/>
                <w:color w:val="auto"/>
              </w:rPr>
              <w:t>Rate (e)</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b w:val="1"/>
                <w:bCs w:val="1"/>
                <w:color w:val="auto"/>
              </w:rPr>
              <w:t>Investment</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jc w:val="right"/>
              <w:ind w:right="215"/>
              <w:spacing w:after="0"/>
              <w:rPr>
                <w:sz w:val="20"/>
                <w:szCs w:val="20"/>
                <w:color w:val="auto"/>
              </w:rPr>
            </w:pPr>
            <w:r>
              <w:rPr>
                <w:rFonts w:ascii="Times New Roman" w:cs="Times New Roman" w:eastAsia="Times New Roman" w:hAnsi="Times New Roman"/>
                <w:sz w:val="9"/>
                <w:szCs w:val="9"/>
                <w:b w:val="1"/>
                <w:bCs w:val="1"/>
                <w:color w:val="auto"/>
              </w:rPr>
              <w:t>Principal</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215"/>
              <w:spacing w:after="0"/>
              <w:rPr>
                <w:sz w:val="20"/>
                <w:szCs w:val="20"/>
                <w:color w:val="auto"/>
              </w:rPr>
            </w:pPr>
            <w:r>
              <w:rPr>
                <w:rFonts w:ascii="Times New Roman" w:cs="Times New Roman" w:eastAsia="Times New Roman" w:hAnsi="Times New Roman"/>
                <w:sz w:val="9"/>
                <w:szCs w:val="9"/>
                <w:b w:val="1"/>
                <w:bCs w:val="1"/>
                <w:color w:val="auto"/>
              </w:rPr>
              <w:t>Fair</w:t>
            </w: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9"/>
                <w:szCs w:val="9"/>
                <w:b w:val="1"/>
                <w:bCs w:val="1"/>
                <w:color w:val="auto"/>
              </w:rPr>
              <w:t>Percent of</w:t>
            </w:r>
          </w:p>
        </w:tc>
      </w:tr>
      <w:tr>
        <w:trPr>
          <w:trHeight w:val="122"/>
        </w:trPr>
        <w:tc>
          <w:tcPr>
            <w:tcW w:w="2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9"/>
                <w:szCs w:val="9"/>
                <w:b w:val="1"/>
                <w:bCs w:val="1"/>
                <w:color w:val="auto"/>
              </w:rPr>
              <w:t>Investment Type (c)</w:t>
            </w:r>
          </w:p>
        </w:tc>
        <w:tc>
          <w:tcPr>
            <w:tcW w:w="1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13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9"/>
                <w:szCs w:val="9"/>
                <w:b w:val="1"/>
                <w:bCs w:val="1"/>
                <w:color w:val="auto"/>
              </w:rPr>
              <w:t>Spread / Floor (d)</w:t>
            </w: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9"/>
                <w:szCs w:val="9"/>
                <w:b w:val="1"/>
                <w:bCs w:val="1"/>
                <w:color w:val="auto"/>
              </w:rPr>
              <w:t>Cash/PIK</w:t>
            </w:r>
          </w:p>
        </w:tc>
        <w:tc>
          <w:tcPr>
            <w:tcW w:w="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9"/>
                <w:szCs w:val="9"/>
                <w:b w:val="1"/>
                <w:bCs w:val="1"/>
                <w:color w:val="auto"/>
              </w:rPr>
              <w:t>Date (f)</w:t>
            </w:r>
          </w:p>
        </w:tc>
        <w:tc>
          <w:tcPr>
            <w:tcW w:w="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9"/>
                <w:szCs w:val="9"/>
                <w:b w:val="1"/>
                <w:bCs w:val="1"/>
                <w:color w:val="auto"/>
              </w:rPr>
              <w:t>Amount</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9"/>
                <w:szCs w:val="9"/>
                <w:b w:val="1"/>
                <w:bCs w:val="1"/>
                <w:color w:val="auto"/>
              </w:rPr>
              <w:t>Cost</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9"/>
                <w:szCs w:val="9"/>
                <w:b w:val="1"/>
                <w:bCs w:val="1"/>
                <w:color w:val="auto"/>
              </w:rPr>
              <w:t>Value (g)</w:t>
            </w:r>
          </w:p>
        </w:tc>
        <w:tc>
          <w:tcPr>
            <w:tcW w:w="6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9"/>
                <w:szCs w:val="9"/>
                <w:b w:val="1"/>
                <w:bCs w:val="1"/>
                <w:color w:val="auto"/>
              </w:rPr>
              <w:t>Net Assets</w:t>
            </w:r>
          </w:p>
        </w:tc>
      </w:tr>
      <w:tr>
        <w:trPr>
          <w:trHeight w:val="116"/>
        </w:trPr>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08"/>
        </w:trPr>
        <w:tc>
          <w:tcPr>
            <w:tcW w:w="920" w:type="dxa"/>
            <w:vAlign w:val="bottom"/>
            <w:tcBorders>
              <w:left w:val="single" w:sz="8" w:color="CFF0FC"/>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w w:val="97"/>
              </w:rPr>
              <w:t>Control Investments (t)</w:t>
            </w:r>
          </w:p>
        </w:tc>
        <w:tc>
          <w:tcPr>
            <w:tcW w:w="1600" w:type="dxa"/>
            <w:vAlign w:val="bottom"/>
            <w:tcBorders>
              <w:bottom w:val="single" w:sz="8" w:color="CFF0FC"/>
            </w:tcBorders>
            <w:gridSpan w:val="2"/>
            <w:shd w:val="clear" w:color="auto" w:fill="CFF0FC"/>
          </w:tcPr>
          <w:p>
            <w:pPr>
              <w:spacing w:after="0"/>
              <w:rPr>
                <w:sz w:val="9"/>
                <w:szCs w:val="9"/>
                <w:color w:val="auto"/>
              </w:rPr>
            </w:pPr>
          </w:p>
        </w:tc>
        <w:tc>
          <w:tcPr>
            <w:tcW w:w="1820" w:type="dxa"/>
            <w:vAlign w:val="bottom"/>
            <w:tcBorders>
              <w:bottom w:val="single" w:sz="8" w:color="CFF0FC"/>
            </w:tcBorders>
            <w:shd w:val="clear" w:color="auto" w:fill="CFF0FC"/>
          </w:tcPr>
          <w:p>
            <w:pPr>
              <w:spacing w:after="0"/>
              <w:rPr>
                <w:sz w:val="9"/>
                <w:szCs w:val="9"/>
                <w:color w:val="auto"/>
              </w:rPr>
            </w:pPr>
          </w:p>
        </w:tc>
        <w:tc>
          <w:tcPr>
            <w:tcW w:w="1380" w:type="dxa"/>
            <w:vAlign w:val="bottom"/>
            <w:tcBorders>
              <w:bottom w:val="single" w:sz="8" w:color="CFF0FC"/>
            </w:tcBorders>
            <w:shd w:val="clear" w:color="auto" w:fill="CFF0FC"/>
          </w:tcPr>
          <w:p>
            <w:pPr>
              <w:spacing w:after="0"/>
              <w:rPr>
                <w:sz w:val="9"/>
                <w:szCs w:val="9"/>
                <w:color w:val="auto"/>
              </w:rPr>
            </w:pPr>
          </w:p>
        </w:tc>
        <w:tc>
          <w:tcPr>
            <w:tcW w:w="92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shd w:val="clear" w:color="auto" w:fill="CFF0FC"/>
          </w:tcPr>
          <w:p>
            <w:pPr>
              <w:spacing w:after="0"/>
              <w:rPr>
                <w:sz w:val="9"/>
                <w:szCs w:val="9"/>
                <w:color w:val="auto"/>
              </w:rPr>
            </w:pPr>
          </w:p>
        </w:tc>
        <w:tc>
          <w:tcPr>
            <w:tcW w:w="78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CFF0FC"/>
            </w:tcBorders>
            <w:shd w:val="clear" w:color="auto" w:fill="CFF0FC"/>
          </w:tcPr>
          <w:p>
            <w:pPr>
              <w:spacing w:after="0"/>
              <w:rPr>
                <w:sz w:val="9"/>
                <w:szCs w:val="9"/>
                <w:color w:val="auto"/>
              </w:rPr>
            </w:pPr>
          </w:p>
        </w:tc>
        <w:tc>
          <w:tcPr>
            <w:tcW w:w="66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CFF0FC"/>
            </w:tcBorders>
            <w:shd w:val="clear" w:color="auto" w:fill="CFF0FC"/>
          </w:tcPr>
          <w:p>
            <w:pPr>
              <w:spacing w:after="0"/>
              <w:rPr>
                <w:sz w:val="9"/>
                <w:szCs w:val="9"/>
                <w:color w:val="auto"/>
              </w:rPr>
            </w:pPr>
          </w:p>
        </w:tc>
        <w:tc>
          <w:tcPr>
            <w:tcW w:w="54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560" w:type="dxa"/>
            <w:vAlign w:val="bottom"/>
            <w:tcBorders>
              <w:bottom w:val="single" w:sz="8" w:color="CFF0FC"/>
            </w:tcBorders>
            <w:shd w:val="clear" w:color="auto" w:fill="CFF0FC"/>
          </w:tcPr>
          <w:p>
            <w:pPr>
              <w:spacing w:after="0"/>
              <w:rPr>
                <w:sz w:val="9"/>
                <w:szCs w:val="9"/>
                <w:color w:val="auto"/>
              </w:rPr>
            </w:pPr>
          </w:p>
        </w:tc>
        <w:tc>
          <w:tcPr>
            <w:tcW w:w="660" w:type="dxa"/>
            <w:vAlign w:val="bottom"/>
            <w:tcBorders>
              <w:bottom w:val="single" w:sz="8" w:color="CFF0FC"/>
            </w:tcBorders>
            <w:shd w:val="clear" w:color="auto" w:fill="CFF0FC"/>
          </w:tcPr>
          <w:p>
            <w:pPr>
              <w:spacing w:after="0"/>
              <w:rPr>
                <w:sz w:val="9"/>
                <w:szCs w:val="9"/>
                <w:color w:val="auto"/>
              </w:rPr>
            </w:pPr>
          </w:p>
        </w:tc>
      </w:tr>
      <w:tr>
        <w:trPr>
          <w:trHeight w:val="114"/>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Hilco Plastics Holdings, LLC (dba Hilco Technologies) (n)</w:t>
            </w:r>
          </w:p>
        </w:tc>
        <w:tc>
          <w:tcPr>
            <w:tcW w:w="1820" w:type="dxa"/>
            <w:vAlign w:val="bottom"/>
          </w:tcPr>
          <w:p>
            <w:pPr>
              <w:ind w:left="120"/>
              <w:spacing w:after="0"/>
              <w:rPr>
                <w:sz w:val="20"/>
                <w:szCs w:val="20"/>
                <w:color w:val="auto"/>
              </w:rPr>
            </w:pPr>
            <w:r>
              <w:rPr>
                <w:rFonts w:ascii="Times New Roman" w:cs="Times New Roman" w:eastAsia="Times New Roman" w:hAnsi="Times New Roman"/>
                <w:sz w:val="9"/>
                <w:szCs w:val="9"/>
                <w:color w:val="auto"/>
              </w:rPr>
              <w:t>Component Manufacturing</w:t>
            </w: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(Units N/A)</w:t>
            </w:r>
          </w:p>
        </w:tc>
        <w:tc>
          <w:tcPr>
            <w:tcW w:w="182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4/6/2021</w:t>
            </w: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Mesa Line Services, LLC (n)</w:t>
            </w:r>
          </w:p>
        </w:tc>
        <w:tc>
          <w:tcPr>
            <w:tcW w:w="1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Utilities: Services</w:t>
            </w: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(10 shares) (j)</w:t>
            </w: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4/22/2021</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2,150</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US GreenFiber, LLC (n)</w:t>
            </w:r>
          </w:p>
        </w:tc>
        <w:tc>
          <w:tcPr>
            <w:tcW w:w="1820" w:type="dxa"/>
            <w:vAlign w:val="bottom"/>
          </w:tcPr>
          <w:p>
            <w:pPr>
              <w:ind w:left="120"/>
              <w:spacing w:after="0"/>
              <w:rPr>
                <w:sz w:val="20"/>
                <w:szCs w:val="20"/>
                <w:color w:val="auto"/>
              </w:rPr>
            </w:pPr>
            <w:r>
              <w:rPr>
                <w:rFonts w:ascii="Times New Roman" w:cs="Times New Roman" w:eastAsia="Times New Roman" w:hAnsi="Times New Roman"/>
                <w:sz w:val="9"/>
                <w:szCs w:val="9"/>
                <w:color w:val="auto"/>
              </w:rPr>
              <w:t>Building Products Manufacturing</w:t>
            </w:r>
          </w:p>
        </w:tc>
        <w:tc>
          <w:tcPr>
            <w:tcW w:w="1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(j)(y)</w:t>
            </w:r>
          </w:p>
        </w:tc>
        <w:tc>
          <w:tcPr>
            <w:tcW w:w="182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10.00%/3.00%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7/3/2014</w:t>
            </w:r>
          </w:p>
        </w:tc>
        <w:tc>
          <w:tcPr>
            <w:tcW w:w="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8/30/2024</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5,226</w:t>
            </w: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5,223</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(2,522 units) (h)(j)</w:t>
            </w: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7/3/2014</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585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(425,508 units) (j)</w:t>
            </w:r>
          </w:p>
        </w:tc>
        <w:tc>
          <w:tcPr>
            <w:tcW w:w="182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8/30/2019</w:t>
            </w: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FF0FC"/>
          </w:tcPr>
          <w:p>
            <w:pPr>
              <w:spacing w:after="0"/>
              <w:rPr>
                <w:sz w:val="10"/>
                <w:szCs w:val="10"/>
                <w:color w:val="auto"/>
              </w:rPr>
            </w:pPr>
          </w:p>
        </w:tc>
      </w:tr>
      <w:tr>
        <w:trPr>
          <w:trHeight w:val="122"/>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(1,022,813 units) (h)(j)</w:t>
            </w: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7/1/2020</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1,023</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6,832</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r>
      <w:tr>
        <w:trPr>
          <w:trHeight w:val="155"/>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rPr>
              <w:t>Total Control Investments</w:t>
            </w:r>
          </w:p>
        </w:tc>
        <w:tc>
          <w:tcPr>
            <w:tcW w:w="182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6,832</w:t>
            </w: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2,150</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43"/>
        </w:trPr>
        <w:tc>
          <w:tcPr>
            <w:tcW w:w="920" w:type="dxa"/>
            <w:vAlign w:val="bottom"/>
            <w:tcBorders>
              <w:top w:val="single" w:sz="8" w:color="CFF0FC"/>
            </w:tcBorders>
          </w:tcPr>
          <w:p>
            <w:pPr>
              <w:spacing w:after="0"/>
              <w:rPr>
                <w:sz w:val="12"/>
                <w:szCs w:val="12"/>
                <w:color w:val="auto"/>
              </w:rPr>
            </w:pPr>
          </w:p>
        </w:tc>
        <w:tc>
          <w:tcPr>
            <w:tcW w:w="560" w:type="dxa"/>
            <w:vAlign w:val="bottom"/>
            <w:tcBorders>
              <w:top w:val="single" w:sz="8" w:color="CFF0FC"/>
            </w:tcBorders>
          </w:tcPr>
          <w:p>
            <w:pPr>
              <w:spacing w:after="0"/>
              <w:rPr>
                <w:sz w:val="12"/>
                <w:szCs w:val="12"/>
                <w:color w:val="auto"/>
              </w:rPr>
            </w:pPr>
          </w:p>
        </w:tc>
        <w:tc>
          <w:tcPr>
            <w:tcW w:w="1040" w:type="dxa"/>
            <w:vAlign w:val="bottom"/>
            <w:tcBorders>
              <w:top w:val="single" w:sz="8" w:color="CFF0FC"/>
            </w:tcBorders>
          </w:tcPr>
          <w:p>
            <w:pPr>
              <w:spacing w:after="0"/>
              <w:rPr>
                <w:sz w:val="12"/>
                <w:szCs w:val="12"/>
                <w:color w:val="auto"/>
              </w:rPr>
            </w:pPr>
          </w:p>
        </w:tc>
        <w:tc>
          <w:tcPr>
            <w:tcW w:w="1820" w:type="dxa"/>
            <w:vAlign w:val="bottom"/>
            <w:tcBorders>
              <w:top w:val="single" w:sz="8" w:color="CFF0FC"/>
            </w:tcBorders>
          </w:tcPr>
          <w:p>
            <w:pPr>
              <w:spacing w:after="0"/>
              <w:rPr>
                <w:sz w:val="12"/>
                <w:szCs w:val="12"/>
                <w:color w:val="auto"/>
              </w:rPr>
            </w:pPr>
          </w:p>
        </w:tc>
        <w:tc>
          <w:tcPr>
            <w:tcW w:w="1380" w:type="dxa"/>
            <w:vAlign w:val="bottom"/>
            <w:tcBorders>
              <w:top w:val="single" w:sz="8" w:color="CFF0FC"/>
            </w:tcBorders>
          </w:tcPr>
          <w:p>
            <w:pPr>
              <w:spacing w:after="0"/>
              <w:rPr>
                <w:sz w:val="12"/>
                <w:szCs w:val="12"/>
                <w:color w:val="auto"/>
              </w:rPr>
            </w:pPr>
          </w:p>
        </w:tc>
        <w:tc>
          <w:tcPr>
            <w:tcW w:w="920" w:type="dxa"/>
            <w:vAlign w:val="bottom"/>
            <w:tcBorders>
              <w:top w:val="single" w:sz="8" w:color="CFF0FC"/>
            </w:tcBorders>
          </w:tcPr>
          <w:p>
            <w:pPr>
              <w:spacing w:after="0"/>
              <w:rPr>
                <w:sz w:val="12"/>
                <w:szCs w:val="12"/>
                <w:color w:val="auto"/>
              </w:rPr>
            </w:pPr>
          </w:p>
        </w:tc>
        <w:tc>
          <w:tcPr>
            <w:tcW w:w="820" w:type="dxa"/>
            <w:vAlign w:val="bottom"/>
            <w:tcBorders>
              <w:top w:val="single" w:sz="8" w:color="CFF0FC"/>
            </w:tcBorders>
          </w:tcPr>
          <w:p>
            <w:pPr>
              <w:spacing w:after="0"/>
              <w:rPr>
                <w:sz w:val="12"/>
                <w:szCs w:val="12"/>
                <w:color w:val="auto"/>
              </w:rPr>
            </w:pPr>
          </w:p>
        </w:tc>
        <w:tc>
          <w:tcPr>
            <w:tcW w:w="780" w:type="dxa"/>
            <w:vAlign w:val="bottom"/>
            <w:tcBorders>
              <w:top w:val="single" w:sz="8" w:color="CFF0FC"/>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66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60" w:type="dxa"/>
            <w:vAlign w:val="bottom"/>
            <w:tcBorders>
              <w:top w:val="single" w:sz="8" w:color="CFF0FC"/>
            </w:tcBorders>
          </w:tcPr>
          <w:p>
            <w:pPr>
              <w:spacing w:after="0"/>
              <w:rPr>
                <w:sz w:val="12"/>
                <w:szCs w:val="12"/>
                <w:color w:val="auto"/>
              </w:rPr>
            </w:pPr>
          </w:p>
        </w:tc>
      </w:tr>
      <w:tr>
        <w:trPr>
          <w:trHeight w:val="108"/>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rPr>
              <w:t>Affiliate Investments (l)</w:t>
            </w:r>
          </w:p>
        </w:tc>
        <w:tc>
          <w:tcPr>
            <w:tcW w:w="182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r>
      <w:tr>
        <w:trPr>
          <w:trHeight w:val="20"/>
        </w:trPr>
        <w:tc>
          <w:tcPr>
            <w:tcW w:w="920" w:type="dxa"/>
            <w:vAlign w:val="bottom"/>
            <w:tcBorders>
              <w:left w:val="single" w:sz="8" w:color="CFF0FC"/>
            </w:tcBorders>
            <w:shd w:val="clear" w:color="auto" w:fill="000000"/>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820" w:type="dxa"/>
            <w:vAlign w:val="bottom"/>
            <w:shd w:val="clear" w:color="auto" w:fill="CFF0FC"/>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r>
      <w:tr>
        <w:trPr>
          <w:trHeight w:val="114"/>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Applegate Greenfiber Intermediate Inc. (fka US GreenFiber, LLC)</w:t>
            </w:r>
          </w:p>
        </w:tc>
        <w:tc>
          <w:tcPr>
            <w:tcW w:w="1820" w:type="dxa"/>
            <w:vAlign w:val="bottom"/>
          </w:tcPr>
          <w:p>
            <w:pPr>
              <w:ind w:left="120"/>
              <w:spacing w:after="0"/>
              <w:rPr>
                <w:sz w:val="20"/>
                <w:szCs w:val="20"/>
                <w:color w:val="auto"/>
              </w:rPr>
            </w:pPr>
            <w:r>
              <w:rPr>
                <w:rFonts w:ascii="Times New Roman" w:cs="Times New Roman" w:eastAsia="Times New Roman" w:hAnsi="Times New Roman"/>
                <w:sz w:val="9"/>
                <w:szCs w:val="9"/>
                <w:color w:val="auto"/>
              </w:rPr>
              <w:t>Building Products Manufacturing</w:t>
            </w: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182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10.00%/0.00%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12/31/2021</w:t>
            </w:r>
          </w:p>
        </w:tc>
        <w:tc>
          <w:tcPr>
            <w:tcW w:w="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12/31/2027</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9,602</w:t>
            </w:r>
          </w:p>
        </w:tc>
        <w:tc>
          <w:tcPr>
            <w:tcW w:w="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9,602</w:t>
            </w: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9,602</w:t>
            </w:r>
          </w:p>
        </w:tc>
        <w:tc>
          <w:tcPr>
            <w:tcW w:w="66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(5,690units) (h) (j)</w:t>
            </w: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12/31/2021</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5,690.00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5,690.00</w:t>
            </w:r>
          </w:p>
        </w:tc>
        <w:tc>
          <w:tcPr>
            <w:tcW w:w="66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(7,113 units) (h) (j)</w:t>
            </w:r>
          </w:p>
        </w:tc>
        <w:tc>
          <w:tcPr>
            <w:tcW w:w="182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12/31/2021</w:t>
            </w: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7,113.00</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7,113.00</w:t>
            </w:r>
          </w:p>
        </w:tc>
        <w:tc>
          <w:tcPr>
            <w:tcW w:w="660" w:type="dxa"/>
            <w:vAlign w:val="bottom"/>
            <w:shd w:val="clear" w:color="auto" w:fill="CFF0FC"/>
          </w:tcPr>
          <w:p>
            <w:pPr>
              <w:spacing w:after="0"/>
              <w:rPr>
                <w:sz w:val="10"/>
                <w:szCs w:val="10"/>
                <w:color w:val="auto"/>
              </w:rPr>
            </w:pPr>
          </w:p>
        </w:tc>
      </w:tr>
      <w:tr>
        <w:trPr>
          <w:trHeight w:val="122"/>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(2,012units) (h) (j)</w:t>
            </w: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12/31/2021</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22,405</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22,405</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1"/>
        </w:trPr>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FAR Research Inc. (n)</w:t>
            </w:r>
          </w:p>
        </w:tc>
        <w:tc>
          <w:tcPr>
            <w:tcW w:w="1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Specialty Chemicals</w:t>
            </w: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(1,396 units)</w:t>
            </w: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3/31/2014</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Medsurant Holdings, LLC</w:t>
            </w:r>
          </w:p>
        </w:tc>
        <w:tc>
          <w:tcPr>
            <w:tcW w:w="1820" w:type="dxa"/>
            <w:vAlign w:val="bottom"/>
          </w:tcPr>
          <w:p>
            <w:pPr>
              <w:ind w:left="120"/>
              <w:spacing w:after="0"/>
              <w:rPr>
                <w:sz w:val="20"/>
                <w:szCs w:val="20"/>
                <w:color w:val="auto"/>
              </w:rPr>
            </w:pPr>
            <w:r>
              <w:rPr>
                <w:rFonts w:ascii="Times New Roman" w:cs="Times New Roman" w:eastAsia="Times New Roman" w:hAnsi="Times New Roman"/>
                <w:sz w:val="9"/>
                <w:szCs w:val="9"/>
                <w:color w:val="auto"/>
              </w:rPr>
              <w:t>Healthcare Services</w:t>
            </w:r>
          </w:p>
        </w:tc>
        <w:tc>
          <w:tcPr>
            <w:tcW w:w="1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(84,997 units) (h)(j)</w:t>
            </w:r>
          </w:p>
        </w:tc>
        <w:tc>
          <w:tcPr>
            <w:tcW w:w="182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4/12/2011</w:t>
            </w: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716</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842</w:t>
            </w:r>
          </w:p>
        </w:tc>
        <w:tc>
          <w:tcPr>
            <w:tcW w:w="660" w:type="dxa"/>
            <w:vAlign w:val="bottom"/>
            <w:shd w:val="clear" w:color="auto" w:fill="CFF0FC"/>
          </w:tcPr>
          <w:p>
            <w:pPr>
              <w:spacing w:after="0"/>
              <w:rPr>
                <w:sz w:val="10"/>
                <w:szCs w:val="10"/>
                <w:color w:val="auto"/>
              </w:rPr>
            </w:pPr>
          </w:p>
        </w:tc>
      </w:tr>
      <w:tr>
        <w:trPr>
          <w:trHeight w:val="122"/>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Warrant (252,588 units) (h)(j)(m)</w:t>
            </w: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4/12/2011</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2,258</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2,857</w:t>
            </w:r>
          </w:p>
        </w:tc>
        <w:tc>
          <w:tcPr>
            <w:tcW w:w="66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2,974</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3,699</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Mirage Trailers LLC (n)</w:t>
            </w:r>
          </w:p>
        </w:tc>
        <w:tc>
          <w:tcPr>
            <w:tcW w:w="1820" w:type="dxa"/>
            <w:vAlign w:val="bottom"/>
          </w:tcPr>
          <w:p>
            <w:pPr>
              <w:ind w:left="120"/>
              <w:spacing w:after="0"/>
              <w:rPr>
                <w:sz w:val="20"/>
                <w:szCs w:val="20"/>
                <w:color w:val="auto"/>
              </w:rPr>
            </w:pPr>
            <w:r>
              <w:rPr>
                <w:rFonts w:ascii="Times New Roman" w:cs="Times New Roman" w:eastAsia="Times New Roman" w:hAnsi="Times New Roman"/>
                <w:sz w:val="9"/>
                <w:szCs w:val="9"/>
                <w:color w:val="auto"/>
              </w:rPr>
              <w:t>Utility Equipment Manufacturing</w:t>
            </w:r>
          </w:p>
        </w:tc>
        <w:tc>
          <w:tcPr>
            <w:tcW w:w="1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(2,500,000 shares)</w:t>
            </w:r>
          </w:p>
        </w:tc>
        <w:tc>
          <w:tcPr>
            <w:tcW w:w="182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11/25/2015</w:t>
            </w: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1"/>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Pfanstiehl, Inc.</w:t>
            </w:r>
          </w:p>
        </w:tc>
        <w:tc>
          <w:tcPr>
            <w:tcW w:w="1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Healthcare Products</w:t>
            </w: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(4,250 units) (j)</w:t>
            </w: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3/29/2013</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425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59,297</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12 %</w:t>
            </w:r>
          </w:p>
        </w:tc>
      </w:tr>
      <w:tr>
        <w:trPr>
          <w:trHeight w:val="122"/>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Pinnergy, Ltd.</w:t>
            </w:r>
          </w:p>
        </w:tc>
        <w:tc>
          <w:tcPr>
            <w:tcW w:w="1820" w:type="dxa"/>
            <w:vAlign w:val="bottom"/>
          </w:tcPr>
          <w:p>
            <w:pPr>
              <w:ind w:left="120"/>
              <w:spacing w:after="0"/>
              <w:rPr>
                <w:sz w:val="20"/>
                <w:szCs w:val="20"/>
                <w:color w:val="auto"/>
              </w:rPr>
            </w:pPr>
            <w:r>
              <w:rPr>
                <w:rFonts w:ascii="Times New Roman" w:cs="Times New Roman" w:eastAsia="Times New Roman" w:hAnsi="Times New Roman"/>
                <w:sz w:val="9"/>
                <w:szCs w:val="9"/>
                <w:color w:val="auto"/>
              </w:rPr>
              <w:t>Oil &amp; Gas Services</w:t>
            </w:r>
          </w:p>
        </w:tc>
        <w:tc>
          <w:tcPr>
            <w:tcW w:w="1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 Class A-2 (42,500 units) (j)</w:t>
            </w:r>
          </w:p>
        </w:tc>
        <w:tc>
          <w:tcPr>
            <w:tcW w:w="182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10/13/2016</w:t>
            </w: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3,000</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18,440</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1"/>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Spectra A&amp;D Acquisition, Inc. (fka FDS Avionics Corp.)</w:t>
            </w:r>
          </w:p>
        </w:tc>
        <w:tc>
          <w:tcPr>
            <w:tcW w:w="1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Aerospace &amp; Defense Manufacturing</w:t>
            </w: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First Lien Debt (k)(ag)</w:t>
            </w:r>
          </w:p>
        </w:tc>
        <w:tc>
          <w:tcPr>
            <w:tcW w:w="1820" w:type="dxa"/>
            <w:vAlign w:val="bottom"/>
          </w:tcPr>
          <w:p>
            <w:pPr>
              <w:spacing w:after="0"/>
              <w:rPr>
                <w:sz w:val="10"/>
                <w:szCs w:val="10"/>
                <w:color w:val="auto"/>
              </w:rPr>
            </w:pPr>
          </w:p>
        </w:tc>
        <w:tc>
          <w:tcPr>
            <w:tcW w:w="1380" w:type="dxa"/>
            <w:vAlign w:val="bottom"/>
          </w:tcPr>
          <w:p>
            <w:pPr>
              <w:ind w:left="360"/>
              <w:spacing w:after="0"/>
              <w:rPr>
                <w:sz w:val="20"/>
                <w:szCs w:val="20"/>
                <w:color w:val="auto"/>
              </w:rPr>
            </w:pPr>
            <w:r>
              <w:rPr>
                <w:rFonts w:ascii="Times New Roman" w:cs="Times New Roman" w:eastAsia="Times New Roman" w:hAnsi="Times New Roman"/>
                <w:sz w:val="9"/>
                <w:szCs w:val="9"/>
                <w:color w:val="auto"/>
              </w:rPr>
              <w:t>(L + 5.50%) / (1.00%)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6.50%/0.00%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2/12/2021</w:t>
            </w:r>
          </w:p>
        </w:tc>
        <w:tc>
          <w:tcPr>
            <w:tcW w:w="7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2/11/2026</w:t>
            </w:r>
          </w:p>
        </w:tc>
        <w:tc>
          <w:tcPr>
            <w:tcW w:w="260" w:type="dxa"/>
            <w:vAlign w:val="bottom"/>
          </w:tcPr>
          <w:p>
            <w:pPr>
              <w:spacing w:after="0"/>
              <w:rPr>
                <w:sz w:val="10"/>
                <w:szCs w:val="10"/>
                <w:color w:val="auto"/>
              </w:rPr>
            </w:pPr>
          </w:p>
        </w:tc>
        <w:tc>
          <w:tcPr>
            <w:tcW w:w="6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13,000</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12,926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13,000</w:t>
            </w:r>
          </w:p>
        </w:tc>
        <w:tc>
          <w:tcPr>
            <w:tcW w:w="66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(41,290 units) (j)</w:t>
            </w:r>
          </w:p>
        </w:tc>
        <w:tc>
          <w:tcPr>
            <w:tcW w:w="182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2/12/2021</w:t>
            </w: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2,609</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801</w:t>
            </w:r>
          </w:p>
        </w:tc>
        <w:tc>
          <w:tcPr>
            <w:tcW w:w="660" w:type="dxa"/>
            <w:vAlign w:val="bottom"/>
            <w:shd w:val="clear" w:color="auto" w:fill="CFF0FC"/>
          </w:tcPr>
          <w:p>
            <w:pPr>
              <w:spacing w:after="0"/>
              <w:rPr>
                <w:sz w:val="10"/>
                <w:szCs w:val="10"/>
                <w:color w:val="auto"/>
              </w:rPr>
            </w:pPr>
          </w:p>
        </w:tc>
      </w:tr>
      <w:tr>
        <w:trPr>
          <w:trHeight w:val="122"/>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(12,035 units) (j)</w:t>
            </w: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8/25/2021</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1,203</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1,204</w:t>
            </w:r>
          </w:p>
        </w:tc>
        <w:tc>
          <w:tcPr>
            <w:tcW w:w="66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16,738</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15,005</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1"/>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Steward Holding LLC (dba Steward Advanced Materials)</w:t>
            </w:r>
          </w:p>
        </w:tc>
        <w:tc>
          <w:tcPr>
            <w:tcW w:w="1820" w:type="dxa"/>
            <w:vAlign w:val="bottom"/>
          </w:tcPr>
          <w:p>
            <w:pPr>
              <w:ind w:left="120"/>
              <w:spacing w:after="0"/>
              <w:rPr>
                <w:sz w:val="20"/>
                <w:szCs w:val="20"/>
                <w:color w:val="auto"/>
              </w:rPr>
            </w:pPr>
            <w:r>
              <w:rPr>
                <w:rFonts w:ascii="Times New Roman" w:cs="Times New Roman" w:eastAsia="Times New Roman" w:hAnsi="Times New Roman"/>
                <w:sz w:val="9"/>
                <w:szCs w:val="9"/>
                <w:color w:val="auto"/>
              </w:rPr>
              <w:t>Aerospace &amp; Defense Manufacturing</w:t>
            </w:r>
          </w:p>
        </w:tc>
        <w:tc>
          <w:tcPr>
            <w:tcW w:w="1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(1,000,000 units)</w:t>
            </w:r>
          </w:p>
        </w:tc>
        <w:tc>
          <w:tcPr>
            <w:tcW w:w="182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11/12/2015</w:t>
            </w: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1,000</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3,554</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r>
      <w:tr>
        <w:trPr>
          <w:trHeight w:val="154"/>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rPr>
              <w:t>Total Affiliate Investments</w:t>
            </w:r>
          </w:p>
        </w:tc>
        <w:tc>
          <w:tcPr>
            <w:tcW w:w="182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46,542</w:t>
            </w: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122,428</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25 %</w:t>
            </w:r>
          </w:p>
        </w:tc>
      </w:tr>
      <w:tr>
        <w:trPr>
          <w:trHeight w:val="143"/>
        </w:trPr>
        <w:tc>
          <w:tcPr>
            <w:tcW w:w="920" w:type="dxa"/>
            <w:vAlign w:val="bottom"/>
            <w:tcBorders>
              <w:top w:val="single" w:sz="8" w:color="CFF0FC"/>
            </w:tcBorders>
          </w:tcPr>
          <w:p>
            <w:pPr>
              <w:spacing w:after="0"/>
              <w:rPr>
                <w:sz w:val="12"/>
                <w:szCs w:val="12"/>
                <w:color w:val="auto"/>
              </w:rPr>
            </w:pPr>
          </w:p>
        </w:tc>
        <w:tc>
          <w:tcPr>
            <w:tcW w:w="560" w:type="dxa"/>
            <w:vAlign w:val="bottom"/>
            <w:tcBorders>
              <w:top w:val="single" w:sz="8" w:color="CFF0FC"/>
            </w:tcBorders>
          </w:tcPr>
          <w:p>
            <w:pPr>
              <w:spacing w:after="0"/>
              <w:rPr>
                <w:sz w:val="12"/>
                <w:szCs w:val="12"/>
                <w:color w:val="auto"/>
              </w:rPr>
            </w:pPr>
          </w:p>
        </w:tc>
        <w:tc>
          <w:tcPr>
            <w:tcW w:w="1040" w:type="dxa"/>
            <w:vAlign w:val="bottom"/>
            <w:tcBorders>
              <w:top w:val="single" w:sz="8" w:color="CFF0FC"/>
            </w:tcBorders>
          </w:tcPr>
          <w:p>
            <w:pPr>
              <w:spacing w:after="0"/>
              <w:rPr>
                <w:sz w:val="12"/>
                <w:szCs w:val="12"/>
                <w:color w:val="auto"/>
              </w:rPr>
            </w:pPr>
          </w:p>
        </w:tc>
        <w:tc>
          <w:tcPr>
            <w:tcW w:w="1820" w:type="dxa"/>
            <w:vAlign w:val="bottom"/>
            <w:tcBorders>
              <w:top w:val="single" w:sz="8" w:color="CFF0FC"/>
            </w:tcBorders>
          </w:tcPr>
          <w:p>
            <w:pPr>
              <w:spacing w:after="0"/>
              <w:rPr>
                <w:sz w:val="12"/>
                <w:szCs w:val="12"/>
                <w:color w:val="auto"/>
              </w:rPr>
            </w:pPr>
          </w:p>
        </w:tc>
        <w:tc>
          <w:tcPr>
            <w:tcW w:w="1380" w:type="dxa"/>
            <w:vAlign w:val="bottom"/>
            <w:tcBorders>
              <w:top w:val="single" w:sz="8" w:color="CFF0FC"/>
            </w:tcBorders>
          </w:tcPr>
          <w:p>
            <w:pPr>
              <w:spacing w:after="0"/>
              <w:rPr>
                <w:sz w:val="12"/>
                <w:szCs w:val="12"/>
                <w:color w:val="auto"/>
              </w:rPr>
            </w:pPr>
          </w:p>
        </w:tc>
        <w:tc>
          <w:tcPr>
            <w:tcW w:w="920" w:type="dxa"/>
            <w:vAlign w:val="bottom"/>
            <w:tcBorders>
              <w:top w:val="single" w:sz="8" w:color="CFF0FC"/>
            </w:tcBorders>
          </w:tcPr>
          <w:p>
            <w:pPr>
              <w:spacing w:after="0"/>
              <w:rPr>
                <w:sz w:val="12"/>
                <w:szCs w:val="12"/>
                <w:color w:val="auto"/>
              </w:rPr>
            </w:pPr>
          </w:p>
        </w:tc>
        <w:tc>
          <w:tcPr>
            <w:tcW w:w="820" w:type="dxa"/>
            <w:vAlign w:val="bottom"/>
            <w:tcBorders>
              <w:top w:val="single" w:sz="8" w:color="CFF0FC"/>
            </w:tcBorders>
          </w:tcPr>
          <w:p>
            <w:pPr>
              <w:spacing w:after="0"/>
              <w:rPr>
                <w:sz w:val="12"/>
                <w:szCs w:val="12"/>
                <w:color w:val="auto"/>
              </w:rPr>
            </w:pPr>
          </w:p>
        </w:tc>
        <w:tc>
          <w:tcPr>
            <w:tcW w:w="780" w:type="dxa"/>
            <w:vAlign w:val="bottom"/>
            <w:tcBorders>
              <w:top w:val="single" w:sz="8" w:color="CFF0FC"/>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66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60" w:type="dxa"/>
            <w:vAlign w:val="bottom"/>
            <w:tcBorders>
              <w:top w:val="single" w:sz="8" w:color="CFF0FC"/>
            </w:tcBorders>
          </w:tcPr>
          <w:p>
            <w:pPr>
              <w:spacing w:after="0"/>
              <w:rPr>
                <w:sz w:val="12"/>
                <w:szCs w:val="12"/>
                <w:color w:val="auto"/>
              </w:rPr>
            </w:pPr>
          </w:p>
        </w:tc>
      </w:tr>
      <w:tr>
        <w:trPr>
          <w:trHeight w:val="108"/>
        </w:trPr>
        <w:tc>
          <w:tcPr>
            <w:tcW w:w="1480" w:type="dxa"/>
            <w:vAlign w:val="bottom"/>
            <w:tcBorders>
              <w:left w:val="single" w:sz="8" w:color="CFF0FC"/>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w w:val="98"/>
              </w:rPr>
              <w:t>Non-control/Non-affiliate Investments</w:t>
            </w:r>
          </w:p>
        </w:tc>
        <w:tc>
          <w:tcPr>
            <w:tcW w:w="1040" w:type="dxa"/>
            <w:vAlign w:val="bottom"/>
            <w:tcBorders>
              <w:bottom w:val="single" w:sz="8" w:color="CFF0FC"/>
            </w:tcBorders>
            <w:shd w:val="clear" w:color="auto" w:fill="CFF0FC"/>
          </w:tcPr>
          <w:p>
            <w:pPr>
              <w:spacing w:after="0"/>
              <w:rPr>
                <w:sz w:val="9"/>
                <w:szCs w:val="9"/>
                <w:color w:val="auto"/>
              </w:rPr>
            </w:pPr>
          </w:p>
        </w:tc>
        <w:tc>
          <w:tcPr>
            <w:tcW w:w="1820" w:type="dxa"/>
            <w:vAlign w:val="bottom"/>
            <w:tcBorders>
              <w:bottom w:val="single" w:sz="8" w:color="CFF0FC"/>
            </w:tcBorders>
            <w:shd w:val="clear" w:color="auto" w:fill="CFF0FC"/>
          </w:tcPr>
          <w:p>
            <w:pPr>
              <w:spacing w:after="0"/>
              <w:rPr>
                <w:sz w:val="9"/>
                <w:szCs w:val="9"/>
                <w:color w:val="auto"/>
              </w:rPr>
            </w:pPr>
          </w:p>
        </w:tc>
        <w:tc>
          <w:tcPr>
            <w:tcW w:w="1380" w:type="dxa"/>
            <w:vAlign w:val="bottom"/>
            <w:tcBorders>
              <w:bottom w:val="single" w:sz="8" w:color="CFF0FC"/>
            </w:tcBorders>
            <w:shd w:val="clear" w:color="auto" w:fill="CFF0FC"/>
          </w:tcPr>
          <w:p>
            <w:pPr>
              <w:spacing w:after="0"/>
              <w:rPr>
                <w:sz w:val="9"/>
                <w:szCs w:val="9"/>
                <w:color w:val="auto"/>
              </w:rPr>
            </w:pPr>
          </w:p>
        </w:tc>
        <w:tc>
          <w:tcPr>
            <w:tcW w:w="92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shd w:val="clear" w:color="auto" w:fill="CFF0FC"/>
          </w:tcPr>
          <w:p>
            <w:pPr>
              <w:spacing w:after="0"/>
              <w:rPr>
                <w:sz w:val="9"/>
                <w:szCs w:val="9"/>
                <w:color w:val="auto"/>
              </w:rPr>
            </w:pPr>
          </w:p>
        </w:tc>
        <w:tc>
          <w:tcPr>
            <w:tcW w:w="78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CFF0FC"/>
            </w:tcBorders>
            <w:shd w:val="clear" w:color="auto" w:fill="CFF0FC"/>
          </w:tcPr>
          <w:p>
            <w:pPr>
              <w:spacing w:after="0"/>
              <w:rPr>
                <w:sz w:val="9"/>
                <w:szCs w:val="9"/>
                <w:color w:val="auto"/>
              </w:rPr>
            </w:pPr>
          </w:p>
        </w:tc>
        <w:tc>
          <w:tcPr>
            <w:tcW w:w="66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CFF0FC"/>
            </w:tcBorders>
            <w:shd w:val="clear" w:color="auto" w:fill="CFF0FC"/>
          </w:tcPr>
          <w:p>
            <w:pPr>
              <w:spacing w:after="0"/>
              <w:rPr>
                <w:sz w:val="9"/>
                <w:szCs w:val="9"/>
                <w:color w:val="auto"/>
              </w:rPr>
            </w:pPr>
          </w:p>
        </w:tc>
        <w:tc>
          <w:tcPr>
            <w:tcW w:w="54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560" w:type="dxa"/>
            <w:vAlign w:val="bottom"/>
            <w:tcBorders>
              <w:bottom w:val="single" w:sz="8" w:color="CFF0FC"/>
            </w:tcBorders>
            <w:shd w:val="clear" w:color="auto" w:fill="CFF0FC"/>
          </w:tcPr>
          <w:p>
            <w:pPr>
              <w:spacing w:after="0"/>
              <w:rPr>
                <w:sz w:val="9"/>
                <w:szCs w:val="9"/>
                <w:color w:val="auto"/>
              </w:rPr>
            </w:pPr>
          </w:p>
        </w:tc>
        <w:tc>
          <w:tcPr>
            <w:tcW w:w="660" w:type="dxa"/>
            <w:vAlign w:val="bottom"/>
            <w:tcBorders>
              <w:bottom w:val="single" w:sz="8" w:color="CFF0FC"/>
            </w:tcBorders>
            <w:shd w:val="clear" w:color="auto" w:fill="CFF0FC"/>
          </w:tcPr>
          <w:p>
            <w:pPr>
              <w:spacing w:after="0"/>
              <w:rPr>
                <w:sz w:val="9"/>
                <w:szCs w:val="9"/>
                <w:color w:val="auto"/>
              </w:rPr>
            </w:pPr>
          </w:p>
        </w:tc>
      </w:tr>
      <w:tr>
        <w:trPr>
          <w:trHeight w:val="115"/>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2KDirect, Inc. (dba iPromote)</w:t>
            </w:r>
          </w:p>
        </w:tc>
        <w:tc>
          <w:tcPr>
            <w:tcW w:w="1820" w:type="dxa"/>
            <w:vAlign w:val="bottom"/>
          </w:tcPr>
          <w:p>
            <w:pPr>
              <w:ind w:left="1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(k)</w:t>
            </w:r>
          </w:p>
        </w:tc>
        <w:tc>
          <w:tcPr>
            <w:tcW w:w="1820" w:type="dxa"/>
            <w:vAlign w:val="bottom"/>
            <w:shd w:val="clear" w:color="auto" w:fill="CFF0FC"/>
          </w:tcPr>
          <w:p>
            <w:pPr>
              <w:spacing w:after="0"/>
              <w:rPr>
                <w:sz w:val="10"/>
                <w:szCs w:val="10"/>
                <w:color w:val="auto"/>
              </w:rPr>
            </w:pPr>
          </w:p>
        </w:tc>
        <w:tc>
          <w:tcPr>
            <w:tcW w:w="13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9"/>
                <w:szCs w:val="9"/>
                <w:color w:val="auto"/>
              </w:rPr>
              <w:t>(L + 6.75%) / (0.50%)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7.25%/0.00%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6/25/2021</w:t>
            </w:r>
          </w:p>
        </w:tc>
        <w:tc>
          <w:tcPr>
            <w:tcW w:w="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6/25/2026</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12,837</w:t>
            </w:r>
          </w:p>
        </w:tc>
        <w:tc>
          <w:tcPr>
            <w:tcW w:w="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12,764</w:t>
            </w: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12,837</w:t>
            </w:r>
          </w:p>
        </w:tc>
        <w:tc>
          <w:tcPr>
            <w:tcW w:w="66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First Lien Debt (j)(aa)</w:t>
            </w:r>
          </w:p>
        </w:tc>
        <w:tc>
          <w:tcPr>
            <w:tcW w:w="1820" w:type="dxa"/>
            <w:vAlign w:val="bottom"/>
          </w:tcPr>
          <w:p>
            <w:pPr>
              <w:spacing w:after="0"/>
              <w:rPr>
                <w:sz w:val="10"/>
                <w:szCs w:val="10"/>
                <w:color w:val="auto"/>
              </w:rPr>
            </w:pPr>
          </w:p>
        </w:tc>
        <w:tc>
          <w:tcPr>
            <w:tcW w:w="1380" w:type="dxa"/>
            <w:vAlign w:val="bottom"/>
          </w:tcPr>
          <w:p>
            <w:pPr>
              <w:ind w:left="360"/>
              <w:spacing w:after="0"/>
              <w:rPr>
                <w:sz w:val="20"/>
                <w:szCs w:val="20"/>
                <w:color w:val="auto"/>
              </w:rPr>
            </w:pPr>
            <w:r>
              <w:rPr>
                <w:rFonts w:ascii="Times New Roman" w:cs="Times New Roman" w:eastAsia="Times New Roman" w:hAnsi="Times New Roman"/>
                <w:sz w:val="9"/>
                <w:szCs w:val="9"/>
                <w:color w:val="auto"/>
              </w:rPr>
              <w:t>(L + 6.75%) / (0.50%)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7.25%/0.00%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7/30/2021</w:t>
            </w:r>
          </w:p>
        </w:tc>
        <w:tc>
          <w:tcPr>
            <w:tcW w:w="7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6/25/2026</w:t>
            </w:r>
          </w:p>
        </w:tc>
        <w:tc>
          <w:tcPr>
            <w:tcW w:w="260" w:type="dxa"/>
            <w:vAlign w:val="bottom"/>
          </w:tcPr>
          <w:p>
            <w:pPr>
              <w:spacing w:after="0"/>
              <w:rPr>
                <w:sz w:val="10"/>
                <w:szCs w:val="10"/>
                <w:color w:val="auto"/>
              </w:rPr>
            </w:pPr>
          </w:p>
        </w:tc>
        <w:tc>
          <w:tcPr>
            <w:tcW w:w="6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3,950</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3,950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3,950</w:t>
            </w:r>
          </w:p>
        </w:tc>
        <w:tc>
          <w:tcPr>
            <w:tcW w:w="660" w:type="dxa"/>
            <w:vAlign w:val="bottom"/>
          </w:tcPr>
          <w:p>
            <w:pPr>
              <w:spacing w:after="0"/>
              <w:rPr>
                <w:sz w:val="10"/>
                <w:szCs w:val="10"/>
                <w:color w:val="auto"/>
              </w:rPr>
            </w:pPr>
          </w:p>
        </w:tc>
      </w:tr>
      <w:tr>
        <w:trPr>
          <w:trHeight w:val="122"/>
        </w:trPr>
        <w:tc>
          <w:tcPr>
            <w:tcW w:w="252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(1,000,000 units)</w:t>
            </w:r>
          </w:p>
        </w:tc>
        <w:tc>
          <w:tcPr>
            <w:tcW w:w="1820" w:type="dxa"/>
            <w:vAlign w:val="bottom"/>
            <w:tcBorders>
              <w:bottom w:val="single" w:sz="8" w:color="CFF0FC"/>
            </w:tcBorders>
            <w:shd w:val="clear" w:color="auto" w:fill="CFF0FC"/>
          </w:tcPr>
          <w:p>
            <w:pPr>
              <w:spacing w:after="0"/>
              <w:rPr>
                <w:sz w:val="10"/>
                <w:szCs w:val="10"/>
                <w:color w:val="auto"/>
              </w:rPr>
            </w:pPr>
          </w:p>
        </w:tc>
        <w:tc>
          <w:tcPr>
            <w:tcW w:w="138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6/25/2021</w:t>
            </w:r>
          </w:p>
        </w:tc>
        <w:tc>
          <w:tcPr>
            <w:tcW w:w="780" w:type="dxa"/>
            <w:vAlign w:val="bottom"/>
            <w:tcBorders>
              <w:bottom w:val="single" w:sz="8" w:color="CFF0FC"/>
            </w:tcBorders>
            <w:shd w:val="clear" w:color="auto" w:fill="CFF0FC"/>
          </w:tcPr>
          <w:p>
            <w:pPr>
              <w:spacing w:after="0"/>
              <w:rPr>
                <w:sz w:val="10"/>
                <w:szCs w:val="10"/>
                <w:color w:val="auto"/>
              </w:rPr>
            </w:pPr>
          </w:p>
        </w:tc>
        <w:tc>
          <w:tcPr>
            <w:tcW w:w="26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1,000</w:t>
            </w: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688</w:t>
            </w:r>
          </w:p>
        </w:tc>
        <w:tc>
          <w:tcPr>
            <w:tcW w:w="660" w:type="dxa"/>
            <w:vAlign w:val="bottom"/>
            <w:tcBorders>
              <w:bottom w:val="single" w:sz="8" w:color="CFF0FC"/>
            </w:tcBorders>
            <w:shd w:val="clear" w:color="auto" w:fill="CFF0FC"/>
          </w:tcPr>
          <w:p>
            <w:pPr>
              <w:spacing w:after="0"/>
              <w:rPr>
                <w:sz w:val="10"/>
                <w:szCs w:val="10"/>
                <w:color w:val="auto"/>
              </w:rPr>
            </w:pPr>
          </w:p>
        </w:tc>
      </w:tr>
      <w:tr>
        <w:trPr>
          <w:trHeight w:val="115"/>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17,714</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17,475</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Acendre Midco, Inc.</w:t>
            </w:r>
          </w:p>
        </w:tc>
        <w:tc>
          <w:tcPr>
            <w:tcW w:w="1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1820" w:type="dxa"/>
            <w:vAlign w:val="bottom"/>
          </w:tcPr>
          <w:p>
            <w:pPr>
              <w:spacing w:after="0"/>
              <w:rPr>
                <w:sz w:val="10"/>
                <w:szCs w:val="10"/>
                <w:color w:val="auto"/>
              </w:rPr>
            </w:pPr>
          </w:p>
        </w:tc>
        <w:tc>
          <w:tcPr>
            <w:tcW w:w="1380" w:type="dxa"/>
            <w:vAlign w:val="bottom"/>
          </w:tcPr>
          <w:p>
            <w:pPr>
              <w:ind w:left="360"/>
              <w:spacing w:after="0"/>
              <w:rPr>
                <w:sz w:val="20"/>
                <w:szCs w:val="20"/>
                <w:color w:val="auto"/>
              </w:rPr>
            </w:pPr>
            <w:r>
              <w:rPr>
                <w:rFonts w:ascii="Times New Roman" w:cs="Times New Roman" w:eastAsia="Times New Roman" w:hAnsi="Times New Roman"/>
                <w:sz w:val="9"/>
                <w:szCs w:val="9"/>
                <w:color w:val="auto"/>
              </w:rPr>
              <w:t>(L + 7.75%) / (0.50%)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8.25%/0.00%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10/6/2021</w:t>
            </w:r>
          </w:p>
        </w:tc>
        <w:tc>
          <w:tcPr>
            <w:tcW w:w="7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10/6/2026</w:t>
            </w:r>
          </w:p>
        </w:tc>
        <w:tc>
          <w:tcPr>
            <w:tcW w:w="260" w:type="dxa"/>
            <w:vAlign w:val="bottom"/>
          </w:tcPr>
          <w:p>
            <w:pPr>
              <w:spacing w:after="0"/>
              <w:rPr>
                <w:sz w:val="10"/>
                <w:szCs w:val="10"/>
                <w:color w:val="auto"/>
              </w:rPr>
            </w:pPr>
          </w:p>
        </w:tc>
        <w:tc>
          <w:tcPr>
            <w:tcW w:w="6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5,500</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5,485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5,485</w:t>
            </w:r>
          </w:p>
        </w:tc>
        <w:tc>
          <w:tcPr>
            <w:tcW w:w="66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1820" w:type="dxa"/>
            <w:vAlign w:val="bottom"/>
            <w:shd w:val="clear" w:color="auto" w:fill="CFF0FC"/>
          </w:tcPr>
          <w:p>
            <w:pPr>
              <w:spacing w:after="0"/>
              <w:rPr>
                <w:sz w:val="10"/>
                <w:szCs w:val="10"/>
                <w:color w:val="auto"/>
              </w:rPr>
            </w:pPr>
          </w:p>
        </w:tc>
        <w:tc>
          <w:tcPr>
            <w:tcW w:w="13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9"/>
                <w:szCs w:val="9"/>
                <w:color w:val="auto"/>
              </w:rPr>
              <w:t>(L + 7.75%) / (0.50%)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8.25%/0.00%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10/6/2021</w:t>
            </w:r>
          </w:p>
        </w:tc>
        <w:tc>
          <w:tcPr>
            <w:tcW w:w="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10/6/2026</w:t>
            </w: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12,500</w:t>
            </w: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12,440</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12,439</w:t>
            </w:r>
          </w:p>
        </w:tc>
        <w:tc>
          <w:tcPr>
            <w:tcW w:w="66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Revolving Loan ($1,000 unfunded commitment) (j)(i)</w:t>
            </w: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10/6/2021</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(500,000 shares) (j)</w:t>
            </w:r>
          </w:p>
        </w:tc>
        <w:tc>
          <w:tcPr>
            <w:tcW w:w="182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10/6/2021</w:t>
            </w: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371</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371</w:t>
            </w:r>
          </w:p>
        </w:tc>
        <w:tc>
          <w:tcPr>
            <w:tcW w:w="660" w:type="dxa"/>
            <w:vAlign w:val="bottom"/>
            <w:shd w:val="clear" w:color="auto" w:fill="CFF0FC"/>
          </w:tcPr>
          <w:p>
            <w:pPr>
              <w:spacing w:after="0"/>
              <w:rPr>
                <w:sz w:val="10"/>
                <w:szCs w:val="10"/>
                <w:color w:val="auto"/>
              </w:rPr>
            </w:pPr>
          </w:p>
        </w:tc>
      </w:tr>
      <w:tr>
        <w:trPr>
          <w:trHeight w:val="122"/>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Warrant (150,000 shares) (j)(m)</w:t>
            </w: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10/6/2021</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129</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129</w:t>
            </w:r>
          </w:p>
        </w:tc>
        <w:tc>
          <w:tcPr>
            <w:tcW w:w="66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18,425</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18,424</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1"/>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Aeronix Inc.</w:t>
            </w:r>
          </w:p>
        </w:tc>
        <w:tc>
          <w:tcPr>
            <w:tcW w:w="1820" w:type="dxa"/>
            <w:vAlign w:val="bottom"/>
          </w:tcPr>
          <w:p>
            <w:pPr>
              <w:ind w:left="120"/>
              <w:spacing w:after="0"/>
              <w:rPr>
                <w:sz w:val="20"/>
                <w:szCs w:val="20"/>
                <w:color w:val="auto"/>
              </w:rPr>
            </w:pPr>
            <w:r>
              <w:rPr>
                <w:rFonts w:ascii="Times New Roman" w:cs="Times New Roman" w:eastAsia="Times New Roman" w:hAnsi="Times New Roman"/>
                <w:sz w:val="9"/>
                <w:szCs w:val="9"/>
                <w:color w:val="auto"/>
              </w:rPr>
              <w:t>Aerospace &amp; Defense Manufacturing</w:t>
            </w:r>
          </w:p>
        </w:tc>
        <w:tc>
          <w:tcPr>
            <w:tcW w:w="1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(ai)</w:t>
            </w:r>
          </w:p>
        </w:tc>
        <w:tc>
          <w:tcPr>
            <w:tcW w:w="1820" w:type="dxa"/>
            <w:vAlign w:val="bottom"/>
            <w:shd w:val="clear" w:color="auto" w:fill="CFF0FC"/>
          </w:tcPr>
          <w:p>
            <w:pPr>
              <w:spacing w:after="0"/>
              <w:rPr>
                <w:sz w:val="10"/>
                <w:szCs w:val="10"/>
                <w:color w:val="auto"/>
              </w:rPr>
            </w:pPr>
          </w:p>
        </w:tc>
        <w:tc>
          <w:tcPr>
            <w:tcW w:w="13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9"/>
                <w:szCs w:val="9"/>
                <w:color w:val="auto"/>
              </w:rPr>
              <w:t>(L + 5.88%) / (0.50%)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6.38%/0.00%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6/11/2021</w:t>
            </w:r>
          </w:p>
        </w:tc>
        <w:tc>
          <w:tcPr>
            <w:tcW w:w="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6/11/2026</w:t>
            </w: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14,250</w:t>
            </w: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14,170</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14,250</w:t>
            </w:r>
          </w:p>
        </w:tc>
        <w:tc>
          <w:tcPr>
            <w:tcW w:w="660" w:type="dxa"/>
            <w:vAlign w:val="bottom"/>
            <w:shd w:val="clear" w:color="auto" w:fill="CFF0FC"/>
          </w:tcPr>
          <w:p>
            <w:pPr>
              <w:spacing w:after="0"/>
              <w:rPr>
                <w:sz w:val="10"/>
                <w:szCs w:val="10"/>
                <w:color w:val="auto"/>
              </w:rPr>
            </w:pPr>
          </w:p>
        </w:tc>
      </w:tr>
      <w:tr>
        <w:trPr>
          <w:trHeight w:val="122"/>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(549 units)</w:t>
            </w: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6/11/2021</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593</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684</w:t>
            </w:r>
          </w:p>
        </w:tc>
        <w:tc>
          <w:tcPr>
            <w:tcW w:w="66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14,763</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14,934</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1"/>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Allredi, LLC (fka Marco Group International OpCo, LLC)</w:t>
            </w:r>
          </w:p>
        </w:tc>
        <w:tc>
          <w:tcPr>
            <w:tcW w:w="1820" w:type="dxa"/>
            <w:vAlign w:val="bottom"/>
          </w:tcPr>
          <w:p>
            <w:pPr>
              <w:ind w:left="120"/>
              <w:spacing w:after="0"/>
              <w:rPr>
                <w:sz w:val="20"/>
                <w:szCs w:val="20"/>
                <w:color w:val="auto"/>
              </w:rPr>
            </w:pPr>
            <w:r>
              <w:rPr>
                <w:rFonts w:ascii="Times New Roman" w:cs="Times New Roman" w:eastAsia="Times New Roman" w:hAnsi="Times New Roman"/>
                <w:sz w:val="9"/>
                <w:szCs w:val="9"/>
                <w:color w:val="auto"/>
              </w:rPr>
              <w:t>Industrial Cleaning &amp; Coatings</w:t>
            </w:r>
          </w:p>
        </w:tc>
        <w:tc>
          <w:tcPr>
            <w:tcW w:w="1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w:t>
            </w:r>
          </w:p>
        </w:tc>
        <w:tc>
          <w:tcPr>
            <w:tcW w:w="182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10.50%/2.25%</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3/2/2020</w:t>
            </w:r>
          </w:p>
        </w:tc>
        <w:tc>
          <w:tcPr>
            <w:tcW w:w="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9/2/2026</w:t>
            </w: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10,314</w:t>
            </w: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10,246</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8,431</w:t>
            </w:r>
          </w:p>
        </w:tc>
        <w:tc>
          <w:tcPr>
            <w:tcW w:w="66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(570,636 units) (h)(j)</w:t>
            </w: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7/21/2017</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637</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spacing w:after="0"/>
              <w:rPr>
                <w:sz w:val="10"/>
                <w:szCs w:val="10"/>
                <w:color w:val="auto"/>
              </w:rPr>
            </w:pPr>
          </w:p>
        </w:tc>
      </w:tr>
      <w:tr>
        <w:trPr>
          <w:trHeight w:val="122"/>
        </w:trPr>
        <w:tc>
          <w:tcPr>
            <w:tcW w:w="252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(39,443 units) (h)(j)</w:t>
            </w:r>
          </w:p>
        </w:tc>
        <w:tc>
          <w:tcPr>
            <w:tcW w:w="1820" w:type="dxa"/>
            <w:vAlign w:val="bottom"/>
            <w:tcBorders>
              <w:bottom w:val="single" w:sz="8" w:color="CFF0FC"/>
            </w:tcBorders>
            <w:shd w:val="clear" w:color="auto" w:fill="CFF0FC"/>
          </w:tcPr>
          <w:p>
            <w:pPr>
              <w:spacing w:after="0"/>
              <w:rPr>
                <w:sz w:val="10"/>
                <w:szCs w:val="10"/>
                <w:color w:val="auto"/>
              </w:rPr>
            </w:pPr>
          </w:p>
        </w:tc>
        <w:tc>
          <w:tcPr>
            <w:tcW w:w="138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11/24/2021</w:t>
            </w:r>
          </w:p>
        </w:tc>
        <w:tc>
          <w:tcPr>
            <w:tcW w:w="780" w:type="dxa"/>
            <w:vAlign w:val="bottom"/>
            <w:tcBorders>
              <w:bottom w:val="single" w:sz="8" w:color="CFF0FC"/>
            </w:tcBorders>
            <w:shd w:val="clear" w:color="auto" w:fill="CFF0FC"/>
          </w:tcPr>
          <w:p>
            <w:pPr>
              <w:spacing w:after="0"/>
              <w:rPr>
                <w:sz w:val="10"/>
                <w:szCs w:val="10"/>
                <w:color w:val="auto"/>
              </w:rPr>
            </w:pPr>
          </w:p>
        </w:tc>
        <w:tc>
          <w:tcPr>
            <w:tcW w:w="26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22</w:t>
            </w: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w:t>
            </w:r>
          </w:p>
        </w:tc>
        <w:tc>
          <w:tcPr>
            <w:tcW w:w="660" w:type="dxa"/>
            <w:vAlign w:val="bottom"/>
            <w:tcBorders>
              <w:bottom w:val="single" w:sz="8" w:color="CFF0FC"/>
            </w:tcBorders>
            <w:shd w:val="clear" w:color="auto" w:fill="CFF0FC"/>
          </w:tcPr>
          <w:p>
            <w:pPr>
              <w:spacing w:after="0"/>
              <w:rPr>
                <w:sz w:val="10"/>
                <w:szCs w:val="10"/>
                <w:color w:val="auto"/>
              </w:rPr>
            </w:pPr>
          </w:p>
        </w:tc>
      </w:tr>
      <w:tr>
        <w:trPr>
          <w:trHeight w:val="114"/>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10,905</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8,445</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American AllWaste LLC (dba WasteWater Transport Services)</w:t>
            </w:r>
          </w:p>
        </w:tc>
        <w:tc>
          <w:tcPr>
            <w:tcW w:w="1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Environmental Industries</w:t>
            </w: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First Lien Debt (j)(p)</w:t>
            </w:r>
          </w:p>
        </w:tc>
        <w:tc>
          <w:tcPr>
            <w:tcW w:w="1820" w:type="dxa"/>
            <w:vAlign w:val="bottom"/>
          </w:tcPr>
          <w:p>
            <w:pPr>
              <w:spacing w:after="0"/>
              <w:rPr>
                <w:sz w:val="10"/>
                <w:szCs w:val="10"/>
                <w:color w:val="auto"/>
              </w:rPr>
            </w:pPr>
          </w:p>
        </w:tc>
        <w:tc>
          <w:tcPr>
            <w:tcW w:w="1380" w:type="dxa"/>
            <w:vAlign w:val="bottom"/>
          </w:tcPr>
          <w:p>
            <w:pPr>
              <w:ind w:left="360"/>
              <w:spacing w:after="0"/>
              <w:rPr>
                <w:sz w:val="20"/>
                <w:szCs w:val="20"/>
                <w:color w:val="auto"/>
              </w:rPr>
            </w:pPr>
            <w:r>
              <w:rPr>
                <w:rFonts w:ascii="Times New Roman" w:cs="Times New Roman" w:eastAsia="Times New Roman" w:hAnsi="Times New Roman"/>
                <w:sz w:val="9"/>
                <w:szCs w:val="9"/>
                <w:color w:val="auto"/>
              </w:rPr>
              <w:t>(L + 6.15%) / (1.00%)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7.15%/0.00%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6/28/2021</w:t>
            </w:r>
          </w:p>
        </w:tc>
        <w:tc>
          <w:tcPr>
            <w:tcW w:w="7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6/28/2026</w:t>
            </w:r>
          </w:p>
        </w:tc>
        <w:tc>
          <w:tcPr>
            <w:tcW w:w="260" w:type="dxa"/>
            <w:vAlign w:val="bottom"/>
          </w:tcPr>
          <w:p>
            <w:pPr>
              <w:spacing w:after="0"/>
              <w:rPr>
                <w:sz w:val="10"/>
                <w:szCs w:val="10"/>
                <w:color w:val="auto"/>
              </w:rPr>
            </w:pPr>
          </w:p>
        </w:tc>
        <w:tc>
          <w:tcPr>
            <w:tcW w:w="6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20,500</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20,293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20,500</w:t>
            </w:r>
          </w:p>
        </w:tc>
        <w:tc>
          <w:tcPr>
            <w:tcW w:w="66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(j)(o)</w:t>
            </w:r>
          </w:p>
        </w:tc>
        <w:tc>
          <w:tcPr>
            <w:tcW w:w="1820" w:type="dxa"/>
            <w:vAlign w:val="bottom"/>
            <w:shd w:val="clear" w:color="auto" w:fill="CFF0FC"/>
          </w:tcPr>
          <w:p>
            <w:pPr>
              <w:spacing w:after="0"/>
              <w:rPr>
                <w:sz w:val="10"/>
                <w:szCs w:val="10"/>
                <w:color w:val="auto"/>
              </w:rPr>
            </w:pPr>
          </w:p>
        </w:tc>
        <w:tc>
          <w:tcPr>
            <w:tcW w:w="13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9"/>
                <w:szCs w:val="9"/>
                <w:color w:val="auto"/>
              </w:rPr>
              <w:t>(L + 3.75%) / (1.00%)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4.75%/0.00%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6/28/2021</w:t>
            </w:r>
          </w:p>
        </w:tc>
        <w:tc>
          <w:tcPr>
            <w:tcW w:w="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6/28/2026</w:t>
            </w: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330</w:t>
            </w: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330</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330</w:t>
            </w:r>
          </w:p>
        </w:tc>
        <w:tc>
          <w:tcPr>
            <w:tcW w:w="66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Preferred Equity (500 units) (h)(j)</w:t>
            </w: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5/31/2018</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456</w:t>
            </w:r>
          </w:p>
        </w:tc>
        <w:tc>
          <w:tcPr>
            <w:tcW w:w="66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(207 units) (h)(j)</w:t>
            </w:r>
          </w:p>
        </w:tc>
        <w:tc>
          <w:tcPr>
            <w:tcW w:w="182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8/6/2019</w:t>
            </w: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250</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195</w:t>
            </w:r>
          </w:p>
        </w:tc>
        <w:tc>
          <w:tcPr>
            <w:tcW w:w="66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Preferred Equity (141 units) (h)(j)</w:t>
            </w: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11/2/2020</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133</w:t>
            </w:r>
          </w:p>
        </w:tc>
        <w:tc>
          <w:tcPr>
            <w:tcW w:w="660" w:type="dxa"/>
            <w:vAlign w:val="bottom"/>
          </w:tcPr>
          <w:p>
            <w:pPr>
              <w:spacing w:after="0"/>
              <w:rPr>
                <w:sz w:val="10"/>
                <w:szCs w:val="10"/>
                <w:color w:val="auto"/>
              </w:rPr>
            </w:pPr>
          </w:p>
        </w:tc>
      </w:tr>
      <w:tr>
        <w:trPr>
          <w:trHeight w:val="122"/>
        </w:trPr>
        <w:tc>
          <w:tcPr>
            <w:tcW w:w="252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(74 units) (h)(j)</w:t>
            </w:r>
          </w:p>
        </w:tc>
        <w:tc>
          <w:tcPr>
            <w:tcW w:w="1820" w:type="dxa"/>
            <w:vAlign w:val="bottom"/>
            <w:tcBorders>
              <w:bottom w:val="single" w:sz="8" w:color="CFF0FC"/>
            </w:tcBorders>
            <w:shd w:val="clear" w:color="auto" w:fill="CFF0FC"/>
          </w:tcPr>
          <w:p>
            <w:pPr>
              <w:spacing w:after="0"/>
              <w:rPr>
                <w:sz w:val="10"/>
                <w:szCs w:val="10"/>
                <w:color w:val="auto"/>
              </w:rPr>
            </w:pPr>
          </w:p>
        </w:tc>
        <w:tc>
          <w:tcPr>
            <w:tcW w:w="138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12/29/2021</w:t>
            </w:r>
          </w:p>
        </w:tc>
        <w:tc>
          <w:tcPr>
            <w:tcW w:w="780" w:type="dxa"/>
            <w:vAlign w:val="bottom"/>
            <w:tcBorders>
              <w:bottom w:val="single" w:sz="8" w:color="CFF0FC"/>
            </w:tcBorders>
            <w:shd w:val="clear" w:color="auto" w:fill="CFF0FC"/>
          </w:tcPr>
          <w:p>
            <w:pPr>
              <w:spacing w:after="0"/>
              <w:rPr>
                <w:sz w:val="10"/>
                <w:szCs w:val="10"/>
                <w:color w:val="auto"/>
              </w:rPr>
            </w:pPr>
          </w:p>
        </w:tc>
        <w:tc>
          <w:tcPr>
            <w:tcW w:w="26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97</w:t>
            </w: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78</w:t>
            </w:r>
          </w:p>
        </w:tc>
        <w:tc>
          <w:tcPr>
            <w:tcW w:w="660" w:type="dxa"/>
            <w:vAlign w:val="bottom"/>
            <w:tcBorders>
              <w:bottom w:val="single" w:sz="8" w:color="CFF0FC"/>
            </w:tcBorders>
            <w:shd w:val="clear" w:color="auto" w:fill="CFF0FC"/>
          </w:tcPr>
          <w:p>
            <w:pPr>
              <w:spacing w:after="0"/>
              <w:rPr>
                <w:sz w:val="10"/>
                <w:szCs w:val="10"/>
                <w:color w:val="auto"/>
              </w:rPr>
            </w:pPr>
          </w:p>
        </w:tc>
      </w:tr>
      <w:tr>
        <w:trPr>
          <w:trHeight w:val="115"/>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21,641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21,692</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5 %</w:t>
            </w:r>
          </w:p>
        </w:tc>
      </w:tr>
      <w:tr>
        <w:trPr>
          <w:trHeight w:val="122"/>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AOM Intermediate Holdco, LLC (dba AllOver Media)</w:t>
            </w:r>
          </w:p>
        </w:tc>
        <w:tc>
          <w:tcPr>
            <w:tcW w:w="1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First Lien Debt (aq)</w:t>
            </w:r>
          </w:p>
        </w:tc>
        <w:tc>
          <w:tcPr>
            <w:tcW w:w="1820" w:type="dxa"/>
            <w:vAlign w:val="bottom"/>
          </w:tcPr>
          <w:p>
            <w:pPr>
              <w:spacing w:after="0"/>
              <w:rPr>
                <w:sz w:val="10"/>
                <w:szCs w:val="10"/>
                <w:color w:val="auto"/>
              </w:rPr>
            </w:pPr>
          </w:p>
        </w:tc>
        <w:tc>
          <w:tcPr>
            <w:tcW w:w="1380" w:type="dxa"/>
            <w:vAlign w:val="bottom"/>
          </w:tcPr>
          <w:p>
            <w:pPr>
              <w:ind w:left="360"/>
              <w:spacing w:after="0"/>
              <w:rPr>
                <w:sz w:val="20"/>
                <w:szCs w:val="20"/>
                <w:color w:val="auto"/>
              </w:rPr>
            </w:pPr>
            <w:r>
              <w:rPr>
                <w:rFonts w:ascii="Times New Roman" w:cs="Times New Roman" w:eastAsia="Times New Roman" w:hAnsi="Times New Roman"/>
                <w:sz w:val="9"/>
                <w:szCs w:val="9"/>
                <w:color w:val="auto"/>
              </w:rPr>
              <w:t>(S + 6.50%) / (0.75%)</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7.25%/0.00%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2/1/2022</w:t>
            </w:r>
          </w:p>
        </w:tc>
        <w:tc>
          <w:tcPr>
            <w:tcW w:w="7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2/1/2027</w:t>
            </w:r>
          </w:p>
        </w:tc>
        <w:tc>
          <w:tcPr>
            <w:tcW w:w="260" w:type="dxa"/>
            <w:vAlign w:val="bottom"/>
          </w:tcPr>
          <w:p>
            <w:pPr>
              <w:spacing w:after="0"/>
              <w:rPr>
                <w:sz w:val="10"/>
                <w:szCs w:val="10"/>
                <w:color w:val="auto"/>
              </w:rPr>
            </w:pPr>
          </w:p>
        </w:tc>
        <w:tc>
          <w:tcPr>
            <w:tcW w:w="6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10,000</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9,927</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9,927</w:t>
            </w:r>
          </w:p>
        </w:tc>
        <w:tc>
          <w:tcPr>
            <w:tcW w:w="660" w:type="dxa"/>
            <w:vAlign w:val="bottom"/>
          </w:tcPr>
          <w:p>
            <w:pPr>
              <w:spacing w:after="0"/>
              <w:rPr>
                <w:sz w:val="10"/>
                <w:szCs w:val="10"/>
                <w:color w:val="auto"/>
              </w:rPr>
            </w:pPr>
          </w:p>
        </w:tc>
      </w:tr>
      <w:tr>
        <w:trPr>
          <w:trHeight w:val="122"/>
        </w:trPr>
        <w:tc>
          <w:tcPr>
            <w:tcW w:w="252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(750 units) (h)(j)</w:t>
            </w:r>
          </w:p>
        </w:tc>
        <w:tc>
          <w:tcPr>
            <w:tcW w:w="1820" w:type="dxa"/>
            <w:vAlign w:val="bottom"/>
            <w:tcBorders>
              <w:bottom w:val="single" w:sz="8" w:color="CFF0FC"/>
            </w:tcBorders>
            <w:shd w:val="clear" w:color="auto" w:fill="CFF0FC"/>
          </w:tcPr>
          <w:p>
            <w:pPr>
              <w:spacing w:after="0"/>
              <w:rPr>
                <w:sz w:val="10"/>
                <w:szCs w:val="10"/>
                <w:color w:val="auto"/>
              </w:rPr>
            </w:pPr>
          </w:p>
        </w:tc>
        <w:tc>
          <w:tcPr>
            <w:tcW w:w="138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2/1/2022</w:t>
            </w:r>
          </w:p>
        </w:tc>
        <w:tc>
          <w:tcPr>
            <w:tcW w:w="780" w:type="dxa"/>
            <w:vAlign w:val="bottom"/>
            <w:tcBorders>
              <w:bottom w:val="single" w:sz="8" w:color="CFF0FC"/>
            </w:tcBorders>
            <w:shd w:val="clear" w:color="auto" w:fill="CFF0FC"/>
          </w:tcPr>
          <w:p>
            <w:pPr>
              <w:spacing w:after="0"/>
              <w:rPr>
                <w:sz w:val="10"/>
                <w:szCs w:val="10"/>
                <w:color w:val="auto"/>
              </w:rPr>
            </w:pPr>
          </w:p>
        </w:tc>
        <w:tc>
          <w:tcPr>
            <w:tcW w:w="26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750</w:t>
            </w: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750</w:t>
            </w:r>
          </w:p>
        </w:tc>
        <w:tc>
          <w:tcPr>
            <w:tcW w:w="660" w:type="dxa"/>
            <w:vAlign w:val="bottom"/>
            <w:tcBorders>
              <w:bottom w:val="single" w:sz="8" w:color="CFF0FC"/>
            </w:tcBorders>
            <w:shd w:val="clear" w:color="auto" w:fill="CFF0FC"/>
          </w:tcPr>
          <w:p>
            <w:pPr>
              <w:spacing w:after="0"/>
              <w:rPr>
                <w:sz w:val="10"/>
                <w:szCs w:val="10"/>
                <w:color w:val="auto"/>
              </w:rPr>
            </w:pPr>
          </w:p>
        </w:tc>
      </w:tr>
      <w:tr>
        <w:trPr>
          <w:trHeight w:val="114"/>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10,677</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10,677</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Applied Data Corporation</w:t>
            </w:r>
          </w:p>
        </w:tc>
        <w:tc>
          <w:tcPr>
            <w:tcW w:w="1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First Lien Debt (k)(v)</w:t>
            </w:r>
          </w:p>
        </w:tc>
        <w:tc>
          <w:tcPr>
            <w:tcW w:w="1820" w:type="dxa"/>
            <w:vAlign w:val="bottom"/>
          </w:tcPr>
          <w:p>
            <w:pPr>
              <w:spacing w:after="0"/>
              <w:rPr>
                <w:sz w:val="10"/>
                <w:szCs w:val="10"/>
                <w:color w:val="auto"/>
              </w:rPr>
            </w:pPr>
          </w:p>
        </w:tc>
        <w:tc>
          <w:tcPr>
            <w:tcW w:w="1380" w:type="dxa"/>
            <w:vAlign w:val="bottom"/>
          </w:tcPr>
          <w:p>
            <w:pPr>
              <w:ind w:left="360"/>
              <w:spacing w:after="0"/>
              <w:rPr>
                <w:sz w:val="20"/>
                <w:szCs w:val="20"/>
                <w:color w:val="auto"/>
              </w:rPr>
            </w:pPr>
            <w:r>
              <w:rPr>
                <w:rFonts w:ascii="Times New Roman" w:cs="Times New Roman" w:eastAsia="Times New Roman" w:hAnsi="Times New Roman"/>
                <w:sz w:val="9"/>
                <w:szCs w:val="9"/>
                <w:color w:val="auto"/>
              </w:rPr>
              <w:t>(L + 6.25%) / (1.50%)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7.75%/0.00%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11/6/2020</w:t>
            </w:r>
          </w:p>
        </w:tc>
        <w:tc>
          <w:tcPr>
            <w:tcW w:w="7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11/6/2025</w:t>
            </w:r>
          </w:p>
        </w:tc>
        <w:tc>
          <w:tcPr>
            <w:tcW w:w="260" w:type="dxa"/>
            <w:vAlign w:val="bottom"/>
          </w:tcPr>
          <w:p>
            <w:pPr>
              <w:spacing w:after="0"/>
              <w:rPr>
                <w:sz w:val="10"/>
                <w:szCs w:val="10"/>
                <w:color w:val="auto"/>
              </w:rPr>
            </w:pPr>
          </w:p>
        </w:tc>
        <w:tc>
          <w:tcPr>
            <w:tcW w:w="6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11,500</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11,444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11,500</w:t>
            </w:r>
          </w:p>
        </w:tc>
        <w:tc>
          <w:tcPr>
            <w:tcW w:w="66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(22 units)</w:t>
            </w:r>
          </w:p>
        </w:tc>
        <w:tc>
          <w:tcPr>
            <w:tcW w:w="182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11/6/2020</w:t>
            </w: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15</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102</w:t>
            </w:r>
          </w:p>
        </w:tc>
        <w:tc>
          <w:tcPr>
            <w:tcW w:w="660" w:type="dxa"/>
            <w:vAlign w:val="bottom"/>
            <w:shd w:val="clear" w:color="auto" w:fill="CFF0FC"/>
          </w:tcPr>
          <w:p>
            <w:pPr>
              <w:spacing w:after="0"/>
              <w:rPr>
                <w:sz w:val="10"/>
                <w:szCs w:val="10"/>
                <w:color w:val="auto"/>
              </w:rPr>
            </w:pPr>
          </w:p>
        </w:tc>
      </w:tr>
      <w:tr>
        <w:trPr>
          <w:trHeight w:val="122"/>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Preferred Equity (1,104,539 units)</w:t>
            </w: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11/6/2020</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1,105</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1,224</w:t>
            </w:r>
          </w:p>
        </w:tc>
        <w:tc>
          <w:tcPr>
            <w:tcW w:w="66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12,564</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12,826</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1"/>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Argo Turboserve Corporation</w:t>
            </w:r>
          </w:p>
        </w:tc>
        <w:tc>
          <w:tcPr>
            <w:tcW w:w="1820" w:type="dxa"/>
            <w:vAlign w:val="bottom"/>
          </w:tcPr>
          <w:p>
            <w:pPr>
              <w:ind w:left="120"/>
              <w:spacing w:after="0"/>
              <w:rPr>
                <w:sz w:val="20"/>
                <w:szCs w:val="20"/>
                <w:color w:val="auto"/>
              </w:rPr>
            </w:pPr>
            <w:r>
              <w:rPr>
                <w:rFonts w:ascii="Times New Roman" w:cs="Times New Roman" w:eastAsia="Times New Roman" w:hAnsi="Times New Roman"/>
                <w:sz w:val="9"/>
                <w:szCs w:val="9"/>
                <w:color w:val="auto"/>
              </w:rPr>
              <w:t>Business Services</w:t>
            </w:r>
          </w:p>
        </w:tc>
        <w:tc>
          <w:tcPr>
            <w:tcW w:w="1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1820" w:type="dxa"/>
            <w:vAlign w:val="bottom"/>
            <w:shd w:val="clear" w:color="auto" w:fill="CFF0FC"/>
          </w:tcPr>
          <w:p>
            <w:pPr>
              <w:spacing w:after="0"/>
              <w:rPr>
                <w:sz w:val="10"/>
                <w:szCs w:val="10"/>
                <w:color w:val="auto"/>
              </w:rPr>
            </w:pPr>
          </w:p>
        </w:tc>
        <w:tc>
          <w:tcPr>
            <w:tcW w:w="13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9"/>
                <w:szCs w:val="9"/>
                <w:color w:val="auto"/>
              </w:rPr>
              <w:t>(L + 10.75%) / (2.00%)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12.75%/0.00%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12/26/2018</w:t>
            </w:r>
          </w:p>
        </w:tc>
        <w:tc>
          <w:tcPr>
            <w:tcW w:w="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6/28/2023</w:t>
            </w: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11,625</w:t>
            </w: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11,604</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11,625</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1"/>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Auto CRM LLC (dba Dealer Holdings)</w:t>
            </w:r>
          </w:p>
        </w:tc>
        <w:tc>
          <w:tcPr>
            <w:tcW w:w="1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1820" w:type="dxa"/>
            <w:vAlign w:val="bottom"/>
          </w:tcPr>
          <w:p>
            <w:pPr>
              <w:spacing w:after="0"/>
              <w:rPr>
                <w:sz w:val="10"/>
                <w:szCs w:val="10"/>
                <w:color w:val="auto"/>
              </w:rPr>
            </w:pPr>
          </w:p>
        </w:tc>
        <w:tc>
          <w:tcPr>
            <w:tcW w:w="1380" w:type="dxa"/>
            <w:vAlign w:val="bottom"/>
          </w:tcPr>
          <w:p>
            <w:pPr>
              <w:ind w:left="360"/>
              <w:spacing w:after="0"/>
              <w:rPr>
                <w:sz w:val="20"/>
                <w:szCs w:val="20"/>
                <w:color w:val="auto"/>
              </w:rPr>
            </w:pPr>
            <w:r>
              <w:rPr>
                <w:rFonts w:ascii="Times New Roman" w:cs="Times New Roman" w:eastAsia="Times New Roman" w:hAnsi="Times New Roman"/>
                <w:sz w:val="9"/>
                <w:szCs w:val="9"/>
                <w:color w:val="auto"/>
              </w:rPr>
              <w:t>(P + 5.50%) / (3.25%)</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8.75%/0.85%</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10/1/2021</w:t>
            </w:r>
          </w:p>
        </w:tc>
        <w:tc>
          <w:tcPr>
            <w:tcW w:w="7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10/1/2026</w:t>
            </w:r>
          </w:p>
        </w:tc>
        <w:tc>
          <w:tcPr>
            <w:tcW w:w="260" w:type="dxa"/>
            <w:vAlign w:val="bottom"/>
          </w:tcPr>
          <w:p>
            <w:pPr>
              <w:spacing w:after="0"/>
              <w:rPr>
                <w:sz w:val="10"/>
                <w:szCs w:val="10"/>
                <w:color w:val="auto"/>
              </w:rPr>
            </w:pPr>
          </w:p>
        </w:tc>
        <w:tc>
          <w:tcPr>
            <w:tcW w:w="6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7,532</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7,465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7,465</w:t>
            </w:r>
          </w:p>
        </w:tc>
        <w:tc>
          <w:tcPr>
            <w:tcW w:w="66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182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0.00%/12.75%</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10/1/2021</w:t>
            </w:r>
          </w:p>
        </w:tc>
        <w:tc>
          <w:tcPr>
            <w:tcW w:w="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12/31/2026</w:t>
            </w: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533</w:t>
            </w: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529</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528</w:t>
            </w:r>
          </w:p>
        </w:tc>
        <w:tc>
          <w:tcPr>
            <w:tcW w:w="66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(500 units) (j)</w:t>
            </w: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10/1/2021</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66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8,494</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8,493</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AVC Investors, LLC (dba Auveco)</w:t>
            </w:r>
          </w:p>
        </w:tc>
        <w:tc>
          <w:tcPr>
            <w:tcW w:w="1820" w:type="dxa"/>
            <w:vAlign w:val="bottom"/>
          </w:tcPr>
          <w:p>
            <w:pPr>
              <w:ind w:left="120"/>
              <w:spacing w:after="0"/>
              <w:rPr>
                <w:sz w:val="20"/>
                <w:szCs w:val="20"/>
                <w:color w:val="auto"/>
              </w:rPr>
            </w:pPr>
            <w:r>
              <w:rPr>
                <w:rFonts w:ascii="Times New Roman" w:cs="Times New Roman" w:eastAsia="Times New Roman" w:hAnsi="Times New Roman"/>
                <w:sz w:val="9"/>
                <w:szCs w:val="9"/>
                <w:color w:val="auto"/>
              </w:rPr>
              <w:t>Specialty Distribution</w:t>
            </w:r>
          </w:p>
        </w:tc>
        <w:tc>
          <w:tcPr>
            <w:tcW w:w="1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(5,000 units) (j)</w:t>
            </w:r>
          </w:p>
        </w:tc>
        <w:tc>
          <w:tcPr>
            <w:tcW w:w="182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1/3/2018</w:t>
            </w: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382</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799</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1"/>
        </w:trPr>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1"/>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B&amp;B Roadway and Security Solutions, LLC (n)</w:t>
            </w:r>
          </w:p>
        </w:tc>
        <w:tc>
          <w:tcPr>
            <w:tcW w:w="1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Component Manufacturing</w:t>
            </w: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(50,000 units) (h)(j)</w:t>
            </w: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2/27/2018</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Bandon Fitness (Texas), Inc.</w:t>
            </w:r>
          </w:p>
        </w:tc>
        <w:tc>
          <w:tcPr>
            <w:tcW w:w="1820" w:type="dxa"/>
            <w:vAlign w:val="bottom"/>
          </w:tcPr>
          <w:p>
            <w:pPr>
              <w:ind w:left="120"/>
              <w:spacing w:after="0"/>
              <w:rPr>
                <w:sz w:val="20"/>
                <w:szCs w:val="20"/>
                <w:color w:val="auto"/>
              </w:rPr>
            </w:pPr>
            <w:r>
              <w:rPr>
                <w:rFonts w:ascii="Times New Roman" w:cs="Times New Roman" w:eastAsia="Times New Roman" w:hAnsi="Times New Roman"/>
                <w:sz w:val="9"/>
                <w:szCs w:val="9"/>
                <w:color w:val="auto"/>
              </w:rPr>
              <w:t>Retail</w:t>
            </w:r>
          </w:p>
        </w:tc>
        <w:tc>
          <w:tcPr>
            <w:tcW w:w="1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-7070725</wp:posOffset>
            </wp:positionV>
            <wp:extent cx="514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-7053580</wp:posOffset>
            </wp:positionV>
            <wp:extent cx="514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-7070725</wp:posOffset>
            </wp:positionV>
            <wp:extent cx="171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-7053580</wp:posOffset>
            </wp:positionV>
            <wp:extent cx="171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-4361815</wp:posOffset>
            </wp:positionV>
            <wp:extent cx="514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-4344670</wp:posOffset>
            </wp:positionV>
            <wp:extent cx="514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-4361815</wp:posOffset>
            </wp:positionV>
            <wp:extent cx="171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-4344670</wp:posOffset>
            </wp:positionV>
            <wp:extent cx="171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-3847465</wp:posOffset>
            </wp:positionV>
            <wp:extent cx="514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-3847465</wp:posOffset>
            </wp:positionV>
            <wp:extent cx="3600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-2587625</wp:posOffset>
            </wp:positionV>
            <wp:extent cx="51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-2587625</wp:posOffset>
            </wp:positionV>
            <wp:extent cx="3600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-1961515</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-1961515</wp:posOffset>
            </wp:positionV>
            <wp:extent cx="3600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-1644650</wp:posOffset>
            </wp:positionV>
            <wp:extent cx="514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-1644650</wp:posOffset>
            </wp:positionV>
            <wp:extent cx="3600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974"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(545,810 units) (j)</w:t>
            </w: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8/9/2019</w:t>
            </w: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931</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3,254</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6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BCM One Group Holdings, Inc.</w:t>
            </w:r>
          </w:p>
        </w:tc>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3100" w:type="dxa"/>
            <w:vAlign w:val="bottom"/>
          </w:tcPr>
          <w:p>
            <w:pPr>
              <w:spacing w:after="0"/>
              <w:rPr>
                <w:sz w:val="10"/>
                <w:szCs w:val="10"/>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10.25%/0.00%</w:t>
            </w: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11/17/2021</w:t>
            </w:r>
          </w:p>
        </w:tc>
        <w:tc>
          <w:tcPr>
            <w:tcW w:w="9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11/17/2028</w:t>
            </w: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11,333</w:t>
            </w: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11,272</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11,272</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620" w:type="dxa"/>
            <w:vAlign w:val="bottom"/>
            <w:shd w:val="clear" w:color="auto" w:fill="CFF0FC"/>
          </w:tcPr>
          <w:p>
            <w:pPr>
              <w:spacing w:after="0"/>
              <w:rPr>
                <w:sz w:val="10"/>
                <w:szCs w:val="10"/>
                <w:color w:val="auto"/>
              </w:rPr>
            </w:pP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Bedford Precision Parts LLC</w:t>
            </w:r>
          </w:p>
        </w:tc>
        <w:tc>
          <w:tcPr>
            <w:tcW w:w="3100" w:type="dxa"/>
            <w:vAlign w:val="bottom"/>
          </w:tcPr>
          <w:p>
            <w:pPr>
              <w:ind w:left="20"/>
              <w:spacing w:after="0"/>
              <w:rPr>
                <w:sz w:val="20"/>
                <w:szCs w:val="20"/>
                <w:color w:val="auto"/>
              </w:rPr>
            </w:pPr>
            <w:r>
              <w:rPr>
                <w:rFonts w:ascii="Times New Roman" w:cs="Times New Roman" w:eastAsia="Times New Roman" w:hAnsi="Times New Roman"/>
                <w:sz w:val="9"/>
                <w:szCs w:val="9"/>
                <w:color w:val="auto"/>
              </w:rPr>
              <w:t>Specialty Distribution</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(j)(s)</w:t>
            </w:r>
          </w:p>
        </w:tc>
        <w:tc>
          <w:tcPr>
            <w:tcW w:w="310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9"/>
                <w:szCs w:val="9"/>
                <w:color w:val="auto"/>
              </w:rPr>
              <w:t>(L + 6.25%) / (1.00%)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7.25%/0.00%</w:t>
            </w: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3/12/2019</w:t>
            </w:r>
          </w:p>
        </w:tc>
        <w:tc>
          <w:tcPr>
            <w:tcW w:w="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3/12/2024</w:t>
            </w:r>
          </w:p>
        </w:tc>
        <w:tc>
          <w:tcPr>
            <w:tcW w:w="7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4,472</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4,458</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4,472</w:t>
            </w:r>
          </w:p>
        </w:tc>
        <w:tc>
          <w:tcPr>
            <w:tcW w:w="660" w:type="dxa"/>
            <w:vAlign w:val="bottom"/>
            <w:shd w:val="clear" w:color="auto" w:fill="CFF0FC"/>
          </w:tcPr>
          <w:p>
            <w:pPr>
              <w:spacing w:after="0"/>
              <w:rPr>
                <w:sz w:val="10"/>
                <w:szCs w:val="10"/>
                <w:color w:val="auto"/>
              </w:rPr>
            </w:pPr>
          </w:p>
        </w:tc>
      </w:tr>
      <w:tr>
        <w:trPr>
          <w:trHeight w:val="122"/>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(500,000 units) (h)(j)</w:t>
            </w: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3/12/2019</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100" w:type="dxa"/>
            <w:vAlign w:val="bottom"/>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364</w:t>
            </w:r>
          </w:p>
        </w:tc>
        <w:tc>
          <w:tcPr>
            <w:tcW w:w="66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4,958</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4,836</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Cardback Intermediate, LLC (dba Chargeback Gurus)</w:t>
            </w:r>
          </w:p>
        </w:tc>
        <w:tc>
          <w:tcPr>
            <w:tcW w:w="3100" w:type="dxa"/>
            <w:vAlign w:val="bottom"/>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(j)(ah)</w:t>
            </w:r>
          </w:p>
        </w:tc>
        <w:tc>
          <w:tcPr>
            <w:tcW w:w="310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9"/>
                <w:szCs w:val="9"/>
                <w:color w:val="auto"/>
              </w:rPr>
              <w:t>(L + 6.50%) / (0.75%)</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7.25%/0.00%</w:t>
            </w: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8/10/2021</w:t>
            </w:r>
          </w:p>
        </w:tc>
        <w:tc>
          <w:tcPr>
            <w:tcW w:w="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8/10/2026</w:t>
            </w:r>
          </w:p>
        </w:tc>
        <w:tc>
          <w:tcPr>
            <w:tcW w:w="7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13,779</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13,711</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13,779</w:t>
            </w: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(495 shares) (j)</w:t>
            </w: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8/10/2021</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125</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spacing w:after="0"/>
              <w:rPr>
                <w:sz w:val="10"/>
                <w:szCs w:val="10"/>
                <w:color w:val="auto"/>
              </w:rPr>
            </w:pPr>
          </w:p>
        </w:tc>
      </w:tr>
      <w:tr>
        <w:trPr>
          <w:trHeight w:val="122"/>
        </w:trPr>
        <w:tc>
          <w:tcPr>
            <w:tcW w:w="2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(495 shares) (j)</w:t>
            </w:r>
          </w:p>
        </w:tc>
        <w:tc>
          <w:tcPr>
            <w:tcW w:w="310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8/10/2021</w:t>
            </w:r>
          </w:p>
        </w:tc>
        <w:tc>
          <w:tcPr>
            <w:tcW w:w="98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125</w:t>
            </w:r>
          </w:p>
        </w:tc>
        <w:tc>
          <w:tcPr>
            <w:tcW w:w="10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248</w:t>
            </w:r>
          </w:p>
        </w:tc>
        <w:tc>
          <w:tcPr>
            <w:tcW w:w="660" w:type="dxa"/>
            <w:vAlign w:val="bottom"/>
            <w:tcBorders>
              <w:bottom w:val="single" w:sz="8" w:color="CFF0FC"/>
            </w:tcBorders>
            <w:shd w:val="clear" w:color="auto" w:fill="CFF0FC"/>
          </w:tcPr>
          <w:p>
            <w:pPr>
              <w:spacing w:after="0"/>
              <w:rPr>
                <w:sz w:val="10"/>
                <w:szCs w:val="10"/>
                <w:color w:val="auto"/>
              </w:rPr>
            </w:pPr>
          </w:p>
        </w:tc>
      </w:tr>
      <w:tr>
        <w:trPr>
          <w:trHeight w:val="115"/>
        </w:trPr>
        <w:tc>
          <w:tcPr>
            <w:tcW w:w="26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13,961</w:t>
            </w:r>
          </w:p>
        </w:tc>
        <w:tc>
          <w:tcPr>
            <w:tcW w:w="10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14,027</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Cardboard Box LLC (dba Anthony's Coal Fired Pizza)</w:t>
            </w:r>
          </w:p>
        </w:tc>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Restaurants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(521,021 units) (j)(ao)</w:t>
            </w: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12/15/2015</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521</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55</w:t>
            </w:r>
          </w:p>
        </w:tc>
        <w:tc>
          <w:tcPr>
            <w:tcW w:w="660" w:type="dxa"/>
            <w:vAlign w:val="bottom"/>
          </w:tcPr>
          <w:p>
            <w:pPr>
              <w:spacing w:after="0"/>
              <w:rPr>
                <w:sz w:val="10"/>
                <w:szCs w:val="10"/>
                <w:color w:val="auto"/>
              </w:rPr>
            </w:pPr>
          </w:p>
        </w:tc>
      </w:tr>
      <w:tr>
        <w:trPr>
          <w:trHeight w:val="122"/>
        </w:trPr>
        <w:tc>
          <w:tcPr>
            <w:tcW w:w="2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(1,043,133 units) (j)(ao)</w:t>
            </w:r>
          </w:p>
        </w:tc>
        <w:tc>
          <w:tcPr>
            <w:tcW w:w="310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12/6/2019</w:t>
            </w:r>
          </w:p>
        </w:tc>
        <w:tc>
          <w:tcPr>
            <w:tcW w:w="98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96</w:t>
            </w:r>
          </w:p>
        </w:tc>
        <w:tc>
          <w:tcPr>
            <w:tcW w:w="10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283</w:t>
            </w:r>
          </w:p>
        </w:tc>
        <w:tc>
          <w:tcPr>
            <w:tcW w:w="660" w:type="dxa"/>
            <w:vAlign w:val="bottom"/>
            <w:tcBorders>
              <w:bottom w:val="single" w:sz="8" w:color="CFF0FC"/>
            </w:tcBorders>
            <w:shd w:val="clear" w:color="auto" w:fill="CFF0FC"/>
          </w:tcPr>
          <w:p>
            <w:pPr>
              <w:spacing w:after="0"/>
              <w:rPr>
                <w:sz w:val="10"/>
                <w:szCs w:val="10"/>
                <w:color w:val="auto"/>
              </w:rPr>
            </w:pPr>
          </w:p>
        </w:tc>
      </w:tr>
      <w:tr>
        <w:trPr>
          <w:trHeight w:val="114"/>
        </w:trPr>
        <w:tc>
          <w:tcPr>
            <w:tcW w:w="26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617</w:t>
            </w:r>
          </w:p>
        </w:tc>
        <w:tc>
          <w:tcPr>
            <w:tcW w:w="10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338</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CIH Intermediate, LLC</w:t>
            </w:r>
          </w:p>
        </w:tc>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Business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Subordinated Debt (k)</w:t>
            </w:r>
          </w:p>
        </w:tc>
        <w:tc>
          <w:tcPr>
            <w:tcW w:w="3100" w:type="dxa"/>
            <w:vAlign w:val="bottom"/>
          </w:tcPr>
          <w:p>
            <w:pPr>
              <w:spacing w:after="0"/>
              <w:rPr>
                <w:sz w:val="10"/>
                <w:szCs w:val="10"/>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10.00%/1.00%</w:t>
            </w: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3/3/2022</w:t>
            </w:r>
          </w:p>
        </w:tc>
        <w:tc>
          <w:tcPr>
            <w:tcW w:w="9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3/3/2028</w:t>
            </w: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13,647</w:t>
            </w: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13,513</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13,512</w:t>
            </w: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(563 shares) (j)</w:t>
            </w: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3/3/2022</w:t>
            </w: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400</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400</w:t>
            </w:r>
          </w:p>
        </w:tc>
        <w:tc>
          <w:tcPr>
            <w:tcW w:w="660" w:type="dxa"/>
            <w:vAlign w:val="bottom"/>
            <w:shd w:val="clear" w:color="auto" w:fill="CFF0FC"/>
          </w:tcPr>
          <w:p>
            <w:pPr>
              <w:spacing w:after="0"/>
              <w:rPr>
                <w:sz w:val="10"/>
                <w:szCs w:val="10"/>
                <w:color w:val="auto"/>
              </w:rPr>
            </w:pPr>
          </w:p>
        </w:tc>
      </w:tr>
      <w:tr>
        <w:trPr>
          <w:trHeight w:val="122"/>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(563 shares) (j)</w:t>
            </w: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3/3/2022</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400</w:t>
            </w:r>
          </w:p>
        </w:tc>
        <w:tc>
          <w:tcPr>
            <w:tcW w:w="100" w:type="dxa"/>
            <w:vAlign w:val="bottom"/>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400</w:t>
            </w:r>
          </w:p>
        </w:tc>
        <w:tc>
          <w:tcPr>
            <w:tcW w:w="66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14,313</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14,312</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Combined Systems, Inc.</w:t>
            </w:r>
          </w:p>
        </w:tc>
        <w:tc>
          <w:tcPr>
            <w:tcW w:w="3100" w:type="dxa"/>
            <w:vAlign w:val="bottom"/>
          </w:tcPr>
          <w:p>
            <w:pPr>
              <w:ind w:left="20"/>
              <w:spacing w:after="0"/>
              <w:rPr>
                <w:sz w:val="20"/>
                <w:szCs w:val="20"/>
                <w:color w:val="auto"/>
              </w:rPr>
            </w:pPr>
            <w:r>
              <w:rPr>
                <w:rFonts w:ascii="Times New Roman" w:cs="Times New Roman" w:eastAsia="Times New Roman" w:hAnsi="Times New Roman"/>
                <w:sz w:val="9"/>
                <w:szCs w:val="9"/>
                <w:color w:val="auto"/>
              </w:rPr>
              <w:t>Aerospace &amp; Defense Manufacturing</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w:t>
            </w:r>
          </w:p>
        </w:tc>
        <w:tc>
          <w:tcPr>
            <w:tcW w:w="310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9"/>
                <w:szCs w:val="9"/>
                <w:color w:val="auto"/>
              </w:rPr>
              <w:t>(L + 10.00%) / (2.00%)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12.00%/0.00%</w:t>
            </w: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1/31/2020</w:t>
            </w:r>
          </w:p>
        </w:tc>
        <w:tc>
          <w:tcPr>
            <w:tcW w:w="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1/31/2025</w:t>
            </w:r>
          </w:p>
        </w:tc>
        <w:tc>
          <w:tcPr>
            <w:tcW w:w="7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6,991</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6,958</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7,061</w:t>
            </w:r>
          </w:p>
        </w:tc>
        <w:tc>
          <w:tcPr>
            <w:tcW w:w="660" w:type="dxa"/>
            <w:vAlign w:val="bottom"/>
            <w:shd w:val="clear" w:color="auto" w:fill="CFF0FC"/>
          </w:tcPr>
          <w:p>
            <w:pPr>
              <w:spacing w:after="0"/>
              <w:rPr>
                <w:sz w:val="10"/>
                <w:szCs w:val="10"/>
                <w:color w:val="auto"/>
              </w:rPr>
            </w:pPr>
          </w:p>
        </w:tc>
      </w:tr>
      <w:tr>
        <w:trPr>
          <w:trHeight w:val="122"/>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Revolving Loan ($605 unfunded commitment) (j)(ac)</w:t>
            </w:r>
          </w:p>
        </w:tc>
        <w:tc>
          <w:tcPr>
            <w:tcW w:w="3100" w:type="dxa"/>
            <w:vAlign w:val="bottom"/>
          </w:tcPr>
          <w:p>
            <w:pPr>
              <w:ind w:left="2080"/>
              <w:spacing w:after="0"/>
              <w:rPr>
                <w:sz w:val="20"/>
                <w:szCs w:val="20"/>
                <w:color w:val="auto"/>
              </w:rPr>
            </w:pPr>
            <w:r>
              <w:rPr>
                <w:rFonts w:ascii="Times New Roman" w:cs="Times New Roman" w:eastAsia="Times New Roman" w:hAnsi="Times New Roman"/>
                <w:sz w:val="9"/>
                <w:szCs w:val="9"/>
                <w:color w:val="auto"/>
              </w:rPr>
              <w:t>(L + 12.00%) / (2.00%)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14.00%/0.00%</w:t>
            </w: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1/31/2020</w:t>
            </w:r>
          </w:p>
        </w:tc>
        <w:tc>
          <w:tcPr>
            <w:tcW w:w="9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1/31/2025</w:t>
            </w: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3,395</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3,381</w:t>
            </w:r>
          </w:p>
        </w:tc>
        <w:tc>
          <w:tcPr>
            <w:tcW w:w="100" w:type="dxa"/>
            <w:vAlign w:val="bottom"/>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3,395</w:t>
            </w:r>
          </w:p>
        </w:tc>
        <w:tc>
          <w:tcPr>
            <w:tcW w:w="66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10,339</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10,456</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Comply365, LLC</w:t>
            </w:r>
          </w:p>
        </w:tc>
        <w:tc>
          <w:tcPr>
            <w:tcW w:w="3100" w:type="dxa"/>
            <w:vAlign w:val="bottom"/>
          </w:tcPr>
          <w:p>
            <w:pPr>
              <w:ind w:left="20"/>
              <w:spacing w:after="0"/>
              <w:rPr>
                <w:sz w:val="20"/>
                <w:szCs w:val="20"/>
                <w:color w:val="auto"/>
              </w:rPr>
            </w:pPr>
            <w:r>
              <w:rPr>
                <w:rFonts w:ascii="Times New Roman" w:cs="Times New Roman" w:eastAsia="Times New Roman" w:hAnsi="Times New Roman"/>
                <w:sz w:val="9"/>
                <w:szCs w:val="9"/>
                <w:color w:val="auto"/>
              </w:rPr>
              <w:t>Aerospace &amp; Defense Manufacturing</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(ad)</w:t>
            </w:r>
          </w:p>
        </w:tc>
        <w:tc>
          <w:tcPr>
            <w:tcW w:w="310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9"/>
                <w:szCs w:val="9"/>
                <w:color w:val="auto"/>
              </w:rPr>
              <w:t>(L + 8.00%) / (1.00%)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9.00%/0.00%</w:t>
            </w: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12/11/2020</w:t>
            </w:r>
          </w:p>
        </w:tc>
        <w:tc>
          <w:tcPr>
            <w:tcW w:w="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12/11/2025</w:t>
            </w:r>
          </w:p>
        </w:tc>
        <w:tc>
          <w:tcPr>
            <w:tcW w:w="7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8,562</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8,454</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8,562</w:t>
            </w:r>
          </w:p>
        </w:tc>
        <w:tc>
          <w:tcPr>
            <w:tcW w:w="660" w:type="dxa"/>
            <w:vAlign w:val="bottom"/>
            <w:shd w:val="clear" w:color="auto" w:fill="CFF0FC"/>
          </w:tcPr>
          <w:p>
            <w:pPr>
              <w:spacing w:after="0"/>
              <w:rPr>
                <w:sz w:val="10"/>
                <w:szCs w:val="10"/>
                <w:color w:val="auto"/>
              </w:rPr>
            </w:pPr>
          </w:p>
        </w:tc>
      </w:tr>
      <w:tr>
        <w:trPr>
          <w:trHeight w:val="122"/>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(1,000,000 units)</w:t>
            </w: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12/11/2020</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1,000</w:t>
            </w:r>
          </w:p>
        </w:tc>
        <w:tc>
          <w:tcPr>
            <w:tcW w:w="100" w:type="dxa"/>
            <w:vAlign w:val="bottom"/>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1,400</w:t>
            </w:r>
          </w:p>
        </w:tc>
        <w:tc>
          <w:tcPr>
            <w:tcW w:w="66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9,454</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9,962</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CRS Solutions Holdings, LLC (dba CRS Texas)</w:t>
            </w:r>
          </w:p>
        </w:tc>
        <w:tc>
          <w:tcPr>
            <w:tcW w:w="3100" w:type="dxa"/>
            <w:vAlign w:val="bottom"/>
          </w:tcPr>
          <w:p>
            <w:pPr>
              <w:ind w:left="20"/>
              <w:spacing w:after="0"/>
              <w:rPr>
                <w:sz w:val="20"/>
                <w:szCs w:val="20"/>
                <w:color w:val="auto"/>
              </w:rPr>
            </w:pPr>
            <w:r>
              <w:rPr>
                <w:rFonts w:ascii="Times New Roman" w:cs="Times New Roman" w:eastAsia="Times New Roman" w:hAnsi="Times New Roman"/>
                <w:sz w:val="9"/>
                <w:szCs w:val="9"/>
                <w:color w:val="auto"/>
              </w:rPr>
              <w:t>Business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(538,875 units) (h)(j)</w:t>
            </w: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3/14/2018</w:t>
            </w: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621</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596</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Dataguise, Inc.</w:t>
            </w:r>
          </w:p>
        </w:tc>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100" w:type="dxa"/>
            <w:vAlign w:val="bottom"/>
          </w:tcPr>
          <w:p>
            <w:pPr>
              <w:spacing w:after="0"/>
              <w:rPr>
                <w:sz w:val="10"/>
                <w:szCs w:val="10"/>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11.00%/0.00%</w:t>
            </w: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12/31/2020</w:t>
            </w:r>
          </w:p>
        </w:tc>
        <w:tc>
          <w:tcPr>
            <w:tcW w:w="9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12/31/2023</w:t>
            </w: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19,800</w:t>
            </w: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19,742</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19,800</w:t>
            </w:r>
          </w:p>
        </w:tc>
        <w:tc>
          <w:tcPr>
            <w:tcW w:w="660" w:type="dxa"/>
            <w:vAlign w:val="bottom"/>
          </w:tcPr>
          <w:p>
            <w:pPr>
              <w:spacing w:after="0"/>
              <w:rPr>
                <w:sz w:val="10"/>
                <w:szCs w:val="10"/>
                <w:color w:val="auto"/>
              </w:rPr>
            </w:pPr>
          </w:p>
        </w:tc>
      </w:tr>
      <w:tr>
        <w:trPr>
          <w:trHeight w:val="122"/>
        </w:trPr>
        <w:tc>
          <w:tcPr>
            <w:tcW w:w="2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(909 shares) (j)</w:t>
            </w:r>
          </w:p>
        </w:tc>
        <w:tc>
          <w:tcPr>
            <w:tcW w:w="310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12/31/2020</w:t>
            </w:r>
          </w:p>
        </w:tc>
        <w:tc>
          <w:tcPr>
            <w:tcW w:w="98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1,500</w:t>
            </w:r>
          </w:p>
        </w:tc>
        <w:tc>
          <w:tcPr>
            <w:tcW w:w="10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1,527</w:t>
            </w:r>
          </w:p>
        </w:tc>
        <w:tc>
          <w:tcPr>
            <w:tcW w:w="660" w:type="dxa"/>
            <w:vAlign w:val="bottom"/>
            <w:tcBorders>
              <w:bottom w:val="single" w:sz="8" w:color="CFF0FC"/>
            </w:tcBorders>
            <w:shd w:val="clear" w:color="auto" w:fill="CFF0FC"/>
          </w:tcPr>
          <w:p>
            <w:pPr>
              <w:spacing w:after="0"/>
              <w:rPr>
                <w:sz w:val="10"/>
                <w:szCs w:val="10"/>
                <w:color w:val="auto"/>
              </w:rPr>
            </w:pPr>
          </w:p>
        </w:tc>
      </w:tr>
      <w:tr>
        <w:trPr>
          <w:trHeight w:val="114"/>
        </w:trPr>
        <w:tc>
          <w:tcPr>
            <w:tcW w:w="26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21,242</w:t>
            </w:r>
          </w:p>
        </w:tc>
        <w:tc>
          <w:tcPr>
            <w:tcW w:w="10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21,327</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Diversified Search LLC</w:t>
            </w:r>
          </w:p>
        </w:tc>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Business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(k)(r)</w:t>
            </w:r>
          </w:p>
        </w:tc>
        <w:tc>
          <w:tcPr>
            <w:tcW w:w="3100" w:type="dxa"/>
            <w:vAlign w:val="bottom"/>
          </w:tcPr>
          <w:p>
            <w:pPr>
              <w:ind w:left="2080"/>
              <w:spacing w:after="0"/>
              <w:rPr>
                <w:sz w:val="20"/>
                <w:szCs w:val="20"/>
                <w:color w:val="auto"/>
              </w:rPr>
            </w:pPr>
            <w:r>
              <w:rPr>
                <w:rFonts w:ascii="Times New Roman" w:cs="Times New Roman" w:eastAsia="Times New Roman" w:hAnsi="Times New Roman"/>
                <w:sz w:val="9"/>
                <w:szCs w:val="9"/>
                <w:color w:val="auto"/>
              </w:rPr>
              <w:t>(S + 6.50%) / (1.00%)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7.50%/0.00%</w:t>
            </w: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2/7/2019</w:t>
            </w:r>
          </w:p>
        </w:tc>
        <w:tc>
          <w:tcPr>
            <w:tcW w:w="9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2/7/2024</w:t>
            </w: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24,155</w:t>
            </w: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23,964</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24,155</w:t>
            </w:r>
          </w:p>
        </w:tc>
        <w:tc>
          <w:tcPr>
            <w:tcW w:w="660" w:type="dxa"/>
            <w:vAlign w:val="bottom"/>
          </w:tcPr>
          <w:p>
            <w:pPr>
              <w:spacing w:after="0"/>
              <w:rPr>
                <w:sz w:val="10"/>
                <w:szCs w:val="10"/>
                <w:color w:val="auto"/>
              </w:rPr>
            </w:pPr>
          </w:p>
        </w:tc>
      </w:tr>
      <w:tr>
        <w:trPr>
          <w:trHeight w:val="122"/>
        </w:trPr>
        <w:tc>
          <w:tcPr>
            <w:tcW w:w="2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(573 units) (h)(j)</w:t>
            </w:r>
          </w:p>
        </w:tc>
        <w:tc>
          <w:tcPr>
            <w:tcW w:w="310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2/7/2019</w:t>
            </w:r>
          </w:p>
        </w:tc>
        <w:tc>
          <w:tcPr>
            <w:tcW w:w="98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593</w:t>
            </w:r>
          </w:p>
        </w:tc>
        <w:tc>
          <w:tcPr>
            <w:tcW w:w="10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816</w:t>
            </w:r>
          </w:p>
        </w:tc>
        <w:tc>
          <w:tcPr>
            <w:tcW w:w="660" w:type="dxa"/>
            <w:vAlign w:val="bottom"/>
            <w:tcBorders>
              <w:bottom w:val="single" w:sz="8" w:color="CFF0FC"/>
            </w:tcBorders>
            <w:shd w:val="clear" w:color="auto" w:fill="CFF0FC"/>
          </w:tcPr>
          <w:p>
            <w:pPr>
              <w:spacing w:after="0"/>
              <w:rPr>
                <w:sz w:val="10"/>
                <w:szCs w:val="10"/>
                <w:color w:val="auto"/>
              </w:rPr>
            </w:pPr>
          </w:p>
        </w:tc>
      </w:tr>
      <w:tr>
        <w:trPr>
          <w:trHeight w:val="114"/>
        </w:trPr>
        <w:tc>
          <w:tcPr>
            <w:tcW w:w="26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24,557</w:t>
            </w:r>
          </w:p>
        </w:tc>
        <w:tc>
          <w:tcPr>
            <w:tcW w:w="10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24,971</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5 %</w:t>
            </w: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EBL, LLC (EbLens)</w:t>
            </w:r>
          </w:p>
        </w:tc>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Retail</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3100" w:type="dxa"/>
            <w:vAlign w:val="bottom"/>
          </w:tcPr>
          <w:p>
            <w:pPr>
              <w:spacing w:after="0"/>
              <w:rPr>
                <w:sz w:val="10"/>
                <w:szCs w:val="10"/>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12.00%/1.00%</w:t>
            </w: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7/13/2017</w:t>
            </w:r>
          </w:p>
        </w:tc>
        <w:tc>
          <w:tcPr>
            <w:tcW w:w="9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1/13/2023</w:t>
            </w: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9,351</w:t>
            </w: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9,333</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9,067</w:t>
            </w:r>
          </w:p>
        </w:tc>
        <w:tc>
          <w:tcPr>
            <w:tcW w:w="660" w:type="dxa"/>
            <w:vAlign w:val="bottom"/>
          </w:tcPr>
          <w:p>
            <w:pPr>
              <w:spacing w:after="0"/>
              <w:rPr>
                <w:sz w:val="10"/>
                <w:szCs w:val="10"/>
                <w:color w:val="auto"/>
              </w:rPr>
            </w:pPr>
          </w:p>
        </w:tc>
      </w:tr>
      <w:tr>
        <w:trPr>
          <w:trHeight w:val="122"/>
        </w:trPr>
        <w:tc>
          <w:tcPr>
            <w:tcW w:w="2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(75,000 units) (j)</w:t>
            </w:r>
          </w:p>
        </w:tc>
        <w:tc>
          <w:tcPr>
            <w:tcW w:w="310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7/13/2017</w:t>
            </w:r>
          </w:p>
        </w:tc>
        <w:tc>
          <w:tcPr>
            <w:tcW w:w="98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750</w:t>
            </w:r>
          </w:p>
        </w:tc>
        <w:tc>
          <w:tcPr>
            <w:tcW w:w="10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tcBorders>
              <w:bottom w:val="single" w:sz="8" w:color="CFF0FC"/>
            </w:tcBorders>
            <w:shd w:val="clear" w:color="auto" w:fill="CFF0FC"/>
          </w:tcPr>
          <w:p>
            <w:pPr>
              <w:spacing w:after="0"/>
              <w:rPr>
                <w:sz w:val="10"/>
                <w:szCs w:val="10"/>
                <w:color w:val="auto"/>
              </w:rPr>
            </w:pPr>
          </w:p>
        </w:tc>
      </w:tr>
      <w:tr>
        <w:trPr>
          <w:trHeight w:val="115"/>
        </w:trPr>
        <w:tc>
          <w:tcPr>
            <w:tcW w:w="26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10,083</w:t>
            </w:r>
          </w:p>
        </w:tc>
        <w:tc>
          <w:tcPr>
            <w:tcW w:w="10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9,067</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ECM Industries, LLC</w:t>
            </w:r>
          </w:p>
        </w:tc>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Component Manufacturing</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(1,000,000 units) (h)(j)</w:t>
            </w: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4/30/2020</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243</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1,289</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20" w:type="dxa"/>
            <w:vAlign w:val="bottom"/>
            <w:shd w:val="clear" w:color="auto" w:fill="CFF0FC"/>
          </w:tcPr>
          <w:p>
            <w:pPr>
              <w:spacing w:after="0"/>
              <w:rPr>
                <w:sz w:val="10"/>
                <w:szCs w:val="10"/>
                <w:color w:val="auto"/>
              </w:rPr>
            </w:pP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Elements Brands, LLC</w:t>
            </w:r>
          </w:p>
        </w:tc>
        <w:tc>
          <w:tcPr>
            <w:tcW w:w="3100" w:type="dxa"/>
            <w:vAlign w:val="bottom"/>
          </w:tcPr>
          <w:p>
            <w:pPr>
              <w:ind w:left="20"/>
              <w:spacing w:after="0"/>
              <w:rPr>
                <w:sz w:val="20"/>
                <w:szCs w:val="20"/>
                <w:color w:val="auto"/>
              </w:rPr>
            </w:pPr>
            <w:r>
              <w:rPr>
                <w:rFonts w:ascii="Times New Roman" w:cs="Times New Roman" w:eastAsia="Times New Roman" w:hAnsi="Times New Roman"/>
                <w:sz w:val="9"/>
                <w:szCs w:val="9"/>
                <w:color w:val="auto"/>
              </w:rPr>
              <w:t>Consumer Products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w:t>
            </w: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12.25%/0.00%</w:t>
            </w: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12/31/2020</w:t>
            </w:r>
          </w:p>
        </w:tc>
        <w:tc>
          <w:tcPr>
            <w:tcW w:w="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12/31/2025</w:t>
            </w:r>
          </w:p>
        </w:tc>
        <w:tc>
          <w:tcPr>
            <w:tcW w:w="7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5,700</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5,675</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5,700</w:t>
            </w: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Revolving Loan ($3,000 unfunded commitment) (j)(i)</w:t>
            </w:r>
          </w:p>
        </w:tc>
        <w:tc>
          <w:tcPr>
            <w:tcW w:w="3100" w:type="dxa"/>
            <w:vAlign w:val="bottom"/>
          </w:tcPr>
          <w:p>
            <w:pPr>
              <w:spacing w:after="0"/>
              <w:rPr>
                <w:sz w:val="10"/>
                <w:szCs w:val="10"/>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12.25%/0.00%</w:t>
            </w: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12/31/2020</w:t>
            </w:r>
          </w:p>
        </w:tc>
        <w:tc>
          <w:tcPr>
            <w:tcW w:w="9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12/31/2025</w:t>
            </w: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(13 )</w:t>
            </w: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5,662</w:t>
            </w:r>
          </w:p>
        </w:tc>
        <w:tc>
          <w:tcPr>
            <w:tcW w:w="100" w:type="dxa"/>
            <w:vAlign w:val="bottom"/>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5,700</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Fishbowl Solutions, LLC</w:t>
            </w:r>
          </w:p>
        </w:tc>
        <w:tc>
          <w:tcPr>
            <w:tcW w:w="3100" w:type="dxa"/>
            <w:vAlign w:val="bottom"/>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(ar)</w:t>
            </w:r>
          </w:p>
        </w:tc>
        <w:tc>
          <w:tcPr>
            <w:tcW w:w="310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9"/>
                <w:szCs w:val="9"/>
                <w:color w:val="auto"/>
              </w:rPr>
              <w:t>(S + 7.75%) / (1.00%)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8.75%/0.00%</w:t>
            </w: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3/25/2022</w:t>
            </w:r>
          </w:p>
        </w:tc>
        <w:tc>
          <w:tcPr>
            <w:tcW w:w="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3/25/2027</w:t>
            </w:r>
          </w:p>
        </w:tc>
        <w:tc>
          <w:tcPr>
            <w:tcW w:w="7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14,500</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14,392</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14,392</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1"/>
        </w:trPr>
        <w:tc>
          <w:tcPr>
            <w:tcW w:w="26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99"/>
        </w:trPr>
        <w:tc>
          <w:tcPr>
            <w:tcW w:w="2620" w:type="dxa"/>
            <w:vAlign w:val="bottom"/>
            <w:shd w:val="clear" w:color="auto" w:fill="CFF0FC"/>
          </w:tcPr>
          <w:p>
            <w:pPr>
              <w:ind w:left="20"/>
              <w:spacing w:after="0" w:line="99" w:lineRule="exact"/>
              <w:rPr>
                <w:sz w:val="20"/>
                <w:szCs w:val="20"/>
                <w:color w:val="auto"/>
              </w:rPr>
            </w:pPr>
            <w:r>
              <w:rPr>
                <w:rFonts w:ascii="Times New Roman" w:cs="Times New Roman" w:eastAsia="Times New Roman" w:hAnsi="Times New Roman"/>
                <w:sz w:val="9"/>
                <w:szCs w:val="9"/>
                <w:i w:val="1"/>
                <w:iCs w:val="1"/>
                <w:color w:val="auto"/>
              </w:rPr>
              <w:t>Frontline Food Services, LLC</w:t>
            </w:r>
          </w:p>
        </w:tc>
        <w:tc>
          <w:tcPr>
            <w:tcW w:w="310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r>
      <w:tr>
        <w:trPr>
          <w:trHeight w:val="117"/>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(f/k/a Accent Food Services, LLC) (n)</w:t>
            </w:r>
          </w:p>
        </w:tc>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Vending Equipment Manufacturing</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(Class A Units) (46 units) (j)</w:t>
            </w: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12/31/2020</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(Class B Units) (124 units) (j)</w:t>
            </w: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12/31/2020</w:t>
            </w: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(Class C Units) (100 units) (j)</w:t>
            </w: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12/31/2020</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Global Plasma Solutions, Inc.</w:t>
            </w:r>
          </w:p>
        </w:tc>
        <w:tc>
          <w:tcPr>
            <w:tcW w:w="3100" w:type="dxa"/>
            <w:vAlign w:val="bottom"/>
          </w:tcPr>
          <w:p>
            <w:pPr>
              <w:ind w:left="20"/>
              <w:spacing w:after="0"/>
              <w:rPr>
                <w:sz w:val="20"/>
                <w:szCs w:val="20"/>
                <w:color w:val="auto"/>
              </w:rPr>
            </w:pPr>
            <w:r>
              <w:rPr>
                <w:rFonts w:ascii="Times New Roman" w:cs="Times New Roman" w:eastAsia="Times New Roman" w:hAnsi="Times New Roman"/>
                <w:sz w:val="9"/>
                <w:szCs w:val="9"/>
                <w:color w:val="auto"/>
              </w:rPr>
              <w:t>Component Manufacturing</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(947 shares) (j)</w:t>
            </w: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9/21/2018</w:t>
            </w: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52</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1,271</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1"/>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GP&amp;C Operations, LLC (dba Garlock Printing and Converting)</w:t>
            </w:r>
          </w:p>
        </w:tc>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Component Manufacturing</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(w)</w:t>
            </w:r>
          </w:p>
        </w:tc>
        <w:tc>
          <w:tcPr>
            <w:tcW w:w="3100" w:type="dxa"/>
            <w:vAlign w:val="bottom"/>
          </w:tcPr>
          <w:p>
            <w:pPr>
              <w:ind w:left="2080"/>
              <w:spacing w:after="0"/>
              <w:rPr>
                <w:sz w:val="20"/>
                <w:szCs w:val="20"/>
                <w:color w:val="auto"/>
              </w:rPr>
            </w:pPr>
            <w:r>
              <w:rPr>
                <w:rFonts w:ascii="Times New Roman" w:cs="Times New Roman" w:eastAsia="Times New Roman" w:hAnsi="Times New Roman"/>
                <w:sz w:val="9"/>
                <w:szCs w:val="9"/>
                <w:color w:val="auto"/>
              </w:rPr>
              <w:t>(L + 7.25%) / (1.00%)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8.25%/0.00%</w:t>
            </w: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1/22/2021</w:t>
            </w:r>
          </w:p>
        </w:tc>
        <w:tc>
          <w:tcPr>
            <w:tcW w:w="9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1/22/2026</w:t>
            </w: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11,000</w:t>
            </w: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10,874</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11,000</w:t>
            </w:r>
          </w:p>
        </w:tc>
        <w:tc>
          <w:tcPr>
            <w:tcW w:w="660" w:type="dxa"/>
            <w:vAlign w:val="bottom"/>
          </w:tcPr>
          <w:p>
            <w:pPr>
              <w:spacing w:after="0"/>
              <w:rPr>
                <w:sz w:val="10"/>
                <w:szCs w:val="10"/>
                <w:color w:val="auto"/>
              </w:rPr>
            </w:pPr>
          </w:p>
        </w:tc>
      </w:tr>
      <w:tr>
        <w:trPr>
          <w:trHeight w:val="122"/>
        </w:trPr>
        <w:tc>
          <w:tcPr>
            <w:tcW w:w="2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(515,625 units) (h)(j)</w:t>
            </w:r>
          </w:p>
        </w:tc>
        <w:tc>
          <w:tcPr>
            <w:tcW w:w="310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1/22/2021</w:t>
            </w:r>
          </w:p>
        </w:tc>
        <w:tc>
          <w:tcPr>
            <w:tcW w:w="98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516</w:t>
            </w:r>
          </w:p>
        </w:tc>
        <w:tc>
          <w:tcPr>
            <w:tcW w:w="10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335</w:t>
            </w:r>
          </w:p>
        </w:tc>
        <w:tc>
          <w:tcPr>
            <w:tcW w:w="660" w:type="dxa"/>
            <w:vAlign w:val="bottom"/>
            <w:tcBorders>
              <w:bottom w:val="single" w:sz="8" w:color="CFF0FC"/>
            </w:tcBorders>
            <w:shd w:val="clear" w:color="auto" w:fill="CFF0FC"/>
          </w:tcPr>
          <w:p>
            <w:pPr>
              <w:spacing w:after="0"/>
              <w:rPr>
                <w:sz w:val="10"/>
                <w:szCs w:val="10"/>
                <w:color w:val="auto"/>
              </w:rPr>
            </w:pPr>
          </w:p>
        </w:tc>
      </w:tr>
      <w:tr>
        <w:trPr>
          <w:trHeight w:val="115"/>
        </w:trPr>
        <w:tc>
          <w:tcPr>
            <w:tcW w:w="26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11,390</w:t>
            </w:r>
          </w:p>
        </w:tc>
        <w:tc>
          <w:tcPr>
            <w:tcW w:w="10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11,335</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Green Cubes Technology, LLC (dba Green Cubes)</w:t>
            </w:r>
          </w:p>
        </w:tc>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100" w:type="dxa"/>
            <w:vAlign w:val="bottom"/>
          </w:tcPr>
          <w:p>
            <w:pPr>
              <w:ind w:left="2080"/>
              <w:spacing w:after="0"/>
              <w:rPr>
                <w:sz w:val="20"/>
                <w:szCs w:val="20"/>
                <w:color w:val="auto"/>
              </w:rPr>
            </w:pPr>
            <w:r>
              <w:rPr>
                <w:rFonts w:ascii="Times New Roman" w:cs="Times New Roman" w:eastAsia="Times New Roman" w:hAnsi="Times New Roman"/>
                <w:sz w:val="9"/>
                <w:szCs w:val="9"/>
                <w:color w:val="auto"/>
              </w:rPr>
              <w:t>(L + 13.00%) / (0.00%)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13.51%/0.00%</w:t>
            </w: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12/17/2021</w:t>
            </w:r>
          </w:p>
        </w:tc>
        <w:tc>
          <w:tcPr>
            <w:tcW w:w="9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12/17/2024</w:t>
            </w: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13,000</w:t>
            </w: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12,934</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12,934</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2"/>
        </w:trPr>
        <w:tc>
          <w:tcPr>
            <w:tcW w:w="2620" w:type="dxa"/>
            <w:vAlign w:val="bottom"/>
            <w:shd w:val="clear" w:color="auto" w:fill="CFF0FC"/>
          </w:tcPr>
          <w:p>
            <w:pPr>
              <w:spacing w:after="0"/>
              <w:rPr>
                <w:sz w:val="10"/>
                <w:szCs w:val="10"/>
                <w:color w:val="auto"/>
              </w:rPr>
            </w:pP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Gurobi Optimization, LLC</w:t>
            </w:r>
          </w:p>
        </w:tc>
        <w:tc>
          <w:tcPr>
            <w:tcW w:w="3100" w:type="dxa"/>
            <w:vAlign w:val="bottom"/>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(3 shares)</w:t>
            </w: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12/19/2017</w:t>
            </w: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605</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2,403</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6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Haematologic Technologies, Inc.</w:t>
            </w:r>
          </w:p>
        </w:tc>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Healthcare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(x)</w:t>
            </w:r>
          </w:p>
        </w:tc>
        <w:tc>
          <w:tcPr>
            <w:tcW w:w="3100" w:type="dxa"/>
            <w:vAlign w:val="bottom"/>
          </w:tcPr>
          <w:p>
            <w:pPr>
              <w:ind w:left="2080"/>
              <w:spacing w:after="0"/>
              <w:rPr>
                <w:sz w:val="20"/>
                <w:szCs w:val="20"/>
                <w:color w:val="auto"/>
              </w:rPr>
            </w:pPr>
            <w:r>
              <w:rPr>
                <w:rFonts w:ascii="Times New Roman" w:cs="Times New Roman" w:eastAsia="Times New Roman" w:hAnsi="Times New Roman"/>
                <w:sz w:val="9"/>
                <w:szCs w:val="9"/>
                <w:color w:val="auto"/>
              </w:rPr>
              <w:t>(L + 8.25%) / (2.00%)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10.25%/0.00%</w:t>
            </w: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10/11/2019</w:t>
            </w:r>
          </w:p>
        </w:tc>
        <w:tc>
          <w:tcPr>
            <w:tcW w:w="9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10/11/2024</w:t>
            </w: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5,378</w:t>
            </w: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5,357</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4,945</w:t>
            </w:r>
          </w:p>
        </w:tc>
        <w:tc>
          <w:tcPr>
            <w:tcW w:w="660" w:type="dxa"/>
            <w:vAlign w:val="bottom"/>
          </w:tcPr>
          <w:p>
            <w:pPr>
              <w:spacing w:after="0"/>
              <w:rPr>
                <w:sz w:val="10"/>
                <w:szCs w:val="10"/>
                <w:color w:val="auto"/>
              </w:rPr>
            </w:pPr>
          </w:p>
        </w:tc>
      </w:tr>
      <w:tr>
        <w:trPr>
          <w:trHeight w:val="122"/>
        </w:trPr>
        <w:tc>
          <w:tcPr>
            <w:tcW w:w="2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(630 units) (h)(j)</w:t>
            </w:r>
          </w:p>
        </w:tc>
        <w:tc>
          <w:tcPr>
            <w:tcW w:w="310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10/11/2019</w:t>
            </w:r>
          </w:p>
        </w:tc>
        <w:tc>
          <w:tcPr>
            <w:tcW w:w="98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630</w:t>
            </w:r>
          </w:p>
        </w:tc>
        <w:tc>
          <w:tcPr>
            <w:tcW w:w="10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87</w:t>
            </w:r>
          </w:p>
        </w:tc>
        <w:tc>
          <w:tcPr>
            <w:tcW w:w="660" w:type="dxa"/>
            <w:vAlign w:val="bottom"/>
            <w:tcBorders>
              <w:bottom w:val="single" w:sz="8" w:color="CFF0FC"/>
            </w:tcBorders>
            <w:shd w:val="clear" w:color="auto" w:fill="CFF0FC"/>
          </w:tcPr>
          <w:p>
            <w:pPr>
              <w:spacing w:after="0"/>
              <w:rPr>
                <w:sz w:val="10"/>
                <w:szCs w:val="10"/>
                <w:color w:val="auto"/>
              </w:rPr>
            </w:pPr>
          </w:p>
        </w:tc>
      </w:tr>
      <w:tr>
        <w:trPr>
          <w:trHeight w:val="115"/>
        </w:trPr>
        <w:tc>
          <w:tcPr>
            <w:tcW w:w="26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5,987</w:t>
            </w:r>
          </w:p>
        </w:tc>
        <w:tc>
          <w:tcPr>
            <w:tcW w:w="10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5,032</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Hallmark Health Care Solutions, Inc.</w:t>
            </w:r>
          </w:p>
        </w:tc>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Healthcare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(j)(ae)</w:t>
            </w:r>
          </w:p>
        </w:tc>
        <w:tc>
          <w:tcPr>
            <w:tcW w:w="3100" w:type="dxa"/>
            <w:vAlign w:val="bottom"/>
          </w:tcPr>
          <w:p>
            <w:pPr>
              <w:ind w:left="2080"/>
              <w:spacing w:after="0"/>
              <w:rPr>
                <w:sz w:val="20"/>
                <w:szCs w:val="20"/>
                <w:color w:val="auto"/>
              </w:rPr>
            </w:pPr>
            <w:r>
              <w:rPr>
                <w:rFonts w:ascii="Times New Roman" w:cs="Times New Roman" w:eastAsia="Times New Roman" w:hAnsi="Times New Roman"/>
                <w:sz w:val="9"/>
                <w:szCs w:val="9"/>
                <w:color w:val="auto"/>
              </w:rPr>
              <w:t>(L + 7.25%) / (1.50%)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8.75%/0.00%</w:t>
            </w: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12/4/2020</w:t>
            </w:r>
          </w:p>
        </w:tc>
        <w:tc>
          <w:tcPr>
            <w:tcW w:w="9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12/4/2025</w:t>
            </w: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8,420</w:t>
            </w: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8,373</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8,420</w:t>
            </w:r>
          </w:p>
        </w:tc>
        <w:tc>
          <w:tcPr>
            <w:tcW w:w="660" w:type="dxa"/>
            <w:vAlign w:val="bottom"/>
          </w:tcPr>
          <w:p>
            <w:pPr>
              <w:spacing w:after="0"/>
              <w:rPr>
                <w:sz w:val="10"/>
                <w:szCs w:val="10"/>
                <w:color w:val="auto"/>
              </w:rPr>
            </w:pPr>
          </w:p>
        </w:tc>
      </w:tr>
      <w:tr>
        <w:trPr>
          <w:trHeight w:val="122"/>
        </w:trPr>
        <w:tc>
          <w:tcPr>
            <w:tcW w:w="2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(750,000 units) (j)</w:t>
            </w:r>
          </w:p>
        </w:tc>
        <w:tc>
          <w:tcPr>
            <w:tcW w:w="310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12/4/2020</w:t>
            </w:r>
          </w:p>
        </w:tc>
        <w:tc>
          <w:tcPr>
            <w:tcW w:w="98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750</w:t>
            </w:r>
          </w:p>
        </w:tc>
        <w:tc>
          <w:tcPr>
            <w:tcW w:w="10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2,849</w:t>
            </w:r>
          </w:p>
        </w:tc>
        <w:tc>
          <w:tcPr>
            <w:tcW w:w="660" w:type="dxa"/>
            <w:vAlign w:val="bottom"/>
            <w:tcBorders>
              <w:bottom w:val="single" w:sz="8" w:color="CFF0FC"/>
            </w:tcBorders>
            <w:shd w:val="clear" w:color="auto" w:fill="CFF0FC"/>
          </w:tcPr>
          <w:p>
            <w:pPr>
              <w:spacing w:after="0"/>
              <w:rPr>
                <w:sz w:val="10"/>
                <w:szCs w:val="10"/>
                <w:color w:val="auto"/>
              </w:rPr>
            </w:pPr>
          </w:p>
        </w:tc>
      </w:tr>
      <w:tr>
        <w:trPr>
          <w:trHeight w:val="114"/>
        </w:trPr>
        <w:tc>
          <w:tcPr>
            <w:tcW w:w="26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9,123</w:t>
            </w:r>
          </w:p>
        </w:tc>
        <w:tc>
          <w:tcPr>
            <w:tcW w:w="10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11,269</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Healthfuse, LLC</w:t>
            </w:r>
          </w:p>
        </w:tc>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Healthcare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(af)</w:t>
            </w:r>
          </w:p>
        </w:tc>
        <w:tc>
          <w:tcPr>
            <w:tcW w:w="3100" w:type="dxa"/>
            <w:vAlign w:val="bottom"/>
          </w:tcPr>
          <w:p>
            <w:pPr>
              <w:ind w:left="2080"/>
              <w:spacing w:after="0"/>
              <w:rPr>
                <w:sz w:val="20"/>
                <w:szCs w:val="20"/>
                <w:color w:val="auto"/>
              </w:rPr>
            </w:pPr>
            <w:r>
              <w:rPr>
                <w:rFonts w:ascii="Times New Roman" w:cs="Times New Roman" w:eastAsia="Times New Roman" w:hAnsi="Times New Roman"/>
                <w:sz w:val="9"/>
                <w:szCs w:val="9"/>
                <w:color w:val="auto"/>
              </w:rPr>
              <w:t>(L + 7.25%) / (1.00%)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8.25%/0.00%</w:t>
            </w: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11/13/2020</w:t>
            </w:r>
          </w:p>
        </w:tc>
        <w:tc>
          <w:tcPr>
            <w:tcW w:w="9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11/13/2025</w:t>
            </w: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5,219</w:t>
            </w: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5,190</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5,219</w:t>
            </w:r>
          </w:p>
        </w:tc>
        <w:tc>
          <w:tcPr>
            <w:tcW w:w="660" w:type="dxa"/>
            <w:vAlign w:val="bottom"/>
          </w:tcPr>
          <w:p>
            <w:pPr>
              <w:spacing w:after="0"/>
              <w:rPr>
                <w:sz w:val="10"/>
                <w:szCs w:val="10"/>
                <w:color w:val="auto"/>
              </w:rPr>
            </w:pPr>
          </w:p>
        </w:tc>
      </w:tr>
      <w:tr>
        <w:trPr>
          <w:trHeight w:val="122"/>
        </w:trPr>
        <w:tc>
          <w:tcPr>
            <w:tcW w:w="2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(197,980 units)</w:t>
            </w:r>
          </w:p>
        </w:tc>
        <w:tc>
          <w:tcPr>
            <w:tcW w:w="310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11/13/2020</w:t>
            </w:r>
          </w:p>
        </w:tc>
        <w:tc>
          <w:tcPr>
            <w:tcW w:w="98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750</w:t>
            </w:r>
          </w:p>
        </w:tc>
        <w:tc>
          <w:tcPr>
            <w:tcW w:w="10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1,180</w:t>
            </w:r>
          </w:p>
        </w:tc>
        <w:tc>
          <w:tcPr>
            <w:tcW w:w="660" w:type="dxa"/>
            <w:vAlign w:val="bottom"/>
            <w:tcBorders>
              <w:bottom w:val="single" w:sz="8" w:color="CFF0FC"/>
            </w:tcBorders>
            <w:shd w:val="clear" w:color="auto" w:fill="CFF0FC"/>
          </w:tcPr>
          <w:p>
            <w:pPr>
              <w:spacing w:after="0"/>
              <w:rPr>
                <w:sz w:val="10"/>
                <w:szCs w:val="10"/>
                <w:color w:val="auto"/>
              </w:rPr>
            </w:pPr>
          </w:p>
        </w:tc>
      </w:tr>
      <w:tr>
        <w:trPr>
          <w:trHeight w:val="114"/>
        </w:trPr>
        <w:tc>
          <w:tcPr>
            <w:tcW w:w="26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5,940</w:t>
            </w:r>
          </w:p>
        </w:tc>
        <w:tc>
          <w:tcPr>
            <w:tcW w:w="10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6,399</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Hub Acquisition Sub, LLC (dba Hub Pen)</w:t>
            </w:r>
          </w:p>
        </w:tc>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Promotional products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 (k)</w:t>
            </w:r>
          </w:p>
        </w:tc>
        <w:tc>
          <w:tcPr>
            <w:tcW w:w="3100" w:type="dxa"/>
            <w:vAlign w:val="bottom"/>
          </w:tcPr>
          <w:p>
            <w:pPr>
              <w:spacing w:after="0"/>
              <w:rPr>
                <w:sz w:val="10"/>
                <w:szCs w:val="10"/>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13.50%/0.00%</w:t>
            </w: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3/23/2016</w:t>
            </w:r>
          </w:p>
        </w:tc>
        <w:tc>
          <w:tcPr>
            <w:tcW w:w="9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3/31/2023</w:t>
            </w: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25,000</w:t>
            </w: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24,988</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23,139</w:t>
            </w: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(3,750 units)</w:t>
            </w: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3/23/2016</w:t>
            </w: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114</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(868 units) (j)</w:t>
            </w: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10/16/2020</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150</w:t>
            </w:r>
          </w:p>
        </w:tc>
        <w:tc>
          <w:tcPr>
            <w:tcW w:w="100" w:type="dxa"/>
            <w:vAlign w:val="bottom"/>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105</w:t>
            </w:r>
          </w:p>
        </w:tc>
        <w:tc>
          <w:tcPr>
            <w:tcW w:w="66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25,252</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23,244</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IBH Holdings, LLC (fka Inflexxion, Inc.)</w:t>
            </w:r>
          </w:p>
        </w:tc>
        <w:tc>
          <w:tcPr>
            <w:tcW w:w="3100" w:type="dxa"/>
            <w:vAlign w:val="bottom"/>
          </w:tcPr>
          <w:p>
            <w:pPr>
              <w:ind w:left="20"/>
              <w:spacing w:after="0"/>
              <w:rPr>
                <w:sz w:val="20"/>
                <w:szCs w:val="20"/>
                <w:color w:val="auto"/>
              </w:rPr>
            </w:pPr>
            <w:r>
              <w:rPr>
                <w:rFonts w:ascii="Times New Roman" w:cs="Times New Roman" w:eastAsia="Times New Roman" w:hAnsi="Times New Roman"/>
                <w:sz w:val="9"/>
                <w:szCs w:val="9"/>
                <w:color w:val="auto"/>
              </w:rPr>
              <w:t>Business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(150,000 units)</w:t>
            </w: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6/20/2018</w:t>
            </w: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487</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1"/>
        </w:trPr>
        <w:tc>
          <w:tcPr>
            <w:tcW w:w="26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Ipro Tech, LLC</w:t>
            </w:r>
          </w:p>
        </w:tc>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(j)(u)</w:t>
            </w:r>
          </w:p>
        </w:tc>
        <w:tc>
          <w:tcPr>
            <w:tcW w:w="3100" w:type="dxa"/>
            <w:vAlign w:val="bottom"/>
          </w:tcPr>
          <w:p>
            <w:pPr>
              <w:ind w:left="2080"/>
              <w:spacing w:after="0"/>
              <w:rPr>
                <w:sz w:val="20"/>
                <w:szCs w:val="20"/>
                <w:color w:val="auto"/>
              </w:rPr>
            </w:pPr>
            <w:r>
              <w:rPr>
                <w:rFonts w:ascii="Times New Roman" w:cs="Times New Roman" w:eastAsia="Times New Roman" w:hAnsi="Times New Roman"/>
                <w:sz w:val="9"/>
                <w:szCs w:val="9"/>
                <w:color w:val="auto"/>
              </w:rPr>
              <w:t>(L + 7.00%) / (1.00%)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8.00%/1.00%</w:t>
            </w: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6/30/2020</w:t>
            </w:r>
          </w:p>
        </w:tc>
        <w:tc>
          <w:tcPr>
            <w:tcW w:w="9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7/28/2025</w:t>
            </w: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19,477</w:t>
            </w: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18,589</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19,477</w:t>
            </w:r>
          </w:p>
        </w:tc>
        <w:tc>
          <w:tcPr>
            <w:tcW w:w="660" w:type="dxa"/>
            <w:vAlign w:val="bottom"/>
          </w:tcPr>
          <w:p>
            <w:pPr>
              <w:spacing w:after="0"/>
              <w:rPr>
                <w:sz w:val="10"/>
                <w:szCs w:val="10"/>
                <w:color w:val="auto"/>
              </w:rPr>
            </w:pPr>
          </w:p>
        </w:tc>
      </w:tr>
      <w:tr>
        <w:trPr>
          <w:trHeight w:val="122"/>
        </w:trPr>
        <w:tc>
          <w:tcPr>
            <w:tcW w:w="2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(j)</w:t>
            </w:r>
          </w:p>
        </w:tc>
        <w:tc>
          <w:tcPr>
            <w:tcW w:w="310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7/28/2021</w:t>
            </w:r>
          </w:p>
        </w:tc>
        <w:tc>
          <w:tcPr>
            <w:tcW w:w="98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682</w:t>
            </w:r>
          </w:p>
        </w:tc>
        <w:tc>
          <w:tcPr>
            <w:tcW w:w="10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1,023</w:t>
            </w:r>
          </w:p>
        </w:tc>
        <w:tc>
          <w:tcPr>
            <w:tcW w:w="660" w:type="dxa"/>
            <w:vAlign w:val="bottom"/>
            <w:tcBorders>
              <w:bottom w:val="single" w:sz="8" w:color="CFF0FC"/>
            </w:tcBorders>
            <w:shd w:val="clear" w:color="auto" w:fill="CFF0FC"/>
          </w:tcPr>
          <w:p>
            <w:pPr>
              <w:spacing w:after="0"/>
              <w:rPr>
                <w:sz w:val="10"/>
                <w:szCs w:val="10"/>
                <w:color w:val="auto"/>
              </w:rPr>
            </w:pPr>
          </w:p>
        </w:tc>
      </w:tr>
      <w:tr>
        <w:trPr>
          <w:trHeight w:val="115"/>
        </w:trPr>
        <w:tc>
          <w:tcPr>
            <w:tcW w:w="26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19,271</w:t>
            </w:r>
          </w:p>
        </w:tc>
        <w:tc>
          <w:tcPr>
            <w:tcW w:w="10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20,500</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ISI PSG Holdings, LLC (dba Incentive Solutions, Inc.)</w:t>
            </w:r>
          </w:p>
        </w:tc>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Business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(j)(aj)</w:t>
            </w:r>
          </w:p>
        </w:tc>
        <w:tc>
          <w:tcPr>
            <w:tcW w:w="3100" w:type="dxa"/>
            <w:vAlign w:val="bottom"/>
          </w:tcPr>
          <w:p>
            <w:pPr>
              <w:ind w:left="2080"/>
              <w:spacing w:after="0"/>
              <w:rPr>
                <w:sz w:val="20"/>
                <w:szCs w:val="20"/>
                <w:color w:val="auto"/>
              </w:rPr>
            </w:pPr>
            <w:r>
              <w:rPr>
                <w:rFonts w:ascii="Times New Roman" w:cs="Times New Roman" w:eastAsia="Times New Roman" w:hAnsi="Times New Roman"/>
                <w:sz w:val="9"/>
                <w:szCs w:val="9"/>
                <w:color w:val="auto"/>
              </w:rPr>
              <w:t>(L + 7.50%) / (0.50%)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8.00%/0.00%</w:t>
            </w: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4/5/2021</w:t>
            </w:r>
          </w:p>
        </w:tc>
        <w:tc>
          <w:tcPr>
            <w:tcW w:w="9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4/5/2026</w:t>
            </w: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12,340</w:t>
            </w: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12,255</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12,340</w:t>
            </w: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(j)(an)</w:t>
            </w:r>
          </w:p>
        </w:tc>
        <w:tc>
          <w:tcPr>
            <w:tcW w:w="310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9"/>
                <w:szCs w:val="9"/>
                <w:color w:val="auto"/>
              </w:rPr>
              <w:t>(L + 7.50%) / (0.50%)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8.00%/0.00%</w:t>
            </w: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6/30/2021</w:t>
            </w:r>
          </w:p>
        </w:tc>
        <w:tc>
          <w:tcPr>
            <w:tcW w:w="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4/5/2026</w:t>
            </w:r>
          </w:p>
        </w:tc>
        <w:tc>
          <w:tcPr>
            <w:tcW w:w="7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13,163</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13,163</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13,163</w:t>
            </w: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(256,964 units) (h)(j)</w:t>
            </w: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4/5/2021</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100" w:type="dxa"/>
            <w:vAlign w:val="bottom"/>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702</w:t>
            </w:r>
          </w:p>
        </w:tc>
        <w:tc>
          <w:tcPr>
            <w:tcW w:w="66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25,918</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26,205</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K2 Merger Agreement Agent, LLC (fka K2 Industrial Services, Inc.) (n)</w:t>
            </w:r>
          </w:p>
        </w:tc>
        <w:tc>
          <w:tcPr>
            <w:tcW w:w="3100" w:type="dxa"/>
            <w:vAlign w:val="bottom"/>
          </w:tcPr>
          <w:p>
            <w:pPr>
              <w:ind w:left="20"/>
              <w:spacing w:after="0"/>
              <w:rPr>
                <w:sz w:val="20"/>
                <w:szCs w:val="20"/>
                <w:color w:val="auto"/>
              </w:rPr>
            </w:pPr>
            <w:r>
              <w:rPr>
                <w:rFonts w:ascii="Times New Roman" w:cs="Times New Roman" w:eastAsia="Times New Roman" w:hAnsi="Times New Roman"/>
                <w:sz w:val="9"/>
                <w:szCs w:val="9"/>
                <w:color w:val="auto"/>
              </w:rPr>
              <w:t>Industrial Cleaning &amp; Coatings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(j) (y)</w:t>
            </w: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0.00%/10.00%</w:t>
            </w: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1/28/2019</w:t>
            </w:r>
          </w:p>
        </w:tc>
        <w:tc>
          <w:tcPr>
            <w:tcW w:w="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1/28/2023</w:t>
            </w:r>
          </w:p>
        </w:tc>
        <w:tc>
          <w:tcPr>
            <w:tcW w:w="7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2,368</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2,368</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2,225</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6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1"/>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The Kyjen Company, LLC (dba Outward Hound)</w:t>
            </w:r>
          </w:p>
        </w:tc>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Consumer Products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(855 shares) (j)</w:t>
            </w: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12/8/2017</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933</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1,586</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20" w:type="dxa"/>
            <w:vAlign w:val="bottom"/>
            <w:shd w:val="clear" w:color="auto" w:fill="CFF0FC"/>
          </w:tcPr>
          <w:p>
            <w:pPr>
              <w:spacing w:after="0"/>
              <w:rPr>
                <w:sz w:val="10"/>
                <w:szCs w:val="10"/>
                <w:color w:val="auto"/>
              </w:rPr>
            </w:pP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Level Education Group, LLC (dba CE4Less)</w:t>
            </w:r>
          </w:p>
        </w:tc>
        <w:tc>
          <w:tcPr>
            <w:tcW w:w="3100" w:type="dxa"/>
            <w:vAlign w:val="bottom"/>
          </w:tcPr>
          <w:p>
            <w:pPr>
              <w:ind w:left="20"/>
              <w:spacing w:after="0"/>
              <w:rPr>
                <w:sz w:val="20"/>
                <w:szCs w:val="20"/>
                <w:color w:val="auto"/>
              </w:rPr>
            </w:pPr>
            <w:r>
              <w:rPr>
                <w:rFonts w:ascii="Times New Roman" w:cs="Times New Roman" w:eastAsia="Times New Roman" w:hAnsi="Times New Roman"/>
                <w:sz w:val="9"/>
                <w:szCs w:val="9"/>
                <w:color w:val="auto"/>
              </w:rPr>
              <w:t>Business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(ak)</w:t>
            </w:r>
          </w:p>
        </w:tc>
        <w:tc>
          <w:tcPr>
            <w:tcW w:w="310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9"/>
                <w:szCs w:val="9"/>
                <w:color w:val="auto"/>
              </w:rPr>
              <w:t>(L + 6.75%) / (0.50%)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7.25%/0.00%</w:t>
            </w: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4/1/2021</w:t>
            </w:r>
          </w:p>
        </w:tc>
        <w:tc>
          <w:tcPr>
            <w:tcW w:w="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4/1/2026</w:t>
            </w:r>
          </w:p>
        </w:tc>
        <w:tc>
          <w:tcPr>
            <w:tcW w:w="7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5,397</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5,364</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5,397</w:t>
            </w:r>
          </w:p>
        </w:tc>
        <w:tc>
          <w:tcPr>
            <w:tcW w:w="660" w:type="dxa"/>
            <w:vAlign w:val="bottom"/>
            <w:shd w:val="clear" w:color="auto" w:fill="CFF0FC"/>
          </w:tcPr>
          <w:p>
            <w:pPr>
              <w:spacing w:after="0"/>
              <w:rPr>
                <w:sz w:val="10"/>
                <w:szCs w:val="10"/>
                <w:color w:val="auto"/>
              </w:rPr>
            </w:pPr>
          </w:p>
        </w:tc>
      </w:tr>
      <w:tr>
        <w:trPr>
          <w:trHeight w:val="122"/>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(1,000,000 units) (j)</w:t>
            </w: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4/1/2021</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1,000</w:t>
            </w:r>
          </w:p>
        </w:tc>
        <w:tc>
          <w:tcPr>
            <w:tcW w:w="100" w:type="dxa"/>
            <w:vAlign w:val="bottom"/>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1,296</w:t>
            </w:r>
          </w:p>
        </w:tc>
        <w:tc>
          <w:tcPr>
            <w:tcW w:w="66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6,364</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6,693</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LifeSpan Biosciences, Inc.</w:t>
            </w:r>
          </w:p>
        </w:tc>
        <w:tc>
          <w:tcPr>
            <w:tcW w:w="3100" w:type="dxa"/>
            <w:vAlign w:val="bottom"/>
          </w:tcPr>
          <w:p>
            <w:pPr>
              <w:ind w:left="20"/>
              <w:spacing w:after="0"/>
              <w:rPr>
                <w:sz w:val="20"/>
                <w:szCs w:val="20"/>
                <w:color w:val="auto"/>
              </w:rPr>
            </w:pPr>
            <w:r>
              <w:rPr>
                <w:rFonts w:ascii="Times New Roman" w:cs="Times New Roman" w:eastAsia="Times New Roman" w:hAnsi="Times New Roman"/>
                <w:sz w:val="9"/>
                <w:szCs w:val="9"/>
                <w:color w:val="auto"/>
              </w:rPr>
              <w:t>Healthcare Products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11.50%/0.00%</w:t>
            </w: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3/19/2021</w:t>
            </w:r>
          </w:p>
        </w:tc>
        <w:tc>
          <w:tcPr>
            <w:tcW w:w="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9/19/2026</w:t>
            </w:r>
          </w:p>
        </w:tc>
        <w:tc>
          <w:tcPr>
            <w:tcW w:w="7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16,000</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15,935</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16,000</w:t>
            </w: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(100 shares) (j)</w:t>
            </w: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3/19/2021</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1,000</w:t>
            </w:r>
          </w:p>
        </w:tc>
        <w:tc>
          <w:tcPr>
            <w:tcW w:w="100" w:type="dxa"/>
            <w:vAlign w:val="bottom"/>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1,025</w:t>
            </w:r>
          </w:p>
        </w:tc>
        <w:tc>
          <w:tcPr>
            <w:tcW w:w="6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-8168640</wp:posOffset>
            </wp:positionV>
            <wp:extent cx="514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-8168640</wp:posOffset>
            </wp:positionV>
            <wp:extent cx="3600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-7851775</wp:posOffset>
            </wp:positionV>
            <wp:extent cx="514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-7851775</wp:posOffset>
            </wp:positionV>
            <wp:extent cx="3600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-6274435</wp:posOffset>
            </wp:positionV>
            <wp:extent cx="514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-6274435</wp:posOffset>
            </wp:positionV>
            <wp:extent cx="3600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-5956935</wp:posOffset>
            </wp:positionV>
            <wp:extent cx="514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-5956935</wp:posOffset>
            </wp:positionV>
            <wp:extent cx="3600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-5640070</wp:posOffset>
            </wp:positionV>
            <wp:extent cx="51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-5640070</wp:posOffset>
            </wp:positionV>
            <wp:extent cx="3600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-3856990</wp:posOffset>
            </wp:positionV>
            <wp:extent cx="51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-3856990</wp:posOffset>
            </wp:positionV>
            <wp:extent cx="3600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-3076575</wp:posOffset>
            </wp:positionV>
            <wp:extent cx="514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-3076575</wp:posOffset>
            </wp:positionV>
            <wp:extent cx="3600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-2759710</wp:posOffset>
            </wp:positionV>
            <wp:extent cx="514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-2759710</wp:posOffset>
            </wp:positionV>
            <wp:extent cx="3600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-2442210</wp:posOffset>
            </wp:positionV>
            <wp:extent cx="514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-2442210</wp:posOffset>
            </wp:positionV>
            <wp:extent cx="3600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-1499235</wp:posOffset>
            </wp:positionV>
            <wp:extent cx="514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-1499235</wp:posOffset>
            </wp:positionV>
            <wp:extent cx="3600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4" w:right="339" w:bottom="906"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35"/>
        </w:trPr>
        <w:tc>
          <w:tcPr>
            <w:tcW w:w="2620" w:type="dxa"/>
            <w:vAlign w:val="bottom"/>
            <w:tcBorders>
              <w:top w:val="single" w:sz="8" w:color="CFF0FC"/>
            </w:tcBorders>
            <w:shd w:val="clear" w:color="auto" w:fill="CFF0FC"/>
          </w:tcPr>
          <w:p>
            <w:pPr>
              <w:spacing w:after="0"/>
              <w:rPr>
                <w:sz w:val="11"/>
                <w:szCs w:val="11"/>
                <w:color w:val="auto"/>
              </w:rPr>
            </w:pPr>
          </w:p>
        </w:tc>
        <w:tc>
          <w:tcPr>
            <w:tcW w:w="3100" w:type="dxa"/>
            <w:vAlign w:val="bottom"/>
            <w:tcBorders>
              <w:top w:val="single" w:sz="8" w:color="CFF0FC"/>
            </w:tcBorders>
            <w:shd w:val="clear" w:color="auto" w:fill="CFF0FC"/>
          </w:tcPr>
          <w:p>
            <w:pPr>
              <w:spacing w:after="0"/>
              <w:rPr>
                <w:sz w:val="11"/>
                <w:szCs w:val="11"/>
                <w:color w:val="auto"/>
              </w:rPr>
            </w:pPr>
          </w:p>
        </w:tc>
        <w:tc>
          <w:tcPr>
            <w:tcW w:w="920" w:type="dxa"/>
            <w:vAlign w:val="bottom"/>
            <w:tcBorders>
              <w:top w:val="single" w:sz="8" w:color="CFF0FC"/>
            </w:tcBorders>
            <w:shd w:val="clear" w:color="auto" w:fill="CFF0FC"/>
          </w:tcPr>
          <w:p>
            <w:pPr>
              <w:spacing w:after="0"/>
              <w:rPr>
                <w:sz w:val="11"/>
                <w:szCs w:val="11"/>
                <w:color w:val="auto"/>
              </w:rPr>
            </w:pPr>
          </w:p>
        </w:tc>
        <w:tc>
          <w:tcPr>
            <w:tcW w:w="80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CFF0FC"/>
            </w:tcBorders>
            <w:shd w:val="clear" w:color="auto" w:fill="CFF0FC"/>
          </w:tcPr>
          <w:p>
            <w:pPr>
              <w:spacing w:after="0"/>
              <w:rPr>
                <w:sz w:val="11"/>
                <w:szCs w:val="11"/>
                <w:color w:val="auto"/>
              </w:rPr>
            </w:pPr>
          </w:p>
        </w:tc>
        <w:tc>
          <w:tcPr>
            <w:tcW w:w="74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16,935</w:t>
            </w:r>
          </w:p>
        </w:tc>
        <w:tc>
          <w:tcPr>
            <w:tcW w:w="10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17,025</w:t>
            </w:r>
          </w:p>
        </w:tc>
        <w:tc>
          <w:tcPr>
            <w:tcW w:w="66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99"/>
        </w:trPr>
        <w:tc>
          <w:tcPr>
            <w:tcW w:w="2620" w:type="dxa"/>
            <w:vAlign w:val="bottom"/>
          </w:tcPr>
          <w:p>
            <w:pPr>
              <w:ind w:left="20"/>
              <w:spacing w:after="0" w:line="99" w:lineRule="exact"/>
              <w:rPr>
                <w:sz w:val="20"/>
                <w:szCs w:val="20"/>
                <w:color w:val="auto"/>
              </w:rPr>
            </w:pPr>
            <w:r>
              <w:rPr>
                <w:rFonts w:ascii="Times New Roman" w:cs="Times New Roman" w:eastAsia="Times New Roman" w:hAnsi="Times New Roman"/>
                <w:sz w:val="9"/>
                <w:szCs w:val="9"/>
                <w:i w:val="1"/>
                <w:iCs w:val="1"/>
                <w:color w:val="auto"/>
              </w:rPr>
              <w:t>Micronics Filtration Holdings, Inc. (dba Micronics Engineered</w:t>
            </w:r>
          </w:p>
        </w:tc>
        <w:tc>
          <w:tcPr>
            <w:tcW w:w="3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117"/>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Filtration Group, Inc.)</w:t>
            </w:r>
          </w:p>
        </w:tc>
        <w:tc>
          <w:tcPr>
            <w:tcW w:w="3100" w:type="dxa"/>
            <w:vAlign w:val="bottom"/>
          </w:tcPr>
          <w:p>
            <w:pPr>
              <w:ind w:left="20"/>
              <w:spacing w:after="0"/>
              <w:rPr>
                <w:sz w:val="20"/>
                <w:szCs w:val="20"/>
                <w:color w:val="auto"/>
              </w:rPr>
            </w:pPr>
            <w:r>
              <w:rPr>
                <w:rFonts w:ascii="Times New Roman" w:cs="Times New Roman" w:eastAsia="Times New Roman" w:hAnsi="Times New Roman"/>
                <w:sz w:val="9"/>
                <w:szCs w:val="9"/>
                <w:color w:val="auto"/>
              </w:rPr>
              <w:t>Component Manufacturing</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(k) (as)</w:t>
            </w:r>
          </w:p>
        </w:tc>
        <w:tc>
          <w:tcPr>
            <w:tcW w:w="310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9"/>
                <w:szCs w:val="9"/>
                <w:color w:val="auto"/>
              </w:rPr>
              <w:t>(S + 5.50%) / (0.50%)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6.00%/0.00%</w:t>
            </w: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2/17/2022</w:t>
            </w:r>
          </w:p>
        </w:tc>
        <w:tc>
          <w:tcPr>
            <w:tcW w:w="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2/17/2027</w:t>
            </w:r>
          </w:p>
        </w:tc>
        <w:tc>
          <w:tcPr>
            <w:tcW w:w="7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21,000</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20,846</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20,846</w:t>
            </w:r>
          </w:p>
        </w:tc>
        <w:tc>
          <w:tcPr>
            <w:tcW w:w="660" w:type="dxa"/>
            <w:vAlign w:val="bottom"/>
            <w:shd w:val="clear" w:color="auto" w:fill="CFF0FC"/>
          </w:tcPr>
          <w:p>
            <w:pPr>
              <w:spacing w:after="0"/>
              <w:rPr>
                <w:sz w:val="10"/>
                <w:szCs w:val="10"/>
                <w:color w:val="auto"/>
              </w:rPr>
            </w:pPr>
          </w:p>
        </w:tc>
      </w:tr>
      <w:tr>
        <w:trPr>
          <w:trHeight w:val="122"/>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(14,400 units) (j)</w:t>
            </w: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2/17/2022</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1,440</w:t>
            </w:r>
          </w:p>
        </w:tc>
        <w:tc>
          <w:tcPr>
            <w:tcW w:w="100" w:type="dxa"/>
            <w:vAlign w:val="bottom"/>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1,440</w:t>
            </w:r>
          </w:p>
        </w:tc>
        <w:tc>
          <w:tcPr>
            <w:tcW w:w="66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22,286</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22,286</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Midwest Transit Equipment, Inc.</w:t>
            </w:r>
          </w:p>
        </w:tc>
        <w:tc>
          <w:tcPr>
            <w:tcW w:w="3100" w:type="dxa"/>
            <w:vAlign w:val="bottom"/>
          </w:tcPr>
          <w:p>
            <w:pPr>
              <w:ind w:left="20"/>
              <w:spacing w:after="0"/>
              <w:rPr>
                <w:sz w:val="20"/>
                <w:szCs w:val="20"/>
                <w:color w:val="auto"/>
              </w:rPr>
            </w:pPr>
            <w:r>
              <w:rPr>
                <w:rFonts w:ascii="Times New Roman" w:cs="Times New Roman" w:eastAsia="Times New Roman" w:hAnsi="Times New Roman"/>
                <w:sz w:val="9"/>
                <w:szCs w:val="9"/>
                <w:color w:val="auto"/>
              </w:rPr>
              <w:t>Transportation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Warrant (7,192 shares) (j)(m)</w:t>
            </w: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6/23/2017</w:t>
            </w: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180</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144</w:t>
            </w:r>
          </w:p>
        </w:tc>
        <w:tc>
          <w:tcPr>
            <w:tcW w:w="660" w:type="dxa"/>
            <w:vAlign w:val="bottom"/>
            <w:shd w:val="clear" w:color="auto" w:fill="CFF0FC"/>
          </w:tcPr>
          <w:p>
            <w:pPr>
              <w:spacing w:after="0"/>
              <w:rPr>
                <w:sz w:val="10"/>
                <w:szCs w:val="10"/>
                <w:color w:val="auto"/>
              </w:rPr>
            </w:pPr>
          </w:p>
        </w:tc>
      </w:tr>
      <w:tr>
        <w:trPr>
          <w:trHeight w:val="122"/>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Warrant (4.79% of Junior Subordinated Notes) (j)(q)</w:t>
            </w: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6/23/2017</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190</w:t>
            </w:r>
          </w:p>
        </w:tc>
        <w:tc>
          <w:tcPr>
            <w:tcW w:w="100" w:type="dxa"/>
            <w:vAlign w:val="bottom"/>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269</w:t>
            </w:r>
          </w:p>
        </w:tc>
        <w:tc>
          <w:tcPr>
            <w:tcW w:w="66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370</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413</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Mobilewalla, Inc.</w:t>
            </w:r>
          </w:p>
        </w:tc>
        <w:tc>
          <w:tcPr>
            <w:tcW w:w="3100" w:type="dxa"/>
            <w:vAlign w:val="bottom"/>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10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9"/>
                <w:szCs w:val="9"/>
                <w:color w:val="auto"/>
              </w:rPr>
              <w:t>(L + 11.50%) / (0.50%)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12.02%/0.00%</w:t>
            </w: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12/17/2021</w:t>
            </w:r>
          </w:p>
        </w:tc>
        <w:tc>
          <w:tcPr>
            <w:tcW w:w="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12/17/2024</w:t>
            </w:r>
          </w:p>
        </w:tc>
        <w:tc>
          <w:tcPr>
            <w:tcW w:w="7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5,715</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5,689</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5,689</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6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Netbase Solutions, Inc. (dba Netbase Quid)</w:t>
            </w:r>
          </w:p>
        </w:tc>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(k)(ap)</w:t>
            </w:r>
          </w:p>
        </w:tc>
        <w:tc>
          <w:tcPr>
            <w:tcW w:w="3100" w:type="dxa"/>
            <w:vAlign w:val="bottom"/>
          </w:tcPr>
          <w:p>
            <w:pPr>
              <w:ind w:left="2080"/>
              <w:spacing w:after="0"/>
              <w:rPr>
                <w:sz w:val="20"/>
                <w:szCs w:val="20"/>
                <w:color w:val="auto"/>
              </w:rPr>
            </w:pPr>
            <w:r>
              <w:rPr>
                <w:rFonts w:ascii="Times New Roman" w:cs="Times New Roman" w:eastAsia="Times New Roman" w:hAnsi="Times New Roman"/>
                <w:sz w:val="9"/>
                <w:szCs w:val="9"/>
                <w:color w:val="auto"/>
              </w:rPr>
              <w:t>(P + 5.50%) / (3.25%)</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8.75%/1.50%</w:t>
            </w: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11/18/2021</w:t>
            </w:r>
          </w:p>
        </w:tc>
        <w:tc>
          <w:tcPr>
            <w:tcW w:w="9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11/18/2025</w:t>
            </w: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16,708</w:t>
            </w: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16,596</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16,596</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620" w:type="dxa"/>
            <w:vAlign w:val="bottom"/>
            <w:shd w:val="clear" w:color="auto" w:fill="CFF0FC"/>
          </w:tcPr>
          <w:p>
            <w:pPr>
              <w:spacing w:after="0"/>
              <w:rPr>
                <w:sz w:val="10"/>
                <w:szCs w:val="10"/>
                <w:color w:val="auto"/>
              </w:rPr>
            </w:pP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NGT Acquisition Holdings, LLC (dba Techniks Industries)</w:t>
            </w:r>
          </w:p>
        </w:tc>
        <w:tc>
          <w:tcPr>
            <w:tcW w:w="3100" w:type="dxa"/>
            <w:vAlign w:val="bottom"/>
          </w:tcPr>
          <w:p>
            <w:pPr>
              <w:ind w:left="20"/>
              <w:spacing w:after="0"/>
              <w:rPr>
                <w:sz w:val="20"/>
                <w:szCs w:val="20"/>
                <w:color w:val="auto"/>
              </w:rPr>
            </w:pPr>
            <w:r>
              <w:rPr>
                <w:rFonts w:ascii="Times New Roman" w:cs="Times New Roman" w:eastAsia="Times New Roman" w:hAnsi="Times New Roman"/>
                <w:sz w:val="9"/>
                <w:szCs w:val="9"/>
                <w:color w:val="auto"/>
              </w:rPr>
              <w:t>Component Manufacturing</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(378 units) (j)</w:t>
            </w: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5/24/2017</w:t>
            </w: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182</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OMC Investors, LLC (dba Ohio Medical Corporation)</w:t>
            </w:r>
          </w:p>
        </w:tc>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Healthcare Products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w:t>
            </w:r>
          </w:p>
        </w:tc>
        <w:tc>
          <w:tcPr>
            <w:tcW w:w="3100" w:type="dxa"/>
            <w:vAlign w:val="bottom"/>
          </w:tcPr>
          <w:p>
            <w:pPr>
              <w:spacing w:after="0"/>
              <w:rPr>
                <w:sz w:val="10"/>
                <w:szCs w:val="10"/>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13.00%/0.00%</w:t>
            </w: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1/26/2021</w:t>
            </w:r>
          </w:p>
        </w:tc>
        <w:tc>
          <w:tcPr>
            <w:tcW w:w="9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6/30/2024</w:t>
            </w: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5,000</w:t>
            </w: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4,967</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5,000</w:t>
            </w:r>
          </w:p>
        </w:tc>
        <w:tc>
          <w:tcPr>
            <w:tcW w:w="660" w:type="dxa"/>
            <w:vAlign w:val="bottom"/>
          </w:tcPr>
          <w:p>
            <w:pPr>
              <w:spacing w:after="0"/>
              <w:rPr>
                <w:sz w:val="10"/>
                <w:szCs w:val="10"/>
                <w:color w:val="auto"/>
              </w:rPr>
            </w:pPr>
          </w:p>
        </w:tc>
      </w:tr>
      <w:tr>
        <w:trPr>
          <w:trHeight w:val="122"/>
        </w:trPr>
        <w:tc>
          <w:tcPr>
            <w:tcW w:w="2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(5,000 units)</w:t>
            </w:r>
          </w:p>
        </w:tc>
        <w:tc>
          <w:tcPr>
            <w:tcW w:w="310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1/15/2016</w:t>
            </w:r>
          </w:p>
        </w:tc>
        <w:tc>
          <w:tcPr>
            <w:tcW w:w="98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209</w:t>
            </w:r>
          </w:p>
        </w:tc>
        <w:tc>
          <w:tcPr>
            <w:tcW w:w="10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675</w:t>
            </w:r>
          </w:p>
        </w:tc>
        <w:tc>
          <w:tcPr>
            <w:tcW w:w="660" w:type="dxa"/>
            <w:vAlign w:val="bottom"/>
            <w:tcBorders>
              <w:bottom w:val="single" w:sz="8" w:color="CFF0FC"/>
            </w:tcBorders>
            <w:shd w:val="clear" w:color="auto" w:fill="CFF0FC"/>
          </w:tcPr>
          <w:p>
            <w:pPr>
              <w:spacing w:after="0"/>
              <w:rPr>
                <w:sz w:val="10"/>
                <w:szCs w:val="10"/>
                <w:color w:val="auto"/>
              </w:rPr>
            </w:pPr>
          </w:p>
        </w:tc>
      </w:tr>
      <w:tr>
        <w:trPr>
          <w:trHeight w:val="115"/>
        </w:trPr>
        <w:tc>
          <w:tcPr>
            <w:tcW w:w="26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5,176</w:t>
            </w:r>
          </w:p>
        </w:tc>
        <w:tc>
          <w:tcPr>
            <w:tcW w:w="10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5,675</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Palisade Company, LLC</w:t>
            </w:r>
          </w:p>
        </w:tc>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(50 shares) (j)</w:t>
            </w: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11/15/2018</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1,521</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20" w:type="dxa"/>
            <w:vAlign w:val="bottom"/>
            <w:shd w:val="clear" w:color="auto" w:fill="CFF0FC"/>
          </w:tcPr>
          <w:p>
            <w:pPr>
              <w:spacing w:after="0"/>
              <w:rPr>
                <w:sz w:val="10"/>
                <w:szCs w:val="10"/>
                <w:color w:val="auto"/>
              </w:rPr>
            </w:pP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Palmetto Moon, LLC</w:t>
            </w:r>
          </w:p>
        </w:tc>
        <w:tc>
          <w:tcPr>
            <w:tcW w:w="3100" w:type="dxa"/>
            <w:vAlign w:val="bottom"/>
          </w:tcPr>
          <w:p>
            <w:pPr>
              <w:ind w:left="20"/>
              <w:spacing w:after="0"/>
              <w:rPr>
                <w:sz w:val="20"/>
                <w:szCs w:val="20"/>
                <w:color w:val="auto"/>
              </w:rPr>
            </w:pPr>
            <w:r>
              <w:rPr>
                <w:rFonts w:ascii="Times New Roman" w:cs="Times New Roman" w:eastAsia="Times New Roman" w:hAnsi="Times New Roman"/>
                <w:sz w:val="9"/>
                <w:szCs w:val="9"/>
                <w:color w:val="auto"/>
              </w:rPr>
              <w:t>Retail</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(499 units) (j)</w:t>
            </w: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11/3/2016</w:t>
            </w: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265</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948</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Pool &amp; Electrical Products, LLC (n)</w:t>
            </w:r>
          </w:p>
        </w:tc>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Specialty Distribution</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(15,000 units) (h)(j)</w:t>
            </w: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10/28/2020</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549</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4,466</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620" w:type="dxa"/>
            <w:vAlign w:val="bottom"/>
            <w:shd w:val="clear" w:color="auto" w:fill="CFF0FC"/>
          </w:tcPr>
          <w:p>
            <w:pPr>
              <w:spacing w:after="0"/>
              <w:rPr>
                <w:sz w:val="10"/>
                <w:szCs w:val="10"/>
                <w:color w:val="auto"/>
              </w:rPr>
            </w:pP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Power Grid Components, Inc.</w:t>
            </w:r>
          </w:p>
        </w:tc>
        <w:tc>
          <w:tcPr>
            <w:tcW w:w="3100" w:type="dxa"/>
            <w:vAlign w:val="bottom"/>
          </w:tcPr>
          <w:p>
            <w:pPr>
              <w:ind w:left="20"/>
              <w:spacing w:after="0"/>
              <w:rPr>
                <w:sz w:val="20"/>
                <w:szCs w:val="20"/>
                <w:color w:val="auto"/>
              </w:rPr>
            </w:pPr>
            <w:r>
              <w:rPr>
                <w:rFonts w:ascii="Times New Roman" w:cs="Times New Roman" w:eastAsia="Times New Roman" w:hAnsi="Times New Roman"/>
                <w:sz w:val="9"/>
                <w:szCs w:val="9"/>
                <w:color w:val="auto"/>
              </w:rPr>
              <w:t>Specialty Distribution</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(k)</w:t>
            </w: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11.00%/1.00%</w:t>
            </w: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4/12/2018</w:t>
            </w:r>
          </w:p>
        </w:tc>
        <w:tc>
          <w:tcPr>
            <w:tcW w:w="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12/2/2025</w:t>
            </w:r>
          </w:p>
        </w:tc>
        <w:tc>
          <w:tcPr>
            <w:tcW w:w="7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17,614</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17,558</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17,614</w:t>
            </w: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(392 shares) (j)</w:t>
            </w: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4/12/2018</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392</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578</w:t>
            </w: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(48 shares) (j)</w:t>
            </w: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12/2/2019</w:t>
            </w: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48</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71</w:t>
            </w:r>
          </w:p>
        </w:tc>
        <w:tc>
          <w:tcPr>
            <w:tcW w:w="660" w:type="dxa"/>
            <w:vAlign w:val="bottom"/>
            <w:shd w:val="clear" w:color="auto" w:fill="CFF0FC"/>
          </w:tcPr>
          <w:p>
            <w:pPr>
              <w:spacing w:after="0"/>
              <w:rPr>
                <w:sz w:val="10"/>
                <w:szCs w:val="10"/>
                <w:color w:val="auto"/>
              </w:rPr>
            </w:pPr>
          </w:p>
        </w:tc>
      </w:tr>
      <w:tr>
        <w:trPr>
          <w:trHeight w:val="122"/>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(10,622 shares) (j)</w:t>
            </w: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4/12/2018</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462</w:t>
            </w:r>
          </w:p>
        </w:tc>
        <w:tc>
          <w:tcPr>
            <w:tcW w:w="100" w:type="dxa"/>
            <w:vAlign w:val="bottom"/>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207</w:t>
            </w:r>
          </w:p>
        </w:tc>
        <w:tc>
          <w:tcPr>
            <w:tcW w:w="66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18,460</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18,470</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PowerGrid Services Acquisition, LLC</w:t>
            </w:r>
          </w:p>
        </w:tc>
        <w:tc>
          <w:tcPr>
            <w:tcW w:w="3100" w:type="dxa"/>
            <w:vAlign w:val="bottom"/>
          </w:tcPr>
          <w:p>
            <w:pPr>
              <w:ind w:left="20"/>
              <w:spacing w:after="0"/>
              <w:rPr>
                <w:sz w:val="20"/>
                <w:szCs w:val="20"/>
                <w:color w:val="auto"/>
              </w:rPr>
            </w:pPr>
            <w:r>
              <w:rPr>
                <w:rFonts w:ascii="Times New Roman" w:cs="Times New Roman" w:eastAsia="Times New Roman" w:hAnsi="Times New Roman"/>
                <w:sz w:val="9"/>
                <w:szCs w:val="9"/>
                <w:color w:val="auto"/>
              </w:rPr>
              <w:t>Utilities: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310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9"/>
                <w:szCs w:val="9"/>
                <w:color w:val="auto"/>
              </w:rPr>
              <w:t>(L + 9.50%) / (1.00%)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10.50%/0.00%</w:t>
            </w: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9/21/2021</w:t>
            </w:r>
          </w:p>
        </w:tc>
        <w:tc>
          <w:tcPr>
            <w:tcW w:w="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3/21/2029</w:t>
            </w:r>
          </w:p>
        </w:tc>
        <w:tc>
          <w:tcPr>
            <w:tcW w:w="7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10,831</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10,781</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10,831</w:t>
            </w:r>
          </w:p>
        </w:tc>
        <w:tc>
          <w:tcPr>
            <w:tcW w:w="660" w:type="dxa"/>
            <w:vAlign w:val="bottom"/>
            <w:shd w:val="clear" w:color="auto" w:fill="CFF0FC"/>
          </w:tcPr>
          <w:p>
            <w:pPr>
              <w:spacing w:after="0"/>
              <w:rPr>
                <w:sz w:val="10"/>
                <w:szCs w:val="10"/>
                <w:color w:val="auto"/>
              </w:rPr>
            </w:pPr>
          </w:p>
        </w:tc>
      </w:tr>
      <w:tr>
        <w:trPr>
          <w:trHeight w:val="122"/>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(5,000 units) (h)(j)</w:t>
            </w: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9/21/2021</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100" w:type="dxa"/>
            <w:vAlign w:val="bottom"/>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493</w:t>
            </w:r>
          </w:p>
        </w:tc>
        <w:tc>
          <w:tcPr>
            <w:tcW w:w="66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11,281</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11,324</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Prime AE Group, Inc.</w:t>
            </w:r>
          </w:p>
        </w:tc>
        <w:tc>
          <w:tcPr>
            <w:tcW w:w="3100" w:type="dxa"/>
            <w:vAlign w:val="bottom"/>
          </w:tcPr>
          <w:p>
            <w:pPr>
              <w:ind w:left="20"/>
              <w:spacing w:after="0"/>
              <w:rPr>
                <w:sz w:val="20"/>
                <w:szCs w:val="20"/>
                <w:color w:val="auto"/>
              </w:rPr>
            </w:pPr>
            <w:r>
              <w:rPr>
                <w:rFonts w:ascii="Times New Roman" w:cs="Times New Roman" w:eastAsia="Times New Roman" w:hAnsi="Times New Roman"/>
                <w:sz w:val="9"/>
                <w:szCs w:val="9"/>
                <w:color w:val="auto"/>
              </w:rPr>
              <w:t>Business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10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9"/>
                <w:szCs w:val="9"/>
                <w:color w:val="auto"/>
              </w:rPr>
              <w:t>(L + 6.25%) / (2.00%)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8.25%/0.00%</w:t>
            </w: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11/25/2019</w:t>
            </w:r>
          </w:p>
        </w:tc>
        <w:tc>
          <w:tcPr>
            <w:tcW w:w="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11/25/2024</w:t>
            </w:r>
          </w:p>
        </w:tc>
        <w:tc>
          <w:tcPr>
            <w:tcW w:w="7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6,000</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5,897</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6,000</w:t>
            </w:r>
          </w:p>
        </w:tc>
        <w:tc>
          <w:tcPr>
            <w:tcW w:w="660" w:type="dxa"/>
            <w:vAlign w:val="bottom"/>
            <w:shd w:val="clear" w:color="auto" w:fill="CFF0FC"/>
          </w:tcPr>
          <w:p>
            <w:pPr>
              <w:spacing w:after="0"/>
              <w:rPr>
                <w:sz w:val="10"/>
                <w:szCs w:val="10"/>
                <w:color w:val="auto"/>
              </w:rPr>
            </w:pPr>
          </w:p>
        </w:tc>
      </w:tr>
      <w:tr>
        <w:trPr>
          <w:trHeight w:val="122"/>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(900,000 shares) (j)</w:t>
            </w: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11/25/2019</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900</w:t>
            </w:r>
          </w:p>
        </w:tc>
        <w:tc>
          <w:tcPr>
            <w:tcW w:w="100" w:type="dxa"/>
            <w:vAlign w:val="bottom"/>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454</w:t>
            </w:r>
          </w:p>
        </w:tc>
        <w:tc>
          <w:tcPr>
            <w:tcW w:w="66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6,797</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6,454</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Pugh Lubricants, LLC (n)</w:t>
            </w:r>
          </w:p>
        </w:tc>
        <w:tc>
          <w:tcPr>
            <w:tcW w:w="3100" w:type="dxa"/>
            <w:vAlign w:val="bottom"/>
          </w:tcPr>
          <w:p>
            <w:pPr>
              <w:ind w:left="20"/>
              <w:spacing w:after="0"/>
              <w:rPr>
                <w:sz w:val="20"/>
                <w:szCs w:val="20"/>
                <w:color w:val="auto"/>
              </w:rPr>
            </w:pPr>
            <w:r>
              <w:rPr>
                <w:rFonts w:ascii="Times New Roman" w:cs="Times New Roman" w:eastAsia="Times New Roman" w:hAnsi="Times New Roman"/>
                <w:sz w:val="9"/>
                <w:szCs w:val="9"/>
                <w:color w:val="auto"/>
              </w:rPr>
              <w:t>Specialty Distribution</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(3,062 units) (h)(j)</w:t>
            </w: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11/10/2016</w:t>
            </w: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1"/>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Quest Software US Holdings Inc.</w:t>
            </w:r>
          </w:p>
        </w:tc>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3100" w:type="dxa"/>
            <w:vAlign w:val="bottom"/>
          </w:tcPr>
          <w:p>
            <w:pPr>
              <w:ind w:left="2080"/>
              <w:spacing w:after="0"/>
              <w:rPr>
                <w:sz w:val="20"/>
                <w:szCs w:val="20"/>
                <w:color w:val="auto"/>
              </w:rPr>
            </w:pPr>
            <w:r>
              <w:rPr>
                <w:rFonts w:ascii="Times New Roman" w:cs="Times New Roman" w:eastAsia="Times New Roman" w:hAnsi="Times New Roman"/>
                <w:sz w:val="9"/>
                <w:szCs w:val="9"/>
                <w:color w:val="auto"/>
              </w:rPr>
              <w:t>(S + 7.50%) / (0.50%)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8.00%/0.00%</w:t>
            </w: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3/1/2022</w:t>
            </w:r>
          </w:p>
        </w:tc>
        <w:tc>
          <w:tcPr>
            <w:tcW w:w="9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2/1/2030</w:t>
            </w: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15,000</w:t>
            </w: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14,777</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14,777</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2"/>
        </w:trPr>
        <w:tc>
          <w:tcPr>
            <w:tcW w:w="2620" w:type="dxa"/>
            <w:vAlign w:val="bottom"/>
            <w:shd w:val="clear" w:color="auto" w:fill="CFF0FC"/>
          </w:tcPr>
          <w:p>
            <w:pPr>
              <w:spacing w:after="0"/>
              <w:rPr>
                <w:sz w:val="10"/>
                <w:szCs w:val="10"/>
                <w:color w:val="auto"/>
              </w:rPr>
            </w:pP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Rhino Assembly Company, LLC</w:t>
            </w:r>
          </w:p>
        </w:tc>
        <w:tc>
          <w:tcPr>
            <w:tcW w:w="3100" w:type="dxa"/>
            <w:vAlign w:val="bottom"/>
          </w:tcPr>
          <w:p>
            <w:pPr>
              <w:ind w:left="20"/>
              <w:spacing w:after="0"/>
              <w:rPr>
                <w:sz w:val="20"/>
                <w:szCs w:val="20"/>
                <w:color w:val="auto"/>
              </w:rPr>
            </w:pPr>
            <w:r>
              <w:rPr>
                <w:rFonts w:ascii="Times New Roman" w:cs="Times New Roman" w:eastAsia="Times New Roman" w:hAnsi="Times New Roman"/>
                <w:sz w:val="9"/>
                <w:szCs w:val="9"/>
                <w:color w:val="auto"/>
              </w:rPr>
              <w:t>Specialty Distribution</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(k)</w:t>
            </w: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11.50%/0.00%</w:t>
            </w: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8/11/2017</w:t>
            </w:r>
          </w:p>
        </w:tc>
        <w:tc>
          <w:tcPr>
            <w:tcW w:w="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2/11/2026</w:t>
            </w:r>
          </w:p>
        </w:tc>
        <w:tc>
          <w:tcPr>
            <w:tcW w:w="7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14,851</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14,834</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14,851</w:t>
            </w: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(Class A Units) (10,915 units) (h)(j)</w:t>
            </w: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8/11/2017</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1,125</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1,418</w:t>
            </w: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(Units N/A) (h)(j)</w:t>
            </w: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12/10/2020</w:t>
            </w: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268</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289</w:t>
            </w:r>
          </w:p>
        </w:tc>
        <w:tc>
          <w:tcPr>
            <w:tcW w:w="660" w:type="dxa"/>
            <w:vAlign w:val="bottom"/>
            <w:shd w:val="clear" w:color="auto" w:fill="CFF0FC"/>
          </w:tcPr>
          <w:p>
            <w:pPr>
              <w:spacing w:after="0"/>
              <w:rPr>
                <w:sz w:val="10"/>
                <w:szCs w:val="10"/>
                <w:color w:val="auto"/>
              </w:rPr>
            </w:pPr>
          </w:p>
        </w:tc>
      </w:tr>
      <w:tr>
        <w:trPr>
          <w:trHeight w:val="122"/>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(Class F Units) (710 units) (h)(j)</w:t>
            </w: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12/10/2020</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16,227</w:t>
            </w:r>
          </w:p>
        </w:tc>
        <w:tc>
          <w:tcPr>
            <w:tcW w:w="100" w:type="dxa"/>
            <w:vAlign w:val="bottom"/>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16,558</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Road Safety Services, Inc.</w:t>
            </w:r>
          </w:p>
        </w:tc>
        <w:tc>
          <w:tcPr>
            <w:tcW w:w="3100" w:type="dxa"/>
            <w:vAlign w:val="bottom"/>
          </w:tcPr>
          <w:p>
            <w:pPr>
              <w:ind w:left="20"/>
              <w:spacing w:after="0"/>
              <w:rPr>
                <w:sz w:val="20"/>
                <w:szCs w:val="20"/>
                <w:color w:val="auto"/>
              </w:rPr>
            </w:pPr>
            <w:r>
              <w:rPr>
                <w:rFonts w:ascii="Times New Roman" w:cs="Times New Roman" w:eastAsia="Times New Roman" w:hAnsi="Times New Roman"/>
                <w:sz w:val="9"/>
                <w:szCs w:val="9"/>
                <w:color w:val="auto"/>
              </w:rPr>
              <w:t>Business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w:t>
            </w: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11.25%/2.00%</w:t>
            </w: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9/18/2018</w:t>
            </w:r>
          </w:p>
        </w:tc>
        <w:tc>
          <w:tcPr>
            <w:tcW w:w="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9/18/2025</w:t>
            </w:r>
          </w:p>
        </w:tc>
        <w:tc>
          <w:tcPr>
            <w:tcW w:w="7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15,603</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15,561</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15,603</w:t>
            </w: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(779 units)</w:t>
            </w: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9/18/2018</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1,121</w:t>
            </w:r>
          </w:p>
        </w:tc>
        <w:tc>
          <w:tcPr>
            <w:tcW w:w="100" w:type="dxa"/>
            <w:vAlign w:val="bottom"/>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1,322</w:t>
            </w:r>
          </w:p>
        </w:tc>
        <w:tc>
          <w:tcPr>
            <w:tcW w:w="66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16,682</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16,925</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SES Investors, LLC (dba SES Foam)</w:t>
            </w:r>
          </w:p>
        </w:tc>
        <w:tc>
          <w:tcPr>
            <w:tcW w:w="3100" w:type="dxa"/>
            <w:vAlign w:val="bottom"/>
          </w:tcPr>
          <w:p>
            <w:pPr>
              <w:ind w:left="20"/>
              <w:spacing w:after="0"/>
              <w:rPr>
                <w:sz w:val="20"/>
                <w:szCs w:val="20"/>
                <w:color w:val="auto"/>
              </w:rPr>
            </w:pPr>
            <w:r>
              <w:rPr>
                <w:rFonts w:ascii="Times New Roman" w:cs="Times New Roman" w:eastAsia="Times New Roman" w:hAnsi="Times New Roman"/>
                <w:sz w:val="9"/>
                <w:szCs w:val="9"/>
                <w:color w:val="auto"/>
              </w:rPr>
              <w:t>Building Products Manufacturing</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(6,000 units) (h)(j)</w:t>
            </w: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9/8/2016</w:t>
            </w: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404</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5,094</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6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Suited Connector LLC</w:t>
            </w:r>
          </w:p>
        </w:tc>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3100" w:type="dxa"/>
            <w:vAlign w:val="bottom"/>
          </w:tcPr>
          <w:p>
            <w:pPr>
              <w:spacing w:after="0"/>
              <w:rPr>
                <w:sz w:val="10"/>
                <w:szCs w:val="10"/>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12.00%/0.00%</w:t>
            </w: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10/29/2021</w:t>
            </w:r>
          </w:p>
        </w:tc>
        <w:tc>
          <w:tcPr>
            <w:tcW w:w="9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6/1/2028</w:t>
            </w: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16,000</w:t>
            </w: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15,924</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15,924</w:t>
            </w:r>
          </w:p>
        </w:tc>
        <w:tc>
          <w:tcPr>
            <w:tcW w:w="660" w:type="dxa"/>
            <w:vAlign w:val="bottom"/>
          </w:tcPr>
          <w:p>
            <w:pPr>
              <w:spacing w:after="0"/>
              <w:rPr>
                <w:sz w:val="10"/>
                <w:szCs w:val="10"/>
                <w:color w:val="auto"/>
              </w:rPr>
            </w:pPr>
          </w:p>
        </w:tc>
      </w:tr>
      <w:tr>
        <w:trPr>
          <w:trHeight w:val="122"/>
        </w:trPr>
        <w:tc>
          <w:tcPr>
            <w:tcW w:w="2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(7,500 units) (h)(j)</w:t>
            </w:r>
          </w:p>
        </w:tc>
        <w:tc>
          <w:tcPr>
            <w:tcW w:w="310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12/1/2021</w:t>
            </w:r>
          </w:p>
        </w:tc>
        <w:tc>
          <w:tcPr>
            <w:tcW w:w="98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750</w:t>
            </w:r>
          </w:p>
        </w:tc>
        <w:tc>
          <w:tcPr>
            <w:tcW w:w="10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750</w:t>
            </w:r>
          </w:p>
        </w:tc>
        <w:tc>
          <w:tcPr>
            <w:tcW w:w="660" w:type="dxa"/>
            <w:vAlign w:val="bottom"/>
            <w:tcBorders>
              <w:bottom w:val="single" w:sz="8" w:color="CFF0FC"/>
            </w:tcBorders>
            <w:shd w:val="clear" w:color="auto" w:fill="CFF0FC"/>
          </w:tcPr>
          <w:p>
            <w:pPr>
              <w:spacing w:after="0"/>
              <w:rPr>
                <w:sz w:val="10"/>
                <w:szCs w:val="10"/>
                <w:color w:val="auto"/>
              </w:rPr>
            </w:pPr>
          </w:p>
        </w:tc>
      </w:tr>
      <w:tr>
        <w:trPr>
          <w:trHeight w:val="114"/>
        </w:trPr>
        <w:tc>
          <w:tcPr>
            <w:tcW w:w="26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16,674</w:t>
            </w:r>
          </w:p>
        </w:tc>
        <w:tc>
          <w:tcPr>
            <w:tcW w:w="10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16,674</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Tedia Company, LLC</w:t>
            </w:r>
          </w:p>
        </w:tc>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Healthcare Products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100" w:type="dxa"/>
            <w:vAlign w:val="bottom"/>
          </w:tcPr>
          <w:p>
            <w:pPr>
              <w:ind w:left="2080"/>
              <w:spacing w:after="0"/>
              <w:rPr>
                <w:sz w:val="20"/>
                <w:szCs w:val="20"/>
                <w:color w:val="auto"/>
              </w:rPr>
            </w:pPr>
            <w:r>
              <w:rPr>
                <w:rFonts w:ascii="Times New Roman" w:cs="Times New Roman" w:eastAsia="Times New Roman" w:hAnsi="Times New Roman"/>
                <w:sz w:val="9"/>
                <w:szCs w:val="9"/>
                <w:color w:val="auto"/>
              </w:rPr>
              <w:t>(S + 7.75%) / (1.00%)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8.75%/0.00%</w:t>
            </w: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3/4/2022</w:t>
            </w:r>
          </w:p>
        </w:tc>
        <w:tc>
          <w:tcPr>
            <w:tcW w:w="9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3/4/2027</w:t>
            </w: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15,600</w:t>
            </w: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15,514</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15,514</w:t>
            </w: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Revolving Loan ($4,000 unfunded commitment) (j)(i)</w:t>
            </w:r>
          </w:p>
        </w:tc>
        <w:tc>
          <w:tcPr>
            <w:tcW w:w="310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9"/>
                <w:szCs w:val="9"/>
                <w:color w:val="auto"/>
              </w:rPr>
              <w:t>(S + 7.75%) / (1.00%)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8.75%/0.00%</w:t>
            </w: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3/4/2022</w:t>
            </w:r>
          </w:p>
        </w:tc>
        <w:tc>
          <w:tcPr>
            <w:tcW w:w="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3/4/2027</w:t>
            </w:r>
          </w:p>
        </w:tc>
        <w:tc>
          <w:tcPr>
            <w:tcW w:w="7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(22 )</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Delayed Draw Commitment ($3,000 unfunded commitment) (j)(ac)</w:t>
            </w:r>
          </w:p>
        </w:tc>
        <w:tc>
          <w:tcPr>
            <w:tcW w:w="3100" w:type="dxa"/>
            <w:vAlign w:val="bottom"/>
          </w:tcPr>
          <w:p>
            <w:pPr>
              <w:ind w:left="2080"/>
              <w:spacing w:after="0"/>
              <w:rPr>
                <w:sz w:val="20"/>
                <w:szCs w:val="20"/>
                <w:color w:val="auto"/>
              </w:rPr>
            </w:pPr>
            <w:r>
              <w:rPr>
                <w:rFonts w:ascii="Times New Roman" w:cs="Times New Roman" w:eastAsia="Times New Roman" w:hAnsi="Times New Roman"/>
                <w:sz w:val="9"/>
                <w:szCs w:val="9"/>
                <w:color w:val="auto"/>
              </w:rPr>
              <w:t>(S + 7.75%) / (1.00%)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8.75%/0.00%</w:t>
            </w: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3/4/2022</w:t>
            </w:r>
          </w:p>
        </w:tc>
        <w:tc>
          <w:tcPr>
            <w:tcW w:w="9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3/4/2027</w:t>
            </w: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(17 )</w:t>
            </w: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7.25%/7.25%</w:t>
            </w: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3/4/2022</w:t>
            </w:r>
          </w:p>
        </w:tc>
        <w:tc>
          <w:tcPr>
            <w:tcW w:w="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9/4/2027</w:t>
            </w:r>
          </w:p>
        </w:tc>
        <w:tc>
          <w:tcPr>
            <w:tcW w:w="7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2,514</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2,499</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2,499</w:t>
            </w: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(Series A) (1,000 units) (h)(j)</w:t>
            </w: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3/4/2022</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1,000</w:t>
            </w:r>
          </w:p>
        </w:tc>
        <w:tc>
          <w:tcPr>
            <w:tcW w:w="100" w:type="dxa"/>
            <w:vAlign w:val="bottom"/>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1,000</w:t>
            </w:r>
          </w:p>
        </w:tc>
        <w:tc>
          <w:tcPr>
            <w:tcW w:w="66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18,974</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19,013</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TransGo, LLC</w:t>
            </w:r>
          </w:p>
        </w:tc>
        <w:tc>
          <w:tcPr>
            <w:tcW w:w="3100" w:type="dxa"/>
            <w:vAlign w:val="bottom"/>
          </w:tcPr>
          <w:p>
            <w:pPr>
              <w:ind w:left="20"/>
              <w:spacing w:after="0"/>
              <w:rPr>
                <w:sz w:val="20"/>
                <w:szCs w:val="20"/>
                <w:color w:val="auto"/>
              </w:rPr>
            </w:pPr>
            <w:r>
              <w:rPr>
                <w:rFonts w:ascii="Times New Roman" w:cs="Times New Roman" w:eastAsia="Times New Roman" w:hAnsi="Times New Roman"/>
                <w:sz w:val="9"/>
                <w:szCs w:val="9"/>
                <w:color w:val="auto"/>
              </w:rPr>
              <w:t>Component Manufacturing</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(500 units) (j)</w:t>
            </w: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2/28/2017</w:t>
            </w: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428</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1,994</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6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The Tranzonic Companies</w:t>
            </w:r>
          </w:p>
        </w:tc>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Specialty Distribution</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(5,653 units) (j)</w:t>
            </w: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3/27/2018</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565</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822</w:t>
            </w: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 units) (j)</w:t>
            </w: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3/27/2018</w:t>
            </w: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585</w:t>
            </w:r>
          </w:p>
        </w:tc>
        <w:tc>
          <w:tcPr>
            <w:tcW w:w="660" w:type="dxa"/>
            <w:vAlign w:val="bottom"/>
            <w:shd w:val="clear" w:color="auto" w:fill="CFF0FC"/>
          </w:tcPr>
          <w:p>
            <w:pPr>
              <w:spacing w:after="0"/>
              <w:rPr>
                <w:sz w:val="10"/>
                <w:szCs w:val="10"/>
                <w:color w:val="auto"/>
              </w:rPr>
            </w:pPr>
          </w:p>
        </w:tc>
      </w:tr>
      <w:tr>
        <w:trPr>
          <w:trHeight w:val="115"/>
        </w:trPr>
        <w:tc>
          <w:tcPr>
            <w:tcW w:w="2620" w:type="dxa"/>
            <w:vAlign w:val="bottom"/>
            <w:tcBorders>
              <w:top w:val="single" w:sz="8" w:color="CFF0FC"/>
            </w:tcBorders>
          </w:tcPr>
          <w:p>
            <w:pPr>
              <w:spacing w:after="0"/>
              <w:rPr>
                <w:sz w:val="9"/>
                <w:szCs w:val="9"/>
                <w:color w:val="auto"/>
              </w:rPr>
            </w:pPr>
          </w:p>
        </w:tc>
        <w:tc>
          <w:tcPr>
            <w:tcW w:w="3100" w:type="dxa"/>
            <w:vAlign w:val="bottom"/>
            <w:tcBorders>
              <w:top w:val="single" w:sz="8" w:color="CFF0FC"/>
            </w:tcBorders>
          </w:tcPr>
          <w:p>
            <w:pPr>
              <w:spacing w:after="0"/>
              <w:rPr>
                <w:sz w:val="9"/>
                <w:szCs w:val="9"/>
                <w:color w:val="auto"/>
              </w:rPr>
            </w:pPr>
          </w:p>
        </w:tc>
        <w:tc>
          <w:tcPr>
            <w:tcW w:w="920" w:type="dxa"/>
            <w:vAlign w:val="bottom"/>
            <w:tcBorders>
              <w:top w:val="single" w:sz="8" w:color="CFF0FC"/>
            </w:tcBorders>
          </w:tcPr>
          <w:p>
            <w:pPr>
              <w:spacing w:after="0"/>
              <w:rPr>
                <w:sz w:val="9"/>
                <w:szCs w:val="9"/>
                <w:color w:val="auto"/>
              </w:rPr>
            </w:pPr>
          </w:p>
        </w:tc>
        <w:tc>
          <w:tcPr>
            <w:tcW w:w="800" w:type="dxa"/>
            <w:vAlign w:val="bottom"/>
            <w:tcBorders>
              <w:top w:val="single" w:sz="8" w:color="CFF0FC"/>
            </w:tcBorders>
          </w:tcPr>
          <w:p>
            <w:pPr>
              <w:spacing w:after="0"/>
              <w:rPr>
                <w:sz w:val="9"/>
                <w:szCs w:val="9"/>
                <w:color w:val="auto"/>
              </w:rPr>
            </w:pPr>
          </w:p>
        </w:tc>
        <w:tc>
          <w:tcPr>
            <w:tcW w:w="980" w:type="dxa"/>
            <w:vAlign w:val="bottom"/>
            <w:tcBorders>
              <w:top w:val="single" w:sz="8" w:color="CFF0FC"/>
            </w:tcBorders>
          </w:tcPr>
          <w:p>
            <w:pPr>
              <w:spacing w:after="0"/>
              <w:rPr>
                <w:sz w:val="9"/>
                <w:szCs w:val="9"/>
                <w:color w:val="auto"/>
              </w:rPr>
            </w:pPr>
          </w:p>
        </w:tc>
        <w:tc>
          <w:tcPr>
            <w:tcW w:w="740" w:type="dxa"/>
            <w:vAlign w:val="bottom"/>
            <w:tcBorders>
              <w:top w:val="single" w:sz="8" w:color="CFF0FC"/>
            </w:tcBorders>
          </w:tcPr>
          <w:p>
            <w:pPr>
              <w:spacing w:after="0"/>
              <w:rPr>
                <w:sz w:val="9"/>
                <w:szCs w:val="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565</w:t>
            </w:r>
          </w:p>
        </w:tc>
        <w:tc>
          <w:tcPr>
            <w:tcW w:w="100" w:type="dxa"/>
            <w:vAlign w:val="bottom"/>
            <w:tcBorders>
              <w:top w:val="single" w:sz="8" w:color="CFF0FC"/>
            </w:tcBorders>
          </w:tcPr>
          <w:p>
            <w:pPr>
              <w:spacing w:after="0"/>
              <w:rPr>
                <w:sz w:val="9"/>
                <w:szCs w:val="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1,407</w:t>
            </w:r>
          </w:p>
        </w:tc>
        <w:tc>
          <w:tcPr>
            <w:tcW w:w="6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UBEO, LLC</w:t>
            </w:r>
          </w:p>
        </w:tc>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Business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(705,000 units) (h)(j)</w:t>
            </w: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4/3/2018</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645</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897</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20" w:type="dxa"/>
            <w:vAlign w:val="bottom"/>
            <w:shd w:val="clear" w:color="auto" w:fill="CFF0FC"/>
          </w:tcPr>
          <w:p>
            <w:pPr>
              <w:spacing w:after="0"/>
              <w:rPr>
                <w:sz w:val="10"/>
                <w:szCs w:val="10"/>
                <w:color w:val="auto"/>
              </w:rPr>
            </w:pP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United Biologics, LLC</w:t>
            </w:r>
          </w:p>
        </w:tc>
        <w:tc>
          <w:tcPr>
            <w:tcW w:w="3100" w:type="dxa"/>
            <w:vAlign w:val="bottom"/>
          </w:tcPr>
          <w:p>
            <w:pPr>
              <w:ind w:left="20"/>
              <w:spacing w:after="0"/>
              <w:rPr>
                <w:sz w:val="20"/>
                <w:szCs w:val="20"/>
                <w:color w:val="auto"/>
              </w:rPr>
            </w:pPr>
            <w:r>
              <w:rPr>
                <w:rFonts w:ascii="Times New Roman" w:cs="Times New Roman" w:eastAsia="Times New Roman" w:hAnsi="Times New Roman"/>
                <w:sz w:val="9"/>
                <w:szCs w:val="9"/>
                <w:color w:val="auto"/>
              </w:rPr>
              <w:t>Healthcare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(98,377 units) (h)(j)</w:t>
            </w: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4/1/2012</w:t>
            </w: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1,008</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Warrant (57,469 units) (j)(m)</w:t>
            </w: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3/5/2012</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566</w:t>
            </w:r>
          </w:p>
        </w:tc>
        <w:tc>
          <w:tcPr>
            <w:tcW w:w="100" w:type="dxa"/>
            <w:vAlign w:val="bottom"/>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1,574</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UPG Company, LLC</w:t>
            </w:r>
          </w:p>
        </w:tc>
        <w:tc>
          <w:tcPr>
            <w:tcW w:w="3100" w:type="dxa"/>
            <w:vAlign w:val="bottom"/>
          </w:tcPr>
          <w:p>
            <w:pPr>
              <w:ind w:left="20"/>
              <w:spacing w:after="0"/>
              <w:rPr>
                <w:sz w:val="20"/>
                <w:szCs w:val="20"/>
                <w:color w:val="auto"/>
              </w:rPr>
            </w:pPr>
            <w:r>
              <w:rPr>
                <w:rFonts w:ascii="Times New Roman" w:cs="Times New Roman" w:eastAsia="Times New Roman" w:hAnsi="Times New Roman"/>
                <w:sz w:val="9"/>
                <w:szCs w:val="9"/>
                <w:color w:val="auto"/>
              </w:rPr>
              <w:t>Component Manufacturing</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(j)(al)</w:t>
            </w:r>
          </w:p>
        </w:tc>
        <w:tc>
          <w:tcPr>
            <w:tcW w:w="310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9"/>
                <w:szCs w:val="9"/>
                <w:color w:val="auto"/>
              </w:rPr>
              <w:t>(S + 8.25%) / (0.50%)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8.75%/0.00%</w:t>
            </w: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6/21/2021</w:t>
            </w:r>
          </w:p>
        </w:tc>
        <w:tc>
          <w:tcPr>
            <w:tcW w:w="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6/21/2024</w:t>
            </w:r>
          </w:p>
        </w:tc>
        <w:tc>
          <w:tcPr>
            <w:tcW w:w="7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16,700</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16,603</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16,700</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1"/>
        </w:trPr>
        <w:tc>
          <w:tcPr>
            <w:tcW w:w="26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1"/>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Virginia Tile Company, LLC</w:t>
            </w:r>
          </w:p>
        </w:tc>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Specialty Distribution</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(17 units) (j)</w:t>
            </w: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12/19/2014</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342</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996</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20" w:type="dxa"/>
            <w:vAlign w:val="bottom"/>
            <w:shd w:val="clear" w:color="auto" w:fill="CFF0FC"/>
          </w:tcPr>
          <w:p>
            <w:pPr>
              <w:spacing w:after="0"/>
              <w:rPr>
                <w:sz w:val="10"/>
                <w:szCs w:val="10"/>
                <w:color w:val="auto"/>
              </w:rPr>
            </w:pP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Western's Smokehouse, LLC</w:t>
            </w:r>
          </w:p>
        </w:tc>
        <w:tc>
          <w:tcPr>
            <w:tcW w:w="3100" w:type="dxa"/>
            <w:vAlign w:val="bottom"/>
          </w:tcPr>
          <w:p>
            <w:pPr>
              <w:ind w:left="20"/>
              <w:spacing w:after="0"/>
              <w:rPr>
                <w:sz w:val="20"/>
                <w:szCs w:val="20"/>
                <w:color w:val="auto"/>
              </w:rPr>
            </w:pPr>
            <w:r>
              <w:rPr>
                <w:rFonts w:ascii="Times New Roman" w:cs="Times New Roman" w:eastAsia="Times New Roman" w:hAnsi="Times New Roman"/>
                <w:sz w:val="9"/>
                <w:szCs w:val="9"/>
                <w:color w:val="auto"/>
              </w:rPr>
              <w:t>Consumer Products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(j)(ab)</w:t>
            </w:r>
          </w:p>
        </w:tc>
        <w:tc>
          <w:tcPr>
            <w:tcW w:w="310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9"/>
                <w:szCs w:val="9"/>
                <w:color w:val="auto"/>
              </w:rPr>
              <w:t>(L + 6.50%) / (1.25%)</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7.75%/0.00%</w:t>
            </w: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2/28/2020</w:t>
            </w:r>
          </w:p>
        </w:tc>
        <w:tc>
          <w:tcPr>
            <w:tcW w:w="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12/23/2024</w:t>
            </w:r>
          </w:p>
        </w:tc>
        <w:tc>
          <w:tcPr>
            <w:tcW w:w="7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9,625</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9,540</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9,625</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6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1"/>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Winona Foods, Inc.</w:t>
            </w:r>
          </w:p>
        </w:tc>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Specialty Distribution</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(j)(am)</w:t>
            </w:r>
          </w:p>
        </w:tc>
        <w:tc>
          <w:tcPr>
            <w:tcW w:w="3100" w:type="dxa"/>
            <w:vAlign w:val="bottom"/>
          </w:tcPr>
          <w:p>
            <w:pPr>
              <w:ind w:left="2080"/>
              <w:spacing w:after="0"/>
              <w:rPr>
                <w:sz w:val="20"/>
                <w:szCs w:val="20"/>
                <w:color w:val="auto"/>
              </w:rPr>
            </w:pPr>
            <w:r>
              <w:rPr>
                <w:rFonts w:ascii="Times New Roman" w:cs="Times New Roman" w:eastAsia="Times New Roman" w:hAnsi="Times New Roman"/>
                <w:sz w:val="9"/>
                <w:szCs w:val="9"/>
                <w:color w:val="auto"/>
              </w:rPr>
              <w:t>(L + 12.00%) / (1.00%)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13.00%/0.00%</w:t>
            </w: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4/1/2021</w:t>
            </w:r>
          </w:p>
        </w:tc>
        <w:tc>
          <w:tcPr>
            <w:tcW w:w="9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4/1/2026</w:t>
            </w: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4,000</w:t>
            </w: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3,886</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4,000</w:t>
            </w:r>
          </w:p>
        </w:tc>
        <w:tc>
          <w:tcPr>
            <w:tcW w:w="660" w:type="dxa"/>
            <w:vAlign w:val="bottom"/>
          </w:tcPr>
          <w:p>
            <w:pPr>
              <w:spacing w:after="0"/>
              <w:rPr>
                <w:sz w:val="10"/>
                <w:szCs w:val="10"/>
                <w:color w:val="auto"/>
              </w:rPr>
            </w:pPr>
          </w:p>
        </w:tc>
      </w:tr>
      <w:tr>
        <w:trPr>
          <w:trHeight w:val="122"/>
        </w:trPr>
        <w:tc>
          <w:tcPr>
            <w:tcW w:w="2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w:t>
            </w:r>
          </w:p>
        </w:tc>
        <w:tc>
          <w:tcPr>
            <w:tcW w:w="3100" w:type="dxa"/>
            <w:vAlign w:val="bottom"/>
            <w:tcBorders>
              <w:bottom w:val="single" w:sz="8" w:color="CFF0FC"/>
            </w:tcBorders>
            <w:shd w:val="clear" w:color="auto" w:fill="CFF0FC"/>
          </w:tcPr>
          <w:p>
            <w:pPr>
              <w:ind w:left="2080"/>
              <w:spacing w:after="0"/>
              <w:rPr>
                <w:sz w:val="20"/>
                <w:szCs w:val="20"/>
                <w:color w:val="auto"/>
              </w:rPr>
            </w:pPr>
            <w:r>
              <w:rPr>
                <w:rFonts w:ascii="Times New Roman" w:cs="Times New Roman" w:eastAsia="Times New Roman" w:hAnsi="Times New Roman"/>
                <w:sz w:val="9"/>
                <w:szCs w:val="9"/>
                <w:color w:val="auto"/>
              </w:rPr>
              <w:t>(L + 13.00%) / (1.00%)</w:t>
            </w:r>
          </w:p>
        </w:tc>
        <w:tc>
          <w:tcPr>
            <w:tcW w:w="9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14.01%/0.00%</w:t>
            </w:r>
          </w:p>
        </w:tc>
        <w:tc>
          <w:tcPr>
            <w:tcW w:w="8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4/1/2021</w:t>
            </w:r>
          </w:p>
        </w:tc>
        <w:tc>
          <w:tcPr>
            <w:tcW w:w="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4/1/2026</w:t>
            </w:r>
          </w:p>
        </w:tc>
        <w:tc>
          <w:tcPr>
            <w:tcW w:w="740" w:type="dxa"/>
            <w:vAlign w:val="bottom"/>
            <w:tcBorders>
              <w:bottom w:val="single" w:sz="8" w:color="CFF0FC"/>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7,000</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6,958</w:t>
            </w:r>
          </w:p>
        </w:tc>
        <w:tc>
          <w:tcPr>
            <w:tcW w:w="10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7,000</w:t>
            </w:r>
          </w:p>
        </w:tc>
        <w:tc>
          <w:tcPr>
            <w:tcW w:w="660" w:type="dxa"/>
            <w:vAlign w:val="bottom"/>
            <w:tcBorders>
              <w:bottom w:val="single" w:sz="8" w:color="CFF0FC"/>
            </w:tcBorders>
            <w:shd w:val="clear" w:color="auto" w:fill="CFF0FC"/>
          </w:tcPr>
          <w:p>
            <w:pPr>
              <w:spacing w:after="0"/>
              <w:rPr>
                <w:sz w:val="10"/>
                <w:szCs w:val="10"/>
                <w:color w:val="auto"/>
              </w:rPr>
            </w:pPr>
          </w:p>
        </w:tc>
      </w:tr>
      <w:tr>
        <w:trPr>
          <w:trHeight w:val="115"/>
        </w:trPr>
        <w:tc>
          <w:tcPr>
            <w:tcW w:w="26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10,844</w:t>
            </w:r>
          </w:p>
        </w:tc>
        <w:tc>
          <w:tcPr>
            <w:tcW w:w="10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11,000</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Wonderware Holdings, LLC (dba CORE Business Technologies)</w:t>
            </w:r>
          </w:p>
        </w:tc>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($1,720 unfunded commitment) (k)(z)</w:t>
            </w:r>
          </w:p>
        </w:tc>
        <w:tc>
          <w:tcPr>
            <w:tcW w:w="3100" w:type="dxa"/>
            <w:vAlign w:val="bottom"/>
          </w:tcPr>
          <w:p>
            <w:pPr>
              <w:ind w:left="2080"/>
              <w:spacing w:after="0"/>
              <w:rPr>
                <w:sz w:val="20"/>
                <w:szCs w:val="20"/>
                <w:color w:val="auto"/>
              </w:rPr>
            </w:pPr>
            <w:r>
              <w:rPr>
                <w:rFonts w:ascii="Times New Roman" w:cs="Times New Roman" w:eastAsia="Times New Roman" w:hAnsi="Times New Roman"/>
                <w:sz w:val="9"/>
                <w:szCs w:val="9"/>
                <w:color w:val="auto"/>
              </w:rPr>
              <w:t>(L + 7.25%) / (1.00%)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8.25%/0.00%</w:t>
            </w: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2/10/2021</w:t>
            </w:r>
          </w:p>
        </w:tc>
        <w:tc>
          <w:tcPr>
            <w:tcW w:w="9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2/9/2026</w:t>
            </w: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6,780</w:t>
            </w: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6,743</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6,780</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620" w:type="dxa"/>
            <w:vAlign w:val="bottom"/>
            <w:shd w:val="clear" w:color="auto" w:fill="CFF0FC"/>
          </w:tcPr>
          <w:p>
            <w:pPr>
              <w:spacing w:after="0"/>
              <w:rPr>
                <w:sz w:val="10"/>
                <w:szCs w:val="10"/>
                <w:color w:val="auto"/>
              </w:rPr>
            </w:pP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Worldwide Express Operations, LLC</w:t>
            </w:r>
          </w:p>
        </w:tc>
        <w:tc>
          <w:tcPr>
            <w:tcW w:w="3100" w:type="dxa"/>
            <w:vAlign w:val="bottom"/>
          </w:tcPr>
          <w:p>
            <w:pPr>
              <w:ind w:left="20"/>
              <w:spacing w:after="0"/>
              <w:rPr>
                <w:sz w:val="20"/>
                <w:szCs w:val="20"/>
                <w:color w:val="auto"/>
              </w:rPr>
            </w:pPr>
            <w:r>
              <w:rPr>
                <w:rFonts w:ascii="Times New Roman" w:cs="Times New Roman" w:eastAsia="Times New Roman" w:hAnsi="Times New Roman"/>
                <w:sz w:val="9"/>
                <w:szCs w:val="9"/>
                <w:color w:val="auto"/>
              </w:rPr>
              <w:t>Transportation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310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9"/>
                <w:szCs w:val="9"/>
                <w:color w:val="auto"/>
              </w:rPr>
              <w:t>(L + 7.00%) / (0.75%)</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7.75%/0.00%</w:t>
            </w: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8/2/2021</w:t>
            </w:r>
          </w:p>
        </w:tc>
        <w:tc>
          <w:tcPr>
            <w:tcW w:w="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7/26/2029</w:t>
            </w:r>
          </w:p>
        </w:tc>
        <w:tc>
          <w:tcPr>
            <w:tcW w:w="7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20,000</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19,403</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20,000</w:t>
            </w: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(795,000) (j)</w:t>
            </w: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7/21/2021</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795</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736</w:t>
            </w:r>
          </w:p>
        </w:tc>
        <w:tc>
          <w:tcPr>
            <w:tcW w:w="660" w:type="dxa"/>
            <w:vAlign w:val="bottom"/>
          </w:tcPr>
          <w:p>
            <w:pPr>
              <w:spacing w:after="0"/>
              <w:rPr>
                <w:sz w:val="10"/>
                <w:szCs w:val="10"/>
                <w:color w:val="auto"/>
              </w:rPr>
            </w:pPr>
          </w:p>
        </w:tc>
      </w:tr>
      <w:tr>
        <w:trPr>
          <w:trHeight w:val="122"/>
        </w:trPr>
        <w:tc>
          <w:tcPr>
            <w:tcW w:w="2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(752,380 units) (h)(j)</w:t>
            </w:r>
          </w:p>
        </w:tc>
        <w:tc>
          <w:tcPr>
            <w:tcW w:w="310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7/26/2021</w:t>
            </w:r>
          </w:p>
        </w:tc>
        <w:tc>
          <w:tcPr>
            <w:tcW w:w="98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225</w:t>
            </w:r>
          </w:p>
        </w:tc>
        <w:tc>
          <w:tcPr>
            <w:tcW w:w="10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578</w:t>
            </w:r>
          </w:p>
        </w:tc>
        <w:tc>
          <w:tcPr>
            <w:tcW w:w="660" w:type="dxa"/>
            <w:vAlign w:val="bottom"/>
            <w:tcBorders>
              <w:bottom w:val="single" w:sz="8" w:color="CFF0FC"/>
            </w:tcBorders>
            <w:shd w:val="clear" w:color="auto" w:fill="CFF0FC"/>
          </w:tcPr>
          <w:p>
            <w:pPr>
              <w:spacing w:after="0"/>
              <w:rPr>
                <w:sz w:val="10"/>
                <w:szCs w:val="10"/>
                <w:color w:val="auto"/>
              </w:rPr>
            </w:pPr>
          </w:p>
        </w:tc>
      </w:tr>
      <w:tr>
        <w:trPr>
          <w:trHeight w:val="115"/>
        </w:trPr>
        <w:tc>
          <w:tcPr>
            <w:tcW w:w="26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20,423</w:t>
            </w:r>
          </w:p>
        </w:tc>
        <w:tc>
          <w:tcPr>
            <w:tcW w:w="10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21,314</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Xeeva, Inc.</w:t>
            </w:r>
          </w:p>
        </w:tc>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100" w:type="dxa"/>
            <w:vAlign w:val="bottom"/>
          </w:tcPr>
          <w:p>
            <w:pPr>
              <w:ind w:left="2080"/>
              <w:spacing w:after="0"/>
              <w:rPr>
                <w:sz w:val="20"/>
                <w:szCs w:val="20"/>
                <w:color w:val="auto"/>
              </w:rPr>
            </w:pPr>
            <w:r>
              <w:rPr>
                <w:rFonts w:ascii="Times New Roman" w:cs="Times New Roman" w:eastAsia="Times New Roman" w:hAnsi="Times New Roman"/>
                <w:sz w:val="9"/>
                <w:szCs w:val="9"/>
                <w:color w:val="auto"/>
              </w:rPr>
              <w:t>(L + 10.50%) / (1.50%)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12.00%/0.00%</w:t>
            </w:r>
          </w:p>
        </w:tc>
        <w:tc>
          <w:tcPr>
            <w:tcW w:w="8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2/11/2021</w:t>
            </w:r>
          </w:p>
        </w:tc>
        <w:tc>
          <w:tcPr>
            <w:tcW w:w="9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2/11/2026</w:t>
            </w: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8,900</w:t>
            </w: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8,860</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8,900</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620" w:type="dxa"/>
            <w:vAlign w:val="bottom"/>
            <w:shd w:val="clear" w:color="auto" w:fill="CFF0FC"/>
          </w:tcPr>
          <w:p>
            <w:pPr>
              <w:spacing w:after="0"/>
              <w:rPr>
                <w:sz w:val="10"/>
                <w:szCs w:val="10"/>
                <w:color w:val="auto"/>
              </w:rPr>
            </w:pPr>
          </w:p>
        </w:tc>
        <w:tc>
          <w:tcPr>
            <w:tcW w:w="3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Zonkd, LLC</w:t>
            </w:r>
          </w:p>
        </w:tc>
        <w:tc>
          <w:tcPr>
            <w:tcW w:w="3100" w:type="dxa"/>
            <w:vAlign w:val="bottom"/>
          </w:tcPr>
          <w:p>
            <w:pPr>
              <w:ind w:left="20"/>
              <w:spacing w:after="0"/>
              <w:rPr>
                <w:sz w:val="20"/>
                <w:szCs w:val="20"/>
                <w:color w:val="auto"/>
              </w:rPr>
            </w:pPr>
            <w:r>
              <w:rPr>
                <w:rFonts w:ascii="Times New Roman" w:cs="Times New Roman" w:eastAsia="Times New Roman" w:hAnsi="Times New Roman"/>
                <w:sz w:val="9"/>
                <w:szCs w:val="9"/>
                <w:color w:val="auto"/>
              </w:rPr>
              <w:t>Component Manufacturing</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10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9"/>
                <w:szCs w:val="9"/>
                <w:color w:val="auto"/>
              </w:rPr>
              <w:t>(L + 10.00%) / (1.00%)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12.00%/0.00%</w:t>
            </w: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3/18/2022</w:t>
            </w:r>
          </w:p>
        </w:tc>
        <w:tc>
          <w:tcPr>
            <w:tcW w:w="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3/18/2027</w:t>
            </w:r>
          </w:p>
        </w:tc>
        <w:tc>
          <w:tcPr>
            <w:tcW w:w="7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5,000</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4,773</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4,773</w:t>
            </w:r>
          </w:p>
        </w:tc>
        <w:tc>
          <w:tcPr>
            <w:tcW w:w="660" w:type="dxa"/>
            <w:vAlign w:val="bottom"/>
            <w:shd w:val="clear" w:color="auto" w:fill="CFF0FC"/>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6457315</wp:posOffset>
            </wp:positionH>
            <wp:positionV relativeFrom="page">
              <wp:posOffset>320040</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page">
              <wp:posOffset>6920230</wp:posOffset>
            </wp:positionH>
            <wp:positionV relativeFrom="page">
              <wp:posOffset>320040</wp:posOffset>
            </wp:positionV>
            <wp:extent cx="171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-7354570</wp:posOffset>
            </wp:positionV>
            <wp:extent cx="514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-7354570</wp:posOffset>
            </wp:positionV>
            <wp:extent cx="3600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-3754120</wp:posOffset>
            </wp:positionV>
            <wp:extent cx="514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-3754120</wp:posOffset>
            </wp:positionV>
            <wp:extent cx="3600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-2656840</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-2656840</wp:posOffset>
            </wp:positionV>
            <wp:extent cx="3600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-1096645</wp:posOffset>
            </wp:positionV>
            <wp:extent cx="514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-1096645</wp:posOffset>
            </wp:positionV>
            <wp:extent cx="36004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-471170</wp:posOffset>
            </wp:positionV>
            <wp:extent cx="514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-471170</wp:posOffset>
            </wp:positionV>
            <wp:extent cx="3600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4" w:right="339" w:bottom="1095"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17"/>
        </w:trPr>
        <w:tc>
          <w:tcPr>
            <w:tcW w:w="36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Delayed Draw Commitment ($1,000 unfunded commitment) (j)(at)</w:t>
            </w:r>
          </w:p>
        </w:tc>
        <w:tc>
          <w:tcPr>
            <w:tcW w:w="2080" w:type="dxa"/>
            <w:vAlign w:val="bottom"/>
          </w:tcPr>
          <w:p>
            <w:pPr>
              <w:ind w:left="1060"/>
              <w:spacing w:after="0"/>
              <w:rPr>
                <w:sz w:val="20"/>
                <w:szCs w:val="20"/>
                <w:color w:val="auto"/>
              </w:rPr>
            </w:pPr>
            <w:r>
              <w:rPr>
                <w:rFonts w:ascii="Times New Roman" w:cs="Times New Roman" w:eastAsia="Times New Roman" w:hAnsi="Times New Roman"/>
                <w:sz w:val="9"/>
                <w:szCs w:val="9"/>
                <w:color w:val="auto"/>
              </w:rPr>
              <w:t>(L + 10.00%) / (1.00%)</w:t>
            </w:r>
          </w:p>
        </w:tc>
        <w:tc>
          <w:tcPr>
            <w:tcW w:w="920" w:type="dxa"/>
            <w:vAlign w:val="bottom"/>
          </w:tcPr>
          <w:p>
            <w:pPr>
              <w:jc w:val="right"/>
              <w:ind w:right="155"/>
              <w:spacing w:after="0"/>
              <w:rPr>
                <w:sz w:val="20"/>
                <w:szCs w:val="20"/>
                <w:color w:val="auto"/>
              </w:rPr>
            </w:pPr>
            <w:r>
              <w:rPr>
                <w:rFonts w:ascii="Times New Roman" w:cs="Times New Roman" w:eastAsia="Times New Roman" w:hAnsi="Times New Roman"/>
                <w:sz w:val="9"/>
                <w:szCs w:val="9"/>
                <w:color w:val="auto"/>
              </w:rPr>
              <w:t>12.00%/0.00%</w:t>
            </w:r>
          </w:p>
        </w:tc>
        <w:tc>
          <w:tcPr>
            <w:tcW w:w="780" w:type="dxa"/>
            <w:vAlign w:val="bottom"/>
          </w:tcPr>
          <w:p>
            <w:pPr>
              <w:jc w:val="right"/>
              <w:ind w:right="155"/>
              <w:spacing w:after="0"/>
              <w:rPr>
                <w:sz w:val="20"/>
                <w:szCs w:val="20"/>
                <w:color w:val="auto"/>
              </w:rPr>
            </w:pPr>
            <w:r>
              <w:rPr>
                <w:rFonts w:ascii="Times New Roman" w:cs="Times New Roman" w:eastAsia="Times New Roman" w:hAnsi="Times New Roman"/>
                <w:sz w:val="9"/>
                <w:szCs w:val="9"/>
                <w:color w:val="auto"/>
              </w:rPr>
              <w:t>3/18/2022</w:t>
            </w:r>
          </w:p>
        </w:tc>
        <w:tc>
          <w:tcPr>
            <w:tcW w:w="1060" w:type="dxa"/>
            <w:vAlign w:val="bottom"/>
          </w:tcPr>
          <w:p>
            <w:pPr>
              <w:jc w:val="right"/>
              <w:ind w:right="435"/>
              <w:spacing w:after="0"/>
              <w:rPr>
                <w:sz w:val="20"/>
                <w:szCs w:val="20"/>
                <w:color w:val="auto"/>
              </w:rPr>
            </w:pPr>
            <w:r>
              <w:rPr>
                <w:rFonts w:ascii="Times New Roman" w:cs="Times New Roman" w:eastAsia="Times New Roman" w:hAnsi="Times New Roman"/>
                <w:sz w:val="9"/>
                <w:szCs w:val="9"/>
                <w:color w:val="auto"/>
              </w:rPr>
              <w:t>3/18/2027</w:t>
            </w:r>
          </w:p>
        </w:tc>
        <w:tc>
          <w:tcPr>
            <w:tcW w:w="880" w:type="dxa"/>
            <w:vAlign w:val="bottom"/>
            <w:gridSpan w:val="2"/>
          </w:tcPr>
          <w:p>
            <w:pPr>
              <w:jc w:val="right"/>
              <w:ind w:right="275"/>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spacing w:after="0"/>
              <w:rPr>
                <w:sz w:val="10"/>
                <w:szCs w:val="10"/>
                <w:color w:val="auto"/>
              </w:rPr>
            </w:pPr>
          </w:p>
        </w:tc>
      </w:tr>
      <w:tr>
        <w:trPr>
          <w:trHeight w:val="122"/>
        </w:trPr>
        <w:tc>
          <w:tcPr>
            <w:tcW w:w="36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(4,987 units) (h)(j)</w:t>
            </w:r>
          </w:p>
        </w:tc>
        <w:tc>
          <w:tcPr>
            <w:tcW w:w="208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jc w:val="right"/>
              <w:ind w:right="155"/>
              <w:spacing w:after="0"/>
              <w:rPr>
                <w:sz w:val="20"/>
                <w:szCs w:val="20"/>
                <w:color w:val="auto"/>
              </w:rPr>
            </w:pPr>
            <w:r>
              <w:rPr>
                <w:rFonts w:ascii="Times New Roman" w:cs="Times New Roman" w:eastAsia="Times New Roman" w:hAnsi="Times New Roman"/>
                <w:sz w:val="9"/>
                <w:szCs w:val="9"/>
                <w:color w:val="auto"/>
              </w:rPr>
              <w:t>3/18/2022</w:t>
            </w:r>
          </w:p>
        </w:tc>
        <w:tc>
          <w:tcPr>
            <w:tcW w:w="106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169</w:t>
            </w:r>
          </w:p>
        </w:tc>
        <w:tc>
          <w:tcPr>
            <w:tcW w:w="10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spacing w:after="0"/>
              <w:rPr>
                <w:sz w:val="10"/>
                <w:szCs w:val="10"/>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169</w:t>
            </w:r>
          </w:p>
        </w:tc>
        <w:tc>
          <w:tcPr>
            <w:tcW w:w="660" w:type="dxa"/>
            <w:vAlign w:val="bottom"/>
            <w:tcBorders>
              <w:bottom w:val="single" w:sz="8" w:color="CFF0FC"/>
            </w:tcBorders>
            <w:shd w:val="clear" w:color="auto" w:fill="CFF0FC"/>
          </w:tcPr>
          <w:p>
            <w:pPr>
              <w:spacing w:after="0"/>
              <w:rPr>
                <w:sz w:val="10"/>
                <w:szCs w:val="10"/>
                <w:color w:val="auto"/>
              </w:rPr>
            </w:pPr>
          </w:p>
        </w:tc>
      </w:tr>
      <w:tr>
        <w:trPr>
          <w:trHeight w:val="114"/>
        </w:trPr>
        <w:tc>
          <w:tcPr>
            <w:tcW w:w="36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4,942</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4,942</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3640" w:type="dxa"/>
            <w:vAlign w:val="bottom"/>
            <w:tcBorders>
              <w:bottom w:val="single" w:sz="8" w:color="CFF0FC"/>
            </w:tcBorders>
            <w:shd w:val="clear" w:color="auto" w:fill="CFF0FC"/>
          </w:tcPr>
          <w:p>
            <w:pPr>
              <w:spacing w:after="0"/>
              <w:rPr>
                <w:sz w:val="10"/>
                <w:szCs w:val="10"/>
                <w:color w:val="auto"/>
              </w:rPr>
            </w:pPr>
          </w:p>
        </w:tc>
        <w:tc>
          <w:tcPr>
            <w:tcW w:w="208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spacing w:after="0"/>
              <w:rPr>
                <w:sz w:val="10"/>
                <w:szCs w:val="10"/>
                <w:color w:val="auto"/>
              </w:rPr>
            </w:pPr>
          </w:p>
        </w:tc>
        <w:tc>
          <w:tcPr>
            <w:tcW w:w="106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spacing w:after="0"/>
              <w:rPr>
                <w:sz w:val="10"/>
                <w:szCs w:val="10"/>
                <w:color w:val="auto"/>
              </w:rPr>
            </w:pPr>
          </w:p>
        </w:tc>
        <w:tc>
          <w:tcPr>
            <w:tcW w:w="460" w:type="dxa"/>
            <w:vAlign w:val="bottom"/>
            <w:tcBorders>
              <w:bottom w:val="single" w:sz="8" w:color="auto"/>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r>
      <w:tr>
        <w:trPr>
          <w:trHeight w:val="114"/>
        </w:trPr>
        <w:tc>
          <w:tcPr>
            <w:tcW w:w="364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rPr>
              <w:t>Total Non-control/Non-affiliate Investments</w:t>
            </w:r>
          </w:p>
        </w:tc>
        <w:tc>
          <w:tcPr>
            <w:tcW w:w="2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666,602</w:t>
            </w:r>
          </w:p>
        </w:tc>
        <w:tc>
          <w:tcPr>
            <w:tcW w:w="100" w:type="dxa"/>
            <w:vAlign w:val="bottom"/>
          </w:tcPr>
          <w:p>
            <w:pPr>
              <w:spacing w:after="0"/>
              <w:rPr>
                <w:sz w:val="9"/>
                <w:szCs w:val="9"/>
                <w:color w:val="auto"/>
              </w:rPr>
            </w:pPr>
          </w:p>
        </w:tc>
        <w:tc>
          <w:tcPr>
            <w:tcW w:w="1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687,417</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141 %</w:t>
            </w:r>
          </w:p>
        </w:tc>
      </w:tr>
      <w:tr>
        <w:trPr>
          <w:trHeight w:val="20"/>
        </w:trPr>
        <w:tc>
          <w:tcPr>
            <w:tcW w:w="3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43"/>
        </w:trPr>
        <w:tc>
          <w:tcPr>
            <w:tcW w:w="3640" w:type="dxa"/>
            <w:vAlign w:val="bottom"/>
            <w:tcBorders>
              <w:bottom w:val="single" w:sz="8" w:color="CFF0FC"/>
            </w:tcBorders>
            <w:shd w:val="clear" w:color="auto" w:fill="CFF0FC"/>
          </w:tcPr>
          <w:p>
            <w:pPr>
              <w:spacing w:after="0"/>
              <w:rPr>
                <w:sz w:val="12"/>
                <w:szCs w:val="12"/>
                <w:color w:val="auto"/>
              </w:rPr>
            </w:pPr>
          </w:p>
        </w:tc>
        <w:tc>
          <w:tcPr>
            <w:tcW w:w="20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spacing w:after="0"/>
              <w:rPr>
                <w:sz w:val="12"/>
                <w:szCs w:val="12"/>
                <w:color w:val="auto"/>
              </w:rPr>
            </w:pPr>
          </w:p>
        </w:tc>
      </w:tr>
      <w:tr>
        <w:trPr>
          <w:trHeight w:val="114"/>
        </w:trPr>
        <w:tc>
          <w:tcPr>
            <w:tcW w:w="364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rPr>
              <w:t>Total Investments</w:t>
            </w:r>
          </w:p>
        </w:tc>
        <w:tc>
          <w:tcPr>
            <w:tcW w:w="2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8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719,976</w:t>
            </w:r>
          </w:p>
        </w:tc>
        <w:tc>
          <w:tcPr>
            <w:tcW w:w="280" w:type="dxa"/>
            <w:vAlign w:val="bottom"/>
            <w:gridSpan w:val="2"/>
          </w:tcPr>
          <w:p>
            <w:pPr>
              <w:jc w:val="right"/>
              <w:ind w:right="118"/>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811,995</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167 %</w:t>
            </w:r>
          </w:p>
        </w:tc>
      </w:tr>
      <w:tr>
        <w:trPr>
          <w:trHeight w:val="20"/>
        </w:trPr>
        <w:tc>
          <w:tcPr>
            <w:tcW w:w="3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-487680</wp:posOffset>
            </wp:positionV>
            <wp:extent cx="51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-487680</wp:posOffset>
            </wp:positionV>
            <wp:extent cx="3600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-325120</wp:posOffset>
            </wp:positionV>
            <wp:extent cx="514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-325120</wp:posOffset>
            </wp:positionV>
            <wp:extent cx="36004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-111125</wp:posOffset>
            </wp:positionV>
            <wp:extent cx="514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-213995</wp:posOffset>
            </wp:positionV>
            <wp:extent cx="3600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-196850</wp:posOffset>
            </wp:positionV>
            <wp:extent cx="3600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-111125</wp:posOffset>
            </wp:positionV>
            <wp:extent cx="3600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5" w:lineRule="exact"/>
        <w:rPr>
          <w:sz w:val="20"/>
          <w:szCs w:val="20"/>
          <w:color w:val="auto"/>
        </w:rPr>
      </w:pPr>
    </w:p>
    <w:p>
      <w:pPr>
        <w:ind w:left="140" w:hanging="119"/>
        <w:spacing w:after="0"/>
        <w:tabs>
          <w:tab w:leader="none" w:pos="140" w:val="left"/>
        </w:tabs>
        <w:numPr>
          <w:ilvl w:val="0"/>
          <w:numId w:val="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See Note 3 to the consolidated financial statements for portfolio composition by geographic location.</w:t>
      </w:r>
    </w:p>
    <w:p>
      <w:pPr>
        <w:spacing w:after="0" w:line="18" w:lineRule="exact"/>
        <w:rPr>
          <w:rFonts w:ascii="Times New Roman" w:cs="Times New Roman" w:eastAsia="Times New Roman" w:hAnsi="Times New Roman"/>
          <w:sz w:val="9"/>
          <w:szCs w:val="9"/>
          <w:color w:val="auto"/>
        </w:rPr>
      </w:pPr>
    </w:p>
    <w:p>
      <w:pPr>
        <w:ind w:left="140" w:hanging="119"/>
        <w:spacing w:after="0"/>
        <w:tabs>
          <w:tab w:leader="none" w:pos="140" w:val="left"/>
        </w:tabs>
        <w:numPr>
          <w:ilvl w:val="0"/>
          <w:numId w:val="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Equity ownership may be held in shares or units of companies related to the portfolio companies.</w:t>
      </w:r>
    </w:p>
    <w:p>
      <w:pPr>
        <w:spacing w:after="0" w:line="18" w:lineRule="exact"/>
        <w:rPr>
          <w:rFonts w:ascii="Times New Roman" w:cs="Times New Roman" w:eastAsia="Times New Roman" w:hAnsi="Times New Roman"/>
          <w:sz w:val="9"/>
          <w:szCs w:val="9"/>
          <w:color w:val="auto"/>
        </w:rPr>
      </w:pPr>
    </w:p>
    <w:p>
      <w:pPr>
        <w:ind w:left="140" w:hanging="119"/>
        <w:spacing w:after="0"/>
        <w:tabs>
          <w:tab w:leader="none" w:pos="140" w:val="left"/>
        </w:tabs>
        <w:numPr>
          <w:ilvl w:val="0"/>
          <w:numId w:val="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All debt investments are income producing, unless otherwise indicated. Equity investments are non-income producing unless otherwise noted.</w:t>
      </w:r>
    </w:p>
    <w:p>
      <w:pPr>
        <w:spacing w:after="0" w:line="18" w:lineRule="exact"/>
        <w:rPr>
          <w:rFonts w:ascii="Times New Roman" w:cs="Times New Roman" w:eastAsia="Times New Roman" w:hAnsi="Times New Roman"/>
          <w:sz w:val="9"/>
          <w:szCs w:val="9"/>
          <w:color w:val="auto"/>
        </w:rPr>
      </w:pPr>
    </w:p>
    <w:p>
      <w:pPr>
        <w:ind w:left="20" w:right="200" w:firstLine="1"/>
        <w:spacing w:after="0" w:line="248" w:lineRule="auto"/>
        <w:tabs>
          <w:tab w:leader="none" w:pos="147" w:val="left"/>
        </w:tabs>
        <w:numPr>
          <w:ilvl w:val="0"/>
          <w:numId w:val="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Variable rate investments bear interest at a rate indexed to LIBOR (L), Prime (P) or SOFR (S), which are reset monthly, bimonthly, quarterly, or semi-annually. Certain variable rate investments also include a LIBOR, Prime or SOFR interest rate floor. For each investment, the Company has provided the spread over the reference rate and the LIBOR, Prime or SOFR floor, if any, as of March 31, 2022.</w:t>
      </w:r>
    </w:p>
    <w:p>
      <w:pPr>
        <w:spacing w:after="0" w:line="2" w:lineRule="exact"/>
        <w:rPr>
          <w:rFonts w:ascii="Times New Roman" w:cs="Times New Roman" w:eastAsia="Times New Roman" w:hAnsi="Times New Roman"/>
          <w:sz w:val="9"/>
          <w:szCs w:val="9"/>
          <w:color w:val="auto"/>
        </w:rPr>
      </w:pPr>
    </w:p>
    <w:p>
      <w:pPr>
        <w:ind w:left="140" w:hanging="119"/>
        <w:spacing w:after="0"/>
        <w:tabs>
          <w:tab w:leader="none" w:pos="140" w:val="left"/>
        </w:tabs>
        <w:numPr>
          <w:ilvl w:val="0"/>
          <w:numId w:val="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Rate includes the cash interest or dividend rate and paid-in-kind interest or dividend rate, if any, as of March 31, 2022. Generally, payment-in-kind interest can be paid-in-kind or all in cash.</w:t>
      </w:r>
    </w:p>
    <w:p>
      <w:pPr>
        <w:spacing w:after="0" w:line="18" w:lineRule="exact"/>
        <w:rPr>
          <w:rFonts w:ascii="Times New Roman" w:cs="Times New Roman" w:eastAsia="Times New Roman" w:hAnsi="Times New Roman"/>
          <w:sz w:val="9"/>
          <w:szCs w:val="9"/>
          <w:color w:val="auto"/>
        </w:rPr>
      </w:pPr>
    </w:p>
    <w:p>
      <w:pPr>
        <w:ind w:left="140" w:hanging="119"/>
        <w:spacing w:after="0"/>
        <w:tabs>
          <w:tab w:leader="none" w:pos="140" w:val="left"/>
        </w:tabs>
        <w:numPr>
          <w:ilvl w:val="0"/>
          <w:numId w:val="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Investment date represents the date of the initial investment in the security.</w:t>
      </w:r>
    </w:p>
    <w:p>
      <w:pPr>
        <w:spacing w:after="0" w:line="18" w:lineRule="exact"/>
        <w:rPr>
          <w:rFonts w:ascii="Times New Roman" w:cs="Times New Roman" w:eastAsia="Times New Roman" w:hAnsi="Times New Roman"/>
          <w:sz w:val="9"/>
          <w:szCs w:val="9"/>
          <w:color w:val="auto"/>
        </w:rPr>
      </w:pPr>
    </w:p>
    <w:p>
      <w:pPr>
        <w:ind w:left="20" w:right="160" w:firstLine="1"/>
        <w:spacing w:after="0" w:line="248" w:lineRule="auto"/>
        <w:tabs>
          <w:tab w:leader="none" w:pos="147" w:val="left"/>
        </w:tabs>
        <w:numPr>
          <w:ilvl w:val="0"/>
          <w:numId w:val="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spacing w:after="0" w:line="2" w:lineRule="exact"/>
        <w:rPr>
          <w:rFonts w:ascii="Times New Roman" w:cs="Times New Roman" w:eastAsia="Times New Roman" w:hAnsi="Times New Roman"/>
          <w:sz w:val="9"/>
          <w:szCs w:val="9"/>
          <w:color w:val="auto"/>
        </w:rPr>
      </w:pPr>
    </w:p>
    <w:p>
      <w:pPr>
        <w:ind w:left="140" w:hanging="119"/>
        <w:spacing w:after="0"/>
        <w:tabs>
          <w:tab w:leader="none" w:pos="140" w:val="left"/>
        </w:tabs>
        <w:numPr>
          <w:ilvl w:val="0"/>
          <w:numId w:val="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Investment is held by a taxable subsidiary of the Company.</w:t>
      </w:r>
    </w:p>
    <w:p>
      <w:pPr>
        <w:spacing w:after="0" w:line="18" w:lineRule="exact"/>
        <w:rPr>
          <w:rFonts w:ascii="Times New Roman" w:cs="Times New Roman" w:eastAsia="Times New Roman" w:hAnsi="Times New Roman"/>
          <w:sz w:val="9"/>
          <w:szCs w:val="9"/>
          <w:color w:val="auto"/>
        </w:rPr>
      </w:pPr>
    </w:p>
    <w:p>
      <w:pPr>
        <w:ind w:left="120" w:hanging="99"/>
        <w:spacing w:after="0"/>
        <w:tabs>
          <w:tab w:leader="none" w:pos="120" w:val="left"/>
        </w:tabs>
        <w:numPr>
          <w:ilvl w:val="0"/>
          <w:numId w:val="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The disclosed commitment represents the unfunded amount as of March 31, 2022. The Company is earning 0.50% interest on the unfunded balance of the commitment. The interest rate disclosed represents the rate which will be earned if the commitment is funded.</w:t>
      </w:r>
    </w:p>
    <w:p>
      <w:pPr>
        <w:spacing w:after="0" w:line="18" w:lineRule="exact"/>
        <w:rPr>
          <w:rFonts w:ascii="Times New Roman" w:cs="Times New Roman" w:eastAsia="Times New Roman" w:hAnsi="Times New Roman"/>
          <w:sz w:val="9"/>
          <w:szCs w:val="9"/>
          <w:color w:val="auto"/>
        </w:rPr>
      </w:pPr>
    </w:p>
    <w:p>
      <w:pPr>
        <w:ind w:left="120" w:hanging="99"/>
        <w:spacing w:after="0"/>
        <w:tabs>
          <w:tab w:leader="none" w:pos="120" w:val="left"/>
        </w:tabs>
        <w:numPr>
          <w:ilvl w:val="0"/>
          <w:numId w:val="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18" w:lineRule="exact"/>
        <w:rPr>
          <w:rFonts w:ascii="Times New Roman" w:cs="Times New Roman" w:eastAsia="Times New Roman" w:hAnsi="Times New Roman"/>
          <w:sz w:val="9"/>
          <w:szCs w:val="9"/>
          <w:color w:val="auto"/>
        </w:rPr>
      </w:pPr>
    </w:p>
    <w:p>
      <w:pPr>
        <w:ind w:left="20" w:right="40" w:firstLine="1"/>
        <w:spacing w:after="0" w:line="248" w:lineRule="auto"/>
        <w:tabs>
          <w:tab w:leader="none" w:pos="147" w:val="left"/>
        </w:tabs>
        <w:numPr>
          <w:ilvl w:val="0"/>
          <w:numId w:val="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2" w:lineRule="exact"/>
        <w:rPr>
          <w:rFonts w:ascii="Times New Roman" w:cs="Times New Roman" w:eastAsia="Times New Roman" w:hAnsi="Times New Roman"/>
          <w:sz w:val="9"/>
          <w:szCs w:val="9"/>
          <w:color w:val="auto"/>
        </w:rPr>
      </w:pPr>
    </w:p>
    <w:p>
      <w:pPr>
        <w:ind w:left="20" w:right="80" w:firstLine="1"/>
        <w:spacing w:after="0" w:line="248" w:lineRule="auto"/>
        <w:tabs>
          <w:tab w:leader="none" w:pos="127" w:val="left"/>
        </w:tabs>
        <w:numPr>
          <w:ilvl w:val="0"/>
          <w:numId w:val="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spacing w:after="0" w:line="2" w:lineRule="exact"/>
        <w:rPr>
          <w:rFonts w:ascii="Times New Roman" w:cs="Times New Roman" w:eastAsia="Times New Roman" w:hAnsi="Times New Roman"/>
          <w:sz w:val="9"/>
          <w:szCs w:val="9"/>
          <w:color w:val="auto"/>
        </w:rPr>
      </w:pPr>
    </w:p>
    <w:p>
      <w:pPr>
        <w:ind w:left="180" w:hanging="159"/>
        <w:spacing w:after="0"/>
        <w:tabs>
          <w:tab w:leader="none" w:pos="180" w:val="left"/>
        </w:tabs>
        <w:numPr>
          <w:ilvl w:val="0"/>
          <w:numId w:val="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spacing w:after="0" w:line="18" w:lineRule="exact"/>
        <w:rPr>
          <w:rFonts w:ascii="Times New Roman" w:cs="Times New Roman" w:eastAsia="Times New Roman" w:hAnsi="Times New Roman"/>
          <w:sz w:val="9"/>
          <w:szCs w:val="9"/>
          <w:color w:val="auto"/>
        </w:rPr>
      </w:pPr>
    </w:p>
    <w:p>
      <w:pPr>
        <w:ind w:left="140" w:hanging="119"/>
        <w:spacing w:after="0"/>
        <w:tabs>
          <w:tab w:leader="none" w:pos="140" w:val="left"/>
        </w:tabs>
        <w:numPr>
          <w:ilvl w:val="0"/>
          <w:numId w:val="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Investment in portfolio company that has sold its operations and is in the process of winding down.</w:t>
      </w:r>
    </w:p>
    <w:p>
      <w:pPr>
        <w:spacing w:after="0" w:line="18" w:lineRule="exact"/>
        <w:rPr>
          <w:rFonts w:ascii="Times New Roman" w:cs="Times New Roman" w:eastAsia="Times New Roman" w:hAnsi="Times New Roman"/>
          <w:sz w:val="9"/>
          <w:szCs w:val="9"/>
          <w:color w:val="auto"/>
        </w:rPr>
      </w:pPr>
    </w:p>
    <w:p>
      <w:pPr>
        <w:ind w:left="20" w:right="60" w:firstLine="1"/>
        <w:spacing w:after="0" w:line="248" w:lineRule="auto"/>
        <w:tabs>
          <w:tab w:leader="none" w:pos="147" w:val="left"/>
        </w:tabs>
        <w:numPr>
          <w:ilvl w:val="0"/>
          <w:numId w:val="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The Company sold a participating interest of approximately $0.3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spacing w:after="0" w:line="2" w:lineRule="exact"/>
        <w:rPr>
          <w:rFonts w:ascii="Times New Roman" w:cs="Times New Roman" w:eastAsia="Times New Roman" w:hAnsi="Times New Roman"/>
          <w:sz w:val="9"/>
          <w:szCs w:val="9"/>
          <w:color w:val="auto"/>
        </w:rPr>
      </w:pPr>
    </w:p>
    <w:p>
      <w:pPr>
        <w:ind w:left="20" w:right="100" w:firstLine="1"/>
        <w:spacing w:after="0" w:line="248" w:lineRule="auto"/>
        <w:tabs>
          <w:tab w:leader="none" w:pos="147" w:val="left"/>
        </w:tabs>
        <w:numPr>
          <w:ilvl w:val="0"/>
          <w:numId w:val="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In addition to the interest earned based on the stated interest rate of this security, the Company is entitled to receive an additional interest amount of 4.02%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rFonts w:ascii="Times New Roman" w:cs="Times New Roman" w:eastAsia="Times New Roman" w:hAnsi="Times New Roman"/>
          <w:sz w:val="9"/>
          <w:szCs w:val="9"/>
          <w:color w:val="auto"/>
        </w:rPr>
      </w:pPr>
    </w:p>
    <w:p>
      <w:pPr>
        <w:ind w:left="140" w:hanging="119"/>
        <w:spacing w:after="0"/>
        <w:tabs>
          <w:tab w:leader="none" w:pos="140" w:val="left"/>
        </w:tabs>
        <w:numPr>
          <w:ilvl w:val="0"/>
          <w:numId w:val="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Warrant entitles the Company to purchase 4.79% of the outstanding principal of Junior Subordinated Notes prior to exercise, and is non-income producing.</w:t>
      </w:r>
    </w:p>
    <w:p>
      <w:pPr>
        <w:spacing w:after="0" w:line="18" w:lineRule="exact"/>
        <w:rPr>
          <w:rFonts w:ascii="Times New Roman" w:cs="Times New Roman" w:eastAsia="Times New Roman" w:hAnsi="Times New Roman"/>
          <w:sz w:val="9"/>
          <w:szCs w:val="9"/>
          <w:color w:val="auto"/>
        </w:rPr>
      </w:pPr>
    </w:p>
    <w:p>
      <w:pPr>
        <w:ind w:left="20" w:right="120" w:firstLine="1"/>
        <w:spacing w:after="0" w:line="248" w:lineRule="auto"/>
        <w:tabs>
          <w:tab w:leader="none" w:pos="132" w:val="left"/>
        </w:tabs>
        <w:numPr>
          <w:ilvl w:val="0"/>
          <w:numId w:val="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In addition to the interest earned based on the stated interest rate of this security, the Company is entitled to receive an additional interest amount of 4.49%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rFonts w:ascii="Times New Roman" w:cs="Times New Roman" w:eastAsia="Times New Roman" w:hAnsi="Times New Roman"/>
          <w:sz w:val="9"/>
          <w:szCs w:val="9"/>
          <w:color w:val="auto"/>
        </w:rPr>
      </w:pPr>
    </w:p>
    <w:p>
      <w:pPr>
        <w:ind w:left="20" w:right="120" w:firstLine="1"/>
        <w:spacing w:after="0" w:line="248" w:lineRule="auto"/>
        <w:tabs>
          <w:tab w:leader="none" w:pos="137" w:val="left"/>
        </w:tabs>
        <w:numPr>
          <w:ilvl w:val="0"/>
          <w:numId w:val="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In addition to the interest earned based on the stated interest rate of this security, the Company is entitled to receive an additional interest amount of 2.54%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rFonts w:ascii="Times New Roman" w:cs="Times New Roman" w:eastAsia="Times New Roman" w:hAnsi="Times New Roman"/>
          <w:sz w:val="9"/>
          <w:szCs w:val="9"/>
          <w:color w:val="auto"/>
        </w:rPr>
      </w:pPr>
    </w:p>
    <w:p>
      <w:pPr>
        <w:ind w:left="20" w:right="240" w:firstLine="1"/>
        <w:spacing w:after="0" w:line="248" w:lineRule="auto"/>
        <w:tabs>
          <w:tab w:leader="none" w:pos="127" w:val="left"/>
        </w:tabs>
        <w:numPr>
          <w:ilvl w:val="0"/>
          <w:numId w:val="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spacing w:after="0" w:line="2" w:lineRule="exact"/>
        <w:rPr>
          <w:rFonts w:ascii="Times New Roman" w:cs="Times New Roman" w:eastAsia="Times New Roman" w:hAnsi="Times New Roman"/>
          <w:sz w:val="9"/>
          <w:szCs w:val="9"/>
          <w:color w:val="auto"/>
        </w:rPr>
      </w:pPr>
    </w:p>
    <w:p>
      <w:pPr>
        <w:ind w:left="20" w:right="40" w:firstLine="1"/>
        <w:spacing w:after="0" w:line="248" w:lineRule="auto"/>
        <w:tabs>
          <w:tab w:leader="none" w:pos="147" w:val="left"/>
        </w:tabs>
        <w:numPr>
          <w:ilvl w:val="0"/>
          <w:numId w:val="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In addition to the interest earned based on the stated interest rate of this security, the Company is entitled to receive an additional cash interest amount of 2.98% and PIK interest amount of 0.99%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rFonts w:ascii="Times New Roman" w:cs="Times New Roman" w:eastAsia="Times New Roman" w:hAnsi="Times New Roman"/>
          <w:sz w:val="9"/>
          <w:szCs w:val="9"/>
          <w:color w:val="auto"/>
        </w:rPr>
      </w:pPr>
    </w:p>
    <w:p>
      <w:pPr>
        <w:ind w:left="20" w:right="100" w:firstLine="1"/>
        <w:spacing w:after="0" w:line="248" w:lineRule="auto"/>
        <w:tabs>
          <w:tab w:leader="none" w:pos="147" w:val="left"/>
        </w:tabs>
        <w:numPr>
          <w:ilvl w:val="0"/>
          <w:numId w:val="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In addition to the interest earned based on the stated interest rate of this security, the Company is entitled to receive an additional interest amount of 3.82%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rFonts w:ascii="Times New Roman" w:cs="Times New Roman" w:eastAsia="Times New Roman" w:hAnsi="Times New Roman"/>
          <w:sz w:val="9"/>
          <w:szCs w:val="9"/>
          <w:color w:val="auto"/>
        </w:rPr>
      </w:pPr>
    </w:p>
    <w:p>
      <w:pPr>
        <w:ind w:left="20" w:right="80" w:firstLine="1"/>
        <w:spacing w:after="0" w:line="248" w:lineRule="auto"/>
        <w:tabs>
          <w:tab w:leader="none" w:pos="167" w:val="left"/>
        </w:tabs>
        <w:numPr>
          <w:ilvl w:val="0"/>
          <w:numId w:val="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In addition to the interest earned based on the stated interest rate of this security, the Company is entitled to receive an additional interest amount of 6.26%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rFonts w:ascii="Times New Roman" w:cs="Times New Roman" w:eastAsia="Times New Roman" w:hAnsi="Times New Roman"/>
          <w:sz w:val="9"/>
          <w:szCs w:val="9"/>
          <w:color w:val="auto"/>
        </w:rPr>
      </w:pPr>
    </w:p>
    <w:p>
      <w:pPr>
        <w:ind w:left="20" w:right="100" w:firstLine="1"/>
        <w:spacing w:after="0" w:line="248" w:lineRule="auto"/>
        <w:tabs>
          <w:tab w:leader="none" w:pos="147" w:val="left"/>
        </w:tabs>
        <w:numPr>
          <w:ilvl w:val="0"/>
          <w:numId w:val="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In addition to the interest earned based on the stated interest rate of this security, the Company is entitled to receive an additional interest amount of 2.79%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rFonts w:ascii="Times New Roman" w:cs="Times New Roman" w:eastAsia="Times New Roman" w:hAnsi="Times New Roman"/>
          <w:sz w:val="9"/>
          <w:szCs w:val="9"/>
          <w:color w:val="auto"/>
        </w:rPr>
      </w:pPr>
    </w:p>
    <w:p>
      <w:pPr>
        <w:ind w:left="140" w:hanging="119"/>
        <w:spacing w:after="0"/>
        <w:tabs>
          <w:tab w:leader="none" w:pos="140" w:val="left"/>
        </w:tabs>
        <w:numPr>
          <w:ilvl w:val="0"/>
          <w:numId w:val="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Investment was on non-accrual status as of March 31, 2022.</w:t>
      </w:r>
    </w:p>
    <w:p>
      <w:pPr>
        <w:spacing w:after="0" w:line="18" w:lineRule="exact"/>
        <w:rPr>
          <w:rFonts w:ascii="Times New Roman" w:cs="Times New Roman" w:eastAsia="Times New Roman" w:hAnsi="Times New Roman"/>
          <w:sz w:val="9"/>
          <w:szCs w:val="9"/>
          <w:color w:val="auto"/>
        </w:rPr>
      </w:pPr>
    </w:p>
    <w:p>
      <w:pPr>
        <w:ind w:left="20" w:right="100" w:firstLine="1"/>
        <w:spacing w:after="0" w:line="248" w:lineRule="auto"/>
        <w:tabs>
          <w:tab w:leader="none" w:pos="142" w:val="left"/>
        </w:tabs>
        <w:numPr>
          <w:ilvl w:val="0"/>
          <w:numId w:val="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In addition to the interest earned based on the stated interest rate of this security, the Company is entitled to receive an additional interest amount of 5.68%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sz w:val="20"/>
          <w:szCs w:val="20"/>
          <w:color w:val="auto"/>
        </w:rPr>
      </w:pPr>
    </w:p>
    <w:p>
      <w:pPr>
        <w:ind w:left="20" w:right="20" w:firstLine="1"/>
        <w:spacing w:after="0" w:line="248" w:lineRule="auto"/>
        <w:tabs>
          <w:tab w:leader="none" w:pos="182" w:val="left"/>
        </w:tabs>
        <w:numPr>
          <w:ilvl w:val="0"/>
          <w:numId w:val="2"/>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The Company sold a participating interest of approximately $4.0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spacing w:after="0" w:line="2" w:lineRule="exact"/>
        <w:rPr>
          <w:sz w:val="20"/>
          <w:szCs w:val="20"/>
          <w:color w:val="auto"/>
        </w:rPr>
      </w:pPr>
    </w:p>
    <w:p>
      <w:pPr>
        <w:ind w:left="20" w:right="60"/>
        <w:spacing w:after="0" w:line="248" w:lineRule="auto"/>
        <w:rPr>
          <w:sz w:val="20"/>
          <w:szCs w:val="20"/>
          <w:color w:val="auto"/>
        </w:rPr>
      </w:pPr>
      <w:r>
        <w:rPr>
          <w:rFonts w:ascii="Times New Roman" w:cs="Times New Roman" w:eastAsia="Times New Roman" w:hAnsi="Times New Roman"/>
          <w:sz w:val="9"/>
          <w:szCs w:val="9"/>
          <w:color w:val="auto"/>
        </w:rPr>
        <w:t>(ab) In addition to the interest earned based on the stated interest rate of this security, the Company is entitled to receive an additional interest amount of 3.26%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color w:val="auto"/>
        </w:rPr>
        <w:t>(ac) The disclosed commitment represents the unfunded amount as of March 31, 2022. The Company is earning 1.00% interest on the unfunded balance of the commitment. The interest rate disclosed represents the rate earned on the outstanding, funded balance of the commitment.</w:t>
      </w:r>
    </w:p>
    <w:p>
      <w:pPr>
        <w:spacing w:after="0" w:line="18" w:lineRule="exact"/>
        <w:rPr>
          <w:sz w:val="20"/>
          <w:szCs w:val="20"/>
          <w:color w:val="auto"/>
        </w:rPr>
      </w:pPr>
    </w:p>
    <w:p>
      <w:pPr>
        <w:ind w:left="20" w:right="60"/>
        <w:spacing w:after="0" w:line="248" w:lineRule="auto"/>
        <w:rPr>
          <w:sz w:val="20"/>
          <w:szCs w:val="20"/>
          <w:color w:val="auto"/>
        </w:rPr>
      </w:pPr>
      <w:r>
        <w:rPr>
          <w:rFonts w:ascii="Times New Roman" w:cs="Times New Roman" w:eastAsia="Times New Roman" w:hAnsi="Times New Roman"/>
          <w:sz w:val="9"/>
          <w:szCs w:val="9"/>
          <w:color w:val="auto"/>
        </w:rPr>
        <w:t>(ad) In addition to the interest earned based on the stated interest rate of this security, the Company is entitled to receive an additional interest amount of 3.27%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sz w:val="20"/>
          <w:szCs w:val="20"/>
          <w:color w:val="auto"/>
        </w:rPr>
      </w:pPr>
    </w:p>
    <w:p>
      <w:pPr>
        <w:ind w:left="20" w:right="60"/>
        <w:spacing w:after="0" w:line="248" w:lineRule="auto"/>
        <w:rPr>
          <w:sz w:val="20"/>
          <w:szCs w:val="20"/>
          <w:color w:val="auto"/>
        </w:rPr>
      </w:pPr>
      <w:r>
        <w:rPr>
          <w:rFonts w:ascii="Times New Roman" w:cs="Times New Roman" w:eastAsia="Times New Roman" w:hAnsi="Times New Roman"/>
          <w:sz w:val="9"/>
          <w:szCs w:val="9"/>
          <w:color w:val="auto"/>
        </w:rPr>
        <w:t>(ae) In addition to the interest earned based on the stated interest rate of this security, the Company is entitled to receive an additional interest amount of 3.53%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sz w:val="20"/>
          <w:szCs w:val="20"/>
          <w:color w:val="auto"/>
        </w:rPr>
      </w:pPr>
    </w:p>
    <w:p>
      <w:pPr>
        <w:ind w:left="20" w:right="80"/>
        <w:spacing w:after="0" w:line="248" w:lineRule="auto"/>
        <w:rPr>
          <w:sz w:val="20"/>
          <w:szCs w:val="20"/>
          <w:color w:val="auto"/>
        </w:rPr>
      </w:pPr>
      <w:r>
        <w:rPr>
          <w:rFonts w:ascii="Times New Roman" w:cs="Times New Roman" w:eastAsia="Times New Roman" w:hAnsi="Times New Roman"/>
          <w:sz w:val="9"/>
          <w:szCs w:val="9"/>
          <w:color w:val="auto"/>
        </w:rPr>
        <w:t>(af) In addition to the interest earned based on the stated interest rate of this security, the Company is entitled to receive an additional interest amount of 3.50%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sz w:val="20"/>
          <w:szCs w:val="20"/>
          <w:color w:val="auto"/>
        </w:rPr>
      </w:pPr>
    </w:p>
    <w:p>
      <w:pPr>
        <w:ind w:left="20" w:right="60"/>
        <w:spacing w:after="0" w:line="248" w:lineRule="auto"/>
        <w:rPr>
          <w:sz w:val="20"/>
          <w:szCs w:val="20"/>
          <w:color w:val="auto"/>
        </w:rPr>
      </w:pPr>
      <w:r>
        <w:rPr>
          <w:rFonts w:ascii="Times New Roman" w:cs="Times New Roman" w:eastAsia="Times New Roman" w:hAnsi="Times New Roman"/>
          <w:sz w:val="9"/>
          <w:szCs w:val="9"/>
          <w:color w:val="auto"/>
        </w:rPr>
        <w:t>(ag) In addition to the interest earned based on the stated interest rate of this security, the Company is entitled to receive an additional interest amount of 5.55%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sz w:val="20"/>
          <w:szCs w:val="20"/>
          <w:color w:val="auto"/>
        </w:rPr>
      </w:pPr>
    </w:p>
    <w:p>
      <w:pPr>
        <w:ind w:left="20" w:right="60"/>
        <w:spacing w:after="0" w:line="248" w:lineRule="auto"/>
        <w:rPr>
          <w:sz w:val="20"/>
          <w:szCs w:val="20"/>
          <w:color w:val="auto"/>
        </w:rPr>
      </w:pPr>
      <w:r>
        <w:rPr>
          <w:rFonts w:ascii="Times New Roman" w:cs="Times New Roman" w:eastAsia="Times New Roman" w:hAnsi="Times New Roman"/>
          <w:sz w:val="9"/>
          <w:szCs w:val="9"/>
          <w:color w:val="auto"/>
        </w:rPr>
        <w:t>(ah) In addition to the interest earned based on the stated interest rate of this security, the Company is entitled to receive an additional interest amount of 1.74%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sz w:val="20"/>
          <w:szCs w:val="20"/>
          <w:color w:val="auto"/>
        </w:rPr>
      </w:pPr>
    </w:p>
    <w:p>
      <w:pPr>
        <w:ind w:left="20" w:right="80"/>
        <w:spacing w:after="0" w:line="248" w:lineRule="auto"/>
        <w:rPr>
          <w:sz w:val="20"/>
          <w:szCs w:val="20"/>
          <w:color w:val="auto"/>
        </w:rPr>
      </w:pPr>
      <w:r>
        <w:rPr>
          <w:rFonts w:ascii="Times New Roman" w:cs="Times New Roman" w:eastAsia="Times New Roman" w:hAnsi="Times New Roman"/>
          <w:sz w:val="9"/>
          <w:szCs w:val="9"/>
          <w:color w:val="auto"/>
        </w:rPr>
        <w:t>(ai) In addition to the interest earned based on the stated interest rate of this security, the Company is entitled to receive an additional interest amount of 5.34%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sz w:val="20"/>
          <w:szCs w:val="20"/>
          <w:color w:val="auto"/>
        </w:rPr>
      </w:pPr>
    </w:p>
    <w:p>
      <w:pPr>
        <w:ind w:left="20" w:right="80"/>
        <w:spacing w:after="0" w:line="248" w:lineRule="auto"/>
        <w:rPr>
          <w:sz w:val="20"/>
          <w:szCs w:val="20"/>
          <w:color w:val="auto"/>
        </w:rPr>
      </w:pPr>
      <w:r>
        <w:rPr>
          <w:rFonts w:ascii="Times New Roman" w:cs="Times New Roman" w:eastAsia="Times New Roman" w:hAnsi="Times New Roman"/>
          <w:sz w:val="9"/>
          <w:szCs w:val="9"/>
          <w:color w:val="auto"/>
        </w:rPr>
        <w:t>(aj) In addition to the interest earned based on the stated interest rate of this security, the Company is entitled to receive an additional interest amount of 4.11%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sz w:val="20"/>
          <w:szCs w:val="20"/>
          <w:color w:val="auto"/>
        </w:rPr>
      </w:pPr>
    </w:p>
    <w:p>
      <w:pPr>
        <w:ind w:left="20" w:right="60"/>
        <w:spacing w:after="0" w:line="248" w:lineRule="auto"/>
        <w:rPr>
          <w:sz w:val="20"/>
          <w:szCs w:val="20"/>
          <w:color w:val="auto"/>
        </w:rPr>
      </w:pPr>
      <w:r>
        <w:rPr>
          <w:rFonts w:ascii="Times New Roman" w:cs="Times New Roman" w:eastAsia="Times New Roman" w:hAnsi="Times New Roman"/>
          <w:sz w:val="9"/>
          <w:szCs w:val="9"/>
          <w:color w:val="auto"/>
        </w:rPr>
        <w:t>(ak) In addition to the interest earned based on the stated interest rate of this security, the Company is entitled to receive an additional interest amount of 4.83%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sz w:val="20"/>
          <w:szCs w:val="20"/>
          <w:color w:val="auto"/>
        </w:rPr>
      </w:pPr>
    </w:p>
    <w:p>
      <w:pPr>
        <w:ind w:left="20" w:right="80"/>
        <w:spacing w:after="0" w:line="248" w:lineRule="auto"/>
        <w:rPr>
          <w:sz w:val="20"/>
          <w:szCs w:val="20"/>
          <w:color w:val="auto"/>
        </w:rPr>
      </w:pPr>
      <w:r>
        <w:rPr>
          <w:rFonts w:ascii="Times New Roman" w:cs="Times New Roman" w:eastAsia="Times New Roman" w:hAnsi="Times New Roman"/>
          <w:sz w:val="9"/>
          <w:szCs w:val="9"/>
          <w:color w:val="auto"/>
        </w:rPr>
        <w:t>(al) In addition to the interest earned based on the stated interest rate of this security, the Company is entitled to receive an additional interest amount of 3.21%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sz w:val="20"/>
          <w:szCs w:val="20"/>
          <w:color w:val="auto"/>
        </w:rPr>
      </w:pPr>
    </w:p>
    <w:p>
      <w:pPr>
        <w:ind w:left="20" w:right="40"/>
        <w:spacing w:after="0" w:line="248" w:lineRule="auto"/>
        <w:rPr>
          <w:sz w:val="20"/>
          <w:szCs w:val="20"/>
          <w:color w:val="auto"/>
        </w:rPr>
      </w:pPr>
      <w:r>
        <w:rPr>
          <w:rFonts w:ascii="Times New Roman" w:cs="Times New Roman" w:eastAsia="Times New Roman" w:hAnsi="Times New Roman"/>
          <w:sz w:val="9"/>
          <w:szCs w:val="9"/>
          <w:color w:val="auto"/>
        </w:rPr>
        <w:t>(am) In addition to the interest earned based on the stated interest rate of this security, the Company is entitled to receive an additional interest amount of 6.74%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sz w:val="20"/>
          <w:szCs w:val="20"/>
          <w:color w:val="auto"/>
        </w:rPr>
      </w:pPr>
    </w:p>
    <w:p>
      <w:pPr>
        <w:ind w:left="20" w:right="360"/>
        <w:spacing w:after="0" w:line="248" w:lineRule="auto"/>
        <w:rPr>
          <w:sz w:val="20"/>
          <w:szCs w:val="20"/>
          <w:color w:val="auto"/>
        </w:rPr>
      </w:pPr>
      <w:r>
        <w:rPr>
          <w:rFonts w:ascii="Times New Roman" w:cs="Times New Roman" w:eastAsia="Times New Roman" w:hAnsi="Times New Roman"/>
          <w:sz w:val="9"/>
          <w:szCs w:val="9"/>
          <w:color w:val="auto"/>
        </w:rPr>
        <w:t>(an) The Company sold a participating interest of approximately $13.5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spacing w:after="0" w:line="2" w:lineRule="exact"/>
        <w:rPr>
          <w:sz w:val="20"/>
          <w:szCs w:val="20"/>
          <w:color w:val="auto"/>
        </w:rPr>
      </w:pPr>
    </w:p>
    <w:p>
      <w:pPr>
        <w:ind w:left="20" w:right="100"/>
        <w:spacing w:after="0" w:line="248" w:lineRule="auto"/>
        <w:rPr>
          <w:sz w:val="20"/>
          <w:szCs w:val="20"/>
          <w:color w:val="auto"/>
        </w:rPr>
      </w:pPr>
      <w:r>
        <w:rPr>
          <w:rFonts w:ascii="Times New Roman" w:cs="Times New Roman" w:eastAsia="Times New Roman" w:hAnsi="Times New Roman"/>
          <w:sz w:val="9"/>
          <w:szCs w:val="9"/>
          <w:color w:val="auto"/>
        </w:rPr>
        <w:t>(ao) The investment is treated as a non-qualifying asset under Section 55(a) of the Investment Company Act of 1940, as amended (the “1940 Act”). Under the 1940 Act, the Company can not acquire any non-qualifying asset unless, at the time the acquisition is made, qualifying assets represent at least 70% of the Company's total assets. As of December 31, 2021, total non-qualifying assets at fair value represented 0.04% of the Company's total assets calculated in accordance with the 1940 Act.</w:t>
      </w:r>
    </w:p>
    <w:p>
      <w:pPr>
        <w:spacing w:after="0" w:line="2" w:lineRule="exact"/>
        <w:rPr>
          <w:sz w:val="20"/>
          <w:szCs w:val="20"/>
          <w:color w:val="auto"/>
        </w:rPr>
      </w:pPr>
    </w:p>
    <w:p>
      <w:pPr>
        <w:ind w:left="20" w:right="200"/>
        <w:spacing w:after="0" w:line="248" w:lineRule="auto"/>
        <w:rPr>
          <w:sz w:val="20"/>
          <w:szCs w:val="20"/>
          <w:color w:val="auto"/>
        </w:rPr>
      </w:pPr>
      <w:r>
        <w:rPr>
          <w:rFonts w:ascii="Times New Roman" w:cs="Times New Roman" w:eastAsia="Times New Roman" w:hAnsi="Times New Roman"/>
          <w:sz w:val="9"/>
          <w:szCs w:val="9"/>
          <w:color w:val="auto"/>
        </w:rPr>
        <w:t>(ap) In addition to the interest earned based on the stated interest rate of this security, the Company is entitled to receive an additional cash interest amount of 2.25% and PIK interest amount of 1.87%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sz w:val="20"/>
          <w:szCs w:val="20"/>
          <w:color w:val="auto"/>
        </w:rPr>
      </w:pPr>
    </w:p>
    <w:p>
      <w:pPr>
        <w:ind w:left="20" w:right="60"/>
        <w:spacing w:after="0" w:line="248" w:lineRule="auto"/>
        <w:rPr>
          <w:sz w:val="20"/>
          <w:szCs w:val="20"/>
          <w:color w:val="auto"/>
        </w:rPr>
      </w:pPr>
      <w:r>
        <w:rPr>
          <w:rFonts w:ascii="Times New Roman" w:cs="Times New Roman" w:eastAsia="Times New Roman" w:hAnsi="Times New Roman"/>
          <w:sz w:val="9"/>
          <w:szCs w:val="9"/>
          <w:color w:val="auto"/>
        </w:rPr>
        <w:t>(aq) In addition to the interest earned based on the stated interest rate of this security, the Company is entitled to receive an additional interest amount of 4.79%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sz w:val="20"/>
          <w:szCs w:val="20"/>
          <w:color w:val="auto"/>
        </w:rPr>
      </w:pPr>
    </w:p>
    <w:p>
      <w:pPr>
        <w:ind w:left="20" w:right="80"/>
        <w:spacing w:after="0" w:line="248" w:lineRule="auto"/>
        <w:rPr>
          <w:sz w:val="20"/>
          <w:szCs w:val="20"/>
          <w:color w:val="auto"/>
        </w:rPr>
      </w:pPr>
      <w:r>
        <w:rPr>
          <w:rFonts w:ascii="Times New Roman" w:cs="Times New Roman" w:eastAsia="Times New Roman" w:hAnsi="Times New Roman"/>
          <w:sz w:val="9"/>
          <w:szCs w:val="9"/>
          <w:color w:val="auto"/>
        </w:rPr>
        <w:t>(ar) In addition to the interest earned based on the stated interest rate of this security, the Company is entitled to receive an additional interest amount of 2.72%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sz w:val="20"/>
          <w:szCs w:val="20"/>
          <w:color w:val="auto"/>
        </w:rPr>
      </w:pPr>
    </w:p>
    <w:p>
      <w:pPr>
        <w:ind w:left="20" w:right="80"/>
        <w:spacing w:after="0" w:line="248" w:lineRule="auto"/>
        <w:rPr>
          <w:sz w:val="20"/>
          <w:szCs w:val="20"/>
          <w:color w:val="auto"/>
        </w:rPr>
      </w:pPr>
      <w:r>
        <w:rPr>
          <w:rFonts w:ascii="Times New Roman" w:cs="Times New Roman" w:eastAsia="Times New Roman" w:hAnsi="Times New Roman"/>
          <w:sz w:val="9"/>
          <w:szCs w:val="9"/>
          <w:color w:val="auto"/>
        </w:rPr>
        <w:t>(as) In addition to the interest earned based on the stated interest rate of this security, the Company is entitled to receive an additional interest amount of 4.97%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color w:val="auto"/>
        </w:rPr>
        <w:t>(at) The disclosed commitment represents the unfunded amount as of March 31, 2022. The Company is earning 2.00% interest on the unfunded balance of the commitment. The interest rate disclosed represents the rate earned on the outstanding, funded balance of the commitment.</w:t>
      </w:r>
    </w:p>
    <w:p>
      <w:pPr>
        <w:spacing w:after="0" w:line="1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9"/>
          <w:szCs w:val="9"/>
          <w:i w:val="1"/>
          <w:iCs w:val="1"/>
          <w:color w:val="auto"/>
        </w:rPr>
        <w:t>See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118"/>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9"/>
                <w:szCs w:val="9"/>
                <w:b w:val="1"/>
                <w:bCs w:val="1"/>
                <w:color w:val="auto"/>
              </w:rPr>
              <w:t>Portfolio Company (a)(b)</w:t>
            </w:r>
          </w:p>
        </w:tc>
        <w:tc>
          <w:tcPr>
            <w:tcW w:w="1780" w:type="dxa"/>
            <w:vAlign w:val="bottom"/>
          </w:tcPr>
          <w:p>
            <w:pPr>
              <w:spacing w:after="0"/>
              <w:rPr>
                <w:sz w:val="10"/>
                <w:szCs w:val="10"/>
                <w:color w:val="auto"/>
              </w:rPr>
            </w:pPr>
          </w:p>
        </w:tc>
        <w:tc>
          <w:tcPr>
            <w:tcW w:w="1400" w:type="dxa"/>
            <w:vAlign w:val="bottom"/>
          </w:tcPr>
          <w:p>
            <w:pPr>
              <w:ind w:left="360"/>
              <w:spacing w:after="0"/>
              <w:rPr>
                <w:sz w:val="20"/>
                <w:szCs w:val="20"/>
                <w:color w:val="auto"/>
              </w:rPr>
            </w:pPr>
            <w:r>
              <w:rPr>
                <w:rFonts w:ascii="Times New Roman" w:cs="Times New Roman" w:eastAsia="Times New Roman" w:hAnsi="Times New Roman"/>
                <w:sz w:val="9"/>
                <w:szCs w:val="9"/>
                <w:b w:val="1"/>
                <w:bCs w:val="1"/>
                <w:color w:val="auto"/>
              </w:rPr>
              <w:t>Variable Index</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b w:val="1"/>
                <w:bCs w:val="1"/>
                <w:color w:val="auto"/>
              </w:rPr>
              <w:t>Rate (e)</w:t>
            </w:r>
          </w:p>
        </w:tc>
        <w:tc>
          <w:tcPr>
            <w:tcW w:w="820" w:type="dxa"/>
            <w:vAlign w:val="bottom"/>
          </w:tcPr>
          <w:p>
            <w:pPr>
              <w:ind w:left="200"/>
              <w:spacing w:after="0"/>
              <w:rPr>
                <w:sz w:val="20"/>
                <w:szCs w:val="20"/>
                <w:color w:val="auto"/>
              </w:rPr>
            </w:pPr>
            <w:r>
              <w:rPr>
                <w:rFonts w:ascii="Times New Roman" w:cs="Times New Roman" w:eastAsia="Times New Roman" w:hAnsi="Times New Roman"/>
                <w:sz w:val="9"/>
                <w:szCs w:val="9"/>
                <w:b w:val="1"/>
                <w:bCs w:val="1"/>
                <w:color w:val="auto"/>
              </w:rPr>
              <w:t>Investment</w:t>
            </w: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9"/>
                <w:szCs w:val="9"/>
                <w:b w:val="1"/>
                <w:bCs w:val="1"/>
                <w:color w:val="auto"/>
              </w:rPr>
              <w:t>Principal</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ind w:right="195"/>
              <w:spacing w:after="0"/>
              <w:rPr>
                <w:sz w:val="20"/>
                <w:szCs w:val="20"/>
                <w:color w:val="auto"/>
              </w:rPr>
            </w:pPr>
            <w:r>
              <w:rPr>
                <w:rFonts w:ascii="Times New Roman" w:cs="Times New Roman" w:eastAsia="Times New Roman" w:hAnsi="Times New Roman"/>
                <w:sz w:val="9"/>
                <w:szCs w:val="9"/>
                <w:b w:val="1"/>
                <w:bCs w:val="1"/>
                <w:color w:val="auto"/>
              </w:rPr>
              <w:t>Fair</w:t>
            </w:r>
          </w:p>
        </w:tc>
        <w:tc>
          <w:tcPr>
            <w:tcW w:w="20" w:type="dxa"/>
            <w:vAlign w:val="bottom"/>
          </w:tcPr>
          <w:p>
            <w:pPr>
              <w:spacing w:after="0"/>
              <w:rPr>
                <w:sz w:val="10"/>
                <w:szCs w:val="1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9"/>
                <w:szCs w:val="9"/>
                <w:b w:val="1"/>
                <w:bCs w:val="1"/>
                <w:color w:val="auto"/>
              </w:rPr>
              <w:t>Percent of</w:t>
            </w:r>
          </w:p>
        </w:tc>
      </w:tr>
      <w:tr>
        <w:trPr>
          <w:trHeight w:val="122"/>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9"/>
                <w:szCs w:val="9"/>
                <w:b w:val="1"/>
                <w:bCs w:val="1"/>
                <w:color w:val="auto"/>
              </w:rPr>
              <w:t>Investment Type (c)</w:t>
            </w:r>
          </w:p>
        </w:tc>
        <w:tc>
          <w:tcPr>
            <w:tcW w:w="1780" w:type="dxa"/>
            <w:vAlign w:val="bottom"/>
          </w:tcPr>
          <w:p>
            <w:pPr>
              <w:ind w:left="8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1400" w:type="dxa"/>
            <w:vAlign w:val="bottom"/>
          </w:tcPr>
          <w:p>
            <w:pPr>
              <w:ind w:left="360"/>
              <w:spacing w:after="0"/>
              <w:rPr>
                <w:sz w:val="20"/>
                <w:szCs w:val="20"/>
                <w:color w:val="auto"/>
              </w:rPr>
            </w:pPr>
            <w:r>
              <w:rPr>
                <w:rFonts w:ascii="Times New Roman" w:cs="Times New Roman" w:eastAsia="Times New Roman" w:hAnsi="Times New Roman"/>
                <w:sz w:val="9"/>
                <w:szCs w:val="9"/>
                <w:b w:val="1"/>
                <w:bCs w:val="1"/>
                <w:color w:val="auto"/>
              </w:rPr>
              <w:t>Spread / Floor (d)</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b w:val="1"/>
                <w:bCs w:val="1"/>
                <w:color w:val="auto"/>
              </w:rPr>
              <w:t>Cash/PIK</w:t>
            </w:r>
          </w:p>
        </w:tc>
        <w:tc>
          <w:tcPr>
            <w:tcW w:w="820" w:type="dxa"/>
            <w:vAlign w:val="bottom"/>
          </w:tcPr>
          <w:p>
            <w:pPr>
              <w:ind w:left="200"/>
              <w:spacing w:after="0"/>
              <w:rPr>
                <w:sz w:val="20"/>
                <w:szCs w:val="20"/>
                <w:color w:val="auto"/>
              </w:rPr>
            </w:pPr>
            <w:r>
              <w:rPr>
                <w:rFonts w:ascii="Times New Roman" w:cs="Times New Roman" w:eastAsia="Times New Roman" w:hAnsi="Times New Roman"/>
                <w:sz w:val="9"/>
                <w:szCs w:val="9"/>
                <w:b w:val="1"/>
                <w:bCs w:val="1"/>
                <w:color w:val="auto"/>
              </w:rPr>
              <w:t>Date (f)</w:t>
            </w:r>
          </w:p>
        </w:tc>
        <w:tc>
          <w:tcPr>
            <w:tcW w:w="780" w:type="dxa"/>
            <w:vAlign w:val="bottom"/>
          </w:tcPr>
          <w:p>
            <w:pPr>
              <w:ind w:left="180"/>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280" w:type="dxa"/>
            <w:vAlign w:val="bottom"/>
          </w:tcPr>
          <w:p>
            <w:pPr>
              <w:spacing w:after="0"/>
              <w:rPr>
                <w:sz w:val="10"/>
                <w:szCs w:val="10"/>
                <w:color w:val="auto"/>
              </w:rPr>
            </w:pPr>
          </w:p>
        </w:tc>
        <w:tc>
          <w:tcPr>
            <w:tcW w:w="580" w:type="dxa"/>
            <w:vAlign w:val="bottom"/>
          </w:tcPr>
          <w:p>
            <w:pPr>
              <w:jc w:val="right"/>
              <w:ind w:right="135"/>
              <w:spacing w:after="0"/>
              <w:rPr>
                <w:sz w:val="20"/>
                <w:szCs w:val="20"/>
                <w:color w:val="auto"/>
              </w:rPr>
            </w:pPr>
            <w:r>
              <w:rPr>
                <w:rFonts w:ascii="Times New Roman" w:cs="Times New Roman" w:eastAsia="Times New Roman" w:hAnsi="Times New Roman"/>
                <w:sz w:val="9"/>
                <w:szCs w:val="9"/>
                <w:b w:val="1"/>
                <w:bCs w:val="1"/>
                <w:color w:val="auto"/>
              </w:rPr>
              <w:t>Amount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ind w:right="195"/>
              <w:spacing w:after="0"/>
              <w:rPr>
                <w:sz w:val="20"/>
                <w:szCs w:val="20"/>
                <w:color w:val="auto"/>
              </w:rPr>
            </w:pPr>
            <w:r>
              <w:rPr>
                <w:rFonts w:ascii="Times New Roman" w:cs="Times New Roman" w:eastAsia="Times New Roman" w:hAnsi="Times New Roman"/>
                <w:sz w:val="9"/>
                <w:szCs w:val="9"/>
                <w:b w:val="1"/>
                <w:bCs w:val="1"/>
                <w:color w:val="auto"/>
              </w:rPr>
              <w:t>Cost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ind w:right="115"/>
              <w:spacing w:after="0"/>
              <w:rPr>
                <w:sz w:val="20"/>
                <w:szCs w:val="20"/>
                <w:color w:val="auto"/>
              </w:rPr>
            </w:pPr>
            <w:r>
              <w:rPr>
                <w:rFonts w:ascii="Times New Roman" w:cs="Times New Roman" w:eastAsia="Times New Roman" w:hAnsi="Times New Roman"/>
                <w:sz w:val="9"/>
                <w:szCs w:val="9"/>
                <w:b w:val="1"/>
                <w:bCs w:val="1"/>
                <w:color w:val="auto"/>
              </w:rPr>
              <w:t>Value (g)</w:t>
            </w:r>
          </w:p>
        </w:tc>
        <w:tc>
          <w:tcPr>
            <w:tcW w:w="20" w:type="dxa"/>
            <w:vAlign w:val="bottom"/>
          </w:tcPr>
          <w:p>
            <w:pPr>
              <w:spacing w:after="0"/>
              <w:rPr>
                <w:sz w:val="10"/>
                <w:szCs w:val="1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9"/>
                <w:szCs w:val="9"/>
                <w:b w:val="1"/>
                <w:bCs w:val="1"/>
                <w:color w:val="auto"/>
              </w:rPr>
              <w:t>Net Assets</w:t>
            </w:r>
          </w:p>
        </w:tc>
      </w:tr>
      <w:tr>
        <w:trPr>
          <w:trHeight w:val="116"/>
        </w:trPr>
        <w:tc>
          <w:tcPr>
            <w:tcW w:w="9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7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920" w:type="dxa"/>
            <w:vAlign w:val="bottom"/>
            <w:tcBorders>
              <w:left w:val="single" w:sz="8" w:color="CFF0FC"/>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w w:val="97"/>
              </w:rPr>
              <w:t>Control Investments (t)</w:t>
            </w:r>
          </w:p>
        </w:tc>
        <w:tc>
          <w:tcPr>
            <w:tcW w:w="1580" w:type="dxa"/>
            <w:vAlign w:val="bottom"/>
            <w:tcBorders>
              <w:bottom w:val="single" w:sz="8" w:color="CFF0FC"/>
            </w:tcBorders>
            <w:gridSpan w:val="2"/>
            <w:shd w:val="clear" w:color="auto" w:fill="CFF0FC"/>
          </w:tcPr>
          <w:p>
            <w:pPr>
              <w:spacing w:after="0"/>
              <w:rPr>
                <w:sz w:val="9"/>
                <w:szCs w:val="9"/>
                <w:color w:val="auto"/>
              </w:rPr>
            </w:pPr>
          </w:p>
        </w:tc>
        <w:tc>
          <w:tcPr>
            <w:tcW w:w="1780" w:type="dxa"/>
            <w:vAlign w:val="bottom"/>
            <w:tcBorders>
              <w:bottom w:val="single" w:sz="8" w:color="CFF0FC"/>
            </w:tcBorders>
            <w:shd w:val="clear" w:color="auto" w:fill="CFF0FC"/>
          </w:tcPr>
          <w:p>
            <w:pPr>
              <w:spacing w:after="0"/>
              <w:rPr>
                <w:sz w:val="9"/>
                <w:szCs w:val="9"/>
                <w:color w:val="auto"/>
              </w:rPr>
            </w:pPr>
          </w:p>
        </w:tc>
        <w:tc>
          <w:tcPr>
            <w:tcW w:w="1400" w:type="dxa"/>
            <w:vAlign w:val="bottom"/>
            <w:tcBorders>
              <w:bottom w:val="single" w:sz="8" w:color="CFF0FC"/>
            </w:tcBorders>
            <w:shd w:val="clear" w:color="auto" w:fill="CFF0FC"/>
          </w:tcPr>
          <w:p>
            <w:pPr>
              <w:spacing w:after="0"/>
              <w:rPr>
                <w:sz w:val="9"/>
                <w:szCs w:val="9"/>
                <w:color w:val="auto"/>
              </w:rPr>
            </w:pPr>
          </w:p>
        </w:tc>
        <w:tc>
          <w:tcPr>
            <w:tcW w:w="92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shd w:val="clear" w:color="auto" w:fill="CFF0FC"/>
          </w:tcPr>
          <w:p>
            <w:pPr>
              <w:spacing w:after="0"/>
              <w:rPr>
                <w:sz w:val="9"/>
                <w:szCs w:val="9"/>
                <w:color w:val="auto"/>
              </w:rPr>
            </w:pPr>
          </w:p>
        </w:tc>
        <w:tc>
          <w:tcPr>
            <w:tcW w:w="780" w:type="dxa"/>
            <w:vAlign w:val="bottom"/>
            <w:tcBorders>
              <w:bottom w:val="single" w:sz="8" w:color="CFF0FC"/>
            </w:tcBorders>
            <w:shd w:val="clear" w:color="auto" w:fill="CFF0FC"/>
          </w:tcPr>
          <w:p>
            <w:pPr>
              <w:spacing w:after="0"/>
              <w:rPr>
                <w:sz w:val="9"/>
                <w:szCs w:val="9"/>
                <w:color w:val="auto"/>
              </w:rPr>
            </w:pPr>
          </w:p>
        </w:tc>
        <w:tc>
          <w:tcPr>
            <w:tcW w:w="280" w:type="dxa"/>
            <w:vAlign w:val="bottom"/>
            <w:tcBorders>
              <w:bottom w:val="single" w:sz="8" w:color="CFF0FC"/>
            </w:tcBorders>
            <w:shd w:val="clear" w:color="auto" w:fill="CFF0FC"/>
          </w:tcPr>
          <w:p>
            <w:pPr>
              <w:spacing w:after="0"/>
              <w:rPr>
                <w:sz w:val="9"/>
                <w:szCs w:val="9"/>
                <w:color w:val="auto"/>
              </w:rPr>
            </w:pPr>
          </w:p>
        </w:tc>
        <w:tc>
          <w:tcPr>
            <w:tcW w:w="580" w:type="dxa"/>
            <w:vAlign w:val="bottom"/>
            <w:tcBorders>
              <w:bottom w:val="single" w:sz="8" w:color="CFF0FC"/>
            </w:tcBorders>
            <w:shd w:val="clear" w:color="auto" w:fill="CFF0FC"/>
          </w:tcPr>
          <w:p>
            <w:pPr>
              <w:spacing w:after="0"/>
              <w:rPr>
                <w:sz w:val="9"/>
                <w:szCs w:val="9"/>
                <w:color w:val="auto"/>
              </w:rPr>
            </w:pPr>
          </w:p>
        </w:tc>
        <w:tc>
          <w:tcPr>
            <w:tcW w:w="20" w:type="dxa"/>
            <w:vAlign w:val="bottom"/>
            <w:tcBorders>
              <w:bottom w:val="single" w:sz="8" w:color="CFF0FC"/>
            </w:tcBorders>
            <w:shd w:val="clear" w:color="auto" w:fill="CFF0FC"/>
          </w:tcPr>
          <w:p>
            <w:pPr>
              <w:spacing w:after="0"/>
              <w:rPr>
                <w:sz w:val="9"/>
                <w:szCs w:val="9"/>
                <w:color w:val="auto"/>
              </w:rPr>
            </w:pPr>
          </w:p>
        </w:tc>
        <w:tc>
          <w:tcPr>
            <w:tcW w:w="6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CFF0FC"/>
            </w:tcBorders>
            <w:shd w:val="clear" w:color="auto" w:fill="CFF0FC"/>
          </w:tcPr>
          <w:p>
            <w:pPr>
              <w:spacing w:after="0"/>
              <w:rPr>
                <w:sz w:val="9"/>
                <w:szCs w:val="9"/>
                <w:color w:val="auto"/>
              </w:rPr>
            </w:pPr>
          </w:p>
        </w:tc>
        <w:tc>
          <w:tcPr>
            <w:tcW w:w="50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540" w:type="dxa"/>
            <w:vAlign w:val="bottom"/>
            <w:tcBorders>
              <w:bottom w:val="single" w:sz="8" w:color="CFF0FC"/>
            </w:tcBorders>
            <w:shd w:val="clear" w:color="auto" w:fill="CFF0FC"/>
          </w:tcPr>
          <w:p>
            <w:pPr>
              <w:spacing w:after="0"/>
              <w:rPr>
                <w:sz w:val="9"/>
                <w:szCs w:val="9"/>
                <w:color w:val="auto"/>
              </w:rPr>
            </w:pPr>
          </w:p>
        </w:tc>
        <w:tc>
          <w:tcPr>
            <w:tcW w:w="20" w:type="dxa"/>
            <w:vAlign w:val="bottom"/>
            <w:tcBorders>
              <w:bottom w:val="single" w:sz="8" w:color="CFF0FC"/>
            </w:tcBorders>
            <w:shd w:val="clear" w:color="auto" w:fill="CFF0FC"/>
          </w:tcPr>
          <w:p>
            <w:pPr>
              <w:spacing w:after="0"/>
              <w:rPr>
                <w:sz w:val="9"/>
                <w:szCs w:val="9"/>
                <w:color w:val="auto"/>
              </w:rPr>
            </w:pPr>
          </w:p>
        </w:tc>
        <w:tc>
          <w:tcPr>
            <w:tcW w:w="58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r>
      <w:tr>
        <w:trPr>
          <w:trHeight w:val="114"/>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Hilco Plastics Holdings, LLC (dba Hilco Technologies) (n)</w:t>
            </w:r>
          </w:p>
        </w:tc>
        <w:tc>
          <w:tcPr>
            <w:tcW w:w="1780" w:type="dxa"/>
            <w:vAlign w:val="bottom"/>
          </w:tcPr>
          <w:p>
            <w:pPr>
              <w:ind w:left="80"/>
              <w:spacing w:after="0"/>
              <w:rPr>
                <w:sz w:val="20"/>
                <w:szCs w:val="20"/>
                <w:color w:val="auto"/>
              </w:rPr>
            </w:pPr>
            <w:r>
              <w:rPr>
                <w:rFonts w:ascii="Times New Roman" w:cs="Times New Roman" w:eastAsia="Times New Roman" w:hAnsi="Times New Roman"/>
                <w:sz w:val="9"/>
                <w:szCs w:val="9"/>
                <w:color w:val="auto"/>
              </w:rPr>
              <w:t>Component Manufacturing</w:t>
            </w:r>
          </w:p>
        </w:tc>
        <w:tc>
          <w:tcPr>
            <w:tcW w:w="1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250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(Units N/A)</w:t>
            </w:r>
          </w:p>
        </w:tc>
        <w:tc>
          <w:tcPr>
            <w:tcW w:w="178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4/6/2021</w:t>
            </w:r>
          </w:p>
        </w:tc>
        <w:tc>
          <w:tcPr>
            <w:tcW w:w="7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0 %</w:t>
            </w:r>
          </w:p>
        </w:tc>
      </w:tr>
      <w:tr>
        <w:trPr>
          <w:trHeight w:val="121"/>
        </w:trPr>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0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Mesa Line Services, LLC (n)</w:t>
            </w:r>
          </w:p>
        </w:tc>
        <w:tc>
          <w:tcPr>
            <w:tcW w:w="1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Utilities: Services</w:t>
            </w:r>
          </w:p>
        </w:tc>
        <w:tc>
          <w:tcPr>
            <w:tcW w:w="14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0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(10 shares) (j)</w:t>
            </w:r>
          </w:p>
        </w:tc>
        <w:tc>
          <w:tcPr>
            <w:tcW w:w="17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9"/>
                <w:szCs w:val="9"/>
                <w:color w:val="auto"/>
              </w:rPr>
              <w:t>4/22/2021</w:t>
            </w: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2,151</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78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US GreenFiber, LLC (n)</w:t>
            </w:r>
          </w:p>
        </w:tc>
        <w:tc>
          <w:tcPr>
            <w:tcW w:w="1780" w:type="dxa"/>
            <w:vAlign w:val="bottom"/>
          </w:tcPr>
          <w:p>
            <w:pPr>
              <w:ind w:left="80"/>
              <w:spacing w:after="0"/>
              <w:rPr>
                <w:sz w:val="20"/>
                <w:szCs w:val="20"/>
                <w:color w:val="auto"/>
              </w:rPr>
            </w:pPr>
            <w:r>
              <w:rPr>
                <w:rFonts w:ascii="Times New Roman" w:cs="Times New Roman" w:eastAsia="Times New Roman" w:hAnsi="Times New Roman"/>
                <w:sz w:val="9"/>
                <w:szCs w:val="9"/>
                <w:color w:val="auto"/>
              </w:rPr>
              <w:t>Building Products Manufacturing</w:t>
            </w:r>
          </w:p>
        </w:tc>
        <w:tc>
          <w:tcPr>
            <w:tcW w:w="1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0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(j)(y)</w:t>
            </w:r>
          </w:p>
        </w:tc>
        <w:tc>
          <w:tcPr>
            <w:tcW w:w="178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10.00%/3.00%</w:t>
            </w:r>
          </w:p>
        </w:tc>
        <w:tc>
          <w:tcPr>
            <w:tcW w:w="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7/3/2014</w:t>
            </w:r>
          </w:p>
        </w:tc>
        <w:tc>
          <w:tcPr>
            <w:tcW w:w="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8/30/2024</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5,226</w:t>
            </w: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5,223</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0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(2,522 units) (h)(j)</w:t>
            </w:r>
          </w:p>
        </w:tc>
        <w:tc>
          <w:tcPr>
            <w:tcW w:w="17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9"/>
                <w:szCs w:val="9"/>
                <w:color w:val="auto"/>
              </w:rPr>
              <w:t>7/3/2014</w:t>
            </w: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586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0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(425,508 units) (j)</w:t>
            </w:r>
          </w:p>
        </w:tc>
        <w:tc>
          <w:tcPr>
            <w:tcW w:w="178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8/30/2019</w:t>
            </w:r>
          </w:p>
        </w:tc>
        <w:tc>
          <w:tcPr>
            <w:tcW w:w="7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2"/>
        </w:trPr>
        <w:tc>
          <w:tcPr>
            <w:tcW w:w="250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(1,022,813 units) (h)(j)</w:t>
            </w:r>
          </w:p>
        </w:tc>
        <w:tc>
          <w:tcPr>
            <w:tcW w:w="17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9"/>
                <w:szCs w:val="9"/>
                <w:color w:val="auto"/>
              </w:rPr>
              <w:t>7/1/2020</w:t>
            </w: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1,023</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78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6,833</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0 %</w:t>
            </w:r>
          </w:p>
        </w:tc>
      </w:tr>
      <w:tr>
        <w:trPr>
          <w:trHeight w:val="121"/>
        </w:trPr>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4"/>
        </w:trPr>
        <w:tc>
          <w:tcPr>
            <w:tcW w:w="250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rPr>
              <w:t>Total Control Investments</w:t>
            </w:r>
          </w:p>
        </w:tc>
        <w:tc>
          <w:tcPr>
            <w:tcW w:w="178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6,833</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2,151</w:t>
            </w:r>
          </w:p>
        </w:tc>
        <w:tc>
          <w:tcPr>
            <w:tcW w:w="7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0 %</w:t>
            </w:r>
          </w:p>
        </w:tc>
      </w:tr>
      <w:tr>
        <w:trPr>
          <w:trHeight w:val="103"/>
        </w:trPr>
        <w:tc>
          <w:tcPr>
            <w:tcW w:w="920" w:type="dxa"/>
            <w:vAlign w:val="bottom"/>
            <w:tcBorders>
              <w:top w:val="single" w:sz="8" w:color="CFF0FC"/>
            </w:tcBorders>
          </w:tcPr>
          <w:p>
            <w:pPr>
              <w:spacing w:after="0"/>
              <w:rPr>
                <w:sz w:val="8"/>
                <w:szCs w:val="8"/>
                <w:color w:val="auto"/>
              </w:rPr>
            </w:pPr>
          </w:p>
        </w:tc>
        <w:tc>
          <w:tcPr>
            <w:tcW w:w="560" w:type="dxa"/>
            <w:vAlign w:val="bottom"/>
            <w:tcBorders>
              <w:top w:val="single" w:sz="8" w:color="CFF0FC"/>
            </w:tcBorders>
          </w:tcPr>
          <w:p>
            <w:pPr>
              <w:spacing w:after="0"/>
              <w:rPr>
                <w:sz w:val="8"/>
                <w:szCs w:val="8"/>
                <w:color w:val="auto"/>
              </w:rPr>
            </w:pPr>
          </w:p>
        </w:tc>
        <w:tc>
          <w:tcPr>
            <w:tcW w:w="1020" w:type="dxa"/>
            <w:vAlign w:val="bottom"/>
            <w:tcBorders>
              <w:top w:val="single" w:sz="8" w:color="CFF0FC"/>
            </w:tcBorders>
          </w:tcPr>
          <w:p>
            <w:pPr>
              <w:spacing w:after="0"/>
              <w:rPr>
                <w:sz w:val="8"/>
                <w:szCs w:val="8"/>
                <w:color w:val="auto"/>
              </w:rPr>
            </w:pPr>
          </w:p>
        </w:tc>
        <w:tc>
          <w:tcPr>
            <w:tcW w:w="1780" w:type="dxa"/>
            <w:vAlign w:val="bottom"/>
            <w:tcBorders>
              <w:top w:val="single" w:sz="8" w:color="CFF0FC"/>
            </w:tcBorders>
          </w:tcPr>
          <w:p>
            <w:pPr>
              <w:spacing w:after="0"/>
              <w:rPr>
                <w:sz w:val="8"/>
                <w:szCs w:val="8"/>
                <w:color w:val="auto"/>
              </w:rPr>
            </w:pPr>
          </w:p>
        </w:tc>
        <w:tc>
          <w:tcPr>
            <w:tcW w:w="1400" w:type="dxa"/>
            <w:vAlign w:val="bottom"/>
            <w:tcBorders>
              <w:top w:val="single" w:sz="8" w:color="CFF0FC"/>
            </w:tcBorders>
          </w:tcPr>
          <w:p>
            <w:pPr>
              <w:spacing w:after="0"/>
              <w:rPr>
                <w:sz w:val="8"/>
                <w:szCs w:val="8"/>
                <w:color w:val="auto"/>
              </w:rPr>
            </w:pPr>
          </w:p>
        </w:tc>
        <w:tc>
          <w:tcPr>
            <w:tcW w:w="920" w:type="dxa"/>
            <w:vAlign w:val="bottom"/>
            <w:tcBorders>
              <w:top w:val="single" w:sz="8" w:color="CFF0FC"/>
            </w:tcBorders>
          </w:tcPr>
          <w:p>
            <w:pPr>
              <w:spacing w:after="0"/>
              <w:rPr>
                <w:sz w:val="8"/>
                <w:szCs w:val="8"/>
                <w:color w:val="auto"/>
              </w:rPr>
            </w:pPr>
          </w:p>
        </w:tc>
        <w:tc>
          <w:tcPr>
            <w:tcW w:w="820" w:type="dxa"/>
            <w:vAlign w:val="bottom"/>
            <w:tcBorders>
              <w:top w:val="single" w:sz="8" w:color="CFF0FC"/>
            </w:tcBorders>
          </w:tcPr>
          <w:p>
            <w:pPr>
              <w:spacing w:after="0"/>
              <w:rPr>
                <w:sz w:val="8"/>
                <w:szCs w:val="8"/>
                <w:color w:val="auto"/>
              </w:rPr>
            </w:pPr>
          </w:p>
        </w:tc>
        <w:tc>
          <w:tcPr>
            <w:tcW w:w="780" w:type="dxa"/>
            <w:vAlign w:val="bottom"/>
            <w:tcBorders>
              <w:top w:val="single" w:sz="8" w:color="CFF0FC"/>
            </w:tcBorders>
          </w:tcPr>
          <w:p>
            <w:pPr>
              <w:spacing w:after="0"/>
              <w:rPr>
                <w:sz w:val="8"/>
                <w:szCs w:val="8"/>
                <w:color w:val="auto"/>
              </w:rPr>
            </w:pPr>
          </w:p>
        </w:tc>
        <w:tc>
          <w:tcPr>
            <w:tcW w:w="280" w:type="dxa"/>
            <w:vAlign w:val="bottom"/>
            <w:tcBorders>
              <w:top w:val="single" w:sz="8" w:color="CFF0FC"/>
            </w:tcBorders>
          </w:tcPr>
          <w:p>
            <w:pPr>
              <w:spacing w:after="0"/>
              <w:rPr>
                <w:sz w:val="8"/>
                <w:szCs w:val="8"/>
                <w:color w:val="auto"/>
              </w:rPr>
            </w:pPr>
          </w:p>
        </w:tc>
        <w:tc>
          <w:tcPr>
            <w:tcW w:w="580" w:type="dxa"/>
            <w:vAlign w:val="bottom"/>
            <w:tcBorders>
              <w:top w:val="single" w:sz="8" w:color="CFF0FC"/>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58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r>
      <w:tr>
        <w:trPr>
          <w:trHeight w:val="108"/>
        </w:trPr>
        <w:tc>
          <w:tcPr>
            <w:tcW w:w="250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rPr>
              <w:t>Affiliate Investments (l)</w:t>
            </w:r>
          </w:p>
        </w:tc>
        <w:tc>
          <w:tcPr>
            <w:tcW w:w="1780" w:type="dxa"/>
            <w:vAlign w:val="bottom"/>
            <w:shd w:val="clear" w:color="auto" w:fill="CFF0FC"/>
          </w:tcPr>
          <w:p>
            <w:pPr>
              <w:spacing w:after="0"/>
              <w:rPr>
                <w:sz w:val="9"/>
                <w:szCs w:val="9"/>
                <w:color w:val="auto"/>
              </w:rPr>
            </w:pPr>
          </w:p>
        </w:tc>
        <w:tc>
          <w:tcPr>
            <w:tcW w:w="14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20"/>
        </w:trPr>
        <w:tc>
          <w:tcPr>
            <w:tcW w:w="920" w:type="dxa"/>
            <w:vAlign w:val="bottom"/>
            <w:tcBorders>
              <w:left w:val="single" w:sz="8" w:color="CFF0FC"/>
            </w:tcBorders>
            <w:shd w:val="clear" w:color="auto" w:fill="000000"/>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78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14"/>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Applegate Greenfiber Intermediate Inc. (fka US GreenFiber, LLC)</w:t>
            </w:r>
          </w:p>
        </w:tc>
        <w:tc>
          <w:tcPr>
            <w:tcW w:w="1780" w:type="dxa"/>
            <w:vAlign w:val="bottom"/>
          </w:tcPr>
          <w:p>
            <w:pPr>
              <w:ind w:left="80"/>
              <w:spacing w:after="0"/>
              <w:rPr>
                <w:sz w:val="20"/>
                <w:szCs w:val="20"/>
                <w:color w:val="auto"/>
              </w:rPr>
            </w:pPr>
            <w:r>
              <w:rPr>
                <w:rFonts w:ascii="Times New Roman" w:cs="Times New Roman" w:eastAsia="Times New Roman" w:hAnsi="Times New Roman"/>
                <w:sz w:val="9"/>
                <w:szCs w:val="9"/>
                <w:color w:val="auto"/>
              </w:rPr>
              <w:t>Building Products Manufacturing</w:t>
            </w:r>
          </w:p>
        </w:tc>
        <w:tc>
          <w:tcPr>
            <w:tcW w:w="1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250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178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5.00%/5.00%</w:t>
            </w:r>
          </w:p>
        </w:tc>
        <w:tc>
          <w:tcPr>
            <w:tcW w:w="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12/31/2021</w:t>
            </w:r>
          </w:p>
        </w:tc>
        <w:tc>
          <w:tcPr>
            <w:tcW w:w="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12/31/2027</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9,602</w:t>
            </w:r>
          </w:p>
        </w:tc>
        <w:tc>
          <w:tcPr>
            <w:tcW w:w="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9,602</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9,602</w:t>
            </w: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0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(5,690units) (j)</w:t>
            </w:r>
          </w:p>
        </w:tc>
        <w:tc>
          <w:tcPr>
            <w:tcW w:w="17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12/31/2021</w:t>
            </w: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5,690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5,690</w:t>
            </w: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0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(7,113 units) (j)</w:t>
            </w:r>
          </w:p>
        </w:tc>
        <w:tc>
          <w:tcPr>
            <w:tcW w:w="178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12/31/2021</w:t>
            </w:r>
          </w:p>
        </w:tc>
        <w:tc>
          <w:tcPr>
            <w:tcW w:w="7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7,113</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7,113</w:t>
            </w: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2"/>
        </w:trPr>
        <w:tc>
          <w:tcPr>
            <w:tcW w:w="250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(2,012units) (j)</w:t>
            </w:r>
          </w:p>
        </w:tc>
        <w:tc>
          <w:tcPr>
            <w:tcW w:w="17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12/31/2021</w:t>
            </w: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78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22,405</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22,405</w:t>
            </w:r>
          </w:p>
        </w:tc>
        <w:tc>
          <w:tcPr>
            <w:tcW w:w="7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4 %</w:t>
            </w:r>
          </w:p>
        </w:tc>
      </w:tr>
      <w:tr>
        <w:trPr>
          <w:trHeight w:val="121"/>
        </w:trPr>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0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FAR Research Inc. (n)</w:t>
            </w:r>
          </w:p>
        </w:tc>
        <w:tc>
          <w:tcPr>
            <w:tcW w:w="1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Specialty Chemicals</w:t>
            </w:r>
          </w:p>
        </w:tc>
        <w:tc>
          <w:tcPr>
            <w:tcW w:w="14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0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(1,396 units)</w:t>
            </w:r>
          </w:p>
        </w:tc>
        <w:tc>
          <w:tcPr>
            <w:tcW w:w="17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3/31/2014</w:t>
            </w: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78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Medsurant Holdings, LLC</w:t>
            </w:r>
          </w:p>
        </w:tc>
        <w:tc>
          <w:tcPr>
            <w:tcW w:w="1780" w:type="dxa"/>
            <w:vAlign w:val="bottom"/>
          </w:tcPr>
          <w:p>
            <w:pPr>
              <w:ind w:left="80"/>
              <w:spacing w:after="0"/>
              <w:rPr>
                <w:sz w:val="20"/>
                <w:szCs w:val="20"/>
                <w:color w:val="auto"/>
              </w:rPr>
            </w:pPr>
            <w:r>
              <w:rPr>
                <w:rFonts w:ascii="Times New Roman" w:cs="Times New Roman" w:eastAsia="Times New Roman" w:hAnsi="Times New Roman"/>
                <w:sz w:val="9"/>
                <w:szCs w:val="9"/>
                <w:color w:val="auto"/>
              </w:rPr>
              <w:t>Healthcare Services</w:t>
            </w:r>
          </w:p>
        </w:tc>
        <w:tc>
          <w:tcPr>
            <w:tcW w:w="1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0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(84,997 units) (h)(j)</w:t>
            </w:r>
          </w:p>
        </w:tc>
        <w:tc>
          <w:tcPr>
            <w:tcW w:w="178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4/12/2011</w:t>
            </w:r>
          </w:p>
        </w:tc>
        <w:tc>
          <w:tcPr>
            <w:tcW w:w="7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716</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833</w:t>
            </w: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2"/>
        </w:trPr>
        <w:tc>
          <w:tcPr>
            <w:tcW w:w="250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Warrant (252,588 units) (h)(j)(m)</w:t>
            </w:r>
          </w:p>
        </w:tc>
        <w:tc>
          <w:tcPr>
            <w:tcW w:w="17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9"/>
                <w:szCs w:val="9"/>
                <w:color w:val="auto"/>
              </w:rPr>
              <w:t>4/12/2011</w:t>
            </w: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2,258</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2,829</w:t>
            </w: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78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2,974</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3,662</w:t>
            </w:r>
          </w:p>
        </w:tc>
        <w:tc>
          <w:tcPr>
            <w:tcW w:w="7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Mirage Trailers LLC</w:t>
            </w:r>
          </w:p>
        </w:tc>
        <w:tc>
          <w:tcPr>
            <w:tcW w:w="1780" w:type="dxa"/>
            <w:vAlign w:val="bottom"/>
          </w:tcPr>
          <w:p>
            <w:pPr>
              <w:ind w:left="80"/>
              <w:spacing w:after="0"/>
              <w:rPr>
                <w:sz w:val="20"/>
                <w:szCs w:val="20"/>
                <w:color w:val="auto"/>
              </w:rPr>
            </w:pPr>
            <w:r>
              <w:rPr>
                <w:rFonts w:ascii="Times New Roman" w:cs="Times New Roman" w:eastAsia="Times New Roman" w:hAnsi="Times New Roman"/>
                <w:sz w:val="9"/>
                <w:szCs w:val="9"/>
                <w:color w:val="auto"/>
              </w:rPr>
              <w:t>Utility Equipment Manufacturing</w:t>
            </w:r>
          </w:p>
        </w:tc>
        <w:tc>
          <w:tcPr>
            <w:tcW w:w="1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0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(k)</w:t>
            </w:r>
          </w:p>
        </w:tc>
        <w:tc>
          <w:tcPr>
            <w:tcW w:w="1780" w:type="dxa"/>
            <w:vAlign w:val="bottom"/>
            <w:shd w:val="clear" w:color="auto" w:fill="CFF0FC"/>
          </w:tcPr>
          <w:p>
            <w:pPr>
              <w:spacing w:after="0"/>
              <w:rPr>
                <w:sz w:val="10"/>
                <w:szCs w:val="10"/>
                <w:color w:val="auto"/>
              </w:rPr>
            </w:pPr>
          </w:p>
        </w:tc>
        <w:tc>
          <w:tcPr>
            <w:tcW w:w="1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9"/>
                <w:szCs w:val="9"/>
                <w:color w:val="auto"/>
              </w:rPr>
              <w:t>(L + 10.00%) / (1.00%)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11.00%/5.00%</w:t>
            </w:r>
          </w:p>
        </w:tc>
        <w:tc>
          <w:tcPr>
            <w:tcW w:w="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11/25/2015</w:t>
            </w:r>
          </w:p>
        </w:tc>
        <w:tc>
          <w:tcPr>
            <w:tcW w:w="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4/30/2022</w:t>
            </w: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6,705</w:t>
            </w: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6,793</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6,705</w:t>
            </w: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0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(2,500,000 shares)</w:t>
            </w:r>
          </w:p>
        </w:tc>
        <w:tc>
          <w:tcPr>
            <w:tcW w:w="17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11/25/2015</w:t>
            </w: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2,188</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3,970</w:t>
            </w: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78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8,981</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10,675</w:t>
            </w:r>
          </w:p>
        </w:tc>
        <w:tc>
          <w:tcPr>
            <w:tcW w:w="7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Pfanstiehl, Inc.</w:t>
            </w:r>
          </w:p>
        </w:tc>
        <w:tc>
          <w:tcPr>
            <w:tcW w:w="1780" w:type="dxa"/>
            <w:vAlign w:val="bottom"/>
          </w:tcPr>
          <w:p>
            <w:pPr>
              <w:ind w:left="80"/>
              <w:spacing w:after="0"/>
              <w:rPr>
                <w:sz w:val="20"/>
                <w:szCs w:val="20"/>
                <w:color w:val="auto"/>
              </w:rPr>
            </w:pPr>
            <w:r>
              <w:rPr>
                <w:rFonts w:ascii="Times New Roman" w:cs="Times New Roman" w:eastAsia="Times New Roman" w:hAnsi="Times New Roman"/>
                <w:sz w:val="9"/>
                <w:szCs w:val="9"/>
                <w:color w:val="auto"/>
              </w:rPr>
              <w:t>Healthcare Products</w:t>
            </w:r>
          </w:p>
        </w:tc>
        <w:tc>
          <w:tcPr>
            <w:tcW w:w="1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0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(4,250 units) (j)</w:t>
            </w:r>
          </w:p>
        </w:tc>
        <w:tc>
          <w:tcPr>
            <w:tcW w:w="178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3/29/2013</w:t>
            </w:r>
          </w:p>
        </w:tc>
        <w:tc>
          <w:tcPr>
            <w:tcW w:w="7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425</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57,639</w:t>
            </w:r>
          </w:p>
        </w:tc>
        <w:tc>
          <w:tcPr>
            <w:tcW w:w="7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12 %</w:t>
            </w:r>
          </w:p>
        </w:tc>
      </w:tr>
      <w:tr>
        <w:trPr>
          <w:trHeight w:val="122"/>
        </w:trPr>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250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Pinnergy, Ltd.</w:t>
            </w:r>
          </w:p>
        </w:tc>
        <w:tc>
          <w:tcPr>
            <w:tcW w:w="1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Oil &amp; Gas Services</w:t>
            </w:r>
          </w:p>
        </w:tc>
        <w:tc>
          <w:tcPr>
            <w:tcW w:w="14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0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 Class A-2 (42,500 units) (j)</w:t>
            </w:r>
          </w:p>
        </w:tc>
        <w:tc>
          <w:tcPr>
            <w:tcW w:w="17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10/13/2016</w:t>
            </w: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3,000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21,178</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78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Spectra A&amp;D Acquisition, Inc. (fka FDS Avionics Corp.)</w:t>
            </w:r>
          </w:p>
        </w:tc>
        <w:tc>
          <w:tcPr>
            <w:tcW w:w="1780" w:type="dxa"/>
            <w:vAlign w:val="bottom"/>
          </w:tcPr>
          <w:p>
            <w:pPr>
              <w:ind w:left="80"/>
              <w:spacing w:after="0"/>
              <w:rPr>
                <w:sz w:val="20"/>
                <w:szCs w:val="20"/>
                <w:color w:val="auto"/>
              </w:rPr>
            </w:pPr>
            <w:r>
              <w:rPr>
                <w:rFonts w:ascii="Times New Roman" w:cs="Times New Roman" w:eastAsia="Times New Roman" w:hAnsi="Times New Roman"/>
                <w:sz w:val="9"/>
                <w:szCs w:val="9"/>
                <w:color w:val="auto"/>
              </w:rPr>
              <w:t>Aerospace &amp; Defense Manufacturing</w:t>
            </w:r>
          </w:p>
        </w:tc>
        <w:tc>
          <w:tcPr>
            <w:tcW w:w="1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0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(k)(ag)</w:t>
            </w:r>
          </w:p>
        </w:tc>
        <w:tc>
          <w:tcPr>
            <w:tcW w:w="1780" w:type="dxa"/>
            <w:vAlign w:val="bottom"/>
            <w:shd w:val="clear" w:color="auto" w:fill="CFF0FC"/>
          </w:tcPr>
          <w:p>
            <w:pPr>
              <w:spacing w:after="0"/>
              <w:rPr>
                <w:sz w:val="10"/>
                <w:szCs w:val="10"/>
                <w:color w:val="auto"/>
              </w:rPr>
            </w:pPr>
          </w:p>
        </w:tc>
        <w:tc>
          <w:tcPr>
            <w:tcW w:w="1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9"/>
                <w:szCs w:val="9"/>
                <w:color w:val="auto"/>
              </w:rPr>
              <w:t>(L + 5.50%) / (1.00%)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6.50%/0.00%</w:t>
            </w:r>
          </w:p>
        </w:tc>
        <w:tc>
          <w:tcPr>
            <w:tcW w:w="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2/12/2021</w:t>
            </w:r>
          </w:p>
        </w:tc>
        <w:tc>
          <w:tcPr>
            <w:tcW w:w="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2/11/2026</w:t>
            </w: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13,000</w:t>
            </w: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12,921</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13,000</w:t>
            </w: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0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(41,290 units) (j)</w:t>
            </w:r>
          </w:p>
        </w:tc>
        <w:tc>
          <w:tcPr>
            <w:tcW w:w="17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9"/>
                <w:szCs w:val="9"/>
                <w:color w:val="auto"/>
              </w:rPr>
              <w:t>2/12/2021</w:t>
            </w: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2,609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4,129</w:t>
            </w: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0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(12,035 units) (j)</w:t>
            </w:r>
          </w:p>
        </w:tc>
        <w:tc>
          <w:tcPr>
            <w:tcW w:w="1780" w:type="dxa"/>
            <w:vAlign w:val="bottom"/>
            <w:tcBorders>
              <w:bottom w:val="single" w:sz="8" w:color="CFF0FC"/>
            </w:tcBorders>
            <w:shd w:val="clear" w:color="auto" w:fill="CFF0FC"/>
          </w:tcPr>
          <w:p>
            <w:pPr>
              <w:spacing w:after="0"/>
              <w:rPr>
                <w:sz w:val="10"/>
                <w:szCs w:val="10"/>
                <w:color w:val="auto"/>
              </w:rPr>
            </w:pPr>
          </w:p>
        </w:tc>
        <w:tc>
          <w:tcPr>
            <w:tcW w:w="140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8/25/2021</w:t>
            </w:r>
          </w:p>
        </w:tc>
        <w:tc>
          <w:tcPr>
            <w:tcW w:w="78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1,204</w:t>
            </w: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1,230</w:t>
            </w:r>
          </w:p>
        </w:tc>
        <w:tc>
          <w:tcPr>
            <w:tcW w:w="2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r>
      <w:tr>
        <w:trPr>
          <w:trHeight w:val="115"/>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16,734</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18,359</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50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Steward Holding LLC (dba Steward Advanced Materials)</w:t>
            </w:r>
          </w:p>
        </w:tc>
        <w:tc>
          <w:tcPr>
            <w:tcW w:w="1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Aerospace &amp; Defense Manufacturing</w:t>
            </w:r>
          </w:p>
        </w:tc>
        <w:tc>
          <w:tcPr>
            <w:tcW w:w="14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0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(1,000,000 units)</w:t>
            </w:r>
          </w:p>
        </w:tc>
        <w:tc>
          <w:tcPr>
            <w:tcW w:w="17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11/12/2015</w:t>
            </w: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3,338</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920" w:type="dxa"/>
            <w:vAlign w:val="bottom"/>
            <w:tcBorders>
              <w:left w:val="single" w:sz="8" w:color="CFF0FC"/>
              <w:bottom w:val="single" w:sz="8" w:color="CFF0FC"/>
            </w:tcBorders>
            <w:shd w:val="clear" w:color="auto" w:fill="CFF0FC"/>
          </w:tcPr>
          <w:p>
            <w:pPr>
              <w:spacing w:after="0"/>
              <w:rPr>
                <w:sz w:val="10"/>
                <w:szCs w:val="10"/>
                <w:color w:val="auto"/>
              </w:rPr>
            </w:pPr>
          </w:p>
        </w:tc>
        <w:tc>
          <w:tcPr>
            <w:tcW w:w="560" w:type="dxa"/>
            <w:vAlign w:val="bottom"/>
            <w:tcBorders>
              <w:bottom w:val="single" w:sz="8" w:color="CFF0FC"/>
            </w:tcBorders>
            <w:shd w:val="clear" w:color="auto" w:fill="CFF0FC"/>
          </w:tcPr>
          <w:p>
            <w:pPr>
              <w:spacing w:after="0"/>
              <w:rPr>
                <w:sz w:val="10"/>
                <w:szCs w:val="10"/>
                <w:color w:val="auto"/>
              </w:rPr>
            </w:pPr>
          </w:p>
        </w:tc>
        <w:tc>
          <w:tcPr>
            <w:tcW w:w="1020" w:type="dxa"/>
            <w:vAlign w:val="bottom"/>
            <w:tcBorders>
              <w:bottom w:val="single" w:sz="8" w:color="CFF0FC"/>
            </w:tcBorders>
            <w:shd w:val="clear" w:color="auto" w:fill="CFF0FC"/>
          </w:tcPr>
          <w:p>
            <w:pPr>
              <w:spacing w:after="0"/>
              <w:rPr>
                <w:sz w:val="10"/>
                <w:szCs w:val="10"/>
                <w:color w:val="auto"/>
              </w:rPr>
            </w:pPr>
          </w:p>
        </w:tc>
        <w:tc>
          <w:tcPr>
            <w:tcW w:w="1780" w:type="dxa"/>
            <w:vAlign w:val="bottom"/>
            <w:tcBorders>
              <w:bottom w:val="single" w:sz="8" w:color="CFF0FC"/>
            </w:tcBorders>
            <w:shd w:val="clear" w:color="auto" w:fill="CFF0FC"/>
          </w:tcPr>
          <w:p>
            <w:pPr>
              <w:spacing w:after="0"/>
              <w:rPr>
                <w:sz w:val="10"/>
                <w:szCs w:val="10"/>
                <w:color w:val="auto"/>
              </w:rPr>
            </w:pPr>
          </w:p>
        </w:tc>
        <w:tc>
          <w:tcPr>
            <w:tcW w:w="140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gridSpan w:val="2"/>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540" w:type="dxa"/>
            <w:vAlign w:val="bottom"/>
            <w:tcBorders>
              <w:bottom w:val="single" w:sz="8" w:color="auto"/>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r>
      <w:tr>
        <w:trPr>
          <w:trHeight w:val="115"/>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9"/>
                <w:szCs w:val="9"/>
                <w:b w:val="1"/>
                <w:bCs w:val="1"/>
                <w:color w:val="auto"/>
              </w:rPr>
              <w:t>Total Affiliate Investments</w:t>
            </w:r>
          </w:p>
        </w:tc>
        <w:tc>
          <w:tcPr>
            <w:tcW w:w="17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gridSpan w:val="3"/>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55,519</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137,284</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28 %</w:t>
            </w:r>
          </w:p>
        </w:tc>
      </w:tr>
      <w:tr>
        <w:trPr>
          <w:trHeight w:val="20"/>
        </w:trPr>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920" w:type="dxa"/>
            <w:vAlign w:val="bottom"/>
            <w:tcBorders>
              <w:left w:val="single" w:sz="8" w:color="CFF0FC"/>
            </w:tcBorders>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020" w:type="dxa"/>
            <w:vAlign w:val="bottom"/>
            <w:shd w:val="clear" w:color="auto" w:fill="CFF0FC"/>
          </w:tcPr>
          <w:p>
            <w:pPr>
              <w:spacing w:after="0"/>
              <w:rPr>
                <w:sz w:val="8"/>
                <w:szCs w:val="8"/>
                <w:color w:val="auto"/>
              </w:rPr>
            </w:pPr>
          </w:p>
        </w:tc>
        <w:tc>
          <w:tcPr>
            <w:tcW w:w="1780" w:type="dxa"/>
            <w:vAlign w:val="bottom"/>
            <w:shd w:val="clear" w:color="auto" w:fill="CFF0FC"/>
          </w:tcPr>
          <w:p>
            <w:pPr>
              <w:spacing w:after="0"/>
              <w:rPr>
                <w:sz w:val="8"/>
                <w:szCs w:val="8"/>
                <w:color w:val="auto"/>
              </w:rPr>
            </w:pPr>
          </w:p>
        </w:tc>
        <w:tc>
          <w:tcPr>
            <w:tcW w:w="140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08"/>
        </w:trPr>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9"/>
                <w:szCs w:val="9"/>
                <w:b w:val="1"/>
                <w:bCs w:val="1"/>
                <w:color w:val="auto"/>
                <w:w w:val="98"/>
              </w:rPr>
              <w:t>Non-control/Non-affiliate Investments</w:t>
            </w:r>
          </w:p>
        </w:tc>
        <w:tc>
          <w:tcPr>
            <w:tcW w:w="10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5"/>
        </w:trPr>
        <w:tc>
          <w:tcPr>
            <w:tcW w:w="250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2KDirect, Inc. (dba iPromote)</w:t>
            </w:r>
          </w:p>
        </w:tc>
        <w:tc>
          <w:tcPr>
            <w:tcW w:w="1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14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0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First Lien Debt (k)</w:t>
            </w:r>
          </w:p>
        </w:tc>
        <w:tc>
          <w:tcPr>
            <w:tcW w:w="1780" w:type="dxa"/>
            <w:vAlign w:val="bottom"/>
          </w:tcPr>
          <w:p>
            <w:pPr>
              <w:spacing w:after="0"/>
              <w:rPr>
                <w:sz w:val="10"/>
                <w:szCs w:val="10"/>
                <w:color w:val="auto"/>
              </w:rPr>
            </w:pPr>
          </w:p>
        </w:tc>
        <w:tc>
          <w:tcPr>
            <w:tcW w:w="1400" w:type="dxa"/>
            <w:vAlign w:val="bottom"/>
          </w:tcPr>
          <w:p>
            <w:pPr>
              <w:ind w:left="360"/>
              <w:spacing w:after="0"/>
              <w:rPr>
                <w:sz w:val="20"/>
                <w:szCs w:val="20"/>
                <w:color w:val="auto"/>
              </w:rPr>
            </w:pPr>
            <w:r>
              <w:rPr>
                <w:rFonts w:ascii="Times New Roman" w:cs="Times New Roman" w:eastAsia="Times New Roman" w:hAnsi="Times New Roman"/>
                <w:sz w:val="9"/>
                <w:szCs w:val="9"/>
                <w:color w:val="auto"/>
              </w:rPr>
              <w:t>(L + 6.75%) / (0.50%)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7.25%/0.00%</w:t>
            </w:r>
          </w:p>
        </w:tc>
        <w:tc>
          <w:tcPr>
            <w:tcW w:w="82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6/25/2021</w:t>
            </w:r>
          </w:p>
        </w:tc>
        <w:tc>
          <w:tcPr>
            <w:tcW w:w="7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6/25/2026</w:t>
            </w:r>
          </w:p>
        </w:tc>
        <w:tc>
          <w:tcPr>
            <w:tcW w:w="2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12,919</w:t>
            </w:r>
          </w:p>
        </w:tc>
        <w:tc>
          <w:tcPr>
            <w:tcW w:w="220" w:type="dxa"/>
            <w:vAlign w:val="bottom"/>
            <w:gridSpan w:val="3"/>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12,841</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12,919</w:t>
            </w: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0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(aa)(j)</w:t>
            </w:r>
          </w:p>
        </w:tc>
        <w:tc>
          <w:tcPr>
            <w:tcW w:w="1780" w:type="dxa"/>
            <w:vAlign w:val="bottom"/>
            <w:shd w:val="clear" w:color="auto" w:fill="CFF0FC"/>
          </w:tcPr>
          <w:p>
            <w:pPr>
              <w:spacing w:after="0"/>
              <w:rPr>
                <w:sz w:val="10"/>
                <w:szCs w:val="10"/>
                <w:color w:val="auto"/>
              </w:rPr>
            </w:pPr>
          </w:p>
        </w:tc>
        <w:tc>
          <w:tcPr>
            <w:tcW w:w="1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9"/>
                <w:szCs w:val="9"/>
                <w:color w:val="auto"/>
              </w:rPr>
              <w:t>(L + 6.75%) / (0.50%)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7.25%/0.00%</w:t>
            </w:r>
          </w:p>
        </w:tc>
        <w:tc>
          <w:tcPr>
            <w:tcW w:w="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7/30/2021</w:t>
            </w:r>
          </w:p>
        </w:tc>
        <w:tc>
          <w:tcPr>
            <w:tcW w:w="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6/25/2026</w:t>
            </w: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3,975</w:t>
            </w: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3,975</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3,975</w:t>
            </w: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2"/>
        </w:trPr>
        <w:tc>
          <w:tcPr>
            <w:tcW w:w="250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(1,000,000 units)</w:t>
            </w:r>
          </w:p>
        </w:tc>
        <w:tc>
          <w:tcPr>
            <w:tcW w:w="17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6/25/2021</w:t>
            </w: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1,000</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806</w:t>
            </w: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78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17,816</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17,700</w:t>
            </w:r>
          </w:p>
        </w:tc>
        <w:tc>
          <w:tcPr>
            <w:tcW w:w="7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4 %</w:t>
            </w:r>
          </w:p>
        </w:tc>
      </w:tr>
      <w:tr>
        <w:trPr>
          <w:trHeight w:val="121"/>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Acendre Midco, Inc.</w:t>
            </w:r>
          </w:p>
        </w:tc>
        <w:tc>
          <w:tcPr>
            <w:tcW w:w="1780" w:type="dxa"/>
            <w:vAlign w:val="bottom"/>
          </w:tcPr>
          <w:p>
            <w:pPr>
              <w:ind w:left="8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1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0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1780" w:type="dxa"/>
            <w:vAlign w:val="bottom"/>
            <w:shd w:val="clear" w:color="auto" w:fill="CFF0FC"/>
          </w:tcPr>
          <w:p>
            <w:pPr>
              <w:spacing w:after="0"/>
              <w:rPr>
                <w:sz w:val="10"/>
                <w:szCs w:val="10"/>
                <w:color w:val="auto"/>
              </w:rPr>
            </w:pPr>
          </w:p>
        </w:tc>
        <w:tc>
          <w:tcPr>
            <w:tcW w:w="1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9"/>
                <w:szCs w:val="9"/>
                <w:color w:val="auto"/>
              </w:rPr>
              <w:t>(L + 7.75%) / (0.50%)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8.25%/0.00%</w:t>
            </w:r>
          </w:p>
        </w:tc>
        <w:tc>
          <w:tcPr>
            <w:tcW w:w="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10/6/2021</w:t>
            </w:r>
          </w:p>
        </w:tc>
        <w:tc>
          <w:tcPr>
            <w:tcW w:w="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10/6/2026</w:t>
            </w: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5,500</w:t>
            </w: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5,485</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5,485</w:t>
            </w: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0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1780" w:type="dxa"/>
            <w:vAlign w:val="bottom"/>
          </w:tcPr>
          <w:p>
            <w:pPr>
              <w:spacing w:after="0"/>
              <w:rPr>
                <w:sz w:val="10"/>
                <w:szCs w:val="10"/>
                <w:color w:val="auto"/>
              </w:rPr>
            </w:pPr>
          </w:p>
        </w:tc>
        <w:tc>
          <w:tcPr>
            <w:tcW w:w="1400" w:type="dxa"/>
            <w:vAlign w:val="bottom"/>
          </w:tcPr>
          <w:p>
            <w:pPr>
              <w:ind w:left="360"/>
              <w:spacing w:after="0"/>
              <w:rPr>
                <w:sz w:val="20"/>
                <w:szCs w:val="20"/>
                <w:color w:val="auto"/>
              </w:rPr>
            </w:pPr>
            <w:r>
              <w:rPr>
                <w:rFonts w:ascii="Times New Roman" w:cs="Times New Roman" w:eastAsia="Times New Roman" w:hAnsi="Times New Roman"/>
                <w:sz w:val="9"/>
                <w:szCs w:val="9"/>
                <w:color w:val="auto"/>
              </w:rPr>
              <w:t>(L + 7.75%) / (0.50%)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8.25%/0.00%</w:t>
            </w:r>
          </w:p>
        </w:tc>
        <w:tc>
          <w:tcPr>
            <w:tcW w:w="82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10/6/2021</w:t>
            </w:r>
          </w:p>
        </w:tc>
        <w:tc>
          <w:tcPr>
            <w:tcW w:w="7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10/6/2026</w:t>
            </w:r>
          </w:p>
        </w:tc>
        <w:tc>
          <w:tcPr>
            <w:tcW w:w="2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12,500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12,436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12,436</w:t>
            </w: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0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Revolving Loan ($1,000 unfunded commitment) (i)(j)</w:t>
            </w:r>
          </w:p>
        </w:tc>
        <w:tc>
          <w:tcPr>
            <w:tcW w:w="178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10/6/2021</w:t>
            </w:r>
          </w:p>
        </w:tc>
        <w:tc>
          <w:tcPr>
            <w:tcW w:w="7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0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(500,000 shares) (j)</w:t>
            </w:r>
          </w:p>
        </w:tc>
        <w:tc>
          <w:tcPr>
            <w:tcW w:w="17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10/6/2021</w:t>
            </w: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371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371</w:t>
            </w: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0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Warrant (150,000 shares) (j)(m)</w:t>
            </w:r>
          </w:p>
        </w:tc>
        <w:tc>
          <w:tcPr>
            <w:tcW w:w="1780" w:type="dxa"/>
            <w:vAlign w:val="bottom"/>
            <w:tcBorders>
              <w:bottom w:val="single" w:sz="8" w:color="CFF0FC"/>
            </w:tcBorders>
            <w:shd w:val="clear" w:color="auto" w:fill="CFF0FC"/>
          </w:tcPr>
          <w:p>
            <w:pPr>
              <w:spacing w:after="0"/>
              <w:rPr>
                <w:sz w:val="10"/>
                <w:szCs w:val="10"/>
                <w:color w:val="auto"/>
              </w:rPr>
            </w:pPr>
          </w:p>
        </w:tc>
        <w:tc>
          <w:tcPr>
            <w:tcW w:w="140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10/6/2021</w:t>
            </w:r>
          </w:p>
        </w:tc>
        <w:tc>
          <w:tcPr>
            <w:tcW w:w="78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129</w:t>
            </w: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129</w:t>
            </w:r>
          </w:p>
        </w:tc>
        <w:tc>
          <w:tcPr>
            <w:tcW w:w="2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r>
      <w:tr>
        <w:trPr>
          <w:trHeight w:val="115"/>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18,421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18,421</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50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Aeronix Inc.</w:t>
            </w:r>
          </w:p>
        </w:tc>
        <w:tc>
          <w:tcPr>
            <w:tcW w:w="1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Aerospace &amp; Defense Manufacturing</w:t>
            </w:r>
          </w:p>
        </w:tc>
        <w:tc>
          <w:tcPr>
            <w:tcW w:w="14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0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First Lien Debt (ai)</w:t>
            </w:r>
          </w:p>
        </w:tc>
        <w:tc>
          <w:tcPr>
            <w:tcW w:w="1780" w:type="dxa"/>
            <w:vAlign w:val="bottom"/>
          </w:tcPr>
          <w:p>
            <w:pPr>
              <w:spacing w:after="0"/>
              <w:rPr>
                <w:sz w:val="10"/>
                <w:szCs w:val="10"/>
                <w:color w:val="auto"/>
              </w:rPr>
            </w:pPr>
          </w:p>
        </w:tc>
        <w:tc>
          <w:tcPr>
            <w:tcW w:w="1400" w:type="dxa"/>
            <w:vAlign w:val="bottom"/>
          </w:tcPr>
          <w:p>
            <w:pPr>
              <w:ind w:left="360"/>
              <w:spacing w:after="0"/>
              <w:rPr>
                <w:sz w:val="20"/>
                <w:szCs w:val="20"/>
                <w:color w:val="auto"/>
              </w:rPr>
            </w:pPr>
            <w:r>
              <w:rPr>
                <w:rFonts w:ascii="Times New Roman" w:cs="Times New Roman" w:eastAsia="Times New Roman" w:hAnsi="Times New Roman"/>
                <w:sz w:val="9"/>
                <w:szCs w:val="9"/>
                <w:color w:val="auto"/>
              </w:rPr>
              <w:t>(L + 5.88%) / (0.50%)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6.38%/0.00%</w:t>
            </w:r>
          </w:p>
        </w:tc>
        <w:tc>
          <w:tcPr>
            <w:tcW w:w="82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6/11/2021</w:t>
            </w:r>
          </w:p>
        </w:tc>
        <w:tc>
          <w:tcPr>
            <w:tcW w:w="7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6/11/2026</w:t>
            </w:r>
          </w:p>
        </w:tc>
        <w:tc>
          <w:tcPr>
            <w:tcW w:w="2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14,250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14,165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14,250</w:t>
            </w: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0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(500 units)</w:t>
            </w:r>
          </w:p>
        </w:tc>
        <w:tc>
          <w:tcPr>
            <w:tcW w:w="1780" w:type="dxa"/>
            <w:vAlign w:val="bottom"/>
            <w:tcBorders>
              <w:bottom w:val="single" w:sz="8" w:color="CFF0FC"/>
            </w:tcBorders>
            <w:shd w:val="clear" w:color="auto" w:fill="CFF0FC"/>
          </w:tcPr>
          <w:p>
            <w:pPr>
              <w:spacing w:after="0"/>
              <w:rPr>
                <w:sz w:val="10"/>
                <w:szCs w:val="10"/>
                <w:color w:val="auto"/>
              </w:rPr>
            </w:pPr>
          </w:p>
        </w:tc>
        <w:tc>
          <w:tcPr>
            <w:tcW w:w="140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6/11/2021</w:t>
            </w:r>
          </w:p>
        </w:tc>
        <w:tc>
          <w:tcPr>
            <w:tcW w:w="78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742</w:t>
            </w:r>
          </w:p>
        </w:tc>
        <w:tc>
          <w:tcPr>
            <w:tcW w:w="2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r>
      <w:tr>
        <w:trPr>
          <w:trHeight w:val="114"/>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14,665</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14,992</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3 %</w:t>
            </w:r>
          </w:p>
        </w:tc>
      </w:tr>
      <w:tr>
        <w:trPr>
          <w:trHeight w:val="122"/>
        </w:trPr>
        <w:tc>
          <w:tcPr>
            <w:tcW w:w="250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Allredi, LLC (fka Marco Group International OpCo, LLC)</w:t>
            </w:r>
          </w:p>
        </w:tc>
        <w:tc>
          <w:tcPr>
            <w:tcW w:w="1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Industrial Cleaning &amp; Coatings</w:t>
            </w:r>
          </w:p>
        </w:tc>
        <w:tc>
          <w:tcPr>
            <w:tcW w:w="14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0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Second Lien Debt</w:t>
            </w:r>
          </w:p>
        </w:tc>
        <w:tc>
          <w:tcPr>
            <w:tcW w:w="17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10.50%/1.75%</w:t>
            </w:r>
          </w:p>
        </w:tc>
        <w:tc>
          <w:tcPr>
            <w:tcW w:w="82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3/2/2020</w:t>
            </w:r>
          </w:p>
        </w:tc>
        <w:tc>
          <w:tcPr>
            <w:tcW w:w="7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9/2/2026</w:t>
            </w:r>
          </w:p>
        </w:tc>
        <w:tc>
          <w:tcPr>
            <w:tcW w:w="2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10,260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10,189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8,317</w:t>
            </w: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0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(570,636 units) (h)(j)</w:t>
            </w:r>
          </w:p>
        </w:tc>
        <w:tc>
          <w:tcPr>
            <w:tcW w:w="178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7/21/2017</w:t>
            </w:r>
          </w:p>
        </w:tc>
        <w:tc>
          <w:tcPr>
            <w:tcW w:w="7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637</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166</w:t>
            </w: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0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(39,443 units) (h)(j)</w:t>
            </w:r>
          </w:p>
        </w:tc>
        <w:tc>
          <w:tcPr>
            <w:tcW w:w="17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11/24/2021</w:t>
            </w: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22</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65</w:t>
            </w: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78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10,848</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8,548</w:t>
            </w:r>
          </w:p>
        </w:tc>
        <w:tc>
          <w:tcPr>
            <w:tcW w:w="7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American AllWaste LLC (dba WasteWater Transport Services)</w:t>
            </w:r>
          </w:p>
        </w:tc>
        <w:tc>
          <w:tcPr>
            <w:tcW w:w="1780" w:type="dxa"/>
            <w:vAlign w:val="bottom"/>
          </w:tcPr>
          <w:p>
            <w:pPr>
              <w:ind w:left="80"/>
              <w:spacing w:after="0"/>
              <w:rPr>
                <w:sz w:val="20"/>
                <w:szCs w:val="20"/>
                <w:color w:val="auto"/>
              </w:rPr>
            </w:pPr>
            <w:r>
              <w:rPr>
                <w:rFonts w:ascii="Times New Roman" w:cs="Times New Roman" w:eastAsia="Times New Roman" w:hAnsi="Times New Roman"/>
                <w:sz w:val="9"/>
                <w:szCs w:val="9"/>
                <w:color w:val="auto"/>
              </w:rPr>
              <w:t>Environmental Industries</w:t>
            </w:r>
          </w:p>
        </w:tc>
        <w:tc>
          <w:tcPr>
            <w:tcW w:w="1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0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(j)(p)</w:t>
            </w:r>
          </w:p>
        </w:tc>
        <w:tc>
          <w:tcPr>
            <w:tcW w:w="1780" w:type="dxa"/>
            <w:vAlign w:val="bottom"/>
            <w:shd w:val="clear" w:color="auto" w:fill="CFF0FC"/>
          </w:tcPr>
          <w:p>
            <w:pPr>
              <w:spacing w:after="0"/>
              <w:rPr>
                <w:sz w:val="10"/>
                <w:szCs w:val="10"/>
                <w:color w:val="auto"/>
              </w:rPr>
            </w:pPr>
          </w:p>
        </w:tc>
        <w:tc>
          <w:tcPr>
            <w:tcW w:w="1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9"/>
                <w:szCs w:val="9"/>
                <w:color w:val="auto"/>
              </w:rPr>
              <w:t>(L + 6.15%) / (1.00%)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7.15%/0.00%</w:t>
            </w:r>
          </w:p>
        </w:tc>
        <w:tc>
          <w:tcPr>
            <w:tcW w:w="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6/28/2021</w:t>
            </w:r>
          </w:p>
        </w:tc>
        <w:tc>
          <w:tcPr>
            <w:tcW w:w="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6/28/2026</w:t>
            </w: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20,500</w:t>
            </w: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20,281</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20,281</w:t>
            </w: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0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First Lien Debt (j)(o)</w:t>
            </w:r>
          </w:p>
        </w:tc>
        <w:tc>
          <w:tcPr>
            <w:tcW w:w="1780" w:type="dxa"/>
            <w:vAlign w:val="bottom"/>
          </w:tcPr>
          <w:p>
            <w:pPr>
              <w:spacing w:after="0"/>
              <w:rPr>
                <w:sz w:val="10"/>
                <w:szCs w:val="10"/>
                <w:color w:val="auto"/>
              </w:rPr>
            </w:pPr>
          </w:p>
        </w:tc>
        <w:tc>
          <w:tcPr>
            <w:tcW w:w="1400" w:type="dxa"/>
            <w:vAlign w:val="bottom"/>
          </w:tcPr>
          <w:p>
            <w:pPr>
              <w:ind w:left="360"/>
              <w:spacing w:after="0"/>
              <w:rPr>
                <w:sz w:val="20"/>
                <w:szCs w:val="20"/>
                <w:color w:val="auto"/>
              </w:rPr>
            </w:pPr>
            <w:r>
              <w:rPr>
                <w:rFonts w:ascii="Times New Roman" w:cs="Times New Roman" w:eastAsia="Times New Roman" w:hAnsi="Times New Roman"/>
                <w:sz w:val="9"/>
                <w:szCs w:val="9"/>
                <w:color w:val="auto"/>
              </w:rPr>
              <w:t>(L + 3.75%) / (1.00%)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4.75%/0.00%</w:t>
            </w:r>
          </w:p>
        </w:tc>
        <w:tc>
          <w:tcPr>
            <w:tcW w:w="82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6/28/2021</w:t>
            </w:r>
          </w:p>
        </w:tc>
        <w:tc>
          <w:tcPr>
            <w:tcW w:w="7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12/31/2022</w:t>
            </w:r>
          </w:p>
        </w:tc>
        <w:tc>
          <w:tcPr>
            <w:tcW w:w="2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330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330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330</w:t>
            </w: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0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(500 units) (h)(j)</w:t>
            </w:r>
          </w:p>
        </w:tc>
        <w:tc>
          <w:tcPr>
            <w:tcW w:w="178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5/31/2018</w:t>
            </w:r>
          </w:p>
        </w:tc>
        <w:tc>
          <w:tcPr>
            <w:tcW w:w="7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439</w:t>
            </w: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0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Preferred Equity (207 units) (h)(j)</w:t>
            </w:r>
          </w:p>
        </w:tc>
        <w:tc>
          <w:tcPr>
            <w:tcW w:w="17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9"/>
                <w:szCs w:val="9"/>
                <w:color w:val="auto"/>
              </w:rPr>
              <w:t>8/6/2019</w:t>
            </w: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250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187</w:t>
            </w: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0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(141 units) (h)(j)</w:t>
            </w:r>
          </w:p>
        </w:tc>
        <w:tc>
          <w:tcPr>
            <w:tcW w:w="178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11/2/2020</w:t>
            </w:r>
          </w:p>
        </w:tc>
        <w:tc>
          <w:tcPr>
            <w:tcW w:w="7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171</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128</w:t>
            </w: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0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Preferred Equity (74 units) (h)(j)</w:t>
            </w:r>
          </w:p>
        </w:tc>
        <w:tc>
          <w:tcPr>
            <w:tcW w:w="17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12/29/2021</w:t>
            </w: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97</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97</w:t>
            </w: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78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21,629</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21,462</w:t>
            </w:r>
          </w:p>
        </w:tc>
        <w:tc>
          <w:tcPr>
            <w:tcW w:w="7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4 %</w:t>
            </w:r>
          </w:p>
        </w:tc>
      </w:tr>
      <w:tr>
        <w:trPr>
          <w:trHeight w:val="121"/>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Applied Data Corporation</w:t>
            </w:r>
          </w:p>
        </w:tc>
        <w:tc>
          <w:tcPr>
            <w:tcW w:w="1780" w:type="dxa"/>
            <w:vAlign w:val="bottom"/>
          </w:tcPr>
          <w:p>
            <w:pPr>
              <w:ind w:left="8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1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0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(k)(v)</w:t>
            </w:r>
          </w:p>
        </w:tc>
        <w:tc>
          <w:tcPr>
            <w:tcW w:w="1780" w:type="dxa"/>
            <w:vAlign w:val="bottom"/>
            <w:shd w:val="clear" w:color="auto" w:fill="CFF0FC"/>
          </w:tcPr>
          <w:p>
            <w:pPr>
              <w:spacing w:after="0"/>
              <w:rPr>
                <w:sz w:val="10"/>
                <w:szCs w:val="10"/>
                <w:color w:val="auto"/>
              </w:rPr>
            </w:pPr>
          </w:p>
        </w:tc>
        <w:tc>
          <w:tcPr>
            <w:tcW w:w="1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9"/>
                <w:szCs w:val="9"/>
                <w:color w:val="auto"/>
              </w:rPr>
              <w:t>(L + 6.25%) / (1.50%)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7.75%/0.00%</w:t>
            </w:r>
          </w:p>
        </w:tc>
        <w:tc>
          <w:tcPr>
            <w:tcW w:w="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11/6/2020</w:t>
            </w:r>
          </w:p>
        </w:tc>
        <w:tc>
          <w:tcPr>
            <w:tcW w:w="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11/6/2025</w:t>
            </w: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11,500</w:t>
            </w: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11,441</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11,500</w:t>
            </w: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0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(22 units)</w:t>
            </w:r>
          </w:p>
        </w:tc>
        <w:tc>
          <w:tcPr>
            <w:tcW w:w="17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11/6/2020</w:t>
            </w: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111</w:t>
            </w: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0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(1,104,539 units)</w:t>
            </w:r>
          </w:p>
        </w:tc>
        <w:tc>
          <w:tcPr>
            <w:tcW w:w="1780" w:type="dxa"/>
            <w:vAlign w:val="bottom"/>
            <w:tcBorders>
              <w:bottom w:val="single" w:sz="8" w:color="CFF0FC"/>
            </w:tcBorders>
            <w:shd w:val="clear" w:color="auto" w:fill="CFF0FC"/>
          </w:tcPr>
          <w:p>
            <w:pPr>
              <w:spacing w:after="0"/>
              <w:rPr>
                <w:sz w:val="10"/>
                <w:szCs w:val="10"/>
                <w:color w:val="auto"/>
              </w:rPr>
            </w:pPr>
          </w:p>
        </w:tc>
        <w:tc>
          <w:tcPr>
            <w:tcW w:w="140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11/6/2020</w:t>
            </w:r>
          </w:p>
        </w:tc>
        <w:tc>
          <w:tcPr>
            <w:tcW w:w="78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1,105</w:t>
            </w: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1,194</w:t>
            </w:r>
          </w:p>
        </w:tc>
        <w:tc>
          <w:tcPr>
            <w:tcW w:w="2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r>
      <w:tr>
        <w:trPr>
          <w:trHeight w:val="115"/>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12,561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12,805</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3 %</w:t>
            </w:r>
          </w:p>
        </w:tc>
      </w:tr>
      <w:tr>
        <w:trPr>
          <w:trHeight w:val="122"/>
        </w:trPr>
        <w:tc>
          <w:tcPr>
            <w:tcW w:w="250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Argo Turboserve Corporation</w:t>
            </w:r>
          </w:p>
        </w:tc>
        <w:tc>
          <w:tcPr>
            <w:tcW w:w="1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Business Services</w:t>
            </w:r>
          </w:p>
        </w:tc>
        <w:tc>
          <w:tcPr>
            <w:tcW w:w="14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0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1780" w:type="dxa"/>
            <w:vAlign w:val="bottom"/>
          </w:tcPr>
          <w:p>
            <w:pPr>
              <w:spacing w:after="0"/>
              <w:rPr>
                <w:sz w:val="10"/>
                <w:szCs w:val="10"/>
                <w:color w:val="auto"/>
              </w:rPr>
            </w:pPr>
          </w:p>
        </w:tc>
        <w:tc>
          <w:tcPr>
            <w:tcW w:w="1400" w:type="dxa"/>
            <w:vAlign w:val="bottom"/>
          </w:tcPr>
          <w:p>
            <w:pPr>
              <w:ind w:left="360"/>
              <w:spacing w:after="0"/>
              <w:rPr>
                <w:sz w:val="20"/>
                <w:szCs w:val="20"/>
                <w:color w:val="auto"/>
              </w:rPr>
            </w:pPr>
            <w:r>
              <w:rPr>
                <w:rFonts w:ascii="Times New Roman" w:cs="Times New Roman" w:eastAsia="Times New Roman" w:hAnsi="Times New Roman"/>
                <w:sz w:val="9"/>
                <w:szCs w:val="9"/>
                <w:color w:val="auto"/>
              </w:rPr>
              <w:t>(L + 12.00%) / (2.00%)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14.00%/0.00%</w:t>
            </w:r>
          </w:p>
        </w:tc>
        <w:tc>
          <w:tcPr>
            <w:tcW w:w="82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12/26/2018</w:t>
            </w:r>
          </w:p>
        </w:tc>
        <w:tc>
          <w:tcPr>
            <w:tcW w:w="7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6/28/2023</w:t>
            </w:r>
          </w:p>
        </w:tc>
        <w:tc>
          <w:tcPr>
            <w:tcW w:w="2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11,906</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11,881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11,906</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78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Auto CRM LLC (dba Dealer Holdings)</w:t>
            </w:r>
          </w:p>
        </w:tc>
        <w:tc>
          <w:tcPr>
            <w:tcW w:w="1780" w:type="dxa"/>
            <w:vAlign w:val="bottom"/>
          </w:tcPr>
          <w:p>
            <w:pPr>
              <w:ind w:left="8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1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0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1780" w:type="dxa"/>
            <w:vAlign w:val="bottom"/>
            <w:shd w:val="clear" w:color="auto" w:fill="CFF0FC"/>
          </w:tcPr>
          <w:p>
            <w:pPr>
              <w:spacing w:after="0"/>
              <w:rPr>
                <w:sz w:val="10"/>
                <w:szCs w:val="10"/>
                <w:color w:val="auto"/>
              </w:rPr>
            </w:pPr>
          </w:p>
        </w:tc>
        <w:tc>
          <w:tcPr>
            <w:tcW w:w="1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9"/>
                <w:szCs w:val="9"/>
                <w:color w:val="auto"/>
              </w:rPr>
              <w:t>(P + 5.50%) / (3.25%)</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8.75%/0.85%</w:t>
            </w:r>
          </w:p>
        </w:tc>
        <w:tc>
          <w:tcPr>
            <w:tcW w:w="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10/1/2021</w:t>
            </w:r>
          </w:p>
        </w:tc>
        <w:tc>
          <w:tcPr>
            <w:tcW w:w="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10/1/2026</w:t>
            </w: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7,516</w:t>
            </w: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7,445</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7,445</w:t>
            </w: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0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17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0.00%/12.75%</w:t>
            </w:r>
          </w:p>
        </w:tc>
        <w:tc>
          <w:tcPr>
            <w:tcW w:w="82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10/1/2021</w:t>
            </w:r>
          </w:p>
        </w:tc>
        <w:tc>
          <w:tcPr>
            <w:tcW w:w="7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12/31/2026</w:t>
            </w:r>
          </w:p>
        </w:tc>
        <w:tc>
          <w:tcPr>
            <w:tcW w:w="2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516</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512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512</w:t>
            </w: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0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(500 units) (j)</w:t>
            </w:r>
          </w:p>
        </w:tc>
        <w:tc>
          <w:tcPr>
            <w:tcW w:w="1780" w:type="dxa"/>
            <w:vAlign w:val="bottom"/>
            <w:tcBorders>
              <w:bottom w:val="single" w:sz="8" w:color="CFF0FC"/>
            </w:tcBorders>
            <w:shd w:val="clear" w:color="auto" w:fill="CFF0FC"/>
          </w:tcPr>
          <w:p>
            <w:pPr>
              <w:spacing w:after="0"/>
              <w:rPr>
                <w:sz w:val="10"/>
                <w:szCs w:val="10"/>
                <w:color w:val="auto"/>
              </w:rPr>
            </w:pPr>
          </w:p>
        </w:tc>
        <w:tc>
          <w:tcPr>
            <w:tcW w:w="140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10/1/2021</w:t>
            </w:r>
          </w:p>
        </w:tc>
        <w:tc>
          <w:tcPr>
            <w:tcW w:w="78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2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r>
      <w:tr>
        <w:trPr>
          <w:trHeight w:val="115"/>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8,457</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8,457</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50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AVC Investors, LLC (dba Auveco)</w:t>
            </w:r>
          </w:p>
        </w:tc>
        <w:tc>
          <w:tcPr>
            <w:tcW w:w="1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Specialty Distribution</w:t>
            </w:r>
          </w:p>
        </w:tc>
        <w:tc>
          <w:tcPr>
            <w:tcW w:w="14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0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(5,000 units) (j)</w:t>
            </w:r>
          </w:p>
        </w:tc>
        <w:tc>
          <w:tcPr>
            <w:tcW w:w="17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1/3/2018</w:t>
            </w: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382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751</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78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B&amp;B Roadway and Security Solutions, LLC (n)</w:t>
            </w:r>
          </w:p>
        </w:tc>
        <w:tc>
          <w:tcPr>
            <w:tcW w:w="1780" w:type="dxa"/>
            <w:vAlign w:val="bottom"/>
          </w:tcPr>
          <w:p>
            <w:pPr>
              <w:ind w:left="80"/>
              <w:spacing w:after="0"/>
              <w:rPr>
                <w:sz w:val="20"/>
                <w:szCs w:val="20"/>
                <w:color w:val="auto"/>
              </w:rPr>
            </w:pPr>
            <w:r>
              <w:rPr>
                <w:rFonts w:ascii="Times New Roman" w:cs="Times New Roman" w:eastAsia="Times New Roman" w:hAnsi="Times New Roman"/>
                <w:sz w:val="9"/>
                <w:szCs w:val="9"/>
                <w:color w:val="auto"/>
              </w:rPr>
              <w:t>Component Manufacturing</w:t>
            </w:r>
          </w:p>
        </w:tc>
        <w:tc>
          <w:tcPr>
            <w:tcW w:w="1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0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(50,000 units) (h)(j)</w:t>
            </w:r>
          </w:p>
        </w:tc>
        <w:tc>
          <w:tcPr>
            <w:tcW w:w="178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2/27/2018</w:t>
            </w:r>
          </w:p>
        </w:tc>
        <w:tc>
          <w:tcPr>
            <w:tcW w:w="7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0 %</w:t>
            </w:r>
          </w:p>
        </w:tc>
      </w:tr>
      <w:tr>
        <w:trPr>
          <w:trHeight w:val="121"/>
        </w:trPr>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0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Bandon Fitness (Texas), Inc.</w:t>
            </w:r>
          </w:p>
        </w:tc>
        <w:tc>
          <w:tcPr>
            <w:tcW w:w="1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Retail</w:t>
            </w:r>
          </w:p>
        </w:tc>
        <w:tc>
          <w:tcPr>
            <w:tcW w:w="14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0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(545,810 units) (j)</w:t>
            </w:r>
          </w:p>
        </w:tc>
        <w:tc>
          <w:tcPr>
            <w:tcW w:w="17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9"/>
                <w:szCs w:val="9"/>
                <w:color w:val="auto"/>
              </w:rPr>
              <w:t>8/9/2019</w:t>
            </w: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931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1,533</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78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BCM One Group Holdings, Inc.</w:t>
            </w:r>
          </w:p>
        </w:tc>
        <w:tc>
          <w:tcPr>
            <w:tcW w:w="1780" w:type="dxa"/>
            <w:vAlign w:val="bottom"/>
          </w:tcPr>
          <w:p>
            <w:pPr>
              <w:ind w:left="8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1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-7019290</wp:posOffset>
            </wp:positionV>
            <wp:extent cx="1714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-7002145</wp:posOffset>
            </wp:positionV>
            <wp:extent cx="171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-7019290</wp:posOffset>
            </wp:positionV>
            <wp:extent cx="1714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-7002145</wp:posOffset>
            </wp:positionV>
            <wp:extent cx="171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-4653280</wp:posOffset>
            </wp:positionV>
            <wp:extent cx="171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-4653280</wp:posOffset>
            </wp:positionV>
            <wp:extent cx="171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-4336415</wp:posOffset>
            </wp:positionV>
            <wp:extent cx="1714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-4336415</wp:posOffset>
            </wp:positionV>
            <wp:extent cx="1714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-3213100</wp:posOffset>
            </wp:positionV>
            <wp:extent cx="1714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-3213100</wp:posOffset>
            </wp:positionV>
            <wp:extent cx="1714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-2896235</wp:posOffset>
            </wp:positionV>
            <wp:extent cx="171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-2896235</wp:posOffset>
            </wp:positionV>
            <wp:extent cx="171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-1481455</wp:posOffset>
            </wp:positionV>
            <wp:extent cx="1714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-1481455</wp:posOffset>
            </wp:positionV>
            <wp:extent cx="1714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-855980</wp:posOffset>
            </wp:positionV>
            <wp:extent cx="1714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-855980</wp:posOffset>
            </wp:positionV>
            <wp:extent cx="1714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22"/>
        </w:trPr>
        <w:tc>
          <w:tcPr>
            <w:tcW w:w="2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3160" w:type="dxa"/>
            <w:vAlign w:val="bottom"/>
            <w:shd w:val="clear" w:color="auto" w:fill="CFF0FC"/>
          </w:tcPr>
          <w:p>
            <w:pPr>
              <w:spacing w:after="0"/>
              <w:rPr>
                <w:sz w:val="10"/>
                <w:szCs w:val="10"/>
                <w:color w:val="auto"/>
              </w:rPr>
            </w:pP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10.25%/0.00%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11/17/2021</w:t>
            </w:r>
          </w:p>
        </w:tc>
        <w:tc>
          <w:tcPr>
            <w:tcW w:w="1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11/17/2028</w:t>
            </w:r>
          </w:p>
        </w:tc>
        <w:tc>
          <w:tcPr>
            <w:tcW w:w="7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9"/>
                <w:szCs w:val="9"/>
                <w:color w:val="auto"/>
              </w:rPr>
              <w:t>10,000</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9,950</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9,950</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5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Bedford Precision Parts LLC</w:t>
            </w:r>
          </w:p>
        </w:tc>
        <w:tc>
          <w:tcPr>
            <w:tcW w:w="3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Specialty Distribution</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(j)(s)</w:t>
            </w:r>
          </w:p>
        </w:tc>
        <w:tc>
          <w:tcPr>
            <w:tcW w:w="3160" w:type="dxa"/>
            <w:vAlign w:val="bottom"/>
          </w:tcPr>
          <w:p>
            <w:pPr>
              <w:ind w:left="2120"/>
              <w:spacing w:after="0"/>
              <w:rPr>
                <w:sz w:val="20"/>
                <w:szCs w:val="20"/>
                <w:color w:val="auto"/>
              </w:rPr>
            </w:pPr>
            <w:r>
              <w:rPr>
                <w:rFonts w:ascii="Times New Roman" w:cs="Times New Roman" w:eastAsia="Times New Roman" w:hAnsi="Times New Roman"/>
                <w:sz w:val="9"/>
                <w:szCs w:val="9"/>
                <w:color w:val="auto"/>
              </w:rPr>
              <w:t>(L + 6.25%) / (1.00%)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7.25%/0.00%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3/12/2019</w:t>
            </w:r>
          </w:p>
        </w:tc>
        <w:tc>
          <w:tcPr>
            <w:tcW w:w="10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3/12/2024</w:t>
            </w: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4,531</w:t>
            </w: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4,514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4,531</w:t>
            </w:r>
          </w:p>
        </w:tc>
        <w:tc>
          <w:tcPr>
            <w:tcW w:w="700" w:type="dxa"/>
            <w:vAlign w:val="bottom"/>
          </w:tcPr>
          <w:p>
            <w:pPr>
              <w:spacing w:after="0"/>
              <w:rPr>
                <w:sz w:val="10"/>
                <w:szCs w:val="10"/>
                <w:color w:val="auto"/>
              </w:rPr>
            </w:pPr>
          </w:p>
        </w:tc>
      </w:tr>
      <w:tr>
        <w:trPr>
          <w:trHeight w:val="122"/>
        </w:trPr>
        <w:tc>
          <w:tcPr>
            <w:tcW w:w="25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(500,000 units) (h)(j)</w:t>
            </w:r>
          </w:p>
        </w:tc>
        <w:tc>
          <w:tcPr>
            <w:tcW w:w="316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3/12/2019</w:t>
            </w:r>
          </w:p>
        </w:tc>
        <w:tc>
          <w:tcPr>
            <w:tcW w:w="100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10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358</w:t>
            </w:r>
          </w:p>
        </w:tc>
        <w:tc>
          <w:tcPr>
            <w:tcW w:w="700" w:type="dxa"/>
            <w:vAlign w:val="bottom"/>
            <w:tcBorders>
              <w:bottom w:val="single" w:sz="8" w:color="CFF0FC"/>
            </w:tcBorders>
            <w:shd w:val="clear" w:color="auto" w:fill="CFF0FC"/>
          </w:tcPr>
          <w:p>
            <w:pPr>
              <w:spacing w:after="0"/>
              <w:rPr>
                <w:sz w:val="10"/>
                <w:szCs w:val="10"/>
                <w:color w:val="auto"/>
              </w:rPr>
            </w:pPr>
          </w:p>
        </w:tc>
      </w:tr>
      <w:tr>
        <w:trPr>
          <w:trHeight w:val="115"/>
        </w:trPr>
        <w:tc>
          <w:tcPr>
            <w:tcW w:w="25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5,014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4,889</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Cardback Intermediate, LLC (dba Chargeback Gurus)</w:t>
            </w:r>
          </w:p>
        </w:tc>
        <w:tc>
          <w:tcPr>
            <w:tcW w:w="3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(j)(ah)</w:t>
            </w:r>
          </w:p>
        </w:tc>
        <w:tc>
          <w:tcPr>
            <w:tcW w:w="3160" w:type="dxa"/>
            <w:vAlign w:val="bottom"/>
          </w:tcPr>
          <w:p>
            <w:pPr>
              <w:ind w:left="2120"/>
              <w:spacing w:after="0"/>
              <w:rPr>
                <w:sz w:val="20"/>
                <w:szCs w:val="20"/>
                <w:color w:val="auto"/>
              </w:rPr>
            </w:pPr>
            <w:r>
              <w:rPr>
                <w:rFonts w:ascii="Times New Roman" w:cs="Times New Roman" w:eastAsia="Times New Roman" w:hAnsi="Times New Roman"/>
                <w:sz w:val="9"/>
                <w:szCs w:val="9"/>
                <w:color w:val="auto"/>
              </w:rPr>
              <w:t>(L + 6.75%) / (0.75%)</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7.50%/0.00%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8/10/2021</w:t>
            </w:r>
          </w:p>
        </w:tc>
        <w:tc>
          <w:tcPr>
            <w:tcW w:w="10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8/10/2026</w:t>
            </w: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14,000</w:t>
            </w: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13,928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13,928</w:t>
            </w:r>
          </w:p>
        </w:tc>
        <w:tc>
          <w:tcPr>
            <w:tcW w:w="700" w:type="dxa"/>
            <w:vAlign w:val="bottom"/>
          </w:tcPr>
          <w:p>
            <w:pPr>
              <w:spacing w:after="0"/>
              <w:rPr>
                <w:sz w:val="10"/>
                <w:szCs w:val="10"/>
                <w:color w:val="auto"/>
              </w:rPr>
            </w:pPr>
          </w:p>
        </w:tc>
      </w:tr>
      <w:tr>
        <w:trPr>
          <w:trHeight w:val="122"/>
        </w:trPr>
        <w:tc>
          <w:tcPr>
            <w:tcW w:w="2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(495 shares) (j)</w:t>
            </w:r>
          </w:p>
        </w:tc>
        <w:tc>
          <w:tcPr>
            <w:tcW w:w="31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8/10/2021</w:t>
            </w: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125</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125</w:t>
            </w:r>
          </w:p>
        </w:tc>
        <w:tc>
          <w:tcPr>
            <w:tcW w:w="700" w:type="dxa"/>
            <w:vAlign w:val="bottom"/>
            <w:shd w:val="clear" w:color="auto" w:fill="CFF0FC"/>
          </w:tcPr>
          <w:p>
            <w:pPr>
              <w:spacing w:after="0"/>
              <w:rPr>
                <w:sz w:val="10"/>
                <w:szCs w:val="10"/>
                <w:color w:val="auto"/>
              </w:rPr>
            </w:pPr>
          </w:p>
        </w:tc>
      </w:tr>
      <w:tr>
        <w:trPr>
          <w:trHeight w:val="121"/>
        </w:trPr>
        <w:tc>
          <w:tcPr>
            <w:tcW w:w="25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(495 shares) (j)</w:t>
            </w:r>
          </w:p>
        </w:tc>
        <w:tc>
          <w:tcPr>
            <w:tcW w:w="3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8/10/2021</w:t>
            </w: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125</w:t>
            </w:r>
          </w:p>
        </w:tc>
        <w:tc>
          <w:tcPr>
            <w:tcW w:w="100" w:type="dxa"/>
            <w:vAlign w:val="bottom"/>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125</w:t>
            </w:r>
          </w:p>
        </w:tc>
        <w:tc>
          <w:tcPr>
            <w:tcW w:w="700" w:type="dxa"/>
            <w:vAlign w:val="bottom"/>
          </w:tcPr>
          <w:p>
            <w:pPr>
              <w:spacing w:after="0"/>
              <w:rPr>
                <w:sz w:val="10"/>
                <w:szCs w:val="10"/>
                <w:color w:val="auto"/>
              </w:rPr>
            </w:pPr>
          </w:p>
        </w:tc>
      </w:tr>
      <w:tr>
        <w:trPr>
          <w:trHeight w:val="115"/>
        </w:trPr>
        <w:tc>
          <w:tcPr>
            <w:tcW w:w="2520" w:type="dxa"/>
            <w:vAlign w:val="bottom"/>
            <w:shd w:val="clear" w:color="auto" w:fill="CFF0FC"/>
          </w:tcPr>
          <w:p>
            <w:pPr>
              <w:spacing w:after="0"/>
              <w:rPr>
                <w:sz w:val="10"/>
                <w:szCs w:val="10"/>
                <w:color w:val="auto"/>
              </w:rPr>
            </w:pPr>
          </w:p>
        </w:tc>
        <w:tc>
          <w:tcPr>
            <w:tcW w:w="31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14,178</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14,178</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1"/>
        </w:trPr>
        <w:tc>
          <w:tcPr>
            <w:tcW w:w="25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Cardboard Box LLC (dba Anthony's Coal Fired Pizza)</w:t>
            </w:r>
          </w:p>
        </w:tc>
        <w:tc>
          <w:tcPr>
            <w:tcW w:w="3160" w:type="dxa"/>
            <w:vAlign w:val="bottom"/>
          </w:tcPr>
          <w:p>
            <w:pPr>
              <w:ind w:left="60"/>
              <w:spacing w:after="0"/>
              <w:rPr>
                <w:sz w:val="20"/>
                <w:szCs w:val="20"/>
                <w:color w:val="auto"/>
              </w:rPr>
            </w:pPr>
            <w:r>
              <w:rPr>
                <w:rFonts w:ascii="Times New Roman" w:cs="Times New Roman" w:eastAsia="Times New Roman" w:hAnsi="Times New Roman"/>
                <w:sz w:val="9"/>
                <w:szCs w:val="9"/>
                <w:color w:val="auto"/>
              </w:rPr>
              <w:t>Restaurants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(521,021 units) (j)(ao)</w:t>
            </w:r>
          </w:p>
        </w:tc>
        <w:tc>
          <w:tcPr>
            <w:tcW w:w="31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12/15/2015</w:t>
            </w: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521</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74</w:t>
            </w:r>
          </w:p>
        </w:tc>
        <w:tc>
          <w:tcPr>
            <w:tcW w:w="700" w:type="dxa"/>
            <w:vAlign w:val="bottom"/>
            <w:shd w:val="clear" w:color="auto" w:fill="CFF0FC"/>
          </w:tcPr>
          <w:p>
            <w:pPr>
              <w:spacing w:after="0"/>
              <w:rPr>
                <w:sz w:val="10"/>
                <w:szCs w:val="10"/>
                <w:color w:val="auto"/>
              </w:rPr>
            </w:pPr>
          </w:p>
        </w:tc>
      </w:tr>
      <w:tr>
        <w:trPr>
          <w:trHeight w:val="122"/>
        </w:trPr>
        <w:tc>
          <w:tcPr>
            <w:tcW w:w="25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(1,043,133 units) (j)(ao)</w:t>
            </w:r>
          </w:p>
        </w:tc>
        <w:tc>
          <w:tcPr>
            <w:tcW w:w="3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12/6/2019</w:t>
            </w: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96</w:t>
            </w:r>
          </w:p>
        </w:tc>
        <w:tc>
          <w:tcPr>
            <w:tcW w:w="100" w:type="dxa"/>
            <w:vAlign w:val="bottom"/>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283</w:t>
            </w:r>
          </w:p>
        </w:tc>
        <w:tc>
          <w:tcPr>
            <w:tcW w:w="700" w:type="dxa"/>
            <w:vAlign w:val="bottom"/>
          </w:tcPr>
          <w:p>
            <w:pPr>
              <w:spacing w:after="0"/>
              <w:rPr>
                <w:sz w:val="10"/>
                <w:szCs w:val="10"/>
                <w:color w:val="auto"/>
              </w:rPr>
            </w:pPr>
          </w:p>
        </w:tc>
      </w:tr>
      <w:tr>
        <w:trPr>
          <w:trHeight w:val="115"/>
        </w:trPr>
        <w:tc>
          <w:tcPr>
            <w:tcW w:w="2520" w:type="dxa"/>
            <w:vAlign w:val="bottom"/>
            <w:shd w:val="clear" w:color="auto" w:fill="CFF0FC"/>
          </w:tcPr>
          <w:p>
            <w:pPr>
              <w:spacing w:after="0"/>
              <w:rPr>
                <w:sz w:val="10"/>
                <w:szCs w:val="10"/>
                <w:color w:val="auto"/>
              </w:rPr>
            </w:pPr>
          </w:p>
        </w:tc>
        <w:tc>
          <w:tcPr>
            <w:tcW w:w="31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617</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357</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1"/>
        </w:trPr>
        <w:tc>
          <w:tcPr>
            <w:tcW w:w="25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Combined Systems, Inc.</w:t>
            </w:r>
          </w:p>
        </w:tc>
        <w:tc>
          <w:tcPr>
            <w:tcW w:w="3160" w:type="dxa"/>
            <w:vAlign w:val="bottom"/>
          </w:tcPr>
          <w:p>
            <w:pPr>
              <w:ind w:left="60"/>
              <w:spacing w:after="0"/>
              <w:rPr>
                <w:sz w:val="20"/>
                <w:szCs w:val="20"/>
                <w:color w:val="auto"/>
              </w:rPr>
            </w:pPr>
            <w:r>
              <w:rPr>
                <w:rFonts w:ascii="Times New Roman" w:cs="Times New Roman" w:eastAsia="Times New Roman" w:hAnsi="Times New Roman"/>
                <w:sz w:val="9"/>
                <w:szCs w:val="9"/>
                <w:color w:val="auto"/>
              </w:rPr>
              <w:t>Aerospace &amp; Defense Manufacturing</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w:t>
            </w:r>
          </w:p>
        </w:tc>
        <w:tc>
          <w:tcPr>
            <w:tcW w:w="3160" w:type="dxa"/>
            <w:vAlign w:val="bottom"/>
            <w:shd w:val="clear" w:color="auto" w:fill="CFF0FC"/>
          </w:tcPr>
          <w:p>
            <w:pPr>
              <w:ind w:left="2120"/>
              <w:spacing w:after="0"/>
              <w:rPr>
                <w:sz w:val="20"/>
                <w:szCs w:val="20"/>
                <w:color w:val="auto"/>
              </w:rPr>
            </w:pPr>
            <w:r>
              <w:rPr>
                <w:rFonts w:ascii="Times New Roman" w:cs="Times New Roman" w:eastAsia="Times New Roman" w:hAnsi="Times New Roman"/>
                <w:sz w:val="9"/>
                <w:szCs w:val="9"/>
                <w:color w:val="auto"/>
              </w:rPr>
              <w:t>(L + 11.00%) / (2.00%)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13.00%/0.00%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1/31/2020</w:t>
            </w:r>
          </w:p>
        </w:tc>
        <w:tc>
          <w:tcPr>
            <w:tcW w:w="1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1/31/2025</w:t>
            </w:r>
          </w:p>
        </w:tc>
        <w:tc>
          <w:tcPr>
            <w:tcW w:w="7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9"/>
                <w:szCs w:val="9"/>
                <w:color w:val="auto"/>
              </w:rPr>
              <w:t>7,091</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7,055</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7,119</w:t>
            </w:r>
          </w:p>
        </w:tc>
        <w:tc>
          <w:tcPr>
            <w:tcW w:w="700" w:type="dxa"/>
            <w:vAlign w:val="bottom"/>
            <w:shd w:val="clear" w:color="auto" w:fill="CFF0FC"/>
          </w:tcPr>
          <w:p>
            <w:pPr>
              <w:spacing w:after="0"/>
              <w:rPr>
                <w:sz w:val="10"/>
                <w:szCs w:val="10"/>
                <w:color w:val="auto"/>
              </w:rPr>
            </w:pPr>
          </w:p>
        </w:tc>
      </w:tr>
      <w:tr>
        <w:trPr>
          <w:trHeight w:val="122"/>
        </w:trPr>
        <w:tc>
          <w:tcPr>
            <w:tcW w:w="25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Revolving Loan ($605 unfunded commitment) (j)(ac)</w:t>
            </w:r>
          </w:p>
        </w:tc>
        <w:tc>
          <w:tcPr>
            <w:tcW w:w="3160" w:type="dxa"/>
            <w:vAlign w:val="bottom"/>
          </w:tcPr>
          <w:p>
            <w:pPr>
              <w:ind w:left="2120"/>
              <w:spacing w:after="0"/>
              <w:rPr>
                <w:sz w:val="20"/>
                <w:szCs w:val="20"/>
                <w:color w:val="auto"/>
              </w:rPr>
            </w:pPr>
            <w:r>
              <w:rPr>
                <w:rFonts w:ascii="Times New Roman" w:cs="Times New Roman" w:eastAsia="Times New Roman" w:hAnsi="Times New Roman"/>
                <w:sz w:val="9"/>
                <w:szCs w:val="9"/>
                <w:color w:val="auto"/>
              </w:rPr>
              <w:t>(L + 10.00%) / (2.00%)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15.00%/0.00%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1/31/2020</w:t>
            </w:r>
          </w:p>
        </w:tc>
        <w:tc>
          <w:tcPr>
            <w:tcW w:w="10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1/31/2025</w:t>
            </w: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3,395</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3,380</w:t>
            </w:r>
          </w:p>
        </w:tc>
        <w:tc>
          <w:tcPr>
            <w:tcW w:w="100" w:type="dxa"/>
            <w:vAlign w:val="bottom"/>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3,395</w:t>
            </w:r>
          </w:p>
        </w:tc>
        <w:tc>
          <w:tcPr>
            <w:tcW w:w="700" w:type="dxa"/>
            <w:vAlign w:val="bottom"/>
          </w:tcPr>
          <w:p>
            <w:pPr>
              <w:spacing w:after="0"/>
              <w:rPr>
                <w:sz w:val="10"/>
                <w:szCs w:val="10"/>
                <w:color w:val="auto"/>
              </w:rPr>
            </w:pPr>
          </w:p>
        </w:tc>
      </w:tr>
      <w:tr>
        <w:trPr>
          <w:trHeight w:val="115"/>
        </w:trPr>
        <w:tc>
          <w:tcPr>
            <w:tcW w:w="2520" w:type="dxa"/>
            <w:vAlign w:val="bottom"/>
            <w:shd w:val="clear" w:color="auto" w:fill="CFF0FC"/>
          </w:tcPr>
          <w:p>
            <w:pPr>
              <w:spacing w:after="0"/>
              <w:rPr>
                <w:sz w:val="10"/>
                <w:szCs w:val="10"/>
                <w:color w:val="auto"/>
              </w:rPr>
            </w:pPr>
          </w:p>
        </w:tc>
        <w:tc>
          <w:tcPr>
            <w:tcW w:w="31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10,435</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10,514</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5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Comply365, LLC</w:t>
            </w:r>
          </w:p>
        </w:tc>
        <w:tc>
          <w:tcPr>
            <w:tcW w:w="3160" w:type="dxa"/>
            <w:vAlign w:val="bottom"/>
          </w:tcPr>
          <w:p>
            <w:pPr>
              <w:ind w:left="60"/>
              <w:spacing w:after="0"/>
              <w:rPr>
                <w:sz w:val="20"/>
                <w:szCs w:val="20"/>
                <w:color w:val="auto"/>
              </w:rPr>
            </w:pPr>
            <w:r>
              <w:rPr>
                <w:rFonts w:ascii="Times New Roman" w:cs="Times New Roman" w:eastAsia="Times New Roman" w:hAnsi="Times New Roman"/>
                <w:sz w:val="9"/>
                <w:szCs w:val="9"/>
                <w:color w:val="auto"/>
              </w:rPr>
              <w:t>Aerospace &amp; Defense Manufacturing</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(ad)</w:t>
            </w:r>
          </w:p>
        </w:tc>
        <w:tc>
          <w:tcPr>
            <w:tcW w:w="3160" w:type="dxa"/>
            <w:vAlign w:val="bottom"/>
            <w:shd w:val="clear" w:color="auto" w:fill="CFF0FC"/>
          </w:tcPr>
          <w:p>
            <w:pPr>
              <w:ind w:left="2120"/>
              <w:spacing w:after="0"/>
              <w:rPr>
                <w:sz w:val="20"/>
                <w:szCs w:val="20"/>
                <w:color w:val="auto"/>
              </w:rPr>
            </w:pPr>
            <w:r>
              <w:rPr>
                <w:rFonts w:ascii="Times New Roman" w:cs="Times New Roman" w:eastAsia="Times New Roman" w:hAnsi="Times New Roman"/>
                <w:sz w:val="9"/>
                <w:szCs w:val="9"/>
                <w:color w:val="auto"/>
              </w:rPr>
              <w:t>(L + 8.00%) / (1.00%)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9.00%/0.00%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12/11/2020</w:t>
            </w:r>
          </w:p>
        </w:tc>
        <w:tc>
          <w:tcPr>
            <w:tcW w:w="1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12/11/2025</w:t>
            </w:r>
          </w:p>
        </w:tc>
        <w:tc>
          <w:tcPr>
            <w:tcW w:w="7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9"/>
                <w:szCs w:val="9"/>
                <w:color w:val="auto"/>
              </w:rPr>
              <w:t>8,562</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8,447</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8,562</w:t>
            </w:r>
          </w:p>
        </w:tc>
        <w:tc>
          <w:tcPr>
            <w:tcW w:w="700" w:type="dxa"/>
            <w:vAlign w:val="bottom"/>
            <w:shd w:val="clear" w:color="auto" w:fill="CFF0FC"/>
          </w:tcPr>
          <w:p>
            <w:pPr>
              <w:spacing w:after="0"/>
              <w:rPr>
                <w:sz w:val="10"/>
                <w:szCs w:val="10"/>
                <w:color w:val="auto"/>
              </w:rPr>
            </w:pPr>
          </w:p>
        </w:tc>
      </w:tr>
      <w:tr>
        <w:trPr>
          <w:trHeight w:val="122"/>
        </w:trPr>
        <w:tc>
          <w:tcPr>
            <w:tcW w:w="25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(1,000,000 units)</w:t>
            </w:r>
          </w:p>
        </w:tc>
        <w:tc>
          <w:tcPr>
            <w:tcW w:w="3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12/11/2020</w:t>
            </w: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1,000</w:t>
            </w:r>
          </w:p>
        </w:tc>
        <w:tc>
          <w:tcPr>
            <w:tcW w:w="100" w:type="dxa"/>
            <w:vAlign w:val="bottom"/>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1,341</w:t>
            </w:r>
          </w:p>
        </w:tc>
        <w:tc>
          <w:tcPr>
            <w:tcW w:w="700" w:type="dxa"/>
            <w:vAlign w:val="bottom"/>
          </w:tcPr>
          <w:p>
            <w:pPr>
              <w:spacing w:after="0"/>
              <w:rPr>
                <w:sz w:val="10"/>
                <w:szCs w:val="10"/>
                <w:color w:val="auto"/>
              </w:rPr>
            </w:pPr>
          </w:p>
        </w:tc>
      </w:tr>
      <w:tr>
        <w:trPr>
          <w:trHeight w:val="115"/>
        </w:trPr>
        <w:tc>
          <w:tcPr>
            <w:tcW w:w="2520" w:type="dxa"/>
            <w:vAlign w:val="bottom"/>
            <w:shd w:val="clear" w:color="auto" w:fill="CFF0FC"/>
          </w:tcPr>
          <w:p>
            <w:pPr>
              <w:spacing w:after="0"/>
              <w:rPr>
                <w:sz w:val="10"/>
                <w:szCs w:val="10"/>
                <w:color w:val="auto"/>
              </w:rPr>
            </w:pPr>
          </w:p>
        </w:tc>
        <w:tc>
          <w:tcPr>
            <w:tcW w:w="31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9,447</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9,903</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5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CRS Solutions Holdings, LLC (dba CRS Texas)</w:t>
            </w:r>
          </w:p>
        </w:tc>
        <w:tc>
          <w:tcPr>
            <w:tcW w:w="3160" w:type="dxa"/>
            <w:vAlign w:val="bottom"/>
          </w:tcPr>
          <w:p>
            <w:pPr>
              <w:ind w:left="60"/>
              <w:spacing w:after="0"/>
              <w:rPr>
                <w:sz w:val="20"/>
                <w:szCs w:val="20"/>
                <w:color w:val="auto"/>
              </w:rPr>
            </w:pPr>
            <w:r>
              <w:rPr>
                <w:rFonts w:ascii="Times New Roman" w:cs="Times New Roman" w:eastAsia="Times New Roman" w:hAnsi="Times New Roman"/>
                <w:sz w:val="9"/>
                <w:szCs w:val="9"/>
                <w:color w:val="auto"/>
              </w:rPr>
              <w:t>Business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(538,875 units) (h)(j)</w:t>
            </w:r>
          </w:p>
        </w:tc>
        <w:tc>
          <w:tcPr>
            <w:tcW w:w="31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3/14/2018</w:t>
            </w: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621</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686</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5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Dataguise, Inc.</w:t>
            </w:r>
          </w:p>
        </w:tc>
        <w:tc>
          <w:tcPr>
            <w:tcW w:w="3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160" w:type="dxa"/>
            <w:vAlign w:val="bottom"/>
          </w:tcPr>
          <w:p>
            <w:pPr>
              <w:spacing w:after="0"/>
              <w:rPr>
                <w:sz w:val="10"/>
                <w:szCs w:val="10"/>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11.00%/0.00%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12/31/2020</w:t>
            </w:r>
          </w:p>
        </w:tc>
        <w:tc>
          <w:tcPr>
            <w:tcW w:w="10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12/31/2023</w:t>
            </w: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19,850</w:t>
            </w: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19,783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19,800</w:t>
            </w:r>
          </w:p>
        </w:tc>
        <w:tc>
          <w:tcPr>
            <w:tcW w:w="700" w:type="dxa"/>
            <w:vAlign w:val="bottom"/>
          </w:tcPr>
          <w:p>
            <w:pPr>
              <w:spacing w:after="0"/>
              <w:rPr>
                <w:sz w:val="10"/>
                <w:szCs w:val="10"/>
                <w:color w:val="auto"/>
              </w:rPr>
            </w:pPr>
          </w:p>
        </w:tc>
      </w:tr>
      <w:tr>
        <w:trPr>
          <w:trHeight w:val="122"/>
        </w:trPr>
        <w:tc>
          <w:tcPr>
            <w:tcW w:w="25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(909 shares) (j)</w:t>
            </w:r>
          </w:p>
        </w:tc>
        <w:tc>
          <w:tcPr>
            <w:tcW w:w="316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12/31/2020</w:t>
            </w:r>
          </w:p>
        </w:tc>
        <w:tc>
          <w:tcPr>
            <w:tcW w:w="100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1,500</w:t>
            </w:r>
          </w:p>
        </w:tc>
        <w:tc>
          <w:tcPr>
            <w:tcW w:w="10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1,528</w:t>
            </w:r>
          </w:p>
        </w:tc>
        <w:tc>
          <w:tcPr>
            <w:tcW w:w="700" w:type="dxa"/>
            <w:vAlign w:val="bottom"/>
            <w:tcBorders>
              <w:bottom w:val="single" w:sz="8" w:color="CFF0FC"/>
            </w:tcBorders>
            <w:shd w:val="clear" w:color="auto" w:fill="CFF0FC"/>
          </w:tcPr>
          <w:p>
            <w:pPr>
              <w:spacing w:after="0"/>
              <w:rPr>
                <w:sz w:val="10"/>
                <w:szCs w:val="10"/>
                <w:color w:val="auto"/>
              </w:rPr>
            </w:pPr>
          </w:p>
        </w:tc>
      </w:tr>
      <w:tr>
        <w:trPr>
          <w:trHeight w:val="114"/>
        </w:trPr>
        <w:tc>
          <w:tcPr>
            <w:tcW w:w="25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21,283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21,328</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Diversified Search LLC</w:t>
            </w:r>
          </w:p>
        </w:tc>
        <w:tc>
          <w:tcPr>
            <w:tcW w:w="3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Business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(k)(r)</w:t>
            </w:r>
          </w:p>
        </w:tc>
        <w:tc>
          <w:tcPr>
            <w:tcW w:w="3160" w:type="dxa"/>
            <w:vAlign w:val="bottom"/>
          </w:tcPr>
          <w:p>
            <w:pPr>
              <w:ind w:left="2120"/>
              <w:spacing w:after="0"/>
              <w:rPr>
                <w:sz w:val="20"/>
                <w:szCs w:val="20"/>
                <w:color w:val="auto"/>
              </w:rPr>
            </w:pPr>
            <w:r>
              <w:rPr>
                <w:rFonts w:ascii="Times New Roman" w:cs="Times New Roman" w:eastAsia="Times New Roman" w:hAnsi="Times New Roman"/>
                <w:sz w:val="9"/>
                <w:szCs w:val="9"/>
                <w:color w:val="auto"/>
              </w:rPr>
              <w:t>(L + 6.50%) / (1.00%)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7.50%/0.00%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2/7/2019</w:t>
            </w:r>
          </w:p>
        </w:tc>
        <w:tc>
          <w:tcPr>
            <w:tcW w:w="10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2/7/2024</w:t>
            </w: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18,355</w:t>
            </w: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18,190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18,355</w:t>
            </w:r>
          </w:p>
        </w:tc>
        <w:tc>
          <w:tcPr>
            <w:tcW w:w="700" w:type="dxa"/>
            <w:vAlign w:val="bottom"/>
          </w:tcPr>
          <w:p>
            <w:pPr>
              <w:spacing w:after="0"/>
              <w:rPr>
                <w:sz w:val="10"/>
                <w:szCs w:val="10"/>
                <w:color w:val="auto"/>
              </w:rPr>
            </w:pPr>
          </w:p>
        </w:tc>
      </w:tr>
      <w:tr>
        <w:trPr>
          <w:trHeight w:val="122"/>
        </w:trPr>
        <w:tc>
          <w:tcPr>
            <w:tcW w:w="25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(573 units) (h)(j)</w:t>
            </w:r>
          </w:p>
        </w:tc>
        <w:tc>
          <w:tcPr>
            <w:tcW w:w="316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2/7/2019</w:t>
            </w:r>
          </w:p>
        </w:tc>
        <w:tc>
          <w:tcPr>
            <w:tcW w:w="100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593</w:t>
            </w:r>
          </w:p>
        </w:tc>
        <w:tc>
          <w:tcPr>
            <w:tcW w:w="10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797</w:t>
            </w:r>
          </w:p>
        </w:tc>
        <w:tc>
          <w:tcPr>
            <w:tcW w:w="700" w:type="dxa"/>
            <w:vAlign w:val="bottom"/>
            <w:tcBorders>
              <w:bottom w:val="single" w:sz="8" w:color="CFF0FC"/>
            </w:tcBorders>
            <w:shd w:val="clear" w:color="auto" w:fill="CFF0FC"/>
          </w:tcPr>
          <w:p>
            <w:pPr>
              <w:spacing w:after="0"/>
              <w:rPr>
                <w:sz w:val="10"/>
                <w:szCs w:val="10"/>
                <w:color w:val="auto"/>
              </w:rPr>
            </w:pPr>
          </w:p>
        </w:tc>
      </w:tr>
      <w:tr>
        <w:trPr>
          <w:trHeight w:val="114"/>
        </w:trPr>
        <w:tc>
          <w:tcPr>
            <w:tcW w:w="25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18,783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19,152</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EBL, LLC (EbLens)</w:t>
            </w:r>
          </w:p>
        </w:tc>
        <w:tc>
          <w:tcPr>
            <w:tcW w:w="3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Retail</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3160" w:type="dxa"/>
            <w:vAlign w:val="bottom"/>
          </w:tcPr>
          <w:p>
            <w:pPr>
              <w:spacing w:after="0"/>
              <w:rPr>
                <w:sz w:val="10"/>
                <w:szCs w:val="10"/>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12.00%/1.00%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7/13/2017</w:t>
            </w:r>
          </w:p>
        </w:tc>
        <w:tc>
          <w:tcPr>
            <w:tcW w:w="10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1/13/2023</w:t>
            </w: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9,326</w:t>
            </w: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9,305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9,036</w:t>
            </w:r>
          </w:p>
        </w:tc>
        <w:tc>
          <w:tcPr>
            <w:tcW w:w="700" w:type="dxa"/>
            <w:vAlign w:val="bottom"/>
          </w:tcPr>
          <w:p>
            <w:pPr>
              <w:spacing w:after="0"/>
              <w:rPr>
                <w:sz w:val="10"/>
                <w:szCs w:val="10"/>
                <w:color w:val="auto"/>
              </w:rPr>
            </w:pPr>
          </w:p>
        </w:tc>
      </w:tr>
      <w:tr>
        <w:trPr>
          <w:trHeight w:val="122"/>
        </w:trPr>
        <w:tc>
          <w:tcPr>
            <w:tcW w:w="25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(75,000 units) (j)</w:t>
            </w:r>
          </w:p>
        </w:tc>
        <w:tc>
          <w:tcPr>
            <w:tcW w:w="316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7/13/2017</w:t>
            </w:r>
          </w:p>
        </w:tc>
        <w:tc>
          <w:tcPr>
            <w:tcW w:w="100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750</w:t>
            </w:r>
          </w:p>
        </w:tc>
        <w:tc>
          <w:tcPr>
            <w:tcW w:w="10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230</w:t>
            </w:r>
          </w:p>
        </w:tc>
        <w:tc>
          <w:tcPr>
            <w:tcW w:w="700" w:type="dxa"/>
            <w:vAlign w:val="bottom"/>
            <w:tcBorders>
              <w:bottom w:val="single" w:sz="8" w:color="CFF0FC"/>
            </w:tcBorders>
            <w:shd w:val="clear" w:color="auto" w:fill="CFF0FC"/>
          </w:tcPr>
          <w:p>
            <w:pPr>
              <w:spacing w:after="0"/>
              <w:rPr>
                <w:sz w:val="10"/>
                <w:szCs w:val="10"/>
                <w:color w:val="auto"/>
              </w:rPr>
            </w:pPr>
          </w:p>
        </w:tc>
      </w:tr>
      <w:tr>
        <w:trPr>
          <w:trHeight w:val="115"/>
        </w:trPr>
        <w:tc>
          <w:tcPr>
            <w:tcW w:w="25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10,055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9,266</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ECM Industries, LLC</w:t>
            </w:r>
          </w:p>
        </w:tc>
        <w:tc>
          <w:tcPr>
            <w:tcW w:w="3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Component Manufacturing</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(1,000,000 units) (h)(j)</w:t>
            </w:r>
          </w:p>
        </w:tc>
        <w:tc>
          <w:tcPr>
            <w:tcW w:w="3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4/30/2020</w:t>
            </w: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243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1,397</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520" w:type="dxa"/>
            <w:vAlign w:val="bottom"/>
            <w:shd w:val="clear" w:color="auto" w:fill="CFF0FC"/>
          </w:tcPr>
          <w:p>
            <w:pPr>
              <w:spacing w:after="0"/>
              <w:rPr>
                <w:sz w:val="10"/>
                <w:szCs w:val="10"/>
                <w:color w:val="auto"/>
              </w:rPr>
            </w:pPr>
          </w:p>
        </w:tc>
        <w:tc>
          <w:tcPr>
            <w:tcW w:w="31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Elements Brands, LLC</w:t>
            </w:r>
          </w:p>
        </w:tc>
        <w:tc>
          <w:tcPr>
            <w:tcW w:w="3160" w:type="dxa"/>
            <w:vAlign w:val="bottom"/>
          </w:tcPr>
          <w:p>
            <w:pPr>
              <w:ind w:left="60"/>
              <w:spacing w:after="0"/>
              <w:rPr>
                <w:sz w:val="20"/>
                <w:szCs w:val="20"/>
                <w:color w:val="auto"/>
              </w:rPr>
            </w:pPr>
            <w:r>
              <w:rPr>
                <w:rFonts w:ascii="Times New Roman" w:cs="Times New Roman" w:eastAsia="Times New Roman" w:hAnsi="Times New Roman"/>
                <w:sz w:val="9"/>
                <w:szCs w:val="9"/>
                <w:color w:val="auto"/>
              </w:rPr>
              <w:t>Consumer Products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w:t>
            </w:r>
          </w:p>
        </w:tc>
        <w:tc>
          <w:tcPr>
            <w:tcW w:w="3160" w:type="dxa"/>
            <w:vAlign w:val="bottom"/>
            <w:shd w:val="clear" w:color="auto" w:fill="CFF0FC"/>
          </w:tcPr>
          <w:p>
            <w:pPr>
              <w:spacing w:after="0"/>
              <w:rPr>
                <w:sz w:val="10"/>
                <w:szCs w:val="10"/>
                <w:color w:val="auto"/>
              </w:rPr>
            </w:pP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12.25%/0.00%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12/31/2020</w:t>
            </w:r>
          </w:p>
        </w:tc>
        <w:tc>
          <w:tcPr>
            <w:tcW w:w="1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12/31/2025</w:t>
            </w:r>
          </w:p>
        </w:tc>
        <w:tc>
          <w:tcPr>
            <w:tcW w:w="7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9"/>
                <w:szCs w:val="9"/>
                <w:color w:val="auto"/>
              </w:rPr>
              <w:t>5,775</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5,748</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5,775</w:t>
            </w:r>
          </w:p>
        </w:tc>
        <w:tc>
          <w:tcPr>
            <w:tcW w:w="700" w:type="dxa"/>
            <w:vAlign w:val="bottom"/>
            <w:shd w:val="clear" w:color="auto" w:fill="CFF0FC"/>
          </w:tcPr>
          <w:p>
            <w:pPr>
              <w:spacing w:after="0"/>
              <w:rPr>
                <w:sz w:val="10"/>
                <w:szCs w:val="10"/>
                <w:color w:val="auto"/>
              </w:rPr>
            </w:pPr>
          </w:p>
        </w:tc>
      </w:tr>
      <w:tr>
        <w:trPr>
          <w:trHeight w:val="122"/>
        </w:trPr>
        <w:tc>
          <w:tcPr>
            <w:tcW w:w="25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Revolving Loan ($838 unfunded commitment) (i)(j)</w:t>
            </w:r>
          </w:p>
        </w:tc>
        <w:tc>
          <w:tcPr>
            <w:tcW w:w="3160" w:type="dxa"/>
            <w:vAlign w:val="bottom"/>
          </w:tcPr>
          <w:p>
            <w:pPr>
              <w:spacing w:after="0"/>
              <w:rPr>
                <w:sz w:val="10"/>
                <w:szCs w:val="10"/>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12.25%/0.00%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12/31/2020</w:t>
            </w:r>
          </w:p>
        </w:tc>
        <w:tc>
          <w:tcPr>
            <w:tcW w:w="10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12/31/2025</w:t>
            </w: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2,162</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2,149</w:t>
            </w:r>
          </w:p>
        </w:tc>
        <w:tc>
          <w:tcPr>
            <w:tcW w:w="100" w:type="dxa"/>
            <w:vAlign w:val="bottom"/>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2,162</w:t>
            </w:r>
          </w:p>
        </w:tc>
        <w:tc>
          <w:tcPr>
            <w:tcW w:w="700" w:type="dxa"/>
            <w:vAlign w:val="bottom"/>
          </w:tcPr>
          <w:p>
            <w:pPr>
              <w:spacing w:after="0"/>
              <w:rPr>
                <w:sz w:val="10"/>
                <w:szCs w:val="10"/>
                <w:color w:val="auto"/>
              </w:rPr>
            </w:pPr>
          </w:p>
        </w:tc>
      </w:tr>
      <w:tr>
        <w:trPr>
          <w:trHeight w:val="115"/>
        </w:trPr>
        <w:tc>
          <w:tcPr>
            <w:tcW w:w="2520" w:type="dxa"/>
            <w:vAlign w:val="bottom"/>
            <w:shd w:val="clear" w:color="auto" w:fill="CFF0FC"/>
          </w:tcPr>
          <w:p>
            <w:pPr>
              <w:spacing w:after="0"/>
              <w:rPr>
                <w:sz w:val="10"/>
                <w:szCs w:val="10"/>
                <w:color w:val="auto"/>
              </w:rPr>
            </w:pPr>
          </w:p>
        </w:tc>
        <w:tc>
          <w:tcPr>
            <w:tcW w:w="31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7,897</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7,937</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99"/>
        </w:trPr>
        <w:tc>
          <w:tcPr>
            <w:tcW w:w="2520" w:type="dxa"/>
            <w:vAlign w:val="bottom"/>
          </w:tcPr>
          <w:p>
            <w:pPr>
              <w:ind w:left="20"/>
              <w:spacing w:after="0" w:line="99" w:lineRule="exact"/>
              <w:rPr>
                <w:sz w:val="20"/>
                <w:szCs w:val="20"/>
                <w:color w:val="auto"/>
              </w:rPr>
            </w:pPr>
            <w:r>
              <w:rPr>
                <w:rFonts w:ascii="Times New Roman" w:cs="Times New Roman" w:eastAsia="Times New Roman" w:hAnsi="Times New Roman"/>
                <w:sz w:val="9"/>
                <w:szCs w:val="9"/>
                <w:i w:val="1"/>
                <w:iCs w:val="1"/>
                <w:color w:val="auto"/>
              </w:rPr>
              <w:t>Frontline Food Services, LLC</w:t>
            </w:r>
          </w:p>
        </w:tc>
        <w:tc>
          <w:tcPr>
            <w:tcW w:w="3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117"/>
        </w:trPr>
        <w:tc>
          <w:tcPr>
            <w:tcW w:w="25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(f/k/a Accent Food Services, LLC)</w:t>
            </w:r>
          </w:p>
        </w:tc>
        <w:tc>
          <w:tcPr>
            <w:tcW w:w="3160" w:type="dxa"/>
            <w:vAlign w:val="bottom"/>
          </w:tcPr>
          <w:p>
            <w:pPr>
              <w:ind w:left="60"/>
              <w:spacing w:after="0"/>
              <w:rPr>
                <w:sz w:val="20"/>
                <w:szCs w:val="20"/>
                <w:color w:val="auto"/>
              </w:rPr>
            </w:pPr>
            <w:r>
              <w:rPr>
                <w:rFonts w:ascii="Times New Roman" w:cs="Times New Roman" w:eastAsia="Times New Roman" w:hAnsi="Times New Roman"/>
                <w:sz w:val="9"/>
                <w:szCs w:val="9"/>
                <w:color w:val="auto"/>
              </w:rPr>
              <w:t>Vending Equipment Manufacturing</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(Class A Units) (46 units) (j)</w:t>
            </w:r>
          </w:p>
        </w:tc>
        <w:tc>
          <w:tcPr>
            <w:tcW w:w="31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12/31/2020</w:t>
            </w: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2,000</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1,431</w:t>
            </w:r>
          </w:p>
        </w:tc>
        <w:tc>
          <w:tcPr>
            <w:tcW w:w="700" w:type="dxa"/>
            <w:vAlign w:val="bottom"/>
            <w:shd w:val="clear" w:color="auto" w:fill="CFF0FC"/>
          </w:tcPr>
          <w:p>
            <w:pPr>
              <w:spacing w:after="0"/>
              <w:rPr>
                <w:sz w:val="10"/>
                <w:szCs w:val="10"/>
                <w:color w:val="auto"/>
              </w:rPr>
            </w:pPr>
          </w:p>
        </w:tc>
      </w:tr>
      <w:tr>
        <w:trPr>
          <w:trHeight w:val="121"/>
        </w:trPr>
        <w:tc>
          <w:tcPr>
            <w:tcW w:w="25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(Class B Units) (124 units) (j)</w:t>
            </w:r>
          </w:p>
        </w:tc>
        <w:tc>
          <w:tcPr>
            <w:tcW w:w="3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12/31/2020</w:t>
            </w: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Pr>
          <w:p>
            <w:pPr>
              <w:spacing w:after="0"/>
              <w:rPr>
                <w:sz w:val="10"/>
                <w:szCs w:val="10"/>
                <w:color w:val="auto"/>
              </w:rPr>
            </w:pPr>
          </w:p>
        </w:tc>
      </w:tr>
      <w:tr>
        <w:trPr>
          <w:trHeight w:val="122"/>
        </w:trPr>
        <w:tc>
          <w:tcPr>
            <w:tcW w:w="25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(Class C Units) (100 units) (j)</w:t>
            </w:r>
          </w:p>
        </w:tc>
        <w:tc>
          <w:tcPr>
            <w:tcW w:w="316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12/31/2020</w:t>
            </w:r>
          </w:p>
        </w:tc>
        <w:tc>
          <w:tcPr>
            <w:tcW w:w="100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FF0FC"/>
            </w:tcBorders>
            <w:shd w:val="clear" w:color="auto" w:fill="CFF0FC"/>
          </w:tcPr>
          <w:p>
            <w:pPr>
              <w:spacing w:after="0"/>
              <w:rPr>
                <w:sz w:val="10"/>
                <w:szCs w:val="10"/>
                <w:color w:val="auto"/>
              </w:rPr>
            </w:pPr>
          </w:p>
        </w:tc>
      </w:tr>
      <w:tr>
        <w:trPr>
          <w:trHeight w:val="115"/>
        </w:trPr>
        <w:tc>
          <w:tcPr>
            <w:tcW w:w="25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1,431</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Global Plasma Solutions, Inc.</w:t>
            </w:r>
          </w:p>
        </w:tc>
        <w:tc>
          <w:tcPr>
            <w:tcW w:w="3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Component Manufacturing</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(947 shares) (j)</w:t>
            </w:r>
          </w:p>
        </w:tc>
        <w:tc>
          <w:tcPr>
            <w:tcW w:w="3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9/21/2018</w:t>
            </w: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2,097</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520" w:type="dxa"/>
            <w:vAlign w:val="bottom"/>
            <w:shd w:val="clear" w:color="auto" w:fill="CFF0FC"/>
          </w:tcPr>
          <w:p>
            <w:pPr>
              <w:spacing w:after="0"/>
              <w:rPr>
                <w:sz w:val="10"/>
                <w:szCs w:val="10"/>
                <w:color w:val="auto"/>
              </w:rPr>
            </w:pPr>
          </w:p>
        </w:tc>
        <w:tc>
          <w:tcPr>
            <w:tcW w:w="31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GP&amp;C Operations, LLC (dba Garlock Printing and Converting)</w:t>
            </w:r>
          </w:p>
        </w:tc>
        <w:tc>
          <w:tcPr>
            <w:tcW w:w="3160" w:type="dxa"/>
            <w:vAlign w:val="bottom"/>
          </w:tcPr>
          <w:p>
            <w:pPr>
              <w:ind w:left="60"/>
              <w:spacing w:after="0"/>
              <w:rPr>
                <w:sz w:val="20"/>
                <w:szCs w:val="20"/>
                <w:color w:val="auto"/>
              </w:rPr>
            </w:pPr>
            <w:r>
              <w:rPr>
                <w:rFonts w:ascii="Times New Roman" w:cs="Times New Roman" w:eastAsia="Times New Roman" w:hAnsi="Times New Roman"/>
                <w:sz w:val="9"/>
                <w:szCs w:val="9"/>
                <w:color w:val="auto"/>
              </w:rPr>
              <w:t>Component Manufacturing</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(w)</w:t>
            </w:r>
          </w:p>
        </w:tc>
        <w:tc>
          <w:tcPr>
            <w:tcW w:w="3160" w:type="dxa"/>
            <w:vAlign w:val="bottom"/>
            <w:shd w:val="clear" w:color="auto" w:fill="CFF0FC"/>
          </w:tcPr>
          <w:p>
            <w:pPr>
              <w:ind w:left="2120"/>
              <w:spacing w:after="0"/>
              <w:rPr>
                <w:sz w:val="20"/>
                <w:szCs w:val="20"/>
                <w:color w:val="auto"/>
              </w:rPr>
            </w:pPr>
            <w:r>
              <w:rPr>
                <w:rFonts w:ascii="Times New Roman" w:cs="Times New Roman" w:eastAsia="Times New Roman" w:hAnsi="Times New Roman"/>
                <w:sz w:val="9"/>
                <w:szCs w:val="9"/>
                <w:color w:val="auto"/>
              </w:rPr>
              <w:t>(L + 7.25%) / (1.00%)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8.25%/0.00%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1/22/2021</w:t>
            </w:r>
          </w:p>
        </w:tc>
        <w:tc>
          <w:tcPr>
            <w:tcW w:w="1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1/22/2026</w:t>
            </w:r>
          </w:p>
        </w:tc>
        <w:tc>
          <w:tcPr>
            <w:tcW w:w="7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9"/>
                <w:szCs w:val="9"/>
                <w:color w:val="auto"/>
              </w:rPr>
              <w:t>11,000</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10,866</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11,000</w:t>
            </w:r>
          </w:p>
        </w:tc>
        <w:tc>
          <w:tcPr>
            <w:tcW w:w="700" w:type="dxa"/>
            <w:vAlign w:val="bottom"/>
            <w:shd w:val="clear" w:color="auto" w:fill="CFF0FC"/>
          </w:tcPr>
          <w:p>
            <w:pPr>
              <w:spacing w:after="0"/>
              <w:rPr>
                <w:sz w:val="10"/>
                <w:szCs w:val="10"/>
                <w:color w:val="auto"/>
              </w:rPr>
            </w:pPr>
          </w:p>
        </w:tc>
      </w:tr>
      <w:tr>
        <w:trPr>
          <w:trHeight w:val="122"/>
        </w:trPr>
        <w:tc>
          <w:tcPr>
            <w:tcW w:w="25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(515,625 units) (h)(j)</w:t>
            </w:r>
          </w:p>
        </w:tc>
        <w:tc>
          <w:tcPr>
            <w:tcW w:w="3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1/22/2021</w:t>
            </w: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516</w:t>
            </w:r>
          </w:p>
        </w:tc>
        <w:tc>
          <w:tcPr>
            <w:tcW w:w="100" w:type="dxa"/>
            <w:vAlign w:val="bottom"/>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432</w:t>
            </w:r>
          </w:p>
        </w:tc>
        <w:tc>
          <w:tcPr>
            <w:tcW w:w="700" w:type="dxa"/>
            <w:vAlign w:val="bottom"/>
          </w:tcPr>
          <w:p>
            <w:pPr>
              <w:spacing w:after="0"/>
              <w:rPr>
                <w:sz w:val="10"/>
                <w:szCs w:val="10"/>
                <w:color w:val="auto"/>
              </w:rPr>
            </w:pPr>
          </w:p>
        </w:tc>
      </w:tr>
      <w:tr>
        <w:trPr>
          <w:trHeight w:val="115"/>
        </w:trPr>
        <w:tc>
          <w:tcPr>
            <w:tcW w:w="2520" w:type="dxa"/>
            <w:vAlign w:val="bottom"/>
            <w:shd w:val="clear" w:color="auto" w:fill="CFF0FC"/>
          </w:tcPr>
          <w:p>
            <w:pPr>
              <w:spacing w:after="0"/>
              <w:rPr>
                <w:sz w:val="10"/>
                <w:szCs w:val="10"/>
                <w:color w:val="auto"/>
              </w:rPr>
            </w:pPr>
          </w:p>
        </w:tc>
        <w:tc>
          <w:tcPr>
            <w:tcW w:w="31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11,382</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11,432</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5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Green Cubes Technology, LLC (dba Green Cubes)</w:t>
            </w:r>
          </w:p>
        </w:tc>
        <w:tc>
          <w:tcPr>
            <w:tcW w:w="3160" w:type="dxa"/>
            <w:vAlign w:val="bottom"/>
          </w:tcPr>
          <w:p>
            <w:pPr>
              <w:ind w:left="6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160" w:type="dxa"/>
            <w:vAlign w:val="bottom"/>
            <w:shd w:val="clear" w:color="auto" w:fill="CFF0FC"/>
          </w:tcPr>
          <w:p>
            <w:pPr>
              <w:ind w:left="2120"/>
              <w:spacing w:after="0"/>
              <w:rPr>
                <w:sz w:val="20"/>
                <w:szCs w:val="20"/>
                <w:color w:val="auto"/>
              </w:rPr>
            </w:pPr>
            <w:r>
              <w:rPr>
                <w:rFonts w:ascii="Times New Roman" w:cs="Times New Roman" w:eastAsia="Times New Roman" w:hAnsi="Times New Roman"/>
                <w:sz w:val="9"/>
                <w:szCs w:val="9"/>
                <w:color w:val="auto"/>
              </w:rPr>
              <w:t>(L + 13.00%) / (0.00%)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13.21%/0.00%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12/17/2021</w:t>
            </w:r>
          </w:p>
        </w:tc>
        <w:tc>
          <w:tcPr>
            <w:tcW w:w="1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12/17/2024</w:t>
            </w:r>
          </w:p>
        </w:tc>
        <w:tc>
          <w:tcPr>
            <w:tcW w:w="7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9"/>
                <w:szCs w:val="9"/>
                <w:color w:val="auto"/>
              </w:rPr>
              <w:t>13,000</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12,928</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12,928</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2"/>
        </w:trPr>
        <w:tc>
          <w:tcPr>
            <w:tcW w:w="25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1"/>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Gurobi Optimization, LLC</w:t>
            </w:r>
          </w:p>
        </w:tc>
        <w:tc>
          <w:tcPr>
            <w:tcW w:w="3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(3 shares)</w:t>
            </w:r>
          </w:p>
        </w:tc>
        <w:tc>
          <w:tcPr>
            <w:tcW w:w="3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12/19/2017</w:t>
            </w: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607</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2,569</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520" w:type="dxa"/>
            <w:vAlign w:val="bottom"/>
            <w:shd w:val="clear" w:color="auto" w:fill="CFF0FC"/>
          </w:tcPr>
          <w:p>
            <w:pPr>
              <w:spacing w:after="0"/>
              <w:rPr>
                <w:sz w:val="10"/>
                <w:szCs w:val="10"/>
                <w:color w:val="auto"/>
              </w:rPr>
            </w:pPr>
          </w:p>
        </w:tc>
        <w:tc>
          <w:tcPr>
            <w:tcW w:w="31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Haematologic Technologies, Inc.</w:t>
            </w:r>
          </w:p>
        </w:tc>
        <w:tc>
          <w:tcPr>
            <w:tcW w:w="3160" w:type="dxa"/>
            <w:vAlign w:val="bottom"/>
          </w:tcPr>
          <w:p>
            <w:pPr>
              <w:ind w:left="60"/>
              <w:spacing w:after="0"/>
              <w:rPr>
                <w:sz w:val="20"/>
                <w:szCs w:val="20"/>
                <w:color w:val="auto"/>
              </w:rPr>
            </w:pPr>
            <w:r>
              <w:rPr>
                <w:rFonts w:ascii="Times New Roman" w:cs="Times New Roman" w:eastAsia="Times New Roman" w:hAnsi="Times New Roman"/>
                <w:sz w:val="9"/>
                <w:szCs w:val="9"/>
                <w:color w:val="auto"/>
              </w:rPr>
              <w:t>Healthcare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(x)</w:t>
            </w:r>
          </w:p>
        </w:tc>
        <w:tc>
          <w:tcPr>
            <w:tcW w:w="3160" w:type="dxa"/>
            <w:vAlign w:val="bottom"/>
            <w:shd w:val="clear" w:color="auto" w:fill="CFF0FC"/>
          </w:tcPr>
          <w:p>
            <w:pPr>
              <w:ind w:left="2120"/>
              <w:spacing w:after="0"/>
              <w:rPr>
                <w:sz w:val="20"/>
                <w:szCs w:val="20"/>
                <w:color w:val="auto"/>
              </w:rPr>
            </w:pPr>
            <w:r>
              <w:rPr>
                <w:rFonts w:ascii="Times New Roman" w:cs="Times New Roman" w:eastAsia="Times New Roman" w:hAnsi="Times New Roman"/>
                <w:sz w:val="9"/>
                <w:szCs w:val="9"/>
                <w:color w:val="auto"/>
              </w:rPr>
              <w:t>(L + 8.25%) / (2.00%)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10.25%/0.00%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10/11/2019</w:t>
            </w:r>
          </w:p>
        </w:tc>
        <w:tc>
          <w:tcPr>
            <w:tcW w:w="1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10/11/2024</w:t>
            </w:r>
          </w:p>
        </w:tc>
        <w:tc>
          <w:tcPr>
            <w:tcW w:w="7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9"/>
                <w:szCs w:val="9"/>
                <w:color w:val="auto"/>
              </w:rPr>
              <w:t>5,378</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5,355</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4,945</w:t>
            </w:r>
          </w:p>
        </w:tc>
        <w:tc>
          <w:tcPr>
            <w:tcW w:w="700" w:type="dxa"/>
            <w:vAlign w:val="bottom"/>
            <w:shd w:val="clear" w:color="auto" w:fill="CFF0FC"/>
          </w:tcPr>
          <w:p>
            <w:pPr>
              <w:spacing w:after="0"/>
              <w:rPr>
                <w:sz w:val="10"/>
                <w:szCs w:val="10"/>
                <w:color w:val="auto"/>
              </w:rPr>
            </w:pPr>
          </w:p>
        </w:tc>
      </w:tr>
      <w:tr>
        <w:trPr>
          <w:trHeight w:val="122"/>
        </w:trPr>
        <w:tc>
          <w:tcPr>
            <w:tcW w:w="25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(630 units) (h)(j)</w:t>
            </w:r>
          </w:p>
        </w:tc>
        <w:tc>
          <w:tcPr>
            <w:tcW w:w="3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10/11/2019</w:t>
            </w: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630</w:t>
            </w:r>
          </w:p>
        </w:tc>
        <w:tc>
          <w:tcPr>
            <w:tcW w:w="100" w:type="dxa"/>
            <w:vAlign w:val="bottom"/>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120</w:t>
            </w:r>
          </w:p>
        </w:tc>
        <w:tc>
          <w:tcPr>
            <w:tcW w:w="700" w:type="dxa"/>
            <w:vAlign w:val="bottom"/>
          </w:tcPr>
          <w:p>
            <w:pPr>
              <w:spacing w:after="0"/>
              <w:rPr>
                <w:sz w:val="10"/>
                <w:szCs w:val="10"/>
                <w:color w:val="auto"/>
              </w:rPr>
            </w:pPr>
          </w:p>
        </w:tc>
      </w:tr>
      <w:tr>
        <w:trPr>
          <w:trHeight w:val="115"/>
        </w:trPr>
        <w:tc>
          <w:tcPr>
            <w:tcW w:w="2520" w:type="dxa"/>
            <w:vAlign w:val="bottom"/>
            <w:shd w:val="clear" w:color="auto" w:fill="CFF0FC"/>
          </w:tcPr>
          <w:p>
            <w:pPr>
              <w:spacing w:after="0"/>
              <w:rPr>
                <w:sz w:val="10"/>
                <w:szCs w:val="10"/>
                <w:color w:val="auto"/>
              </w:rPr>
            </w:pPr>
          </w:p>
        </w:tc>
        <w:tc>
          <w:tcPr>
            <w:tcW w:w="31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5,985</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5,065</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5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Hallmark Health Care Solutions, Inc.</w:t>
            </w:r>
          </w:p>
        </w:tc>
        <w:tc>
          <w:tcPr>
            <w:tcW w:w="3160" w:type="dxa"/>
            <w:vAlign w:val="bottom"/>
          </w:tcPr>
          <w:p>
            <w:pPr>
              <w:ind w:left="60"/>
              <w:spacing w:after="0"/>
              <w:rPr>
                <w:sz w:val="20"/>
                <w:szCs w:val="20"/>
                <w:color w:val="auto"/>
              </w:rPr>
            </w:pPr>
            <w:r>
              <w:rPr>
                <w:rFonts w:ascii="Times New Roman" w:cs="Times New Roman" w:eastAsia="Times New Roman" w:hAnsi="Times New Roman"/>
                <w:sz w:val="9"/>
                <w:szCs w:val="9"/>
                <w:color w:val="auto"/>
              </w:rPr>
              <w:t>Healthcare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(j)(ae)</w:t>
            </w:r>
          </w:p>
        </w:tc>
        <w:tc>
          <w:tcPr>
            <w:tcW w:w="3160" w:type="dxa"/>
            <w:vAlign w:val="bottom"/>
            <w:shd w:val="clear" w:color="auto" w:fill="CFF0FC"/>
          </w:tcPr>
          <w:p>
            <w:pPr>
              <w:ind w:left="2120"/>
              <w:spacing w:after="0"/>
              <w:rPr>
                <w:sz w:val="20"/>
                <w:szCs w:val="20"/>
                <w:color w:val="auto"/>
              </w:rPr>
            </w:pPr>
            <w:r>
              <w:rPr>
                <w:rFonts w:ascii="Times New Roman" w:cs="Times New Roman" w:eastAsia="Times New Roman" w:hAnsi="Times New Roman"/>
                <w:sz w:val="9"/>
                <w:szCs w:val="9"/>
                <w:color w:val="auto"/>
              </w:rPr>
              <w:t>(L + 7.25%) / (1.50%)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8.75%/0.00%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12/4/2020</w:t>
            </w:r>
          </w:p>
        </w:tc>
        <w:tc>
          <w:tcPr>
            <w:tcW w:w="1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12/4/2025</w:t>
            </w:r>
          </w:p>
        </w:tc>
        <w:tc>
          <w:tcPr>
            <w:tcW w:w="7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9"/>
                <w:szCs w:val="9"/>
                <w:color w:val="auto"/>
              </w:rPr>
              <w:t>8,440</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8,390</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8,440</w:t>
            </w:r>
          </w:p>
        </w:tc>
        <w:tc>
          <w:tcPr>
            <w:tcW w:w="700" w:type="dxa"/>
            <w:vAlign w:val="bottom"/>
            <w:shd w:val="clear" w:color="auto" w:fill="CFF0FC"/>
          </w:tcPr>
          <w:p>
            <w:pPr>
              <w:spacing w:after="0"/>
              <w:rPr>
                <w:sz w:val="10"/>
                <w:szCs w:val="10"/>
                <w:color w:val="auto"/>
              </w:rPr>
            </w:pPr>
          </w:p>
        </w:tc>
      </w:tr>
      <w:tr>
        <w:trPr>
          <w:trHeight w:val="122"/>
        </w:trPr>
        <w:tc>
          <w:tcPr>
            <w:tcW w:w="25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(750,000 units) (j)</w:t>
            </w:r>
          </w:p>
        </w:tc>
        <w:tc>
          <w:tcPr>
            <w:tcW w:w="3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12/4/2020</w:t>
            </w: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750</w:t>
            </w:r>
          </w:p>
        </w:tc>
        <w:tc>
          <w:tcPr>
            <w:tcW w:w="100" w:type="dxa"/>
            <w:vAlign w:val="bottom"/>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2,068</w:t>
            </w:r>
          </w:p>
        </w:tc>
        <w:tc>
          <w:tcPr>
            <w:tcW w:w="700" w:type="dxa"/>
            <w:vAlign w:val="bottom"/>
          </w:tcPr>
          <w:p>
            <w:pPr>
              <w:spacing w:after="0"/>
              <w:rPr>
                <w:sz w:val="10"/>
                <w:szCs w:val="10"/>
                <w:color w:val="auto"/>
              </w:rPr>
            </w:pPr>
          </w:p>
        </w:tc>
      </w:tr>
      <w:tr>
        <w:trPr>
          <w:trHeight w:val="115"/>
        </w:trPr>
        <w:tc>
          <w:tcPr>
            <w:tcW w:w="2520" w:type="dxa"/>
            <w:vAlign w:val="bottom"/>
            <w:shd w:val="clear" w:color="auto" w:fill="CFF0FC"/>
          </w:tcPr>
          <w:p>
            <w:pPr>
              <w:spacing w:after="0"/>
              <w:rPr>
                <w:sz w:val="10"/>
                <w:szCs w:val="10"/>
                <w:color w:val="auto"/>
              </w:rPr>
            </w:pPr>
          </w:p>
        </w:tc>
        <w:tc>
          <w:tcPr>
            <w:tcW w:w="31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9,140</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10,508</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5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Healthfuse, LLC</w:t>
            </w:r>
          </w:p>
        </w:tc>
        <w:tc>
          <w:tcPr>
            <w:tcW w:w="3160" w:type="dxa"/>
            <w:vAlign w:val="bottom"/>
          </w:tcPr>
          <w:p>
            <w:pPr>
              <w:ind w:left="60"/>
              <w:spacing w:after="0"/>
              <w:rPr>
                <w:sz w:val="20"/>
                <w:szCs w:val="20"/>
                <w:color w:val="auto"/>
              </w:rPr>
            </w:pPr>
            <w:r>
              <w:rPr>
                <w:rFonts w:ascii="Times New Roman" w:cs="Times New Roman" w:eastAsia="Times New Roman" w:hAnsi="Times New Roman"/>
                <w:sz w:val="9"/>
                <w:szCs w:val="9"/>
                <w:color w:val="auto"/>
              </w:rPr>
              <w:t>Healthcare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(af)</w:t>
            </w:r>
          </w:p>
        </w:tc>
        <w:tc>
          <w:tcPr>
            <w:tcW w:w="3160" w:type="dxa"/>
            <w:vAlign w:val="bottom"/>
            <w:shd w:val="clear" w:color="auto" w:fill="CFF0FC"/>
          </w:tcPr>
          <w:p>
            <w:pPr>
              <w:ind w:left="2120"/>
              <w:spacing w:after="0"/>
              <w:rPr>
                <w:sz w:val="20"/>
                <w:szCs w:val="20"/>
                <w:color w:val="auto"/>
              </w:rPr>
            </w:pPr>
            <w:r>
              <w:rPr>
                <w:rFonts w:ascii="Times New Roman" w:cs="Times New Roman" w:eastAsia="Times New Roman" w:hAnsi="Times New Roman"/>
                <w:sz w:val="9"/>
                <w:szCs w:val="9"/>
                <w:color w:val="auto"/>
              </w:rPr>
              <w:t>(L + 7.25%) / (1.00%)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8.25%/0.00%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11/13/2020</w:t>
            </w:r>
          </w:p>
        </w:tc>
        <w:tc>
          <w:tcPr>
            <w:tcW w:w="1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11/13/2025</w:t>
            </w:r>
          </w:p>
        </w:tc>
        <w:tc>
          <w:tcPr>
            <w:tcW w:w="7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9"/>
                <w:szCs w:val="9"/>
                <w:color w:val="auto"/>
              </w:rPr>
              <w:t>5,940</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5,908</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5,940</w:t>
            </w:r>
          </w:p>
        </w:tc>
        <w:tc>
          <w:tcPr>
            <w:tcW w:w="700" w:type="dxa"/>
            <w:vAlign w:val="bottom"/>
            <w:shd w:val="clear" w:color="auto" w:fill="CFF0FC"/>
          </w:tcPr>
          <w:p>
            <w:pPr>
              <w:spacing w:after="0"/>
              <w:rPr>
                <w:sz w:val="10"/>
                <w:szCs w:val="10"/>
                <w:color w:val="auto"/>
              </w:rPr>
            </w:pPr>
          </w:p>
        </w:tc>
      </w:tr>
      <w:tr>
        <w:trPr>
          <w:trHeight w:val="121"/>
        </w:trPr>
        <w:tc>
          <w:tcPr>
            <w:tcW w:w="25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(197,980 units)</w:t>
            </w:r>
          </w:p>
        </w:tc>
        <w:tc>
          <w:tcPr>
            <w:tcW w:w="3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11/13/2020</w:t>
            </w: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750</w:t>
            </w:r>
          </w:p>
        </w:tc>
        <w:tc>
          <w:tcPr>
            <w:tcW w:w="100" w:type="dxa"/>
            <w:vAlign w:val="bottom"/>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920</w:t>
            </w:r>
          </w:p>
        </w:tc>
        <w:tc>
          <w:tcPr>
            <w:tcW w:w="700" w:type="dxa"/>
            <w:vAlign w:val="bottom"/>
          </w:tcPr>
          <w:p>
            <w:pPr>
              <w:spacing w:after="0"/>
              <w:rPr>
                <w:sz w:val="10"/>
                <w:szCs w:val="10"/>
                <w:color w:val="auto"/>
              </w:rPr>
            </w:pPr>
          </w:p>
        </w:tc>
      </w:tr>
      <w:tr>
        <w:trPr>
          <w:trHeight w:val="115"/>
        </w:trPr>
        <w:tc>
          <w:tcPr>
            <w:tcW w:w="2520" w:type="dxa"/>
            <w:vAlign w:val="bottom"/>
            <w:shd w:val="clear" w:color="auto" w:fill="CFF0FC"/>
          </w:tcPr>
          <w:p>
            <w:pPr>
              <w:spacing w:after="0"/>
              <w:rPr>
                <w:sz w:val="10"/>
                <w:szCs w:val="10"/>
                <w:color w:val="auto"/>
              </w:rPr>
            </w:pPr>
          </w:p>
        </w:tc>
        <w:tc>
          <w:tcPr>
            <w:tcW w:w="31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6,658</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6,860</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5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Hub Acquisition Sub, LLC (dba Hub Pen)</w:t>
            </w:r>
          </w:p>
        </w:tc>
        <w:tc>
          <w:tcPr>
            <w:tcW w:w="3160" w:type="dxa"/>
            <w:vAlign w:val="bottom"/>
          </w:tcPr>
          <w:p>
            <w:pPr>
              <w:ind w:left="60"/>
              <w:spacing w:after="0"/>
              <w:rPr>
                <w:sz w:val="20"/>
                <w:szCs w:val="20"/>
                <w:color w:val="auto"/>
              </w:rPr>
            </w:pPr>
            <w:r>
              <w:rPr>
                <w:rFonts w:ascii="Times New Roman" w:cs="Times New Roman" w:eastAsia="Times New Roman" w:hAnsi="Times New Roman"/>
                <w:sz w:val="9"/>
                <w:szCs w:val="9"/>
                <w:color w:val="auto"/>
              </w:rPr>
              <w:t>Promotional products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(k)</w:t>
            </w:r>
          </w:p>
        </w:tc>
        <w:tc>
          <w:tcPr>
            <w:tcW w:w="3160" w:type="dxa"/>
            <w:vAlign w:val="bottom"/>
            <w:shd w:val="clear" w:color="auto" w:fill="CFF0FC"/>
          </w:tcPr>
          <w:p>
            <w:pPr>
              <w:spacing w:after="0"/>
              <w:rPr>
                <w:sz w:val="10"/>
                <w:szCs w:val="10"/>
                <w:color w:val="auto"/>
              </w:rPr>
            </w:pP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13.50%/0.00%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3/23/2016</w:t>
            </w:r>
          </w:p>
        </w:tc>
        <w:tc>
          <w:tcPr>
            <w:tcW w:w="1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3/31/2023</w:t>
            </w:r>
          </w:p>
        </w:tc>
        <w:tc>
          <w:tcPr>
            <w:tcW w:w="7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9"/>
                <w:szCs w:val="9"/>
                <w:color w:val="auto"/>
              </w:rPr>
              <w:t>25,000</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24,986</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22,501</w:t>
            </w:r>
          </w:p>
        </w:tc>
        <w:tc>
          <w:tcPr>
            <w:tcW w:w="700" w:type="dxa"/>
            <w:vAlign w:val="bottom"/>
            <w:shd w:val="clear" w:color="auto" w:fill="CFF0FC"/>
          </w:tcPr>
          <w:p>
            <w:pPr>
              <w:spacing w:after="0"/>
              <w:rPr>
                <w:sz w:val="10"/>
                <w:szCs w:val="10"/>
                <w:color w:val="auto"/>
              </w:rPr>
            </w:pPr>
          </w:p>
        </w:tc>
      </w:tr>
      <w:tr>
        <w:trPr>
          <w:trHeight w:val="121"/>
        </w:trPr>
        <w:tc>
          <w:tcPr>
            <w:tcW w:w="25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(3,750 units)</w:t>
            </w:r>
          </w:p>
        </w:tc>
        <w:tc>
          <w:tcPr>
            <w:tcW w:w="3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3/23/2016</w:t>
            </w: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114</w:t>
            </w:r>
          </w:p>
        </w:tc>
        <w:tc>
          <w:tcPr>
            <w:tcW w:w="1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Pr>
          <w:p>
            <w:pPr>
              <w:spacing w:after="0"/>
              <w:rPr>
                <w:sz w:val="10"/>
                <w:szCs w:val="10"/>
                <w:color w:val="auto"/>
              </w:rPr>
            </w:pPr>
          </w:p>
        </w:tc>
      </w:tr>
      <w:tr>
        <w:trPr>
          <w:trHeight w:val="122"/>
        </w:trPr>
        <w:tc>
          <w:tcPr>
            <w:tcW w:w="25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(868 units) (j)</w:t>
            </w:r>
          </w:p>
        </w:tc>
        <w:tc>
          <w:tcPr>
            <w:tcW w:w="316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10/16/2020</w:t>
            </w:r>
          </w:p>
        </w:tc>
        <w:tc>
          <w:tcPr>
            <w:tcW w:w="100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150</w:t>
            </w:r>
          </w:p>
        </w:tc>
        <w:tc>
          <w:tcPr>
            <w:tcW w:w="10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FF0FC"/>
            </w:tcBorders>
            <w:shd w:val="clear" w:color="auto" w:fill="CFF0FC"/>
          </w:tcPr>
          <w:p>
            <w:pPr>
              <w:spacing w:after="0"/>
              <w:rPr>
                <w:sz w:val="10"/>
                <w:szCs w:val="10"/>
                <w:color w:val="auto"/>
              </w:rPr>
            </w:pPr>
          </w:p>
        </w:tc>
      </w:tr>
      <w:tr>
        <w:trPr>
          <w:trHeight w:val="114"/>
        </w:trPr>
        <w:tc>
          <w:tcPr>
            <w:tcW w:w="25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25,250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22,501</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5 %</w:t>
            </w:r>
          </w:p>
        </w:tc>
      </w:tr>
      <w:tr>
        <w:trPr>
          <w:trHeight w:val="122"/>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IBH Holdings, LLC (fka Inflexxion, Inc.)</w:t>
            </w:r>
          </w:p>
        </w:tc>
        <w:tc>
          <w:tcPr>
            <w:tcW w:w="3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Business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(150,000 units)</w:t>
            </w:r>
          </w:p>
        </w:tc>
        <w:tc>
          <w:tcPr>
            <w:tcW w:w="3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6/20/2018</w:t>
            </w: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203</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520" w:type="dxa"/>
            <w:vAlign w:val="bottom"/>
            <w:shd w:val="clear" w:color="auto" w:fill="CFF0FC"/>
          </w:tcPr>
          <w:p>
            <w:pPr>
              <w:spacing w:after="0"/>
              <w:rPr>
                <w:sz w:val="10"/>
                <w:szCs w:val="10"/>
                <w:color w:val="auto"/>
              </w:rPr>
            </w:pPr>
          </w:p>
        </w:tc>
        <w:tc>
          <w:tcPr>
            <w:tcW w:w="31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Ipro Tech, LLC</w:t>
            </w:r>
          </w:p>
        </w:tc>
        <w:tc>
          <w:tcPr>
            <w:tcW w:w="3160" w:type="dxa"/>
            <w:vAlign w:val="bottom"/>
          </w:tcPr>
          <w:p>
            <w:pPr>
              <w:ind w:left="6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(j)(u)</w:t>
            </w:r>
          </w:p>
        </w:tc>
        <w:tc>
          <w:tcPr>
            <w:tcW w:w="3160" w:type="dxa"/>
            <w:vAlign w:val="bottom"/>
            <w:shd w:val="clear" w:color="auto" w:fill="CFF0FC"/>
          </w:tcPr>
          <w:p>
            <w:pPr>
              <w:ind w:left="2120"/>
              <w:spacing w:after="0"/>
              <w:rPr>
                <w:sz w:val="20"/>
                <w:szCs w:val="20"/>
                <w:color w:val="auto"/>
              </w:rPr>
            </w:pPr>
            <w:r>
              <w:rPr>
                <w:rFonts w:ascii="Times New Roman" w:cs="Times New Roman" w:eastAsia="Times New Roman" w:hAnsi="Times New Roman"/>
                <w:sz w:val="9"/>
                <w:szCs w:val="9"/>
                <w:color w:val="auto"/>
              </w:rPr>
              <w:t>(L + 7.00%) / (1.00%)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8.00%/1.00%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6/30/2020</w:t>
            </w:r>
          </w:p>
        </w:tc>
        <w:tc>
          <w:tcPr>
            <w:tcW w:w="1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7/28/2025</w:t>
            </w:r>
          </w:p>
        </w:tc>
        <w:tc>
          <w:tcPr>
            <w:tcW w:w="7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9"/>
                <w:szCs w:val="9"/>
                <w:color w:val="auto"/>
              </w:rPr>
              <w:t>19,380</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18,429</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19,012</w:t>
            </w:r>
          </w:p>
        </w:tc>
        <w:tc>
          <w:tcPr>
            <w:tcW w:w="700" w:type="dxa"/>
            <w:vAlign w:val="bottom"/>
            <w:shd w:val="clear" w:color="auto" w:fill="CFF0FC"/>
          </w:tcPr>
          <w:p>
            <w:pPr>
              <w:spacing w:after="0"/>
              <w:rPr>
                <w:sz w:val="10"/>
                <w:szCs w:val="10"/>
                <w:color w:val="auto"/>
              </w:rPr>
            </w:pPr>
          </w:p>
        </w:tc>
      </w:tr>
      <w:tr>
        <w:trPr>
          <w:trHeight w:val="121"/>
        </w:trPr>
        <w:tc>
          <w:tcPr>
            <w:tcW w:w="25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(682,075 units) (j)</w:t>
            </w:r>
          </w:p>
        </w:tc>
        <w:tc>
          <w:tcPr>
            <w:tcW w:w="3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7/28/2021</w:t>
            </w: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682</w:t>
            </w:r>
          </w:p>
        </w:tc>
        <w:tc>
          <w:tcPr>
            <w:tcW w:w="100" w:type="dxa"/>
            <w:vAlign w:val="bottom"/>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682</w:t>
            </w:r>
          </w:p>
        </w:tc>
        <w:tc>
          <w:tcPr>
            <w:tcW w:w="700" w:type="dxa"/>
            <w:vAlign w:val="bottom"/>
          </w:tcPr>
          <w:p>
            <w:pPr>
              <w:spacing w:after="0"/>
              <w:rPr>
                <w:sz w:val="10"/>
                <w:szCs w:val="10"/>
                <w:color w:val="auto"/>
              </w:rPr>
            </w:pPr>
          </w:p>
        </w:tc>
      </w:tr>
      <w:tr>
        <w:trPr>
          <w:trHeight w:val="115"/>
        </w:trPr>
        <w:tc>
          <w:tcPr>
            <w:tcW w:w="2520" w:type="dxa"/>
            <w:vAlign w:val="bottom"/>
            <w:shd w:val="clear" w:color="auto" w:fill="CFF0FC"/>
          </w:tcPr>
          <w:p>
            <w:pPr>
              <w:spacing w:after="0"/>
              <w:rPr>
                <w:sz w:val="10"/>
                <w:szCs w:val="10"/>
                <w:color w:val="auto"/>
              </w:rPr>
            </w:pPr>
          </w:p>
        </w:tc>
        <w:tc>
          <w:tcPr>
            <w:tcW w:w="31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19,111</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19,694</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1"/>
        </w:trPr>
        <w:tc>
          <w:tcPr>
            <w:tcW w:w="25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ISI PSG Holdings, LLC (dba Incentive Solutions, Inc.)</w:t>
            </w:r>
          </w:p>
        </w:tc>
        <w:tc>
          <w:tcPr>
            <w:tcW w:w="3160" w:type="dxa"/>
            <w:vAlign w:val="bottom"/>
          </w:tcPr>
          <w:p>
            <w:pPr>
              <w:ind w:left="60"/>
              <w:spacing w:after="0"/>
              <w:rPr>
                <w:sz w:val="20"/>
                <w:szCs w:val="20"/>
                <w:color w:val="auto"/>
              </w:rPr>
            </w:pPr>
            <w:r>
              <w:rPr>
                <w:rFonts w:ascii="Times New Roman" w:cs="Times New Roman" w:eastAsia="Times New Roman" w:hAnsi="Times New Roman"/>
                <w:sz w:val="9"/>
                <w:szCs w:val="9"/>
                <w:color w:val="auto"/>
              </w:rPr>
              <w:t>Business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(j)(aj)</w:t>
            </w:r>
          </w:p>
        </w:tc>
        <w:tc>
          <w:tcPr>
            <w:tcW w:w="3160" w:type="dxa"/>
            <w:vAlign w:val="bottom"/>
            <w:shd w:val="clear" w:color="auto" w:fill="CFF0FC"/>
          </w:tcPr>
          <w:p>
            <w:pPr>
              <w:ind w:left="2120"/>
              <w:spacing w:after="0"/>
              <w:rPr>
                <w:sz w:val="20"/>
                <w:szCs w:val="20"/>
                <w:color w:val="auto"/>
              </w:rPr>
            </w:pPr>
            <w:r>
              <w:rPr>
                <w:rFonts w:ascii="Times New Roman" w:cs="Times New Roman" w:eastAsia="Times New Roman" w:hAnsi="Times New Roman"/>
                <w:sz w:val="9"/>
                <w:szCs w:val="9"/>
                <w:color w:val="auto"/>
              </w:rPr>
              <w:t>(L + 7.50%) / (0.50%)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8.00%/0.00%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4/5/2021</w:t>
            </w:r>
          </w:p>
        </w:tc>
        <w:tc>
          <w:tcPr>
            <w:tcW w:w="1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4/5/2026</w:t>
            </w:r>
          </w:p>
        </w:tc>
        <w:tc>
          <w:tcPr>
            <w:tcW w:w="7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9"/>
                <w:szCs w:val="9"/>
                <w:color w:val="auto"/>
              </w:rPr>
              <w:t>12,483</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12,394</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12,404</w:t>
            </w:r>
          </w:p>
        </w:tc>
        <w:tc>
          <w:tcPr>
            <w:tcW w:w="700" w:type="dxa"/>
            <w:vAlign w:val="bottom"/>
            <w:shd w:val="clear" w:color="auto" w:fill="CFF0FC"/>
          </w:tcPr>
          <w:p>
            <w:pPr>
              <w:spacing w:after="0"/>
              <w:rPr>
                <w:sz w:val="10"/>
                <w:szCs w:val="10"/>
                <w:color w:val="auto"/>
              </w:rPr>
            </w:pPr>
          </w:p>
        </w:tc>
      </w:tr>
      <w:tr>
        <w:trPr>
          <w:trHeight w:val="121"/>
        </w:trPr>
        <w:tc>
          <w:tcPr>
            <w:tcW w:w="25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(j)(an)</w:t>
            </w:r>
          </w:p>
        </w:tc>
        <w:tc>
          <w:tcPr>
            <w:tcW w:w="3160" w:type="dxa"/>
            <w:vAlign w:val="bottom"/>
          </w:tcPr>
          <w:p>
            <w:pPr>
              <w:ind w:left="2120"/>
              <w:spacing w:after="0"/>
              <w:rPr>
                <w:sz w:val="20"/>
                <w:szCs w:val="20"/>
                <w:color w:val="auto"/>
              </w:rPr>
            </w:pPr>
            <w:r>
              <w:rPr>
                <w:rFonts w:ascii="Times New Roman" w:cs="Times New Roman" w:eastAsia="Times New Roman" w:hAnsi="Times New Roman"/>
                <w:sz w:val="9"/>
                <w:szCs w:val="9"/>
                <w:color w:val="auto"/>
              </w:rPr>
              <w:t>(L + 7.50%) / (0.50%)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8.00%/0.00%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6/30/2021</w:t>
            </w:r>
          </w:p>
        </w:tc>
        <w:tc>
          <w:tcPr>
            <w:tcW w:w="10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4/5/2026</w:t>
            </w: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13,331</w:t>
            </w: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13,331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13,247</w:t>
            </w:r>
          </w:p>
        </w:tc>
        <w:tc>
          <w:tcPr>
            <w:tcW w:w="700" w:type="dxa"/>
            <w:vAlign w:val="bottom"/>
          </w:tcPr>
          <w:p>
            <w:pPr>
              <w:spacing w:after="0"/>
              <w:rPr>
                <w:sz w:val="10"/>
                <w:szCs w:val="10"/>
                <w:color w:val="auto"/>
              </w:rPr>
            </w:pPr>
          </w:p>
        </w:tc>
      </w:tr>
      <w:tr>
        <w:trPr>
          <w:trHeight w:val="122"/>
        </w:trPr>
        <w:tc>
          <w:tcPr>
            <w:tcW w:w="25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(256,964 units) (h)(j)</w:t>
            </w:r>
          </w:p>
        </w:tc>
        <w:tc>
          <w:tcPr>
            <w:tcW w:w="316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4/5/2021</w:t>
            </w:r>
          </w:p>
        </w:tc>
        <w:tc>
          <w:tcPr>
            <w:tcW w:w="100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10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592</w:t>
            </w:r>
          </w:p>
        </w:tc>
        <w:tc>
          <w:tcPr>
            <w:tcW w:w="700" w:type="dxa"/>
            <w:vAlign w:val="bottom"/>
            <w:tcBorders>
              <w:bottom w:val="single" w:sz="8" w:color="CFF0FC"/>
            </w:tcBorders>
            <w:shd w:val="clear" w:color="auto" w:fill="CFF0FC"/>
          </w:tcPr>
          <w:p>
            <w:pPr>
              <w:spacing w:after="0"/>
              <w:rPr>
                <w:sz w:val="10"/>
                <w:szCs w:val="10"/>
                <w:color w:val="auto"/>
              </w:rPr>
            </w:pPr>
          </w:p>
        </w:tc>
      </w:tr>
      <w:tr>
        <w:trPr>
          <w:trHeight w:val="115"/>
        </w:trPr>
        <w:tc>
          <w:tcPr>
            <w:tcW w:w="25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26,225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26,243</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5 %</w:t>
            </w:r>
          </w:p>
        </w:tc>
      </w:tr>
      <w:tr>
        <w:trPr>
          <w:trHeight w:val="99"/>
        </w:trPr>
        <w:tc>
          <w:tcPr>
            <w:tcW w:w="2520" w:type="dxa"/>
            <w:vAlign w:val="bottom"/>
            <w:shd w:val="clear" w:color="auto" w:fill="CFF0FC"/>
          </w:tcPr>
          <w:p>
            <w:pPr>
              <w:ind w:left="20"/>
              <w:spacing w:after="0" w:line="100" w:lineRule="exact"/>
              <w:rPr>
                <w:sz w:val="20"/>
                <w:szCs w:val="20"/>
                <w:color w:val="auto"/>
              </w:rPr>
            </w:pPr>
            <w:r>
              <w:rPr>
                <w:rFonts w:ascii="Times New Roman" w:cs="Times New Roman" w:eastAsia="Times New Roman" w:hAnsi="Times New Roman"/>
                <w:sz w:val="9"/>
                <w:szCs w:val="9"/>
                <w:i w:val="1"/>
                <w:iCs w:val="1"/>
                <w:color w:val="auto"/>
              </w:rPr>
              <w:t>K2 Merger Agreement Agent, LLC (fka K2 Industrial Services, Inc.)</w:t>
            </w:r>
          </w:p>
        </w:tc>
        <w:tc>
          <w:tcPr>
            <w:tcW w:w="316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r>
      <w:tr>
        <w:trPr>
          <w:trHeight w:val="117"/>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(n)</w:t>
            </w:r>
          </w:p>
        </w:tc>
        <w:tc>
          <w:tcPr>
            <w:tcW w:w="3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Industrial Cleaning &amp; Coatings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3160" w:type="dxa"/>
            <w:vAlign w:val="bottom"/>
          </w:tcPr>
          <w:p>
            <w:pPr>
              <w:spacing w:after="0"/>
              <w:rPr>
                <w:sz w:val="10"/>
                <w:szCs w:val="10"/>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0.00%/10.00%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1/28/2019</w:t>
            </w:r>
          </w:p>
        </w:tc>
        <w:tc>
          <w:tcPr>
            <w:tcW w:w="10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1/28/2023</w:t>
            </w: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2,368</w:t>
            </w: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2,368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2,368</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520" w:type="dxa"/>
            <w:vAlign w:val="bottom"/>
            <w:shd w:val="clear" w:color="auto" w:fill="CFF0FC"/>
          </w:tcPr>
          <w:p>
            <w:pPr>
              <w:spacing w:after="0"/>
              <w:rPr>
                <w:sz w:val="10"/>
                <w:szCs w:val="10"/>
                <w:color w:val="auto"/>
              </w:rPr>
            </w:pPr>
          </w:p>
        </w:tc>
        <w:tc>
          <w:tcPr>
            <w:tcW w:w="31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The Kyjen Company, LLC (dba Outward Hound)</w:t>
            </w:r>
          </w:p>
        </w:tc>
        <w:tc>
          <w:tcPr>
            <w:tcW w:w="3160" w:type="dxa"/>
            <w:vAlign w:val="bottom"/>
          </w:tcPr>
          <w:p>
            <w:pPr>
              <w:ind w:left="60"/>
              <w:spacing w:after="0"/>
              <w:rPr>
                <w:sz w:val="20"/>
                <w:szCs w:val="20"/>
                <w:color w:val="auto"/>
              </w:rPr>
            </w:pPr>
            <w:r>
              <w:rPr>
                <w:rFonts w:ascii="Times New Roman" w:cs="Times New Roman" w:eastAsia="Times New Roman" w:hAnsi="Times New Roman"/>
                <w:sz w:val="9"/>
                <w:szCs w:val="9"/>
                <w:color w:val="auto"/>
              </w:rPr>
              <w:t>Consumer Products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(855 shares) (j)</w:t>
            </w:r>
          </w:p>
        </w:tc>
        <w:tc>
          <w:tcPr>
            <w:tcW w:w="31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12/8/2017</w:t>
            </w: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933</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1,465</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1"/>
        </w:trPr>
        <w:tc>
          <w:tcPr>
            <w:tcW w:w="25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1"/>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Level Education Group, LLC (dba CE4Less)</w:t>
            </w:r>
          </w:p>
        </w:tc>
        <w:tc>
          <w:tcPr>
            <w:tcW w:w="3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Business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(ak)</w:t>
            </w:r>
          </w:p>
        </w:tc>
        <w:tc>
          <w:tcPr>
            <w:tcW w:w="3160" w:type="dxa"/>
            <w:vAlign w:val="bottom"/>
          </w:tcPr>
          <w:p>
            <w:pPr>
              <w:ind w:left="2120"/>
              <w:spacing w:after="0"/>
              <w:rPr>
                <w:sz w:val="20"/>
                <w:szCs w:val="20"/>
                <w:color w:val="auto"/>
              </w:rPr>
            </w:pPr>
            <w:r>
              <w:rPr>
                <w:rFonts w:ascii="Times New Roman" w:cs="Times New Roman" w:eastAsia="Times New Roman" w:hAnsi="Times New Roman"/>
                <w:sz w:val="9"/>
                <w:szCs w:val="9"/>
                <w:color w:val="auto"/>
              </w:rPr>
              <w:t>(L + 6.75%) / (0.50%)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7.25%/0.00%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4/1/2021</w:t>
            </w:r>
          </w:p>
        </w:tc>
        <w:tc>
          <w:tcPr>
            <w:tcW w:w="10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4/1/2026</w:t>
            </w: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5,431</w:t>
            </w: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5,396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5,431</w:t>
            </w:r>
          </w:p>
        </w:tc>
        <w:tc>
          <w:tcPr>
            <w:tcW w:w="700" w:type="dxa"/>
            <w:vAlign w:val="bottom"/>
          </w:tcPr>
          <w:p>
            <w:pPr>
              <w:spacing w:after="0"/>
              <w:rPr>
                <w:sz w:val="10"/>
                <w:szCs w:val="10"/>
                <w:color w:val="auto"/>
              </w:rPr>
            </w:pPr>
          </w:p>
        </w:tc>
      </w:tr>
      <w:tr>
        <w:trPr>
          <w:trHeight w:val="122"/>
        </w:trPr>
        <w:tc>
          <w:tcPr>
            <w:tcW w:w="25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(1,000,000 units) (j)</w:t>
            </w:r>
          </w:p>
        </w:tc>
        <w:tc>
          <w:tcPr>
            <w:tcW w:w="316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4/1/2021</w:t>
            </w:r>
          </w:p>
        </w:tc>
        <w:tc>
          <w:tcPr>
            <w:tcW w:w="100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1,000</w:t>
            </w:r>
          </w:p>
        </w:tc>
        <w:tc>
          <w:tcPr>
            <w:tcW w:w="10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1,313</w:t>
            </w:r>
          </w:p>
        </w:tc>
        <w:tc>
          <w:tcPr>
            <w:tcW w:w="700" w:type="dxa"/>
            <w:vAlign w:val="bottom"/>
            <w:tcBorders>
              <w:bottom w:val="single" w:sz="8" w:color="CFF0FC"/>
            </w:tcBorders>
            <w:shd w:val="clear" w:color="auto" w:fill="CFF0FC"/>
          </w:tcPr>
          <w:p>
            <w:pPr>
              <w:spacing w:after="0"/>
              <w:rPr>
                <w:sz w:val="10"/>
                <w:szCs w:val="10"/>
                <w:color w:val="auto"/>
              </w:rPr>
            </w:pPr>
          </w:p>
        </w:tc>
      </w:tr>
      <w:tr>
        <w:trPr>
          <w:trHeight w:val="114"/>
        </w:trPr>
        <w:tc>
          <w:tcPr>
            <w:tcW w:w="25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6,396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6,744</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LifeSpan Biosciences, Inc.</w:t>
            </w:r>
          </w:p>
        </w:tc>
        <w:tc>
          <w:tcPr>
            <w:tcW w:w="3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Healthcare Products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3160" w:type="dxa"/>
            <w:vAlign w:val="bottom"/>
          </w:tcPr>
          <w:p>
            <w:pPr>
              <w:spacing w:after="0"/>
              <w:rPr>
                <w:sz w:val="10"/>
                <w:szCs w:val="10"/>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11.50%/0.00%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3/19/2021</w:t>
            </w:r>
          </w:p>
        </w:tc>
        <w:tc>
          <w:tcPr>
            <w:tcW w:w="10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9/19/2026</w:t>
            </w: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16,000</w:t>
            </w: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15,931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16,000</w:t>
            </w:r>
          </w:p>
        </w:tc>
        <w:tc>
          <w:tcPr>
            <w:tcW w:w="700" w:type="dxa"/>
            <w:vAlign w:val="bottom"/>
          </w:tcPr>
          <w:p>
            <w:pPr>
              <w:spacing w:after="0"/>
              <w:rPr>
                <w:sz w:val="10"/>
                <w:szCs w:val="10"/>
                <w:color w:val="auto"/>
              </w:rPr>
            </w:pPr>
          </w:p>
        </w:tc>
      </w:tr>
      <w:tr>
        <w:trPr>
          <w:trHeight w:val="122"/>
        </w:trPr>
        <w:tc>
          <w:tcPr>
            <w:tcW w:w="25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(100 shares) (j)</w:t>
            </w:r>
          </w:p>
        </w:tc>
        <w:tc>
          <w:tcPr>
            <w:tcW w:w="316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3/19/2021</w:t>
            </w:r>
          </w:p>
        </w:tc>
        <w:tc>
          <w:tcPr>
            <w:tcW w:w="100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1,000</w:t>
            </w:r>
          </w:p>
        </w:tc>
        <w:tc>
          <w:tcPr>
            <w:tcW w:w="10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981</w:t>
            </w:r>
          </w:p>
        </w:tc>
        <w:tc>
          <w:tcPr>
            <w:tcW w:w="700" w:type="dxa"/>
            <w:vAlign w:val="bottom"/>
            <w:tcBorders>
              <w:bottom w:val="single" w:sz="8" w:color="CFF0FC"/>
            </w:tcBorders>
            <w:shd w:val="clear" w:color="auto" w:fill="CFF0FC"/>
          </w:tcPr>
          <w:p>
            <w:pPr>
              <w:spacing w:after="0"/>
              <w:rPr>
                <w:sz w:val="10"/>
                <w:szCs w:val="10"/>
                <w:color w:val="auto"/>
              </w:rPr>
            </w:pPr>
          </w:p>
        </w:tc>
      </w:tr>
      <w:tr>
        <w:trPr>
          <w:trHeight w:val="115"/>
        </w:trPr>
        <w:tc>
          <w:tcPr>
            <w:tcW w:w="25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16,931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16,981</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Midwest Transit Equipment, Inc.</w:t>
            </w:r>
          </w:p>
        </w:tc>
        <w:tc>
          <w:tcPr>
            <w:tcW w:w="3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Transportation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Warrant (7,192 shares) (j)(m)</w:t>
            </w:r>
          </w:p>
        </w:tc>
        <w:tc>
          <w:tcPr>
            <w:tcW w:w="3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6/23/2017</w:t>
            </w: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180</w:t>
            </w:r>
          </w:p>
        </w:tc>
        <w:tc>
          <w:tcPr>
            <w:tcW w:w="1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Pr>
          <w:p>
            <w:pPr>
              <w:spacing w:after="0"/>
              <w:rPr>
                <w:sz w:val="10"/>
                <w:szCs w:val="10"/>
                <w:color w:val="auto"/>
              </w:rPr>
            </w:pPr>
          </w:p>
        </w:tc>
      </w:tr>
      <w:tr>
        <w:trPr>
          <w:trHeight w:val="122"/>
        </w:trPr>
        <w:tc>
          <w:tcPr>
            <w:tcW w:w="25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Warrant (4.79% of Junior Subordinated Notes) (j)(q)</w:t>
            </w:r>
          </w:p>
        </w:tc>
        <w:tc>
          <w:tcPr>
            <w:tcW w:w="316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6/23/2017</w:t>
            </w:r>
          </w:p>
        </w:tc>
        <w:tc>
          <w:tcPr>
            <w:tcW w:w="100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190</w:t>
            </w:r>
          </w:p>
        </w:tc>
        <w:tc>
          <w:tcPr>
            <w:tcW w:w="10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246</w:t>
            </w:r>
          </w:p>
        </w:tc>
        <w:tc>
          <w:tcPr>
            <w:tcW w:w="700" w:type="dxa"/>
            <w:vAlign w:val="bottom"/>
            <w:tcBorders>
              <w:bottom w:val="single" w:sz="8" w:color="CFF0FC"/>
            </w:tcBorders>
            <w:shd w:val="clear" w:color="auto" w:fill="CFF0FC"/>
          </w:tcPr>
          <w:p>
            <w:pPr>
              <w:spacing w:after="0"/>
              <w:rPr>
                <w:sz w:val="10"/>
                <w:szCs w:val="10"/>
                <w:color w:val="auto"/>
              </w:rPr>
            </w:pPr>
          </w:p>
        </w:tc>
      </w:tr>
      <w:tr>
        <w:trPr>
          <w:trHeight w:val="115"/>
        </w:trPr>
        <w:tc>
          <w:tcPr>
            <w:tcW w:w="25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370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246</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Mobilewalla, Inc.</w:t>
            </w:r>
          </w:p>
        </w:tc>
        <w:tc>
          <w:tcPr>
            <w:tcW w:w="3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160" w:type="dxa"/>
            <w:vAlign w:val="bottom"/>
          </w:tcPr>
          <w:p>
            <w:pPr>
              <w:ind w:left="2120"/>
              <w:spacing w:after="0"/>
              <w:rPr>
                <w:sz w:val="20"/>
                <w:szCs w:val="20"/>
                <w:color w:val="auto"/>
              </w:rPr>
            </w:pPr>
            <w:r>
              <w:rPr>
                <w:rFonts w:ascii="Times New Roman" w:cs="Times New Roman" w:eastAsia="Times New Roman" w:hAnsi="Times New Roman"/>
                <w:sz w:val="9"/>
                <w:szCs w:val="9"/>
                <w:color w:val="auto"/>
              </w:rPr>
              <w:t>(L + 11.50%) / (0.50%)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12.00%/0.00%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12/17/2021</w:t>
            </w:r>
          </w:p>
        </w:tc>
        <w:tc>
          <w:tcPr>
            <w:tcW w:w="10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12/17/2024</w:t>
            </w: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5,715</w:t>
            </w: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5,687</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5,687</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520" w:type="dxa"/>
            <w:vAlign w:val="bottom"/>
            <w:shd w:val="clear" w:color="auto" w:fill="CFF0FC"/>
          </w:tcPr>
          <w:p>
            <w:pPr>
              <w:spacing w:after="0"/>
              <w:rPr>
                <w:sz w:val="10"/>
                <w:szCs w:val="10"/>
                <w:color w:val="auto"/>
              </w:rPr>
            </w:pPr>
          </w:p>
        </w:tc>
        <w:tc>
          <w:tcPr>
            <w:tcW w:w="31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Netbase Solutions, Inc. (dba Netbase Quid)</w:t>
            </w:r>
          </w:p>
        </w:tc>
        <w:tc>
          <w:tcPr>
            <w:tcW w:w="3160" w:type="dxa"/>
            <w:vAlign w:val="bottom"/>
          </w:tcPr>
          <w:p>
            <w:pPr>
              <w:ind w:left="6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(k)(ap)</w:t>
            </w:r>
          </w:p>
        </w:tc>
        <w:tc>
          <w:tcPr>
            <w:tcW w:w="3160" w:type="dxa"/>
            <w:vAlign w:val="bottom"/>
            <w:shd w:val="clear" w:color="auto" w:fill="CFF0FC"/>
          </w:tcPr>
          <w:p>
            <w:pPr>
              <w:ind w:left="2120"/>
              <w:spacing w:after="0"/>
              <w:rPr>
                <w:sz w:val="20"/>
                <w:szCs w:val="20"/>
                <w:color w:val="auto"/>
              </w:rPr>
            </w:pPr>
            <w:r>
              <w:rPr>
                <w:rFonts w:ascii="Times New Roman" w:cs="Times New Roman" w:eastAsia="Times New Roman" w:hAnsi="Times New Roman"/>
                <w:sz w:val="9"/>
                <w:szCs w:val="9"/>
                <w:color w:val="auto"/>
              </w:rPr>
              <w:t>(P + 5.50%) / (3.25%)</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8.75%/1.50%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11/18/2021</w:t>
            </w:r>
          </w:p>
        </w:tc>
        <w:tc>
          <w:tcPr>
            <w:tcW w:w="1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11/18/2025</w:t>
            </w:r>
          </w:p>
        </w:tc>
        <w:tc>
          <w:tcPr>
            <w:tcW w:w="7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9"/>
                <w:szCs w:val="9"/>
                <w:color w:val="auto"/>
              </w:rPr>
              <w:t>16,568</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16,448</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16,448</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-8777605</wp:posOffset>
            </wp:positionV>
            <wp:extent cx="1714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-8777605</wp:posOffset>
            </wp:positionV>
            <wp:extent cx="1714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-6882765</wp:posOffset>
            </wp:positionV>
            <wp:extent cx="171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-6882765</wp:posOffset>
            </wp:positionV>
            <wp:extent cx="171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-6565900</wp:posOffset>
            </wp:positionV>
            <wp:extent cx="171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-6565900</wp:posOffset>
            </wp:positionV>
            <wp:extent cx="171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-6248400</wp:posOffset>
            </wp:positionV>
            <wp:extent cx="171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-6248400</wp:posOffset>
            </wp:positionV>
            <wp:extent cx="171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-5245735</wp:posOffset>
            </wp:positionV>
            <wp:extent cx="171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-5245735</wp:posOffset>
            </wp:positionV>
            <wp:extent cx="171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-2887980</wp:posOffset>
            </wp:positionV>
            <wp:extent cx="171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-2887980</wp:posOffset>
            </wp:positionV>
            <wp:extent cx="1714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-1945640</wp:posOffset>
            </wp:positionV>
            <wp:extent cx="1714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-1945640</wp:posOffset>
            </wp:positionV>
            <wp:extent cx="1714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-1104900</wp:posOffset>
            </wp:positionV>
            <wp:extent cx="171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-1104900</wp:posOffset>
            </wp:positionV>
            <wp:extent cx="1714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-788035</wp:posOffset>
            </wp:positionV>
            <wp:extent cx="1714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-788035</wp:posOffset>
            </wp:positionV>
            <wp:extent cx="1714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-470535</wp:posOffset>
            </wp:positionV>
            <wp:extent cx="171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-470535</wp:posOffset>
            </wp:positionV>
            <wp:extent cx="171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974"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22"/>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NGT Acquisition Holdings, LLC (dba Techniks Industries)</w:t>
            </w:r>
          </w:p>
        </w:tc>
        <w:tc>
          <w:tcPr>
            <w:tcW w:w="3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Component Manufacturing</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(378 units) (j)</w:t>
            </w:r>
          </w:p>
        </w:tc>
        <w:tc>
          <w:tcPr>
            <w:tcW w:w="3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5/24/2017</w:t>
            </w: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204</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540" w:type="dxa"/>
            <w:vAlign w:val="bottom"/>
            <w:shd w:val="clear" w:color="auto" w:fill="CFF0FC"/>
          </w:tcPr>
          <w:p>
            <w:pPr>
              <w:spacing w:after="0"/>
              <w:rPr>
                <w:sz w:val="10"/>
                <w:szCs w:val="10"/>
                <w:color w:val="auto"/>
              </w:rPr>
            </w:pPr>
          </w:p>
        </w:tc>
        <w:tc>
          <w:tcPr>
            <w:tcW w:w="31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OMC Investors, LLC (dba Ohio Medical Corporation)</w:t>
            </w:r>
          </w:p>
        </w:tc>
        <w:tc>
          <w:tcPr>
            <w:tcW w:w="3140" w:type="dxa"/>
            <w:vAlign w:val="bottom"/>
          </w:tcPr>
          <w:p>
            <w:pPr>
              <w:ind w:left="40"/>
              <w:spacing w:after="0"/>
              <w:rPr>
                <w:sz w:val="20"/>
                <w:szCs w:val="20"/>
                <w:color w:val="auto"/>
              </w:rPr>
            </w:pPr>
            <w:r>
              <w:rPr>
                <w:rFonts w:ascii="Times New Roman" w:cs="Times New Roman" w:eastAsia="Times New Roman" w:hAnsi="Times New Roman"/>
                <w:sz w:val="9"/>
                <w:szCs w:val="9"/>
                <w:color w:val="auto"/>
              </w:rPr>
              <w:t>Healthcare Products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w:t>
            </w:r>
          </w:p>
        </w:tc>
        <w:tc>
          <w:tcPr>
            <w:tcW w:w="3140" w:type="dxa"/>
            <w:vAlign w:val="bottom"/>
            <w:shd w:val="clear" w:color="auto" w:fill="CFF0FC"/>
          </w:tcPr>
          <w:p>
            <w:pPr>
              <w:spacing w:after="0"/>
              <w:rPr>
                <w:sz w:val="10"/>
                <w:szCs w:val="10"/>
                <w:color w:val="auto"/>
              </w:rPr>
            </w:pP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13.00%/0.00%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1/26/2021</w:t>
            </w:r>
          </w:p>
        </w:tc>
        <w:tc>
          <w:tcPr>
            <w:tcW w:w="1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6/30/2024</w:t>
            </w:r>
          </w:p>
        </w:tc>
        <w:tc>
          <w:tcPr>
            <w:tcW w:w="7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9"/>
                <w:szCs w:val="9"/>
                <w:color w:val="auto"/>
              </w:rPr>
              <w:t>5,000</w:t>
            </w: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4,963</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5,000</w:t>
            </w:r>
          </w:p>
        </w:tc>
        <w:tc>
          <w:tcPr>
            <w:tcW w:w="700" w:type="dxa"/>
            <w:vAlign w:val="bottom"/>
            <w:shd w:val="clear" w:color="auto" w:fill="CFF0FC"/>
          </w:tcPr>
          <w:p>
            <w:pPr>
              <w:spacing w:after="0"/>
              <w:rPr>
                <w:sz w:val="10"/>
                <w:szCs w:val="10"/>
                <w:color w:val="auto"/>
              </w:rPr>
            </w:pPr>
          </w:p>
        </w:tc>
      </w:tr>
      <w:tr>
        <w:trPr>
          <w:trHeight w:val="122"/>
        </w:trPr>
        <w:tc>
          <w:tcPr>
            <w:tcW w:w="25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(5,000 units)</w:t>
            </w:r>
          </w:p>
        </w:tc>
        <w:tc>
          <w:tcPr>
            <w:tcW w:w="3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1/15/2016</w:t>
            </w: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209</w:t>
            </w:r>
          </w:p>
        </w:tc>
        <w:tc>
          <w:tcPr>
            <w:tcW w:w="1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743</w:t>
            </w:r>
          </w:p>
        </w:tc>
        <w:tc>
          <w:tcPr>
            <w:tcW w:w="700" w:type="dxa"/>
            <w:vAlign w:val="bottom"/>
          </w:tcPr>
          <w:p>
            <w:pPr>
              <w:spacing w:after="0"/>
              <w:rPr>
                <w:sz w:val="10"/>
                <w:szCs w:val="10"/>
                <w:color w:val="auto"/>
              </w:rPr>
            </w:pPr>
          </w:p>
        </w:tc>
      </w:tr>
      <w:tr>
        <w:trPr>
          <w:trHeight w:val="115"/>
        </w:trPr>
        <w:tc>
          <w:tcPr>
            <w:tcW w:w="2540" w:type="dxa"/>
            <w:vAlign w:val="bottom"/>
            <w:shd w:val="clear" w:color="auto" w:fill="CFF0FC"/>
          </w:tcPr>
          <w:p>
            <w:pPr>
              <w:spacing w:after="0"/>
              <w:rPr>
                <w:sz w:val="10"/>
                <w:szCs w:val="10"/>
                <w:color w:val="auto"/>
              </w:rPr>
            </w:pPr>
          </w:p>
        </w:tc>
        <w:tc>
          <w:tcPr>
            <w:tcW w:w="31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5,172</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5,743</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5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Palisade Company, LLC</w:t>
            </w:r>
          </w:p>
        </w:tc>
        <w:tc>
          <w:tcPr>
            <w:tcW w:w="3140" w:type="dxa"/>
            <w:vAlign w:val="bottom"/>
          </w:tcPr>
          <w:p>
            <w:pPr>
              <w:ind w:left="4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(50 shares) (j)</w:t>
            </w:r>
          </w:p>
        </w:tc>
        <w:tc>
          <w:tcPr>
            <w:tcW w:w="31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11/15/2018</w:t>
            </w: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1,224</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1"/>
        </w:trPr>
        <w:tc>
          <w:tcPr>
            <w:tcW w:w="254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Palmetto Moon, LLC</w:t>
            </w:r>
          </w:p>
        </w:tc>
        <w:tc>
          <w:tcPr>
            <w:tcW w:w="3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Retail</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(499 units) (j)</w:t>
            </w:r>
          </w:p>
        </w:tc>
        <w:tc>
          <w:tcPr>
            <w:tcW w:w="3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11/3/2016</w:t>
            </w: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265</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895</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540" w:type="dxa"/>
            <w:vAlign w:val="bottom"/>
            <w:shd w:val="clear" w:color="auto" w:fill="CFF0FC"/>
          </w:tcPr>
          <w:p>
            <w:pPr>
              <w:spacing w:after="0"/>
              <w:rPr>
                <w:sz w:val="10"/>
                <w:szCs w:val="10"/>
                <w:color w:val="auto"/>
              </w:rPr>
            </w:pPr>
          </w:p>
        </w:tc>
        <w:tc>
          <w:tcPr>
            <w:tcW w:w="31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Pool &amp; Electrical Products, LLC (n)</w:t>
            </w:r>
          </w:p>
        </w:tc>
        <w:tc>
          <w:tcPr>
            <w:tcW w:w="3140" w:type="dxa"/>
            <w:vAlign w:val="bottom"/>
          </w:tcPr>
          <w:p>
            <w:pPr>
              <w:ind w:left="40"/>
              <w:spacing w:after="0"/>
              <w:rPr>
                <w:sz w:val="20"/>
                <w:szCs w:val="20"/>
                <w:color w:val="auto"/>
              </w:rPr>
            </w:pPr>
            <w:r>
              <w:rPr>
                <w:rFonts w:ascii="Times New Roman" w:cs="Times New Roman" w:eastAsia="Times New Roman" w:hAnsi="Times New Roman"/>
                <w:sz w:val="9"/>
                <w:szCs w:val="9"/>
                <w:color w:val="auto"/>
              </w:rPr>
              <w:t>Specialty Distribution</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(15,000 units) (h)(j)</w:t>
            </w:r>
          </w:p>
        </w:tc>
        <w:tc>
          <w:tcPr>
            <w:tcW w:w="31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10/28/2020</w:t>
            </w: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549</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4,466</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54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Power Grid Components, Inc.</w:t>
            </w:r>
          </w:p>
        </w:tc>
        <w:tc>
          <w:tcPr>
            <w:tcW w:w="3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Specialty Distribution</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 (k)</w:t>
            </w:r>
          </w:p>
        </w:tc>
        <w:tc>
          <w:tcPr>
            <w:tcW w:w="3140" w:type="dxa"/>
            <w:vAlign w:val="bottom"/>
          </w:tcPr>
          <w:p>
            <w:pPr>
              <w:spacing w:after="0"/>
              <w:rPr>
                <w:sz w:val="10"/>
                <w:szCs w:val="10"/>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11.00%/1.00%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4/12/2018</w:t>
            </w:r>
          </w:p>
        </w:tc>
        <w:tc>
          <w:tcPr>
            <w:tcW w:w="10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12/2/2025</w:t>
            </w: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17,570</w:t>
            </w:r>
          </w:p>
        </w:tc>
        <w:tc>
          <w:tcPr>
            <w:tcW w:w="2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17,510</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17,570</w:t>
            </w:r>
          </w:p>
        </w:tc>
        <w:tc>
          <w:tcPr>
            <w:tcW w:w="700" w:type="dxa"/>
            <w:vAlign w:val="bottom"/>
          </w:tcPr>
          <w:p>
            <w:pPr>
              <w:spacing w:after="0"/>
              <w:rPr>
                <w:sz w:val="10"/>
                <w:szCs w:val="10"/>
                <w:color w:val="auto"/>
              </w:rPr>
            </w:pPr>
          </w:p>
        </w:tc>
      </w:tr>
      <w:tr>
        <w:trPr>
          <w:trHeight w:val="122"/>
        </w:trPr>
        <w:tc>
          <w:tcPr>
            <w:tcW w:w="2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(392 shares) (j)</w:t>
            </w:r>
          </w:p>
        </w:tc>
        <w:tc>
          <w:tcPr>
            <w:tcW w:w="31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4/12/2018</w:t>
            </w: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392</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564</w:t>
            </w:r>
          </w:p>
        </w:tc>
        <w:tc>
          <w:tcPr>
            <w:tcW w:w="700" w:type="dxa"/>
            <w:vAlign w:val="bottom"/>
            <w:shd w:val="clear" w:color="auto" w:fill="CFF0FC"/>
          </w:tcPr>
          <w:p>
            <w:pPr>
              <w:spacing w:after="0"/>
              <w:rPr>
                <w:sz w:val="10"/>
                <w:szCs w:val="10"/>
                <w:color w:val="auto"/>
              </w:rPr>
            </w:pPr>
          </w:p>
        </w:tc>
      </w:tr>
      <w:tr>
        <w:trPr>
          <w:trHeight w:val="121"/>
        </w:trPr>
        <w:tc>
          <w:tcPr>
            <w:tcW w:w="25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(48 shares) (j)</w:t>
            </w:r>
          </w:p>
        </w:tc>
        <w:tc>
          <w:tcPr>
            <w:tcW w:w="3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12/2/2019</w:t>
            </w: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48</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70</w:t>
            </w:r>
          </w:p>
        </w:tc>
        <w:tc>
          <w:tcPr>
            <w:tcW w:w="700" w:type="dxa"/>
            <w:vAlign w:val="bottom"/>
          </w:tcPr>
          <w:p>
            <w:pPr>
              <w:spacing w:after="0"/>
              <w:rPr>
                <w:sz w:val="10"/>
                <w:szCs w:val="10"/>
                <w:color w:val="auto"/>
              </w:rPr>
            </w:pPr>
          </w:p>
        </w:tc>
      </w:tr>
      <w:tr>
        <w:trPr>
          <w:trHeight w:val="122"/>
        </w:trPr>
        <w:tc>
          <w:tcPr>
            <w:tcW w:w="25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(10,622 shares) (j)</w:t>
            </w:r>
          </w:p>
        </w:tc>
        <w:tc>
          <w:tcPr>
            <w:tcW w:w="314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4/12/2018</w:t>
            </w:r>
          </w:p>
        </w:tc>
        <w:tc>
          <w:tcPr>
            <w:tcW w:w="100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462</w:t>
            </w:r>
          </w:p>
        </w:tc>
        <w:tc>
          <w:tcPr>
            <w:tcW w:w="10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spacing w:after="0"/>
              <w:rPr>
                <w:sz w:val="10"/>
                <w:szCs w:val="10"/>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259</w:t>
            </w:r>
          </w:p>
        </w:tc>
        <w:tc>
          <w:tcPr>
            <w:tcW w:w="700" w:type="dxa"/>
            <w:vAlign w:val="bottom"/>
            <w:tcBorders>
              <w:bottom w:val="single" w:sz="8" w:color="CFF0FC"/>
            </w:tcBorders>
            <w:shd w:val="clear" w:color="auto" w:fill="CFF0FC"/>
          </w:tcPr>
          <w:p>
            <w:pPr>
              <w:spacing w:after="0"/>
              <w:rPr>
                <w:sz w:val="10"/>
                <w:szCs w:val="10"/>
                <w:color w:val="auto"/>
              </w:rPr>
            </w:pPr>
          </w:p>
        </w:tc>
      </w:tr>
      <w:tr>
        <w:trPr>
          <w:trHeight w:val="114"/>
        </w:trPr>
        <w:tc>
          <w:tcPr>
            <w:tcW w:w="25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18,412</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18,463</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PowerGrid Services Acquisition, LLC</w:t>
            </w:r>
          </w:p>
        </w:tc>
        <w:tc>
          <w:tcPr>
            <w:tcW w:w="3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Utilities: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3140" w:type="dxa"/>
            <w:vAlign w:val="bottom"/>
          </w:tcPr>
          <w:p>
            <w:pPr>
              <w:ind w:left="2100"/>
              <w:spacing w:after="0"/>
              <w:rPr>
                <w:sz w:val="20"/>
                <w:szCs w:val="20"/>
                <w:color w:val="auto"/>
              </w:rPr>
            </w:pPr>
            <w:r>
              <w:rPr>
                <w:rFonts w:ascii="Times New Roman" w:cs="Times New Roman" w:eastAsia="Times New Roman" w:hAnsi="Times New Roman"/>
                <w:sz w:val="9"/>
                <w:szCs w:val="9"/>
                <w:color w:val="auto"/>
              </w:rPr>
              <w:t>(L + 9.50%) / (1.00%)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10.50%/0.00%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9/21/2021</w:t>
            </w:r>
          </w:p>
        </w:tc>
        <w:tc>
          <w:tcPr>
            <w:tcW w:w="10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3/21/2029</w:t>
            </w: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10,831</w:t>
            </w:r>
          </w:p>
        </w:tc>
        <w:tc>
          <w:tcPr>
            <w:tcW w:w="2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10,779</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10,779</w:t>
            </w:r>
          </w:p>
        </w:tc>
        <w:tc>
          <w:tcPr>
            <w:tcW w:w="700" w:type="dxa"/>
            <w:vAlign w:val="bottom"/>
          </w:tcPr>
          <w:p>
            <w:pPr>
              <w:spacing w:after="0"/>
              <w:rPr>
                <w:sz w:val="10"/>
                <w:szCs w:val="10"/>
                <w:color w:val="auto"/>
              </w:rPr>
            </w:pPr>
          </w:p>
        </w:tc>
      </w:tr>
      <w:tr>
        <w:trPr>
          <w:trHeight w:val="122"/>
        </w:trPr>
        <w:tc>
          <w:tcPr>
            <w:tcW w:w="25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(5,000 units) (h)(j)</w:t>
            </w:r>
          </w:p>
        </w:tc>
        <w:tc>
          <w:tcPr>
            <w:tcW w:w="314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9/21/2021</w:t>
            </w:r>
          </w:p>
        </w:tc>
        <w:tc>
          <w:tcPr>
            <w:tcW w:w="100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10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spacing w:after="0"/>
              <w:rPr>
                <w:sz w:val="10"/>
                <w:szCs w:val="10"/>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700" w:type="dxa"/>
            <w:vAlign w:val="bottom"/>
            <w:tcBorders>
              <w:bottom w:val="single" w:sz="8" w:color="CFF0FC"/>
            </w:tcBorders>
            <w:shd w:val="clear" w:color="auto" w:fill="CFF0FC"/>
          </w:tcPr>
          <w:p>
            <w:pPr>
              <w:spacing w:after="0"/>
              <w:rPr>
                <w:sz w:val="10"/>
                <w:szCs w:val="10"/>
                <w:color w:val="auto"/>
              </w:rPr>
            </w:pPr>
          </w:p>
        </w:tc>
      </w:tr>
      <w:tr>
        <w:trPr>
          <w:trHeight w:val="114"/>
        </w:trPr>
        <w:tc>
          <w:tcPr>
            <w:tcW w:w="25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11,279</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11,279</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Prime AE Group, Inc.</w:t>
            </w:r>
          </w:p>
        </w:tc>
        <w:tc>
          <w:tcPr>
            <w:tcW w:w="3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Business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140" w:type="dxa"/>
            <w:vAlign w:val="bottom"/>
          </w:tcPr>
          <w:p>
            <w:pPr>
              <w:ind w:left="2100"/>
              <w:spacing w:after="0"/>
              <w:rPr>
                <w:sz w:val="20"/>
                <w:szCs w:val="20"/>
                <w:color w:val="auto"/>
              </w:rPr>
            </w:pPr>
            <w:r>
              <w:rPr>
                <w:rFonts w:ascii="Times New Roman" w:cs="Times New Roman" w:eastAsia="Times New Roman" w:hAnsi="Times New Roman"/>
                <w:sz w:val="9"/>
                <w:szCs w:val="9"/>
                <w:color w:val="auto"/>
              </w:rPr>
              <w:t>(L + 6.25%) / (2.00%)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8.25%/0.00%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11/25/2019</w:t>
            </w:r>
          </w:p>
        </w:tc>
        <w:tc>
          <w:tcPr>
            <w:tcW w:w="10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11/25/2024</w:t>
            </w: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6,167</w:t>
            </w:r>
          </w:p>
        </w:tc>
        <w:tc>
          <w:tcPr>
            <w:tcW w:w="2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6,055</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6,167</w:t>
            </w:r>
          </w:p>
        </w:tc>
        <w:tc>
          <w:tcPr>
            <w:tcW w:w="700" w:type="dxa"/>
            <w:vAlign w:val="bottom"/>
          </w:tcPr>
          <w:p>
            <w:pPr>
              <w:spacing w:after="0"/>
              <w:rPr>
                <w:sz w:val="10"/>
                <w:szCs w:val="10"/>
                <w:color w:val="auto"/>
              </w:rPr>
            </w:pPr>
          </w:p>
        </w:tc>
      </w:tr>
      <w:tr>
        <w:trPr>
          <w:trHeight w:val="122"/>
        </w:trPr>
        <w:tc>
          <w:tcPr>
            <w:tcW w:w="25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(900,000 shares) (j)</w:t>
            </w:r>
          </w:p>
        </w:tc>
        <w:tc>
          <w:tcPr>
            <w:tcW w:w="314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11/25/2019</w:t>
            </w:r>
          </w:p>
        </w:tc>
        <w:tc>
          <w:tcPr>
            <w:tcW w:w="100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900</w:t>
            </w:r>
          </w:p>
        </w:tc>
        <w:tc>
          <w:tcPr>
            <w:tcW w:w="10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spacing w:after="0"/>
              <w:rPr>
                <w:sz w:val="10"/>
                <w:szCs w:val="10"/>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462</w:t>
            </w:r>
          </w:p>
        </w:tc>
        <w:tc>
          <w:tcPr>
            <w:tcW w:w="700" w:type="dxa"/>
            <w:vAlign w:val="bottom"/>
            <w:tcBorders>
              <w:bottom w:val="single" w:sz="8" w:color="CFF0FC"/>
            </w:tcBorders>
            <w:shd w:val="clear" w:color="auto" w:fill="CFF0FC"/>
          </w:tcPr>
          <w:p>
            <w:pPr>
              <w:spacing w:after="0"/>
              <w:rPr>
                <w:sz w:val="10"/>
                <w:szCs w:val="10"/>
                <w:color w:val="auto"/>
              </w:rPr>
            </w:pPr>
          </w:p>
        </w:tc>
      </w:tr>
      <w:tr>
        <w:trPr>
          <w:trHeight w:val="114"/>
        </w:trPr>
        <w:tc>
          <w:tcPr>
            <w:tcW w:w="25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6,955</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6,629</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Pugh Lubricants, LLC (n)</w:t>
            </w:r>
          </w:p>
        </w:tc>
        <w:tc>
          <w:tcPr>
            <w:tcW w:w="3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Specialty Distribution</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(3,062 units) (h)(j)</w:t>
            </w:r>
          </w:p>
        </w:tc>
        <w:tc>
          <w:tcPr>
            <w:tcW w:w="3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11/10/2016</w:t>
            </w: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540" w:type="dxa"/>
            <w:vAlign w:val="bottom"/>
            <w:shd w:val="clear" w:color="auto" w:fill="CFF0FC"/>
          </w:tcPr>
          <w:p>
            <w:pPr>
              <w:spacing w:after="0"/>
              <w:rPr>
                <w:sz w:val="10"/>
                <w:szCs w:val="10"/>
                <w:color w:val="auto"/>
              </w:rPr>
            </w:pPr>
          </w:p>
        </w:tc>
        <w:tc>
          <w:tcPr>
            <w:tcW w:w="31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Rhino Assembly Company, LLC</w:t>
            </w:r>
          </w:p>
        </w:tc>
        <w:tc>
          <w:tcPr>
            <w:tcW w:w="3140" w:type="dxa"/>
            <w:vAlign w:val="bottom"/>
          </w:tcPr>
          <w:p>
            <w:pPr>
              <w:ind w:left="40"/>
              <w:spacing w:after="0"/>
              <w:rPr>
                <w:sz w:val="20"/>
                <w:szCs w:val="20"/>
                <w:color w:val="auto"/>
              </w:rPr>
            </w:pPr>
            <w:r>
              <w:rPr>
                <w:rFonts w:ascii="Times New Roman" w:cs="Times New Roman" w:eastAsia="Times New Roman" w:hAnsi="Times New Roman"/>
                <w:sz w:val="9"/>
                <w:szCs w:val="9"/>
                <w:color w:val="auto"/>
              </w:rPr>
              <w:t>Specialty Distribution</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(k)</w:t>
            </w:r>
          </w:p>
        </w:tc>
        <w:tc>
          <w:tcPr>
            <w:tcW w:w="3140" w:type="dxa"/>
            <w:vAlign w:val="bottom"/>
            <w:shd w:val="clear" w:color="auto" w:fill="CFF0FC"/>
          </w:tcPr>
          <w:p>
            <w:pPr>
              <w:spacing w:after="0"/>
              <w:rPr>
                <w:sz w:val="10"/>
                <w:szCs w:val="10"/>
                <w:color w:val="auto"/>
              </w:rPr>
            </w:pP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12.00%/1.00%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8/11/2017</w:t>
            </w:r>
          </w:p>
        </w:tc>
        <w:tc>
          <w:tcPr>
            <w:tcW w:w="1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2/11/2023</w:t>
            </w:r>
          </w:p>
        </w:tc>
        <w:tc>
          <w:tcPr>
            <w:tcW w:w="7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9"/>
                <w:szCs w:val="9"/>
                <w:color w:val="auto"/>
              </w:rPr>
              <w:t>13,804</w:t>
            </w: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13,791</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13,804</w:t>
            </w:r>
          </w:p>
        </w:tc>
        <w:tc>
          <w:tcPr>
            <w:tcW w:w="700" w:type="dxa"/>
            <w:vAlign w:val="bottom"/>
            <w:shd w:val="clear" w:color="auto" w:fill="CFF0FC"/>
          </w:tcPr>
          <w:p>
            <w:pPr>
              <w:spacing w:after="0"/>
              <w:rPr>
                <w:sz w:val="10"/>
                <w:szCs w:val="10"/>
                <w:color w:val="auto"/>
              </w:rPr>
            </w:pPr>
          </w:p>
        </w:tc>
      </w:tr>
      <w:tr>
        <w:trPr>
          <w:trHeight w:val="121"/>
        </w:trPr>
        <w:tc>
          <w:tcPr>
            <w:tcW w:w="25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Delayed Draw Commitment ($875 unfunded commitment) (i)(j)</w:t>
            </w:r>
          </w:p>
        </w:tc>
        <w:tc>
          <w:tcPr>
            <w:tcW w:w="3140" w:type="dxa"/>
            <w:vAlign w:val="bottom"/>
          </w:tcPr>
          <w:p>
            <w:pPr>
              <w:spacing w:after="0"/>
              <w:rPr>
                <w:sz w:val="10"/>
                <w:szCs w:val="10"/>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12.00%/1.00%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8/11/2017</w:t>
            </w:r>
          </w:p>
        </w:tc>
        <w:tc>
          <w:tcPr>
            <w:tcW w:w="10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5/17/2022</w:t>
            </w:r>
          </w:p>
        </w:tc>
        <w:tc>
          <w:tcPr>
            <w:tcW w:w="940" w:type="dxa"/>
            <w:vAlign w:val="bottom"/>
            <w:gridSpan w:val="2"/>
          </w:tcPr>
          <w:p>
            <w:pPr>
              <w:jc w:val="right"/>
              <w:ind w:right="255"/>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Pr>
          <w:p>
            <w:pPr>
              <w:spacing w:after="0"/>
              <w:rPr>
                <w:sz w:val="10"/>
                <w:szCs w:val="10"/>
                <w:color w:val="auto"/>
              </w:rPr>
            </w:pPr>
          </w:p>
        </w:tc>
      </w:tr>
      <w:tr>
        <w:trPr>
          <w:trHeight w:val="122"/>
        </w:trPr>
        <w:tc>
          <w:tcPr>
            <w:tcW w:w="2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(Class A Units) (8,864 units) (h)(j)</w:t>
            </w:r>
          </w:p>
        </w:tc>
        <w:tc>
          <w:tcPr>
            <w:tcW w:w="31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8/11/2017</w:t>
            </w: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925</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1,115</w:t>
            </w:r>
          </w:p>
        </w:tc>
        <w:tc>
          <w:tcPr>
            <w:tcW w:w="700" w:type="dxa"/>
            <w:vAlign w:val="bottom"/>
            <w:shd w:val="clear" w:color="auto" w:fill="CFF0FC"/>
          </w:tcPr>
          <w:p>
            <w:pPr>
              <w:spacing w:after="0"/>
              <w:rPr>
                <w:sz w:val="10"/>
                <w:szCs w:val="10"/>
                <w:color w:val="auto"/>
              </w:rPr>
            </w:pPr>
          </w:p>
        </w:tc>
      </w:tr>
      <w:tr>
        <w:trPr>
          <w:trHeight w:val="121"/>
        </w:trPr>
        <w:tc>
          <w:tcPr>
            <w:tcW w:w="25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(Units N/A) (h)(j)</w:t>
            </w:r>
          </w:p>
        </w:tc>
        <w:tc>
          <w:tcPr>
            <w:tcW w:w="3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12/10/2020</w:t>
            </w: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268</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282</w:t>
            </w:r>
          </w:p>
        </w:tc>
        <w:tc>
          <w:tcPr>
            <w:tcW w:w="700" w:type="dxa"/>
            <w:vAlign w:val="bottom"/>
          </w:tcPr>
          <w:p>
            <w:pPr>
              <w:spacing w:after="0"/>
              <w:rPr>
                <w:sz w:val="10"/>
                <w:szCs w:val="10"/>
                <w:color w:val="auto"/>
              </w:rPr>
            </w:pPr>
          </w:p>
        </w:tc>
      </w:tr>
      <w:tr>
        <w:trPr>
          <w:trHeight w:val="122"/>
        </w:trPr>
        <w:tc>
          <w:tcPr>
            <w:tcW w:w="25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(Class W Units) (710 units) (h)(j)</w:t>
            </w:r>
          </w:p>
        </w:tc>
        <w:tc>
          <w:tcPr>
            <w:tcW w:w="314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12/10/2020</w:t>
            </w:r>
          </w:p>
        </w:tc>
        <w:tc>
          <w:tcPr>
            <w:tcW w:w="100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spacing w:after="0"/>
              <w:rPr>
                <w:sz w:val="10"/>
                <w:szCs w:val="10"/>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FF0FC"/>
            </w:tcBorders>
            <w:shd w:val="clear" w:color="auto" w:fill="CFF0FC"/>
          </w:tcPr>
          <w:p>
            <w:pPr>
              <w:spacing w:after="0"/>
              <w:rPr>
                <w:sz w:val="10"/>
                <w:szCs w:val="10"/>
                <w:color w:val="auto"/>
              </w:rPr>
            </w:pPr>
          </w:p>
        </w:tc>
      </w:tr>
      <w:tr>
        <w:trPr>
          <w:trHeight w:val="114"/>
        </w:trPr>
        <w:tc>
          <w:tcPr>
            <w:tcW w:w="25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14,984</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15,201</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2"/>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Road Safety Services, Inc.</w:t>
            </w:r>
          </w:p>
        </w:tc>
        <w:tc>
          <w:tcPr>
            <w:tcW w:w="3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Business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w:t>
            </w:r>
          </w:p>
        </w:tc>
        <w:tc>
          <w:tcPr>
            <w:tcW w:w="3140" w:type="dxa"/>
            <w:vAlign w:val="bottom"/>
          </w:tcPr>
          <w:p>
            <w:pPr>
              <w:spacing w:after="0"/>
              <w:rPr>
                <w:sz w:val="10"/>
                <w:szCs w:val="10"/>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11.25%/2.00%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9/18/2018</w:t>
            </w:r>
          </w:p>
        </w:tc>
        <w:tc>
          <w:tcPr>
            <w:tcW w:w="10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9/18/2025</w:t>
            </w: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15,525</w:t>
            </w:r>
          </w:p>
        </w:tc>
        <w:tc>
          <w:tcPr>
            <w:tcW w:w="2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15,481</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15,525</w:t>
            </w:r>
          </w:p>
        </w:tc>
        <w:tc>
          <w:tcPr>
            <w:tcW w:w="700" w:type="dxa"/>
            <w:vAlign w:val="bottom"/>
          </w:tcPr>
          <w:p>
            <w:pPr>
              <w:spacing w:after="0"/>
              <w:rPr>
                <w:sz w:val="10"/>
                <w:szCs w:val="10"/>
                <w:color w:val="auto"/>
              </w:rPr>
            </w:pPr>
          </w:p>
        </w:tc>
      </w:tr>
      <w:tr>
        <w:trPr>
          <w:trHeight w:val="122"/>
        </w:trPr>
        <w:tc>
          <w:tcPr>
            <w:tcW w:w="25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(779 units)</w:t>
            </w:r>
          </w:p>
        </w:tc>
        <w:tc>
          <w:tcPr>
            <w:tcW w:w="314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9/18/2018</w:t>
            </w:r>
          </w:p>
        </w:tc>
        <w:tc>
          <w:tcPr>
            <w:tcW w:w="100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1,121</w:t>
            </w:r>
          </w:p>
        </w:tc>
        <w:tc>
          <w:tcPr>
            <w:tcW w:w="10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spacing w:after="0"/>
              <w:rPr>
                <w:sz w:val="10"/>
                <w:szCs w:val="10"/>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1,285</w:t>
            </w:r>
          </w:p>
        </w:tc>
        <w:tc>
          <w:tcPr>
            <w:tcW w:w="700" w:type="dxa"/>
            <w:vAlign w:val="bottom"/>
            <w:tcBorders>
              <w:bottom w:val="single" w:sz="8" w:color="CFF0FC"/>
            </w:tcBorders>
            <w:shd w:val="clear" w:color="auto" w:fill="CFF0FC"/>
          </w:tcPr>
          <w:p>
            <w:pPr>
              <w:spacing w:after="0"/>
              <w:rPr>
                <w:sz w:val="10"/>
                <w:szCs w:val="10"/>
                <w:color w:val="auto"/>
              </w:rPr>
            </w:pPr>
          </w:p>
        </w:tc>
      </w:tr>
      <w:tr>
        <w:trPr>
          <w:trHeight w:val="114"/>
        </w:trPr>
        <w:tc>
          <w:tcPr>
            <w:tcW w:w="25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16,602</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16,810</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SES Investors, LLC (dba SES Foam)</w:t>
            </w:r>
          </w:p>
        </w:tc>
        <w:tc>
          <w:tcPr>
            <w:tcW w:w="3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Building Products Manufacturing</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(6,000 units) (h)(j)</w:t>
            </w:r>
          </w:p>
        </w:tc>
        <w:tc>
          <w:tcPr>
            <w:tcW w:w="3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9/8/2016</w:t>
            </w: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404</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4,089</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540" w:type="dxa"/>
            <w:vAlign w:val="bottom"/>
            <w:shd w:val="clear" w:color="auto" w:fill="CFF0FC"/>
          </w:tcPr>
          <w:p>
            <w:pPr>
              <w:spacing w:after="0"/>
              <w:rPr>
                <w:sz w:val="10"/>
                <w:szCs w:val="10"/>
                <w:color w:val="auto"/>
              </w:rPr>
            </w:pPr>
          </w:p>
        </w:tc>
        <w:tc>
          <w:tcPr>
            <w:tcW w:w="31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SpendMend LLC</w:t>
            </w:r>
          </w:p>
        </w:tc>
        <w:tc>
          <w:tcPr>
            <w:tcW w:w="3140" w:type="dxa"/>
            <w:vAlign w:val="bottom"/>
          </w:tcPr>
          <w:p>
            <w:pPr>
              <w:ind w:left="40"/>
              <w:spacing w:after="0"/>
              <w:rPr>
                <w:sz w:val="20"/>
                <w:szCs w:val="20"/>
                <w:color w:val="auto"/>
              </w:rPr>
            </w:pPr>
            <w:r>
              <w:rPr>
                <w:rFonts w:ascii="Times New Roman" w:cs="Times New Roman" w:eastAsia="Times New Roman" w:hAnsi="Times New Roman"/>
                <w:sz w:val="9"/>
                <w:szCs w:val="9"/>
                <w:color w:val="auto"/>
              </w:rPr>
              <w:t>Business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(1,000,000 units)</w:t>
            </w:r>
          </w:p>
        </w:tc>
        <w:tc>
          <w:tcPr>
            <w:tcW w:w="31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1/8/2018</w:t>
            </w: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994</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6,257</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54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Suited Connector LLC</w:t>
            </w:r>
          </w:p>
        </w:tc>
        <w:tc>
          <w:tcPr>
            <w:tcW w:w="3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3140" w:type="dxa"/>
            <w:vAlign w:val="bottom"/>
          </w:tcPr>
          <w:p>
            <w:pPr>
              <w:spacing w:after="0"/>
              <w:rPr>
                <w:sz w:val="10"/>
                <w:szCs w:val="10"/>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12.00%/0.00%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10/29/2021</w:t>
            </w:r>
          </w:p>
        </w:tc>
        <w:tc>
          <w:tcPr>
            <w:tcW w:w="10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6/1/2028</w:t>
            </w: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16,000</w:t>
            </w:r>
          </w:p>
        </w:tc>
        <w:tc>
          <w:tcPr>
            <w:tcW w:w="2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15,921</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15,921</w:t>
            </w:r>
          </w:p>
        </w:tc>
        <w:tc>
          <w:tcPr>
            <w:tcW w:w="700" w:type="dxa"/>
            <w:vAlign w:val="bottom"/>
          </w:tcPr>
          <w:p>
            <w:pPr>
              <w:spacing w:after="0"/>
              <w:rPr>
                <w:sz w:val="10"/>
                <w:szCs w:val="10"/>
                <w:color w:val="auto"/>
              </w:rPr>
            </w:pPr>
          </w:p>
        </w:tc>
      </w:tr>
      <w:tr>
        <w:trPr>
          <w:trHeight w:val="122"/>
        </w:trPr>
        <w:tc>
          <w:tcPr>
            <w:tcW w:w="25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(7,500 units) (h)(j)</w:t>
            </w:r>
          </w:p>
        </w:tc>
        <w:tc>
          <w:tcPr>
            <w:tcW w:w="314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12/1/2021</w:t>
            </w:r>
          </w:p>
        </w:tc>
        <w:tc>
          <w:tcPr>
            <w:tcW w:w="100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750</w:t>
            </w:r>
          </w:p>
        </w:tc>
        <w:tc>
          <w:tcPr>
            <w:tcW w:w="10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spacing w:after="0"/>
              <w:rPr>
                <w:sz w:val="10"/>
                <w:szCs w:val="10"/>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750</w:t>
            </w:r>
          </w:p>
        </w:tc>
        <w:tc>
          <w:tcPr>
            <w:tcW w:w="700" w:type="dxa"/>
            <w:vAlign w:val="bottom"/>
            <w:tcBorders>
              <w:bottom w:val="single" w:sz="8" w:color="CFF0FC"/>
            </w:tcBorders>
            <w:shd w:val="clear" w:color="auto" w:fill="CFF0FC"/>
          </w:tcPr>
          <w:p>
            <w:pPr>
              <w:spacing w:after="0"/>
              <w:rPr>
                <w:sz w:val="10"/>
                <w:szCs w:val="10"/>
                <w:color w:val="auto"/>
              </w:rPr>
            </w:pPr>
          </w:p>
        </w:tc>
      </w:tr>
      <w:tr>
        <w:trPr>
          <w:trHeight w:val="115"/>
        </w:trPr>
        <w:tc>
          <w:tcPr>
            <w:tcW w:w="25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16,671</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16,671</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2"/>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TransGo, LLC</w:t>
            </w:r>
          </w:p>
        </w:tc>
        <w:tc>
          <w:tcPr>
            <w:tcW w:w="3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Component Manufacturing</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(500 units) (j)</w:t>
            </w:r>
          </w:p>
        </w:tc>
        <w:tc>
          <w:tcPr>
            <w:tcW w:w="3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2/28/2017</w:t>
            </w: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428</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1,878</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540" w:type="dxa"/>
            <w:vAlign w:val="bottom"/>
            <w:shd w:val="clear" w:color="auto" w:fill="CFF0FC"/>
          </w:tcPr>
          <w:p>
            <w:pPr>
              <w:spacing w:after="0"/>
              <w:rPr>
                <w:sz w:val="10"/>
                <w:szCs w:val="10"/>
                <w:color w:val="auto"/>
              </w:rPr>
            </w:pPr>
          </w:p>
        </w:tc>
        <w:tc>
          <w:tcPr>
            <w:tcW w:w="31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The Tranzonic Companies</w:t>
            </w:r>
          </w:p>
        </w:tc>
        <w:tc>
          <w:tcPr>
            <w:tcW w:w="3140" w:type="dxa"/>
            <w:vAlign w:val="bottom"/>
          </w:tcPr>
          <w:p>
            <w:pPr>
              <w:ind w:left="40"/>
              <w:spacing w:after="0"/>
              <w:rPr>
                <w:sz w:val="20"/>
                <w:szCs w:val="20"/>
                <w:color w:val="auto"/>
              </w:rPr>
            </w:pPr>
            <w:r>
              <w:rPr>
                <w:rFonts w:ascii="Times New Roman" w:cs="Times New Roman" w:eastAsia="Times New Roman" w:hAnsi="Times New Roman"/>
                <w:sz w:val="9"/>
                <w:szCs w:val="9"/>
                <w:color w:val="auto"/>
              </w:rPr>
              <w:t>Specialty Distribution</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(5,653 units) (j)</w:t>
            </w:r>
          </w:p>
        </w:tc>
        <w:tc>
          <w:tcPr>
            <w:tcW w:w="31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3/27/2018</w:t>
            </w: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565</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802</w:t>
            </w:r>
          </w:p>
        </w:tc>
        <w:tc>
          <w:tcPr>
            <w:tcW w:w="700" w:type="dxa"/>
            <w:vAlign w:val="bottom"/>
            <w:shd w:val="clear" w:color="auto" w:fill="CFF0FC"/>
          </w:tcPr>
          <w:p>
            <w:pPr>
              <w:spacing w:after="0"/>
              <w:rPr>
                <w:sz w:val="10"/>
                <w:szCs w:val="10"/>
                <w:color w:val="auto"/>
              </w:rPr>
            </w:pPr>
          </w:p>
        </w:tc>
      </w:tr>
      <w:tr>
        <w:trPr>
          <w:trHeight w:val="121"/>
        </w:trPr>
        <w:tc>
          <w:tcPr>
            <w:tcW w:w="25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(1 units) (j)</w:t>
            </w:r>
          </w:p>
        </w:tc>
        <w:tc>
          <w:tcPr>
            <w:tcW w:w="3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3/27/2018</w:t>
            </w: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1,231</w:t>
            </w:r>
          </w:p>
        </w:tc>
        <w:tc>
          <w:tcPr>
            <w:tcW w:w="700" w:type="dxa"/>
            <w:vAlign w:val="bottom"/>
          </w:tcPr>
          <w:p>
            <w:pPr>
              <w:spacing w:after="0"/>
              <w:rPr>
                <w:sz w:val="10"/>
                <w:szCs w:val="10"/>
                <w:color w:val="auto"/>
              </w:rPr>
            </w:pPr>
          </w:p>
        </w:tc>
      </w:tr>
      <w:tr>
        <w:trPr>
          <w:trHeight w:val="115"/>
        </w:trPr>
        <w:tc>
          <w:tcPr>
            <w:tcW w:w="2540" w:type="dxa"/>
            <w:vAlign w:val="bottom"/>
            <w:shd w:val="clear" w:color="auto" w:fill="CFF0FC"/>
          </w:tcPr>
          <w:p>
            <w:pPr>
              <w:spacing w:after="0"/>
              <w:rPr>
                <w:sz w:val="10"/>
                <w:szCs w:val="10"/>
                <w:color w:val="auto"/>
              </w:rPr>
            </w:pPr>
          </w:p>
        </w:tc>
        <w:tc>
          <w:tcPr>
            <w:tcW w:w="31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565</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2,033</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5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UBEO, LLC</w:t>
            </w:r>
          </w:p>
        </w:tc>
        <w:tc>
          <w:tcPr>
            <w:tcW w:w="3140" w:type="dxa"/>
            <w:vAlign w:val="bottom"/>
          </w:tcPr>
          <w:p>
            <w:pPr>
              <w:ind w:left="40"/>
              <w:spacing w:after="0"/>
              <w:rPr>
                <w:sz w:val="20"/>
                <w:szCs w:val="20"/>
                <w:color w:val="auto"/>
              </w:rPr>
            </w:pPr>
            <w:r>
              <w:rPr>
                <w:rFonts w:ascii="Times New Roman" w:cs="Times New Roman" w:eastAsia="Times New Roman" w:hAnsi="Times New Roman"/>
                <w:sz w:val="9"/>
                <w:szCs w:val="9"/>
                <w:color w:val="auto"/>
              </w:rPr>
              <w:t>Business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(705,000 units) (h)(j)</w:t>
            </w:r>
          </w:p>
        </w:tc>
        <w:tc>
          <w:tcPr>
            <w:tcW w:w="31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4/3/2018</w:t>
            </w: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645</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884</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54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United Biologics, LLC</w:t>
            </w:r>
          </w:p>
        </w:tc>
        <w:tc>
          <w:tcPr>
            <w:tcW w:w="3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Healthcare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(98,377 units) (h)(j)</w:t>
            </w:r>
          </w:p>
        </w:tc>
        <w:tc>
          <w:tcPr>
            <w:tcW w:w="3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4/1/2012</w:t>
            </w: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1,008</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Pr>
          <w:p>
            <w:pPr>
              <w:spacing w:after="0"/>
              <w:rPr>
                <w:sz w:val="10"/>
                <w:szCs w:val="10"/>
                <w:color w:val="auto"/>
              </w:rPr>
            </w:pPr>
          </w:p>
        </w:tc>
      </w:tr>
      <w:tr>
        <w:trPr>
          <w:trHeight w:val="122"/>
        </w:trPr>
        <w:tc>
          <w:tcPr>
            <w:tcW w:w="25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Warrant (57,469 units) (j)(m)</w:t>
            </w:r>
          </w:p>
        </w:tc>
        <w:tc>
          <w:tcPr>
            <w:tcW w:w="314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3/5/2012</w:t>
            </w:r>
          </w:p>
        </w:tc>
        <w:tc>
          <w:tcPr>
            <w:tcW w:w="100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566</w:t>
            </w:r>
          </w:p>
        </w:tc>
        <w:tc>
          <w:tcPr>
            <w:tcW w:w="10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spacing w:after="0"/>
              <w:rPr>
                <w:sz w:val="10"/>
                <w:szCs w:val="10"/>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CFF0FC"/>
            </w:tcBorders>
            <w:shd w:val="clear" w:color="auto" w:fill="CFF0FC"/>
          </w:tcPr>
          <w:p>
            <w:pPr>
              <w:spacing w:after="0"/>
              <w:rPr>
                <w:sz w:val="10"/>
                <w:szCs w:val="10"/>
                <w:color w:val="auto"/>
              </w:rPr>
            </w:pPr>
          </w:p>
        </w:tc>
      </w:tr>
      <w:tr>
        <w:trPr>
          <w:trHeight w:val="114"/>
        </w:trPr>
        <w:tc>
          <w:tcPr>
            <w:tcW w:w="25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1,574</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UPG Company, LLC</w:t>
            </w:r>
          </w:p>
        </w:tc>
        <w:tc>
          <w:tcPr>
            <w:tcW w:w="3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Component Manufacturing</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(j)(al)</w:t>
            </w:r>
          </w:p>
        </w:tc>
        <w:tc>
          <w:tcPr>
            <w:tcW w:w="3140" w:type="dxa"/>
            <w:vAlign w:val="bottom"/>
          </w:tcPr>
          <w:p>
            <w:pPr>
              <w:ind w:left="2100"/>
              <w:spacing w:after="0"/>
              <w:rPr>
                <w:sz w:val="20"/>
                <w:szCs w:val="20"/>
                <w:color w:val="auto"/>
              </w:rPr>
            </w:pPr>
            <w:r>
              <w:rPr>
                <w:rFonts w:ascii="Times New Roman" w:cs="Times New Roman" w:eastAsia="Times New Roman" w:hAnsi="Times New Roman"/>
                <w:sz w:val="9"/>
                <w:szCs w:val="9"/>
                <w:color w:val="auto"/>
              </w:rPr>
              <w:t>(L + 8.25%) / (0.50%)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8.75%/0.00%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6/21/2021</w:t>
            </w:r>
          </w:p>
        </w:tc>
        <w:tc>
          <w:tcPr>
            <w:tcW w:w="10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6/21/2024</w:t>
            </w: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12,000</w:t>
            </w:r>
          </w:p>
        </w:tc>
        <w:tc>
          <w:tcPr>
            <w:tcW w:w="2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11,922</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12,000</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2"/>
        </w:trPr>
        <w:tc>
          <w:tcPr>
            <w:tcW w:w="2540" w:type="dxa"/>
            <w:vAlign w:val="bottom"/>
            <w:shd w:val="clear" w:color="auto" w:fill="CFF0FC"/>
          </w:tcPr>
          <w:p>
            <w:pPr>
              <w:spacing w:after="0"/>
              <w:rPr>
                <w:sz w:val="10"/>
                <w:szCs w:val="10"/>
                <w:color w:val="auto"/>
              </w:rPr>
            </w:pPr>
          </w:p>
        </w:tc>
        <w:tc>
          <w:tcPr>
            <w:tcW w:w="31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Virginia Tile Company, LLC</w:t>
            </w:r>
          </w:p>
        </w:tc>
        <w:tc>
          <w:tcPr>
            <w:tcW w:w="3140" w:type="dxa"/>
            <w:vAlign w:val="bottom"/>
          </w:tcPr>
          <w:p>
            <w:pPr>
              <w:ind w:left="40"/>
              <w:spacing w:after="0"/>
              <w:rPr>
                <w:sz w:val="20"/>
                <w:szCs w:val="20"/>
                <w:color w:val="auto"/>
              </w:rPr>
            </w:pPr>
            <w:r>
              <w:rPr>
                <w:rFonts w:ascii="Times New Roman" w:cs="Times New Roman" w:eastAsia="Times New Roman" w:hAnsi="Times New Roman"/>
                <w:sz w:val="9"/>
                <w:szCs w:val="9"/>
                <w:color w:val="auto"/>
              </w:rPr>
              <w:t>Specialty Distribution</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(17 units) (j)</w:t>
            </w:r>
          </w:p>
        </w:tc>
        <w:tc>
          <w:tcPr>
            <w:tcW w:w="31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12/19/2014</w:t>
            </w: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342</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933</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1"/>
        </w:trPr>
        <w:tc>
          <w:tcPr>
            <w:tcW w:w="254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Western's Smokehouse, LLC</w:t>
            </w:r>
          </w:p>
        </w:tc>
        <w:tc>
          <w:tcPr>
            <w:tcW w:w="3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Consumer Products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(j)(ab)</w:t>
            </w:r>
          </w:p>
        </w:tc>
        <w:tc>
          <w:tcPr>
            <w:tcW w:w="3140" w:type="dxa"/>
            <w:vAlign w:val="bottom"/>
          </w:tcPr>
          <w:p>
            <w:pPr>
              <w:ind w:left="2100"/>
              <w:spacing w:after="0"/>
              <w:rPr>
                <w:sz w:val="20"/>
                <w:szCs w:val="20"/>
                <w:color w:val="auto"/>
              </w:rPr>
            </w:pPr>
            <w:r>
              <w:rPr>
                <w:rFonts w:ascii="Times New Roman" w:cs="Times New Roman" w:eastAsia="Times New Roman" w:hAnsi="Times New Roman"/>
                <w:sz w:val="9"/>
                <w:szCs w:val="9"/>
                <w:color w:val="auto"/>
              </w:rPr>
              <w:t>(L + 6.50%) / (1.25%)</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7.75%/0.00%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2/28/2020</w:t>
            </w:r>
          </w:p>
        </w:tc>
        <w:tc>
          <w:tcPr>
            <w:tcW w:w="10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12/23/2024</w:t>
            </w: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9,625</w:t>
            </w:r>
          </w:p>
        </w:tc>
        <w:tc>
          <w:tcPr>
            <w:tcW w:w="2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9,532</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9,625</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540" w:type="dxa"/>
            <w:vAlign w:val="bottom"/>
            <w:shd w:val="clear" w:color="auto" w:fill="CFF0FC"/>
          </w:tcPr>
          <w:p>
            <w:pPr>
              <w:spacing w:after="0"/>
              <w:rPr>
                <w:sz w:val="10"/>
                <w:szCs w:val="10"/>
                <w:color w:val="auto"/>
              </w:rPr>
            </w:pPr>
          </w:p>
        </w:tc>
        <w:tc>
          <w:tcPr>
            <w:tcW w:w="31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Winona Foods, Inc.</w:t>
            </w:r>
          </w:p>
        </w:tc>
        <w:tc>
          <w:tcPr>
            <w:tcW w:w="3140" w:type="dxa"/>
            <w:vAlign w:val="bottom"/>
          </w:tcPr>
          <w:p>
            <w:pPr>
              <w:ind w:left="40"/>
              <w:spacing w:after="0"/>
              <w:rPr>
                <w:sz w:val="20"/>
                <w:szCs w:val="20"/>
                <w:color w:val="auto"/>
              </w:rPr>
            </w:pPr>
            <w:r>
              <w:rPr>
                <w:rFonts w:ascii="Times New Roman" w:cs="Times New Roman" w:eastAsia="Times New Roman" w:hAnsi="Times New Roman"/>
                <w:sz w:val="9"/>
                <w:szCs w:val="9"/>
                <w:color w:val="auto"/>
              </w:rPr>
              <w:t>Specialty Distribution</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(j)(am)</w:t>
            </w:r>
          </w:p>
        </w:tc>
        <w:tc>
          <w:tcPr>
            <w:tcW w:w="3140" w:type="dxa"/>
            <w:vAlign w:val="bottom"/>
            <w:shd w:val="clear" w:color="auto" w:fill="CFF0FC"/>
          </w:tcPr>
          <w:p>
            <w:pPr>
              <w:ind w:left="2100"/>
              <w:spacing w:after="0"/>
              <w:rPr>
                <w:sz w:val="20"/>
                <w:szCs w:val="20"/>
                <w:color w:val="auto"/>
              </w:rPr>
            </w:pPr>
            <w:r>
              <w:rPr>
                <w:rFonts w:ascii="Times New Roman" w:cs="Times New Roman" w:eastAsia="Times New Roman" w:hAnsi="Times New Roman"/>
                <w:sz w:val="9"/>
                <w:szCs w:val="9"/>
                <w:color w:val="auto"/>
              </w:rPr>
              <w:t>(L + 12.00%) / (1.00%)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13.00%/0.00%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4/1/2021</w:t>
            </w:r>
          </w:p>
        </w:tc>
        <w:tc>
          <w:tcPr>
            <w:tcW w:w="1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4/1/2026</w:t>
            </w:r>
          </w:p>
        </w:tc>
        <w:tc>
          <w:tcPr>
            <w:tcW w:w="7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9"/>
                <w:szCs w:val="9"/>
                <w:color w:val="auto"/>
              </w:rPr>
              <w:t>4,000</w:t>
            </w: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3,879</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4,000</w:t>
            </w:r>
          </w:p>
        </w:tc>
        <w:tc>
          <w:tcPr>
            <w:tcW w:w="700" w:type="dxa"/>
            <w:vAlign w:val="bottom"/>
            <w:shd w:val="clear" w:color="auto" w:fill="CFF0FC"/>
          </w:tcPr>
          <w:p>
            <w:pPr>
              <w:spacing w:after="0"/>
              <w:rPr>
                <w:sz w:val="10"/>
                <w:szCs w:val="10"/>
                <w:color w:val="auto"/>
              </w:rPr>
            </w:pPr>
          </w:p>
        </w:tc>
      </w:tr>
      <w:tr>
        <w:trPr>
          <w:trHeight w:val="122"/>
        </w:trPr>
        <w:tc>
          <w:tcPr>
            <w:tcW w:w="25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w:t>
            </w:r>
          </w:p>
        </w:tc>
        <w:tc>
          <w:tcPr>
            <w:tcW w:w="3140" w:type="dxa"/>
            <w:vAlign w:val="bottom"/>
          </w:tcPr>
          <w:p>
            <w:pPr>
              <w:ind w:left="2100"/>
              <w:spacing w:after="0"/>
              <w:rPr>
                <w:sz w:val="20"/>
                <w:szCs w:val="20"/>
                <w:color w:val="auto"/>
              </w:rPr>
            </w:pPr>
            <w:r>
              <w:rPr>
                <w:rFonts w:ascii="Times New Roman" w:cs="Times New Roman" w:eastAsia="Times New Roman" w:hAnsi="Times New Roman"/>
                <w:sz w:val="9"/>
                <w:szCs w:val="9"/>
                <w:color w:val="auto"/>
              </w:rPr>
              <w:t>(L + 13.00%) / (1.00%)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14.00%/0.00%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4/1/2021</w:t>
            </w:r>
          </w:p>
        </w:tc>
        <w:tc>
          <w:tcPr>
            <w:tcW w:w="10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4/1/2026</w:t>
            </w: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7,000</w:t>
            </w:r>
          </w:p>
        </w:tc>
        <w:tc>
          <w:tcPr>
            <w:tcW w:w="2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6,955</w:t>
            </w:r>
          </w:p>
        </w:tc>
        <w:tc>
          <w:tcPr>
            <w:tcW w:w="1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7,000</w:t>
            </w:r>
          </w:p>
        </w:tc>
        <w:tc>
          <w:tcPr>
            <w:tcW w:w="700" w:type="dxa"/>
            <w:vAlign w:val="bottom"/>
          </w:tcPr>
          <w:p>
            <w:pPr>
              <w:spacing w:after="0"/>
              <w:rPr>
                <w:sz w:val="10"/>
                <w:szCs w:val="10"/>
                <w:color w:val="auto"/>
              </w:rPr>
            </w:pPr>
          </w:p>
        </w:tc>
      </w:tr>
      <w:tr>
        <w:trPr>
          <w:trHeight w:val="115"/>
        </w:trPr>
        <w:tc>
          <w:tcPr>
            <w:tcW w:w="2540" w:type="dxa"/>
            <w:vAlign w:val="bottom"/>
            <w:shd w:val="clear" w:color="auto" w:fill="CFF0FC"/>
          </w:tcPr>
          <w:p>
            <w:pPr>
              <w:spacing w:after="0"/>
              <w:rPr>
                <w:sz w:val="10"/>
                <w:szCs w:val="10"/>
                <w:color w:val="auto"/>
              </w:rPr>
            </w:pPr>
          </w:p>
        </w:tc>
        <w:tc>
          <w:tcPr>
            <w:tcW w:w="31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10,834</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11,000</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5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Wonderware Holdings, LLC (dba CORE Business Technologies)</w:t>
            </w:r>
          </w:p>
        </w:tc>
        <w:tc>
          <w:tcPr>
            <w:tcW w:w="3140" w:type="dxa"/>
            <w:vAlign w:val="bottom"/>
          </w:tcPr>
          <w:p>
            <w:pPr>
              <w:ind w:left="4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($2,000 unfunded commitment) (k)(z)</w:t>
            </w:r>
          </w:p>
        </w:tc>
        <w:tc>
          <w:tcPr>
            <w:tcW w:w="3140" w:type="dxa"/>
            <w:vAlign w:val="bottom"/>
            <w:shd w:val="clear" w:color="auto" w:fill="CFF0FC"/>
          </w:tcPr>
          <w:p>
            <w:pPr>
              <w:ind w:left="2100"/>
              <w:spacing w:after="0"/>
              <w:rPr>
                <w:sz w:val="20"/>
                <w:szCs w:val="20"/>
                <w:color w:val="auto"/>
              </w:rPr>
            </w:pPr>
            <w:r>
              <w:rPr>
                <w:rFonts w:ascii="Times New Roman" w:cs="Times New Roman" w:eastAsia="Times New Roman" w:hAnsi="Times New Roman"/>
                <w:sz w:val="9"/>
                <w:szCs w:val="9"/>
                <w:color w:val="auto"/>
              </w:rPr>
              <w:t>(L + 7.25%) / (1.00%)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8.25%/0.00%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2/10/2021</w:t>
            </w:r>
          </w:p>
        </w:tc>
        <w:tc>
          <w:tcPr>
            <w:tcW w:w="1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2/9/2026</w:t>
            </w:r>
          </w:p>
        </w:tc>
        <w:tc>
          <w:tcPr>
            <w:tcW w:w="7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9"/>
                <w:szCs w:val="9"/>
                <w:color w:val="auto"/>
              </w:rPr>
              <w:t>6,500</w:t>
            </w: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6,460</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6,500</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54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Worldwide Express Operations, LLC</w:t>
            </w:r>
          </w:p>
        </w:tc>
        <w:tc>
          <w:tcPr>
            <w:tcW w:w="3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Transportation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1"/>
        </w:trPr>
        <w:tc>
          <w:tcPr>
            <w:tcW w:w="25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3140" w:type="dxa"/>
            <w:vAlign w:val="bottom"/>
          </w:tcPr>
          <w:p>
            <w:pPr>
              <w:ind w:left="2100"/>
              <w:spacing w:after="0"/>
              <w:rPr>
                <w:sz w:val="20"/>
                <w:szCs w:val="20"/>
                <w:color w:val="auto"/>
              </w:rPr>
            </w:pPr>
            <w:r>
              <w:rPr>
                <w:rFonts w:ascii="Times New Roman" w:cs="Times New Roman" w:eastAsia="Times New Roman" w:hAnsi="Times New Roman"/>
                <w:sz w:val="9"/>
                <w:szCs w:val="9"/>
                <w:color w:val="auto"/>
              </w:rPr>
              <w:t>(L + 7.00%) / (0.75%)</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7.75%/0.00%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8/2/2021</w:t>
            </w:r>
          </w:p>
        </w:tc>
        <w:tc>
          <w:tcPr>
            <w:tcW w:w="10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7/26/2029</w:t>
            </w: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20,000</w:t>
            </w:r>
          </w:p>
        </w:tc>
        <w:tc>
          <w:tcPr>
            <w:tcW w:w="2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19,383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19,383</w:t>
            </w:r>
          </w:p>
        </w:tc>
        <w:tc>
          <w:tcPr>
            <w:tcW w:w="700" w:type="dxa"/>
            <w:vAlign w:val="bottom"/>
          </w:tcPr>
          <w:p>
            <w:pPr>
              <w:spacing w:after="0"/>
              <w:rPr>
                <w:sz w:val="10"/>
                <w:szCs w:val="10"/>
                <w:color w:val="auto"/>
              </w:rPr>
            </w:pPr>
          </w:p>
        </w:tc>
      </w:tr>
      <w:tr>
        <w:trPr>
          <w:trHeight w:val="122"/>
        </w:trPr>
        <w:tc>
          <w:tcPr>
            <w:tcW w:w="2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(795,000) (j)</w:t>
            </w:r>
          </w:p>
        </w:tc>
        <w:tc>
          <w:tcPr>
            <w:tcW w:w="31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7/21/2021</w:t>
            </w: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795</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795</w:t>
            </w:r>
          </w:p>
        </w:tc>
        <w:tc>
          <w:tcPr>
            <w:tcW w:w="700" w:type="dxa"/>
            <w:vAlign w:val="bottom"/>
            <w:shd w:val="clear" w:color="auto" w:fill="CFF0FC"/>
          </w:tcPr>
          <w:p>
            <w:pPr>
              <w:spacing w:after="0"/>
              <w:rPr>
                <w:sz w:val="10"/>
                <w:szCs w:val="10"/>
                <w:color w:val="auto"/>
              </w:rPr>
            </w:pPr>
          </w:p>
        </w:tc>
      </w:tr>
      <w:tr>
        <w:trPr>
          <w:trHeight w:val="122"/>
        </w:trPr>
        <w:tc>
          <w:tcPr>
            <w:tcW w:w="25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(752,380 units) (h)(j)</w:t>
            </w:r>
          </w:p>
        </w:tc>
        <w:tc>
          <w:tcPr>
            <w:tcW w:w="3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7/26/2021</w:t>
            </w: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225</w:t>
            </w:r>
          </w:p>
        </w:tc>
        <w:tc>
          <w:tcPr>
            <w:tcW w:w="1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225</w:t>
            </w:r>
          </w:p>
        </w:tc>
        <w:tc>
          <w:tcPr>
            <w:tcW w:w="700" w:type="dxa"/>
            <w:vAlign w:val="bottom"/>
          </w:tcPr>
          <w:p>
            <w:pPr>
              <w:spacing w:after="0"/>
              <w:rPr>
                <w:sz w:val="10"/>
                <w:szCs w:val="10"/>
                <w:color w:val="auto"/>
              </w:rPr>
            </w:pPr>
          </w:p>
        </w:tc>
      </w:tr>
      <w:tr>
        <w:trPr>
          <w:trHeight w:val="115"/>
        </w:trPr>
        <w:tc>
          <w:tcPr>
            <w:tcW w:w="2540" w:type="dxa"/>
            <w:vAlign w:val="bottom"/>
            <w:shd w:val="clear" w:color="auto" w:fill="CFF0FC"/>
          </w:tcPr>
          <w:p>
            <w:pPr>
              <w:spacing w:after="0"/>
              <w:rPr>
                <w:sz w:val="10"/>
                <w:szCs w:val="10"/>
                <w:color w:val="auto"/>
              </w:rPr>
            </w:pPr>
          </w:p>
        </w:tc>
        <w:tc>
          <w:tcPr>
            <w:tcW w:w="31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20,403</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20,403</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1"/>
        </w:trPr>
        <w:tc>
          <w:tcPr>
            <w:tcW w:w="25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Xeeva, Inc.</w:t>
            </w:r>
          </w:p>
        </w:tc>
        <w:tc>
          <w:tcPr>
            <w:tcW w:w="3140" w:type="dxa"/>
            <w:vAlign w:val="bottom"/>
          </w:tcPr>
          <w:p>
            <w:pPr>
              <w:ind w:left="4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140" w:type="dxa"/>
            <w:vAlign w:val="bottom"/>
            <w:shd w:val="clear" w:color="auto" w:fill="CFF0FC"/>
          </w:tcPr>
          <w:p>
            <w:pPr>
              <w:ind w:left="2100"/>
              <w:spacing w:after="0"/>
              <w:rPr>
                <w:sz w:val="20"/>
                <w:szCs w:val="20"/>
                <w:color w:val="auto"/>
              </w:rPr>
            </w:pPr>
            <w:r>
              <w:rPr>
                <w:rFonts w:ascii="Times New Roman" w:cs="Times New Roman" w:eastAsia="Times New Roman" w:hAnsi="Times New Roman"/>
                <w:sz w:val="9"/>
                <w:szCs w:val="9"/>
                <w:color w:val="auto"/>
              </w:rPr>
              <w:t>(L + 10.50%) / (1.50%)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12.00%/0.00%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2/11/2021</w:t>
            </w:r>
          </w:p>
        </w:tc>
        <w:tc>
          <w:tcPr>
            <w:tcW w:w="1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2/11/2026</w:t>
            </w:r>
          </w:p>
        </w:tc>
        <w:tc>
          <w:tcPr>
            <w:tcW w:w="7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9"/>
                <w:szCs w:val="9"/>
                <w:color w:val="auto"/>
              </w:rPr>
              <w:t>8,900</w:t>
            </w:r>
          </w:p>
        </w:tc>
        <w:tc>
          <w:tcPr>
            <w:tcW w:w="20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8,857</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8,900</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54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700" w:type="dxa"/>
            <w:vAlign w:val="bottom"/>
          </w:tcPr>
          <w:p>
            <w:pPr>
              <w:spacing w:after="0"/>
              <w:rPr>
                <w:sz w:val="10"/>
                <w:szCs w:val="10"/>
                <w:color w:val="auto"/>
              </w:rPr>
            </w:pPr>
          </w:p>
        </w:tc>
      </w:tr>
      <w:tr>
        <w:trPr>
          <w:trHeight w:val="155"/>
        </w:trPr>
        <w:tc>
          <w:tcPr>
            <w:tcW w:w="2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rPr>
              <w:t>Total Non-control/Non-affiliate Investments</w:t>
            </w:r>
          </w:p>
        </w:tc>
        <w:tc>
          <w:tcPr>
            <w:tcW w:w="314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w w:val="87"/>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559,434</w:t>
            </w:r>
          </w:p>
        </w:tc>
        <w:tc>
          <w:tcPr>
            <w:tcW w:w="10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9"/>
                <w:szCs w:val="9"/>
                <w:color w:val="auto"/>
                <w:w w:val="87"/>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579,689</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119 %</w:t>
            </w:r>
          </w:p>
        </w:tc>
      </w:tr>
      <w:tr>
        <w:trPr>
          <w:trHeight w:val="103"/>
        </w:trPr>
        <w:tc>
          <w:tcPr>
            <w:tcW w:w="25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r>
      <w:tr>
        <w:trPr>
          <w:trHeight w:val="155"/>
        </w:trPr>
        <w:tc>
          <w:tcPr>
            <w:tcW w:w="2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rPr>
              <w:t>Total Investments</w:t>
            </w:r>
          </w:p>
        </w:tc>
        <w:tc>
          <w:tcPr>
            <w:tcW w:w="314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w w:val="87"/>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621,786</w:t>
            </w:r>
          </w:p>
        </w:tc>
        <w:tc>
          <w:tcPr>
            <w:tcW w:w="10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9"/>
                <w:szCs w:val="9"/>
                <w:color w:val="auto"/>
                <w:w w:val="87"/>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719,124</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-5862955</wp:posOffset>
            </wp:positionV>
            <wp:extent cx="171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-5862955</wp:posOffset>
            </wp:positionV>
            <wp:extent cx="171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-5545455</wp:posOffset>
            </wp:positionV>
            <wp:extent cx="171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-5545455</wp:posOffset>
            </wp:positionV>
            <wp:extent cx="171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-5228590</wp:posOffset>
            </wp:positionV>
            <wp:extent cx="171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-5228590</wp:posOffset>
            </wp:positionV>
            <wp:extent cx="171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-4448175</wp:posOffset>
            </wp:positionV>
            <wp:extent cx="1714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-4448175</wp:posOffset>
            </wp:positionV>
            <wp:extent cx="171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-4131310</wp:posOffset>
            </wp:positionV>
            <wp:extent cx="1714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-4131310</wp:posOffset>
            </wp:positionV>
            <wp:extent cx="1714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-3350895</wp:posOffset>
            </wp:positionV>
            <wp:extent cx="1714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-3350895</wp:posOffset>
            </wp:positionV>
            <wp:extent cx="171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-2253615</wp:posOffset>
            </wp:positionV>
            <wp:extent cx="171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-2253615</wp:posOffset>
            </wp:positionV>
            <wp:extent cx="171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-213360</wp:posOffset>
            </wp:positionV>
            <wp:extent cx="171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-196215</wp:posOffset>
            </wp:positionV>
            <wp:extent cx="1714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-213360</wp:posOffset>
            </wp:positionV>
            <wp:extent cx="1714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-196215</wp:posOffset>
            </wp:positionV>
            <wp:extent cx="1714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1714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171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-24765</wp:posOffset>
            </wp:positionV>
            <wp:extent cx="1714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-7620</wp:posOffset>
            </wp:positionV>
            <wp:extent cx="1714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3" w:name="page14"/>
    <w:bookmarkEnd w:id="13"/>
    <w:p>
      <w:pPr>
        <w:ind w:left="120" w:hanging="119"/>
        <w:spacing w:after="0"/>
        <w:tabs>
          <w:tab w:leader="none" w:pos="120"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See Note 3 to the consolidated financial statements for portfolio composition by geographic location.</w:t>
      </w:r>
    </w:p>
    <w:p>
      <w:pPr>
        <w:spacing w:after="0" w:line="18" w:lineRule="exact"/>
        <w:rPr>
          <w:rFonts w:ascii="Times New Roman" w:cs="Times New Roman" w:eastAsia="Times New Roman" w:hAnsi="Times New Roman"/>
          <w:sz w:val="9"/>
          <w:szCs w:val="9"/>
          <w:color w:val="auto"/>
        </w:rPr>
      </w:pPr>
    </w:p>
    <w:p>
      <w:pPr>
        <w:ind w:left="120" w:hanging="119"/>
        <w:spacing w:after="0"/>
        <w:tabs>
          <w:tab w:leader="none" w:pos="120"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Equity ownership may be held in shares or units of companies related to the portfolio companies.</w:t>
      </w:r>
    </w:p>
    <w:p>
      <w:pPr>
        <w:spacing w:after="0" w:line="18" w:lineRule="exact"/>
        <w:rPr>
          <w:rFonts w:ascii="Times New Roman" w:cs="Times New Roman" w:eastAsia="Times New Roman" w:hAnsi="Times New Roman"/>
          <w:sz w:val="9"/>
          <w:szCs w:val="9"/>
          <w:color w:val="auto"/>
        </w:rPr>
      </w:pPr>
    </w:p>
    <w:p>
      <w:pPr>
        <w:ind w:left="120" w:hanging="119"/>
        <w:spacing w:after="0"/>
        <w:tabs>
          <w:tab w:leader="none" w:pos="120"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All debt investments are income producing, unless otherwise indicated. Equity investments are non-income producing unless otherwise noted.</w:t>
      </w:r>
    </w:p>
    <w:p>
      <w:pPr>
        <w:spacing w:after="0" w:line="18" w:lineRule="exact"/>
        <w:rPr>
          <w:rFonts w:ascii="Times New Roman" w:cs="Times New Roman" w:eastAsia="Times New Roman" w:hAnsi="Times New Roman"/>
          <w:sz w:val="9"/>
          <w:szCs w:val="9"/>
          <w:color w:val="auto"/>
        </w:rPr>
      </w:pPr>
    </w:p>
    <w:p>
      <w:pPr>
        <w:ind w:right="280" w:firstLine="1"/>
        <w:spacing w:after="0" w:line="248" w:lineRule="auto"/>
        <w:tabs>
          <w:tab w:leader="none" w:pos="127"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Variable rate investments bear interest at a rate indexed to LIBOR (L) or Prime (P), which are reset monthly, bimonthly, quarterly, or semi-annually. Certain variable rate investments also include a LIBOR or Prime interest rate floor. For each investment, the Company has provided the spread over the reference rate and the LIBOR or Prime floor, if any, as of December 31, 2021.</w:t>
      </w:r>
    </w:p>
    <w:p>
      <w:pPr>
        <w:spacing w:after="0" w:line="2" w:lineRule="exact"/>
        <w:rPr>
          <w:rFonts w:ascii="Times New Roman" w:cs="Times New Roman" w:eastAsia="Times New Roman" w:hAnsi="Times New Roman"/>
          <w:sz w:val="9"/>
          <w:szCs w:val="9"/>
          <w:color w:val="auto"/>
        </w:rPr>
      </w:pPr>
    </w:p>
    <w:p>
      <w:pPr>
        <w:ind w:left="120" w:hanging="119"/>
        <w:spacing w:after="0"/>
        <w:tabs>
          <w:tab w:leader="none" w:pos="120"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Rate includes the cash interest or dividend rate and paid-in-kind interest or dividend rate, if any, as of December 31, 2021. Generally, payment-in-kind interest can be paid-in-kind or all in cash.</w:t>
      </w:r>
    </w:p>
    <w:p>
      <w:pPr>
        <w:spacing w:after="0" w:line="18" w:lineRule="exact"/>
        <w:rPr>
          <w:rFonts w:ascii="Times New Roman" w:cs="Times New Roman" w:eastAsia="Times New Roman" w:hAnsi="Times New Roman"/>
          <w:sz w:val="9"/>
          <w:szCs w:val="9"/>
          <w:color w:val="auto"/>
        </w:rPr>
      </w:pPr>
    </w:p>
    <w:p>
      <w:pPr>
        <w:ind w:left="120" w:hanging="119"/>
        <w:spacing w:after="0"/>
        <w:tabs>
          <w:tab w:leader="none" w:pos="120"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Investment date represents the date of the initial investment in the security.</w:t>
      </w:r>
    </w:p>
    <w:p>
      <w:pPr>
        <w:spacing w:after="0" w:line="18" w:lineRule="exact"/>
        <w:rPr>
          <w:rFonts w:ascii="Times New Roman" w:cs="Times New Roman" w:eastAsia="Times New Roman" w:hAnsi="Times New Roman"/>
          <w:sz w:val="9"/>
          <w:szCs w:val="9"/>
          <w:color w:val="auto"/>
        </w:rPr>
      </w:pPr>
    </w:p>
    <w:p>
      <w:pPr>
        <w:ind w:right="140" w:firstLine="1"/>
        <w:spacing w:after="0" w:line="248" w:lineRule="auto"/>
        <w:tabs>
          <w:tab w:leader="none" w:pos="127"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spacing w:after="0" w:line="2" w:lineRule="exact"/>
        <w:rPr>
          <w:rFonts w:ascii="Times New Roman" w:cs="Times New Roman" w:eastAsia="Times New Roman" w:hAnsi="Times New Roman"/>
          <w:sz w:val="9"/>
          <w:szCs w:val="9"/>
          <w:color w:val="auto"/>
        </w:rPr>
      </w:pPr>
    </w:p>
    <w:p>
      <w:pPr>
        <w:ind w:left="120" w:hanging="119"/>
        <w:spacing w:after="0"/>
        <w:tabs>
          <w:tab w:leader="none" w:pos="120"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Investment is held by a taxable subsidiary of the Company.</w:t>
      </w:r>
    </w:p>
    <w:p>
      <w:pPr>
        <w:spacing w:after="0" w:line="18" w:lineRule="exact"/>
        <w:rPr>
          <w:rFonts w:ascii="Times New Roman" w:cs="Times New Roman" w:eastAsia="Times New Roman" w:hAnsi="Times New Roman"/>
          <w:sz w:val="9"/>
          <w:szCs w:val="9"/>
          <w:color w:val="auto"/>
        </w:rPr>
      </w:pPr>
    </w:p>
    <w:p>
      <w:pPr>
        <w:ind w:left="100" w:hanging="99"/>
        <w:spacing w:after="0"/>
        <w:tabs>
          <w:tab w:leader="none" w:pos="100"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The disclosed commitment represents the unfunded amount as of December 31, 2021. The Company is earning 0.50% interest on the unfunded balance of the commitment. The interest rate disclosed represents the rate which will be earned if the commitment is funded.</w:t>
      </w:r>
    </w:p>
    <w:p>
      <w:pPr>
        <w:spacing w:after="0" w:line="18" w:lineRule="exact"/>
        <w:rPr>
          <w:rFonts w:ascii="Times New Roman" w:cs="Times New Roman" w:eastAsia="Times New Roman" w:hAnsi="Times New Roman"/>
          <w:sz w:val="9"/>
          <w:szCs w:val="9"/>
          <w:color w:val="auto"/>
        </w:rPr>
      </w:pPr>
    </w:p>
    <w:p>
      <w:pPr>
        <w:ind w:left="100" w:hanging="99"/>
        <w:spacing w:after="0"/>
        <w:tabs>
          <w:tab w:leader="none" w:pos="100"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18" w:lineRule="exact"/>
        <w:rPr>
          <w:rFonts w:ascii="Times New Roman" w:cs="Times New Roman" w:eastAsia="Times New Roman" w:hAnsi="Times New Roman"/>
          <w:sz w:val="9"/>
          <w:szCs w:val="9"/>
          <w:color w:val="auto"/>
        </w:rPr>
      </w:pPr>
    </w:p>
    <w:p>
      <w:pPr>
        <w:ind w:right="20" w:firstLine="1"/>
        <w:spacing w:after="0" w:line="248" w:lineRule="auto"/>
        <w:tabs>
          <w:tab w:leader="none" w:pos="127"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2" w:lineRule="exact"/>
        <w:rPr>
          <w:rFonts w:ascii="Times New Roman" w:cs="Times New Roman" w:eastAsia="Times New Roman" w:hAnsi="Times New Roman"/>
          <w:sz w:val="9"/>
          <w:szCs w:val="9"/>
          <w:color w:val="auto"/>
        </w:rPr>
      </w:pPr>
    </w:p>
    <w:p>
      <w:pPr>
        <w:ind w:right="60" w:firstLine="1"/>
        <w:spacing w:after="0" w:line="248" w:lineRule="auto"/>
        <w:tabs>
          <w:tab w:leader="none" w:pos="107"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spacing w:after="0" w:line="2" w:lineRule="exact"/>
        <w:rPr>
          <w:rFonts w:ascii="Times New Roman" w:cs="Times New Roman" w:eastAsia="Times New Roman" w:hAnsi="Times New Roman"/>
          <w:sz w:val="9"/>
          <w:szCs w:val="9"/>
          <w:color w:val="auto"/>
        </w:rPr>
      </w:pPr>
    </w:p>
    <w:p>
      <w:pPr>
        <w:ind w:left="160" w:hanging="159"/>
        <w:spacing w:after="0"/>
        <w:tabs>
          <w:tab w:leader="none" w:pos="160"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spacing w:after="0" w:line="18" w:lineRule="exact"/>
        <w:rPr>
          <w:rFonts w:ascii="Times New Roman" w:cs="Times New Roman" w:eastAsia="Times New Roman" w:hAnsi="Times New Roman"/>
          <w:sz w:val="9"/>
          <w:szCs w:val="9"/>
          <w:color w:val="auto"/>
        </w:rPr>
      </w:pPr>
    </w:p>
    <w:p>
      <w:pPr>
        <w:ind w:left="120" w:hanging="119"/>
        <w:spacing w:after="0"/>
        <w:tabs>
          <w:tab w:leader="none" w:pos="120"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Investment in portfolio company that has sold its operations and is in the process of winding down.</w:t>
      </w:r>
    </w:p>
    <w:p>
      <w:pPr>
        <w:spacing w:after="0" w:line="18" w:lineRule="exact"/>
        <w:rPr>
          <w:rFonts w:ascii="Times New Roman" w:cs="Times New Roman" w:eastAsia="Times New Roman" w:hAnsi="Times New Roman"/>
          <w:sz w:val="9"/>
          <w:szCs w:val="9"/>
          <w:color w:val="auto"/>
        </w:rPr>
      </w:pPr>
    </w:p>
    <w:p>
      <w:pPr>
        <w:ind w:right="40" w:firstLine="1"/>
        <w:spacing w:after="0" w:line="248" w:lineRule="auto"/>
        <w:tabs>
          <w:tab w:leader="none" w:pos="127"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The Company sold a participating interest of approximately $0.3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spacing w:after="0" w:line="2" w:lineRule="exact"/>
        <w:rPr>
          <w:rFonts w:ascii="Times New Roman" w:cs="Times New Roman" w:eastAsia="Times New Roman" w:hAnsi="Times New Roman"/>
          <w:sz w:val="9"/>
          <w:szCs w:val="9"/>
          <w:color w:val="auto"/>
        </w:rPr>
      </w:pPr>
    </w:p>
    <w:p>
      <w:pPr>
        <w:ind w:right="80" w:firstLine="1"/>
        <w:spacing w:after="0" w:line="248" w:lineRule="auto"/>
        <w:tabs>
          <w:tab w:leader="none" w:pos="127"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In addition to the interest earned based on the stated interest rate of this security, the Company is entitled to receive an additional interest amount of 4.07%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rFonts w:ascii="Times New Roman" w:cs="Times New Roman" w:eastAsia="Times New Roman" w:hAnsi="Times New Roman"/>
          <w:sz w:val="9"/>
          <w:szCs w:val="9"/>
          <w:color w:val="auto"/>
        </w:rPr>
      </w:pPr>
    </w:p>
    <w:p>
      <w:pPr>
        <w:ind w:left="120" w:hanging="119"/>
        <w:spacing w:after="0"/>
        <w:tabs>
          <w:tab w:leader="none" w:pos="120"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Warrant entitles the Company to purchase 4.79% of the outstanding principal of Junior Subordinated Notes prior to exercise, and is non-income producing.</w:t>
      </w:r>
    </w:p>
    <w:p>
      <w:pPr>
        <w:spacing w:after="0" w:line="18" w:lineRule="exact"/>
        <w:rPr>
          <w:rFonts w:ascii="Times New Roman" w:cs="Times New Roman" w:eastAsia="Times New Roman" w:hAnsi="Times New Roman"/>
          <w:sz w:val="9"/>
          <w:szCs w:val="9"/>
          <w:color w:val="auto"/>
        </w:rPr>
      </w:pPr>
    </w:p>
    <w:p>
      <w:pPr>
        <w:ind w:right="100" w:firstLine="1"/>
        <w:spacing w:after="0" w:line="248" w:lineRule="auto"/>
        <w:tabs>
          <w:tab w:leader="none" w:pos="112"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In addition to the interest earned based on the stated interest rate of this security, the Company is entitled to receive an additional interest amount of 4.84%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rFonts w:ascii="Times New Roman" w:cs="Times New Roman" w:eastAsia="Times New Roman" w:hAnsi="Times New Roman"/>
          <w:sz w:val="9"/>
          <w:szCs w:val="9"/>
          <w:color w:val="auto"/>
        </w:rPr>
      </w:pPr>
    </w:p>
    <w:p>
      <w:pPr>
        <w:ind w:right="100" w:firstLine="1"/>
        <w:spacing w:after="0" w:line="248" w:lineRule="auto"/>
        <w:tabs>
          <w:tab w:leader="none" w:pos="117"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In addition to the interest earned based on the stated interest rate of this security, the Company is entitled to receive an additional interest amount of 2.64%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rFonts w:ascii="Times New Roman" w:cs="Times New Roman" w:eastAsia="Times New Roman" w:hAnsi="Times New Roman"/>
          <w:sz w:val="9"/>
          <w:szCs w:val="9"/>
          <w:color w:val="auto"/>
        </w:rPr>
      </w:pPr>
    </w:p>
    <w:p>
      <w:pPr>
        <w:ind w:right="220" w:firstLine="1"/>
        <w:spacing w:after="0" w:line="248" w:lineRule="auto"/>
        <w:tabs>
          <w:tab w:leader="none" w:pos="107"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spacing w:after="0" w:line="2" w:lineRule="exact"/>
        <w:rPr>
          <w:rFonts w:ascii="Times New Roman" w:cs="Times New Roman" w:eastAsia="Times New Roman" w:hAnsi="Times New Roman"/>
          <w:sz w:val="9"/>
          <w:szCs w:val="9"/>
          <w:color w:val="auto"/>
        </w:rPr>
      </w:pPr>
    </w:p>
    <w:p>
      <w:pPr>
        <w:ind w:right="20" w:firstLine="1"/>
        <w:spacing w:after="0" w:line="248" w:lineRule="auto"/>
        <w:tabs>
          <w:tab w:leader="none" w:pos="127"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In addition to the interest earned based on the stated interest rate of this security, the Company is entitled to receive an additional cash interest amount of 2.99% and PIK interest amount of 1.00%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rFonts w:ascii="Times New Roman" w:cs="Times New Roman" w:eastAsia="Times New Roman" w:hAnsi="Times New Roman"/>
          <w:sz w:val="9"/>
          <w:szCs w:val="9"/>
          <w:color w:val="auto"/>
        </w:rPr>
      </w:pPr>
    </w:p>
    <w:p>
      <w:pPr>
        <w:ind w:right="80" w:firstLine="1"/>
        <w:spacing w:after="0" w:line="248" w:lineRule="auto"/>
        <w:tabs>
          <w:tab w:leader="none" w:pos="127"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In addition to the interest earned based on the stated interest rate of this security, the Company is entitled to receive an additional interest amount of 7.56%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rFonts w:ascii="Times New Roman" w:cs="Times New Roman" w:eastAsia="Times New Roman" w:hAnsi="Times New Roman"/>
          <w:sz w:val="9"/>
          <w:szCs w:val="9"/>
          <w:color w:val="auto"/>
        </w:rPr>
      </w:pPr>
    </w:p>
    <w:p>
      <w:pPr>
        <w:ind w:right="60" w:firstLine="1"/>
        <w:spacing w:after="0" w:line="248" w:lineRule="auto"/>
        <w:tabs>
          <w:tab w:leader="none" w:pos="147"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In addition to the interest earned based on the stated interest rate of this security, the Company is entitled to receive an additional interest amount of 7.05%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rFonts w:ascii="Times New Roman" w:cs="Times New Roman" w:eastAsia="Times New Roman" w:hAnsi="Times New Roman"/>
          <w:sz w:val="9"/>
          <w:szCs w:val="9"/>
          <w:color w:val="auto"/>
        </w:rPr>
      </w:pPr>
    </w:p>
    <w:p>
      <w:pPr>
        <w:ind w:right="80" w:firstLine="1"/>
        <w:spacing w:after="0" w:line="248" w:lineRule="auto"/>
        <w:tabs>
          <w:tab w:leader="none" w:pos="127"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In addition to the interest earned based on the stated interest rate of this security, the Company is entitled to receive an additional interest amount of 2.81%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rFonts w:ascii="Times New Roman" w:cs="Times New Roman" w:eastAsia="Times New Roman" w:hAnsi="Times New Roman"/>
          <w:sz w:val="9"/>
          <w:szCs w:val="9"/>
          <w:color w:val="auto"/>
        </w:rPr>
      </w:pPr>
    </w:p>
    <w:p>
      <w:pPr>
        <w:ind w:left="120" w:hanging="119"/>
        <w:spacing w:after="0"/>
        <w:tabs>
          <w:tab w:leader="none" w:pos="120"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Investment was on PIK only non-accrual status as of December 31, 2021, meaning the Company has ceased recognizing PIK interest income on the investment.</w:t>
      </w:r>
    </w:p>
    <w:p>
      <w:pPr>
        <w:spacing w:after="0" w:line="18" w:lineRule="exact"/>
        <w:rPr>
          <w:rFonts w:ascii="Times New Roman" w:cs="Times New Roman" w:eastAsia="Times New Roman" w:hAnsi="Times New Roman"/>
          <w:sz w:val="9"/>
          <w:szCs w:val="9"/>
          <w:color w:val="auto"/>
        </w:rPr>
      </w:pPr>
    </w:p>
    <w:p>
      <w:pPr>
        <w:ind w:right="80" w:firstLine="1"/>
        <w:spacing w:after="0" w:line="248" w:lineRule="auto"/>
        <w:tabs>
          <w:tab w:leader="none" w:pos="122"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In addition to the interest earned based on the stated interest rate of this security, the Company is entitled to receive an additional interest amount of 5.70%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sz w:val="20"/>
          <w:szCs w:val="20"/>
          <w:color w:val="auto"/>
        </w:rPr>
      </w:pPr>
    </w:p>
    <w:p>
      <w:pPr>
        <w:ind w:firstLine="1"/>
        <w:spacing w:after="0" w:line="248" w:lineRule="auto"/>
        <w:tabs>
          <w:tab w:leader="none" w:pos="162"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The Company sold a participating interest of approximately $4.0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spacing w:after="0" w:line="2"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9"/>
          <w:szCs w:val="9"/>
          <w:color w:val="auto"/>
        </w:rPr>
        <w:t>(ab) In addition to the interest earned based on the stated interest rate of this security, the Company is entitled to receive an additional interest amount of 3.43%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(ac) The disclosed commitment represents the unfunded amount as of December 31, 2021. The Company is earning 1.00% interest on the unfunded balance of the commitment. The interest rate disclosed represents the rate earned on the outstanding, funded balance of the commitment.</w:t>
      </w:r>
    </w:p>
    <w:p>
      <w:pPr>
        <w:spacing w:after="0" w:line="18"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9"/>
          <w:szCs w:val="9"/>
          <w:color w:val="auto"/>
        </w:rPr>
        <w:t>(ad) In addition to the interest earned based on the stated interest rate of this security, the Company is entitled to receive an additional interest amount of 3.29%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9"/>
          <w:szCs w:val="9"/>
          <w:color w:val="auto"/>
        </w:rPr>
        <w:t>(ae) In addition to the interest earned based on the stated interest rate of this security, the Company is entitled to receive an additional interest amount of 3.53%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9"/>
          <w:szCs w:val="9"/>
          <w:color w:val="auto"/>
        </w:rPr>
        <w:t>(af) In addition to the interest earned based on the stated interest rate of this security, the Company is entitled to receive an additional interest amount of 3.50%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9"/>
          <w:szCs w:val="9"/>
          <w:color w:val="auto"/>
        </w:rPr>
        <w:t>(ag) In addition to the interest earned based on the stated interest rate of this security, the Company is entitled to receive an additional interest amount of 5.60%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9"/>
          <w:szCs w:val="9"/>
          <w:color w:val="auto"/>
        </w:rPr>
        <w:t>(ah) In addition to the interest earned based on the stated interest rate of this security, the Company is entitled to receive an additional interest amount of 1.74%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9"/>
          <w:szCs w:val="9"/>
          <w:color w:val="auto"/>
        </w:rPr>
        <w:t>(ai) In addition to the interest earned based on the stated interest rate of this security, the Company is entitled to receive an additional interest amount of 4.86%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9"/>
          <w:szCs w:val="9"/>
          <w:color w:val="auto"/>
        </w:rPr>
        <w:t>(aj) In addition to the interest earned based on the stated interest rate of this security, the Company is entitled to receive an additional interest amount of 4.11%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9"/>
          <w:szCs w:val="9"/>
          <w:color w:val="auto"/>
        </w:rPr>
        <w:t>(ak) In addition to the interest earned based on the stated interest rate of this security, the Company is entitled to receive an additional interest amount of 4.83%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9"/>
          <w:szCs w:val="9"/>
          <w:color w:val="auto"/>
        </w:rPr>
        <w:t>(al) In addition to the interest earned based on the stated interest rate of this security, the Company is entitled to receive an additional interest amount of 3.46%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9"/>
          <w:szCs w:val="9"/>
          <w:color w:val="auto"/>
        </w:rPr>
        <w:t>(am) In addition to the interest earned based on the stated interest rate of this security, the Company is entitled to receive an additional interest amount of 7.54%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sz w:val="20"/>
          <w:szCs w:val="20"/>
          <w:color w:val="auto"/>
        </w:rPr>
      </w:pPr>
    </w:p>
    <w:p>
      <w:pPr>
        <w:ind w:right="340"/>
        <w:spacing w:after="0" w:line="248" w:lineRule="auto"/>
        <w:rPr>
          <w:sz w:val="20"/>
          <w:szCs w:val="20"/>
          <w:color w:val="auto"/>
        </w:rPr>
      </w:pPr>
      <w:r>
        <w:rPr>
          <w:rFonts w:ascii="Times New Roman" w:cs="Times New Roman" w:eastAsia="Times New Roman" w:hAnsi="Times New Roman"/>
          <w:sz w:val="9"/>
          <w:szCs w:val="9"/>
          <w:color w:val="auto"/>
        </w:rPr>
        <w:t>(an) The Company sold a participating interest of approximately $13.5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spacing w:after="0" w:line="2"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9"/>
          <w:szCs w:val="9"/>
          <w:color w:val="auto"/>
        </w:rPr>
        <w:t>(ao) The investment is treated as a non-qualifying asset under Section 55(a) of the Investment Company Act of 1940, as amended (the “1940 Act”). Under the 1940 Act, the Company can not acquire any non-qualifying asset unless, at the time the acquisition is made, qualifying assets represent at least 70% of the Company's total assets. As of December 31, 2021, total non-qualifying assets at fair value represented 0.04% of the Company's total assets calculated in accordance with the 1940 Act.</w:t>
      </w:r>
    </w:p>
    <w:p>
      <w:pPr>
        <w:spacing w:after="0" w:line="2"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9"/>
          <w:szCs w:val="9"/>
          <w:color w:val="auto"/>
        </w:rPr>
        <w:t>(ap) In addition to the interest earned based on the stated interest rate of this security, the Company is entitled to receive an additional cash interest amount of 2.25% and PIK interest amount of 1.87%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9"/>
          <w:szCs w:val="9"/>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0" w:right="3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Nature of Business</w:t>
      </w:r>
    </w:p>
    <w:p>
      <w:pPr>
        <w:spacing w:after="0" w:line="162"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Fidus Investment Corporation (“FIC,” and together with its subsidiaries, the “Company”), a Maryland corporation, operates as an externally managed, closed-end, non-diversified business development company (“BDC”) under the Investment Company Act of 1940, as amended (“1940 Act”). FIC completed its initial public offering, or IPO, in June 2011. In addition, for U.S. federal income tax purposes, the Company has elected, and intends to qualify annually, to be treated as a regulated investment company (“RIC”) under Subchapter M of the Internal Revenue Code of 1986, as amended (the “Code”).</w:t>
      </w:r>
    </w:p>
    <w:p>
      <w:pPr>
        <w:spacing w:after="0" w:line="123" w:lineRule="exact"/>
        <w:rPr>
          <w:sz w:val="20"/>
          <w:szCs w:val="20"/>
          <w:color w:val="auto"/>
        </w:rPr>
      </w:pPr>
    </w:p>
    <w:p>
      <w:pPr>
        <w:jc w:val="both"/>
        <w:ind w:firstLine="479"/>
        <w:spacing w:after="0" w:line="245" w:lineRule="auto"/>
        <w:rPr>
          <w:sz w:val="20"/>
          <w:szCs w:val="20"/>
          <w:color w:val="auto"/>
        </w:rPr>
      </w:pPr>
      <w:r>
        <w:rPr>
          <w:rFonts w:ascii="Times New Roman" w:cs="Times New Roman" w:eastAsia="Times New Roman" w:hAnsi="Times New Roman"/>
          <w:sz w:val="18"/>
          <w:szCs w:val="18"/>
          <w:color w:val="auto"/>
        </w:rPr>
        <w:t>The Company provides customized debt and equity financing solutions to lower middle-market companies, and may make investments directly or through its two wholly-owned investment company subsidiaries, Fidus Mezzanine Capital II, L.P. (“Fund II”) and Fidus Mezzanine Capital III, L.P. (“Fund III”) (collectively, Fund II and Fund III are referred to as the “Funds”). The Funds are licensed by the U.S. Small Business Administration (the “SBA”) as small business investment companies (“SBIC”). The SBIC licenses allow the Funds to obtain leverage by issuing SBA-guaranteed debentures (“SBA debentures”), subject to the issuance of leverage commitments by the SBA and other customary procedures. As SBICs, the Funds are subject to regulations of and oversight by the SBA under the Small Business Investment Act of 1958, as amended (the “SBIC Act”), concerning, among other things, the size and nature of the companies in which they may invest and the structure of those investments.</w:t>
      </w:r>
    </w:p>
    <w:p>
      <w:pPr>
        <w:spacing w:after="0" w:line="127"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We believe that utilizing both FIC and the Funds as investment vehicles provides us with access to a broader array of investment opportunities. Given our access to lower cost capital through the SBA’s SBIC debenture program, we expect that we will continue to make investments through the Funds until the earlier of the end of the Funds' investment period, if applicable, or the Funds reach their borrowing limit under the program. For two or more SBICs under common control, the maximum amount of outstanding SBA debentures cannot exceed $350,000.</w:t>
      </w:r>
    </w:p>
    <w:p>
      <w:pPr>
        <w:spacing w:after="0" w:line="123" w:lineRule="exact"/>
        <w:rPr>
          <w:sz w:val="20"/>
          <w:szCs w:val="20"/>
          <w:color w:val="auto"/>
        </w:rPr>
      </w:pPr>
    </w:p>
    <w:p>
      <w:pPr>
        <w:jc w:val="both"/>
        <w:ind w:firstLine="479"/>
        <w:spacing w:after="0" w:line="282" w:lineRule="auto"/>
        <w:rPr>
          <w:sz w:val="20"/>
          <w:szCs w:val="20"/>
          <w:color w:val="auto"/>
        </w:rPr>
      </w:pPr>
      <w:r>
        <w:rPr>
          <w:rFonts w:ascii="Times New Roman" w:cs="Times New Roman" w:eastAsia="Times New Roman" w:hAnsi="Times New Roman"/>
          <w:sz w:val="18"/>
          <w:szCs w:val="18"/>
          <w:color w:val="auto"/>
        </w:rPr>
        <w:t>Fund II and Fund III are not registered under the 1940 Act and rely on the exclusion from the definition of investment company contained in Section 3(c)(7) of the 1940 Act.</w:t>
      </w:r>
    </w:p>
    <w:p>
      <w:pPr>
        <w:spacing w:after="0" w:line="94"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The Company pays a quarterly base management fee and an incentive fee to Fidus Investment Advisors, LLC, our investment advisor (the “Investment Advisor” or “Fidus Investment Advisors”) under an investment advisory agreement (the “Investment Advisory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160" w:lineRule="exact"/>
        <w:rPr>
          <w:sz w:val="20"/>
          <w:szCs w:val="20"/>
          <w:color w:val="auto"/>
        </w:rPr>
      </w:pPr>
    </w:p>
    <w:p>
      <w:pPr>
        <w:jc w:val="both"/>
        <w:ind w:firstLine="478"/>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accompanying consolidated financial statements of the Company have been prepared in accordance with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accepted accounting principles in the United States of America (“GAAP”) pursuant to the requirements for reporting on Form 10-Q, Accounting Standards Codification (“ASC”) 946, </w:t>
      </w:r>
      <w:r>
        <w:rPr>
          <w:rFonts w:ascii="Times New Roman" w:cs="Times New Roman" w:eastAsia="Times New Roman" w:hAnsi="Times New Roman"/>
          <w:sz w:val="18"/>
          <w:szCs w:val="18"/>
          <w:i w:val="1"/>
          <w:iCs w:val="1"/>
          <w:color w:val="auto"/>
        </w:rPr>
        <w:t>Financial Services – Investment Companies</w:t>
      </w:r>
      <w:r>
        <w:rPr>
          <w:rFonts w:ascii="Times New Roman" w:cs="Times New Roman" w:eastAsia="Times New Roman" w:hAnsi="Times New Roman"/>
          <w:sz w:val="18"/>
          <w:szCs w:val="18"/>
          <w:color w:val="auto"/>
        </w:rPr>
        <w:t xml:space="preserve"> (“ASC 946”), and Articles 6 or 10 of Regulation S-X. In the opinion of management, the consolidated financial statements reflect all adjustments and reclassifications that are necessary for the fair presentation of financial results as of and for the periods presented. Certain prior period amounts have been reclassified to conform to the current period presentation. The current period’s results of operation are not necessarily indicative of results that ultimately may be achieved for the year. Therefore, the unaudited financial statements and notes should be read in conjunction with the audited financial statements and notes thereto for the year ended December 31, 2021.</w:t>
      </w:r>
    </w:p>
    <w:p>
      <w:pPr>
        <w:spacing w:after="0" w:line="127" w:lineRule="exact"/>
        <w:rPr>
          <w:sz w:val="20"/>
          <w:szCs w:val="20"/>
          <w:color w:val="auto"/>
        </w:rPr>
      </w:pPr>
    </w:p>
    <w:p>
      <w:pPr>
        <w:jc w:val="both"/>
        <w:ind w:firstLine="47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the consolidated financial statements in conformity with GAAP requires management to make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13" w:lineRule="exact"/>
        <w:rPr>
          <w:sz w:val="20"/>
          <w:szCs w:val="20"/>
          <w:color w:val="auto"/>
        </w:rPr>
      </w:pPr>
    </w:p>
    <w:p>
      <w:pPr>
        <w:jc w:val="both"/>
        <w:ind w:firstLine="47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Consolidation: </w:t>
      </w:r>
      <w:r>
        <w:rPr>
          <w:rFonts w:ascii="Times New Roman" w:cs="Times New Roman" w:eastAsia="Times New Roman" w:hAnsi="Times New Roman"/>
          <w:sz w:val="18"/>
          <w:szCs w:val="18"/>
          <w:color w:val="auto"/>
        </w:rPr>
        <w:t>Pursuant to Article 6 of Regulation S-X and ASC 946, the Company will generally not consolidate its investments in a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an investment company subsidiary or a controlled operating company whose business consists of providing services to the Company. As a result, the consolidated financial statements of the Company include only the accounts of the Company and its wholly-owned subsidiaries, including the Funds. All significant intercompany balances and transactions have been eliminated.</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 xml:space="preserve">Investment risks: </w:t>
      </w:r>
      <w:r>
        <w:rPr>
          <w:rFonts w:ascii="Times New Roman" w:cs="Times New Roman" w:eastAsia="Times New Roman" w:hAnsi="Times New Roman"/>
          <w:sz w:val="18"/>
          <w:szCs w:val="18"/>
          <w:color w:val="auto"/>
        </w:rPr>
        <w:t>The Company’s investments are subject to a variety of risks. These risks may include, but are not limited to the following:</w:t>
      </w:r>
    </w:p>
    <w:p>
      <w:pPr>
        <w:spacing w:after="0" w:line="29" w:lineRule="exact"/>
        <w:rPr>
          <w:sz w:val="20"/>
          <w:szCs w:val="20"/>
          <w:color w:val="auto"/>
        </w:rPr>
      </w:pPr>
    </w:p>
    <w:p>
      <w:pPr>
        <w:jc w:val="both"/>
        <w:ind w:left="1240" w:hanging="379"/>
        <w:spacing w:after="0" w:line="252"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Market risk - </w:t>
      </w:r>
      <w:r>
        <w:rPr>
          <w:rFonts w:ascii="Times New Roman" w:cs="Times New Roman" w:eastAsia="Times New Roman" w:hAnsi="Times New Roman"/>
          <w:sz w:val="17"/>
          <w:szCs w:val="17"/>
          <w:color w:val="auto"/>
        </w:rPr>
        <w:t>In contrast to investment-grade bonds (the market prices of which change primarily as a reaction to changes in interest rates),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market prices of high-yield bonds (which are also affected by changes in interest rates) are influenced much more by credit factors and financial results of the issuer as well as general economic factors that influence the financial markets as a whole. The portfolio companies in which the Company invests may be unseasoned, unprofitable and/or have little established operating history or earnings. These</w:t>
      </w:r>
    </w:p>
    <w:p>
      <w:pPr>
        <w:spacing w:after="0" w:line="2" w:lineRule="exact"/>
        <w:rPr>
          <w:sz w:val="20"/>
          <w:szCs w:val="20"/>
          <w:color w:val="auto"/>
        </w:rPr>
      </w:pPr>
    </w:p>
    <w:p>
      <w:pPr>
        <w:ind w:left="1240"/>
        <w:spacing w:after="0" w:line="235" w:lineRule="auto"/>
        <w:rPr>
          <w:sz w:val="20"/>
          <w:szCs w:val="20"/>
          <w:color w:val="auto"/>
        </w:rPr>
      </w:pPr>
      <w:r>
        <w:rPr>
          <w:rFonts w:ascii="Times New Roman" w:cs="Times New Roman" w:eastAsia="Times New Roman" w:hAnsi="Times New Roman"/>
          <w:sz w:val="18"/>
          <w:szCs w:val="18"/>
          <w:color w:val="auto"/>
        </w:rPr>
        <w:t>companies may also lack technical, marketing, financial, and other resources or may be dependent upon the success of one product or service, a unique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jc w:val="both"/>
        <w:ind w:left="1240"/>
        <w:spacing w:after="0" w:line="242" w:lineRule="auto"/>
        <w:rPr>
          <w:sz w:val="20"/>
          <w:szCs w:val="20"/>
          <w:color w:val="auto"/>
        </w:rPr>
      </w:pPr>
      <w:r>
        <w:rPr>
          <w:rFonts w:ascii="Times New Roman" w:cs="Times New Roman" w:eastAsia="Times New Roman" w:hAnsi="Times New Roman"/>
          <w:sz w:val="18"/>
          <w:szCs w:val="18"/>
          <w:color w:val="auto"/>
        </w:rPr>
        <w:t>distribution channel, or the effectiveness of a manager or management team, as compared to larger, more established entities. The failure of a single product, service or distribution channel, or the loss or the ineffectiveness of a key executive or executives within the management team may have a materially adverse impact on such companies. Furthermore, these companies may be more vulnerable to competition and to overall economic conditions than larger, more established entities.</w:t>
      </w:r>
    </w:p>
    <w:p>
      <w:pPr>
        <w:spacing w:after="0" w:line="129" w:lineRule="exact"/>
        <w:rPr>
          <w:sz w:val="20"/>
          <w:szCs w:val="20"/>
          <w:color w:val="auto"/>
        </w:rPr>
      </w:pPr>
    </w:p>
    <w:p>
      <w:pPr>
        <w:jc w:val="both"/>
        <w:ind w:left="1240" w:hanging="379"/>
        <w:spacing w:after="0" w:line="259"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Credit risk - </w:t>
      </w:r>
      <w:r>
        <w:rPr>
          <w:rFonts w:ascii="Times New Roman" w:cs="Times New Roman" w:eastAsia="Times New Roman" w:hAnsi="Times New Roman"/>
          <w:sz w:val="18"/>
          <w:szCs w:val="18"/>
          <w:color w:val="auto"/>
        </w:rPr>
        <w:t>Credit risk represents the risk that the Company would incur if the counterparties failed to perform pursuant to the terms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agreements with the Company. Issues of high-yield debt securities in which the Company invests are more likely to default on interest or principal than are issues of investment-grade securities.</w:t>
      </w:r>
    </w:p>
    <w:p>
      <w:pPr>
        <w:spacing w:after="0" w:line="112" w:lineRule="exact"/>
        <w:rPr>
          <w:rFonts w:ascii="Times New Roman" w:cs="Times New Roman" w:eastAsia="Times New Roman" w:hAnsi="Times New Roman"/>
          <w:sz w:val="18"/>
          <w:szCs w:val="18"/>
          <w:color w:val="auto"/>
        </w:rPr>
      </w:pPr>
    </w:p>
    <w:p>
      <w:pPr>
        <w:ind w:left="1240" w:right="20" w:hanging="379"/>
        <w:spacing w:after="0" w:line="268"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Liquidity risk - </w:t>
      </w:r>
      <w:r>
        <w:rPr>
          <w:rFonts w:ascii="Times New Roman" w:cs="Times New Roman" w:eastAsia="Times New Roman" w:hAnsi="Times New Roman"/>
          <w:sz w:val="18"/>
          <w:szCs w:val="18"/>
          <w:color w:val="auto"/>
        </w:rPr>
        <w:t>Liquidity risk represents the possibility that the Company may not be able to sell its investments quickly or at a reasonable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(given the lack of an established market).</w:t>
      </w:r>
    </w:p>
    <w:p>
      <w:pPr>
        <w:spacing w:after="0" w:line="118" w:lineRule="exact"/>
        <w:rPr>
          <w:rFonts w:ascii="Times New Roman" w:cs="Times New Roman" w:eastAsia="Times New Roman" w:hAnsi="Times New Roman"/>
          <w:sz w:val="18"/>
          <w:szCs w:val="18"/>
          <w:color w:val="auto"/>
        </w:rPr>
      </w:pPr>
    </w:p>
    <w:p>
      <w:pPr>
        <w:ind w:left="1240" w:hanging="379"/>
        <w:spacing w:after="0" w:line="268"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rate risk - </w:t>
      </w:r>
      <w:r>
        <w:rPr>
          <w:rFonts w:ascii="Times New Roman" w:cs="Times New Roman" w:eastAsia="Times New Roman" w:hAnsi="Times New Roman"/>
          <w:sz w:val="18"/>
          <w:szCs w:val="18"/>
          <w:color w:val="auto"/>
        </w:rPr>
        <w:t>Interest rate risk represents the likelihood that a change in interest rates could have an adverse impact on the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 interest-bearing financial instrument.</w:t>
      </w:r>
    </w:p>
    <w:p>
      <w:pPr>
        <w:spacing w:after="0" w:line="104" w:lineRule="exact"/>
        <w:rPr>
          <w:rFonts w:ascii="Times New Roman" w:cs="Times New Roman" w:eastAsia="Times New Roman" w:hAnsi="Times New Roman"/>
          <w:sz w:val="18"/>
          <w:szCs w:val="18"/>
          <w:color w:val="auto"/>
        </w:rPr>
      </w:pPr>
    </w:p>
    <w:p>
      <w:pPr>
        <w:jc w:val="both"/>
        <w:ind w:left="1240" w:hanging="379"/>
        <w:spacing w:after="0" w:line="259"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Prepayment risk - </w:t>
      </w:r>
      <w:r>
        <w:rPr>
          <w:rFonts w:ascii="Times New Roman" w:cs="Times New Roman" w:eastAsia="Times New Roman" w:hAnsi="Times New Roman"/>
          <w:sz w:val="18"/>
          <w:szCs w:val="18"/>
          <w:color w:val="auto"/>
        </w:rPr>
        <w:t>Certain of the Company’s debt investments allow for prepayment of principal without penalty. Downward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interest rates may cause prepayments to occur at a faster than expected rate, thereby effectively shortening the maturity of the debt investments and making the instrument less likely to be an income producing instrument through the stated maturity date.</w:t>
      </w:r>
    </w:p>
    <w:p>
      <w:pPr>
        <w:spacing w:after="0" w:line="112" w:lineRule="exact"/>
        <w:rPr>
          <w:rFonts w:ascii="Times New Roman" w:cs="Times New Roman" w:eastAsia="Times New Roman" w:hAnsi="Times New Roman"/>
          <w:sz w:val="18"/>
          <w:szCs w:val="18"/>
          <w:color w:val="auto"/>
        </w:rPr>
      </w:pPr>
    </w:p>
    <w:p>
      <w:pPr>
        <w:jc w:val="both"/>
        <w:ind w:left="1240" w:hanging="379"/>
        <w:spacing w:after="0" w:line="259"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Off-Balance sheet risk - </w:t>
      </w:r>
      <w:r>
        <w:rPr>
          <w:rFonts w:ascii="Times New Roman" w:cs="Times New Roman" w:eastAsia="Times New Roman" w:hAnsi="Times New Roman"/>
          <w:sz w:val="18"/>
          <w:szCs w:val="18"/>
          <w:color w:val="auto"/>
        </w:rPr>
        <w:t>Some of the Company’s financial instruments contain off-balance sheet risk. Generally, these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represent future commitments to purchase other financial instruments at defined terms at defined future dates. See Note 7 for further details.</w:t>
      </w:r>
    </w:p>
    <w:p>
      <w:pPr>
        <w:spacing w:after="0" w:line="113" w:lineRule="exact"/>
        <w:rPr>
          <w:sz w:val="20"/>
          <w:szCs w:val="20"/>
          <w:color w:val="auto"/>
        </w:rPr>
      </w:pPr>
    </w:p>
    <w:p>
      <w:pPr>
        <w:jc w:val="both"/>
        <w:ind w:firstLine="47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The Company measures and discloses fair value with respect to substantially all of its financial instruments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accordance with ASC Topic 820 —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Topic 820”). ASC Topic 820 defines fair value, establishes a framework used to measure fair value, and requires disclosures for fair value measurements, including the categorization of financial instruments into a three-level hierarchy based on the transparency of valuation inputs. See Note 4 to the consolidated financial statements for further discussion regarding the fair value measurements and hierarchy.</w:t>
      </w:r>
    </w:p>
    <w:p>
      <w:pPr>
        <w:spacing w:after="0" w:line="119" w:lineRule="exact"/>
        <w:rPr>
          <w:sz w:val="20"/>
          <w:szCs w:val="20"/>
          <w:color w:val="auto"/>
        </w:rPr>
      </w:pPr>
    </w:p>
    <w:p>
      <w:pPr>
        <w:jc w:val="both"/>
        <w:ind w:firstLine="478"/>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Investment classification: </w:t>
      </w:r>
      <w:r>
        <w:rPr>
          <w:rFonts w:ascii="Times New Roman" w:cs="Times New Roman" w:eastAsia="Times New Roman" w:hAnsi="Times New Roman"/>
          <w:sz w:val="18"/>
          <w:szCs w:val="18"/>
          <w:color w:val="auto"/>
        </w:rPr>
        <w:t>The Company classifies its investments in accordance with the requirements of the 1940 Act. Under the 1940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Investments” are defined as investments in those companies where the Company owns more than 25% of the voting securities of such company or has rights to maintain greater than 50% of the board representation. Under the 1940 Act, “Affiliate Investments” are defined as investments in those companies where the Company owns between 5% and 25% of the voting securities of such company. “Non-Control/Non-Affiliate Investments” are those that neither qualify as Control Investments nor Affiliate Investments.</w:t>
      </w:r>
    </w:p>
    <w:p>
      <w:pPr>
        <w:spacing w:after="0" w:line="123" w:lineRule="exact"/>
        <w:rPr>
          <w:sz w:val="20"/>
          <w:szCs w:val="20"/>
          <w:color w:val="auto"/>
        </w:rPr>
      </w:pPr>
    </w:p>
    <w:p>
      <w:pPr>
        <w:jc w:val="both"/>
        <w:ind w:firstLine="47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Segments: </w:t>
      </w:r>
      <w:r>
        <w:rPr>
          <w:rFonts w:ascii="Times New Roman" w:cs="Times New Roman" w:eastAsia="Times New Roman" w:hAnsi="Times New Roman"/>
          <w:sz w:val="18"/>
          <w:szCs w:val="18"/>
          <w:color w:val="auto"/>
        </w:rPr>
        <w:t>In accordance with ASC Topic 280 —</w:t>
      </w:r>
      <w:r>
        <w:rPr>
          <w:rFonts w:ascii="Times New Roman" w:cs="Times New Roman" w:eastAsia="Times New Roman" w:hAnsi="Times New Roman"/>
          <w:sz w:val="18"/>
          <w:szCs w:val="18"/>
          <w:i w:val="1"/>
          <w:iCs w:val="1"/>
          <w:color w:val="auto"/>
        </w:rPr>
        <w:t xml:space="preserve"> Segment Reporting</w:t>
      </w:r>
      <w:r>
        <w:rPr>
          <w:rFonts w:ascii="Times New Roman" w:cs="Times New Roman" w:eastAsia="Times New Roman" w:hAnsi="Times New Roman"/>
          <w:sz w:val="18"/>
          <w:szCs w:val="18"/>
          <w:color w:val="auto"/>
        </w:rPr>
        <w:t>, the Company has determined that it has a single reporting segment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unit structure.</w:t>
      </w:r>
    </w:p>
    <w:p>
      <w:pPr>
        <w:spacing w:after="0" w:line="91" w:lineRule="exact"/>
        <w:rPr>
          <w:sz w:val="20"/>
          <w:szCs w:val="20"/>
          <w:color w:val="auto"/>
        </w:rPr>
      </w:pPr>
    </w:p>
    <w:p>
      <w:pPr>
        <w:jc w:val="both"/>
        <w:ind w:firstLine="47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Cash and cash equivalents are highly liquid investments with an original maturity of three months or less at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The Company places its cash in financial institutions and, at times, such balances may be in excess of the Federal Deposit Insurance Corporation insurance limits. The Company does not believe its cash balances are exposed to any significant credit risk.</w:t>
      </w:r>
    </w:p>
    <w:p>
      <w:pPr>
        <w:spacing w:after="0" w:line="113" w:lineRule="exact"/>
        <w:rPr>
          <w:sz w:val="20"/>
          <w:szCs w:val="20"/>
          <w:color w:val="auto"/>
        </w:rPr>
      </w:pPr>
    </w:p>
    <w:p>
      <w:pPr>
        <w:jc w:val="both"/>
        <w:ind w:firstLine="47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Deferred financing costs: </w:t>
      </w:r>
      <w:r>
        <w:rPr>
          <w:rFonts w:ascii="Times New Roman" w:cs="Times New Roman" w:eastAsia="Times New Roman" w:hAnsi="Times New Roman"/>
          <w:sz w:val="18"/>
          <w:szCs w:val="18"/>
          <w:color w:val="auto"/>
        </w:rPr>
        <w:t>Deferred financing costs consist of fees and expenses paid in connection with the SBA debentures, the Credit Facility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Notes (as defined in Note 6). Deferred financing costs are capitalized and amortized to interest and financing expenses over the term of the debt agreement using the effective interest method. Unamortized deferred financing costs are presented as an offset to the corresponding debt liabilities on the consolidated statements of assets and liabilities.</w:t>
      </w:r>
    </w:p>
    <w:p>
      <w:pPr>
        <w:spacing w:after="0" w:line="120" w:lineRule="exact"/>
        <w:rPr>
          <w:sz w:val="20"/>
          <w:szCs w:val="20"/>
          <w:color w:val="auto"/>
        </w:rPr>
      </w:pPr>
    </w:p>
    <w:p>
      <w:pPr>
        <w:jc w:val="both"/>
        <w:ind w:firstLine="47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Realized losses on extinguishment of debt: </w:t>
      </w:r>
      <w:r>
        <w:rPr>
          <w:rFonts w:ascii="Times New Roman" w:cs="Times New Roman" w:eastAsia="Times New Roman" w:hAnsi="Times New Roman"/>
          <w:sz w:val="18"/>
          <w:szCs w:val="18"/>
          <w:color w:val="auto"/>
        </w:rPr>
        <w:t>Upon the repayment of debt obligations which are deemed to be extinguishments, the difference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principal amount due at maturity adjusted for any unamortized deferred financing costs is recognized as a loss (i.e., the unamortized deferred financing costs are recognized as a loss upon extinguishment of the underlying debt obligation).</w:t>
      </w:r>
    </w:p>
    <w:p>
      <w:pPr>
        <w:spacing w:after="0" w:line="113" w:lineRule="exact"/>
        <w:rPr>
          <w:sz w:val="20"/>
          <w:szCs w:val="20"/>
          <w:color w:val="auto"/>
        </w:rPr>
      </w:pPr>
    </w:p>
    <w:p>
      <w:pPr>
        <w:jc w:val="both"/>
        <w:ind w:firstLine="478"/>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Deferred offering costs: </w:t>
      </w:r>
      <w:r>
        <w:rPr>
          <w:rFonts w:ascii="Times New Roman" w:cs="Times New Roman" w:eastAsia="Times New Roman" w:hAnsi="Times New Roman"/>
          <w:sz w:val="18"/>
          <w:szCs w:val="18"/>
          <w:color w:val="auto"/>
        </w:rPr>
        <w:t>Deferred offering costs include registration expenses related to shelf filings. These expenses primarily consist of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and Exchange Commission (“SEC”) registration fees, legal fees and accounting fees incurred. These expenses are included in prepaid expenses and other assets on the consolidated statements of assets and liabilities. Upon the completion of an equity offering or a debt offering, the deferred expenses are charged to additional paid-in capital or deferred</w:t>
      </w: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costs, respectively. If no offering is completed prior to the expiration of the registration statement, the deferred costs are charged to expense.</w:t>
      </w:r>
    </w:p>
    <w:p>
      <w:pPr>
        <w:spacing w:after="0" w:line="1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 xml:space="preserve">Realized gains or losses and unrealized appreciation or depreciation on investments: </w:t>
      </w:r>
      <w:r>
        <w:rPr>
          <w:rFonts w:ascii="Times New Roman" w:cs="Times New Roman" w:eastAsia="Times New Roman" w:hAnsi="Times New Roman"/>
          <w:sz w:val="18"/>
          <w:szCs w:val="18"/>
          <w:color w:val="auto"/>
        </w:rPr>
        <w:t>Realized gains or losses on investments are recorded upon the</w:t>
      </w:r>
    </w:p>
    <w:p>
      <w:pPr>
        <w:spacing w:after="0" w:line="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sale or disposition of a portfolio 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in good faith by the Company’s board of directors (the “Board”) through the application of the Company’s valuation policy, as well as reclassifications of any prior period unrealized appreciation or depreciation on exited investments to realized gains or losses on investments.</w:t>
      </w:r>
    </w:p>
    <w:p>
      <w:pPr>
        <w:spacing w:after="0" w:line="128" w:lineRule="exact"/>
        <w:rPr>
          <w:sz w:val="20"/>
          <w:szCs w:val="20"/>
          <w:color w:val="auto"/>
        </w:rPr>
      </w:pPr>
    </w:p>
    <w:p>
      <w:pPr>
        <w:jc w:val="both"/>
        <w:ind w:firstLine="478"/>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Interest and dividend income: </w:t>
      </w:r>
      <w:r>
        <w:rPr>
          <w:rFonts w:ascii="Times New Roman" w:cs="Times New Roman" w:eastAsia="Times New Roman" w:hAnsi="Times New Roman"/>
          <w:sz w:val="18"/>
          <w:szCs w:val="18"/>
          <w:color w:val="auto"/>
        </w:rPr>
        <w:t>Interest and dividend income are recorded on the accrual basis to the extent that the Company expects to collect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126" w:lineRule="exact"/>
        <w:rPr>
          <w:sz w:val="20"/>
          <w:szCs w:val="20"/>
          <w:color w:val="auto"/>
        </w:rPr>
      </w:pPr>
    </w:p>
    <w:p>
      <w:pPr>
        <w:jc w:val="both"/>
        <w:ind w:firstLine="478"/>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PIK income: </w:t>
      </w:r>
      <w:r>
        <w:rPr>
          <w:rFonts w:ascii="Times New Roman" w:cs="Times New Roman" w:eastAsia="Times New Roman" w:hAnsi="Times New Roman"/>
          <w:sz w:val="18"/>
          <w:szCs w:val="18"/>
          <w:color w:val="auto"/>
        </w:rPr>
        <w:t>Certain of the Company’s investments contain a payment-in-kind (“PIK”) income provision. The PIK income, computed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rate specified in the applicable investment agreement, is added to the principal balance of the investment, rather than being paid in cash, and recorded as interest or dividend income, as applicable, on the consolidated statements of operations. Generally, PIK can be paid-in-kind or all in cash. The Company stops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the Company’s taxable income and, therefore, affects the amount the Company is required to pay to shareholders in the form of dividends in order to maintain the Company’s tax treatment as a RIC and to avoid corporate federal income tax, even though the Company has not yet collected the cash.</w:t>
      </w:r>
    </w:p>
    <w:p>
      <w:pPr>
        <w:spacing w:after="0" w:line="139" w:lineRule="exact"/>
        <w:rPr>
          <w:sz w:val="20"/>
          <w:szCs w:val="20"/>
          <w:color w:val="auto"/>
        </w:rPr>
      </w:pPr>
    </w:p>
    <w:p>
      <w:pPr>
        <w:jc w:val="both"/>
        <w:ind w:firstLine="478"/>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Non-accrual: </w:t>
      </w:r>
      <w:r>
        <w:rPr>
          <w:rFonts w:ascii="Times New Roman" w:cs="Times New Roman" w:eastAsia="Times New Roman" w:hAnsi="Times New Roman"/>
          <w:sz w:val="18"/>
          <w:szCs w:val="18"/>
          <w:color w:val="auto"/>
        </w:rPr>
        <w:t>Debt investments or preferred equity investments (for which the Company is accruing PIK dividends) are placed on non-accrual status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principal, 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w:t>
      </w:r>
    </w:p>
    <w:p>
      <w:pPr>
        <w:spacing w:after="0" w:line="128" w:lineRule="exact"/>
        <w:rPr>
          <w:sz w:val="20"/>
          <w:szCs w:val="20"/>
          <w:color w:val="auto"/>
        </w:rPr>
      </w:pPr>
    </w:p>
    <w:p>
      <w:pPr>
        <w:jc w:val="both"/>
        <w:ind w:firstLine="47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Origination and closing fees: </w:t>
      </w:r>
      <w:r>
        <w:rPr>
          <w:rFonts w:ascii="Times New Roman" w:cs="Times New Roman" w:eastAsia="Times New Roman" w:hAnsi="Times New Roman"/>
          <w:sz w:val="18"/>
          <w:szCs w:val="18"/>
          <w:color w:val="auto"/>
        </w:rPr>
        <w:t>The Company also typically receives debt investment origination or closing fees in connection with such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debt investment origination and closing fees are capitalized as unearned income and offset against investment cost basis on the consolidated statements of assets and liabilities and accreted into interest income over the life of the investment. Upon the prepayment of a debt investment, any unaccreted debt investment origination and closing fees are accelerated into interest income.</w:t>
      </w:r>
    </w:p>
    <w:p>
      <w:pPr>
        <w:spacing w:after="0" w:line="133" w:lineRule="exact"/>
        <w:rPr>
          <w:sz w:val="20"/>
          <w:szCs w:val="20"/>
          <w:color w:val="auto"/>
        </w:rPr>
      </w:pPr>
    </w:p>
    <w:p>
      <w:pPr>
        <w:jc w:val="both"/>
        <w:ind w:firstLine="478"/>
        <w:spacing w:after="0" w:line="247" w:lineRule="auto"/>
        <w:rPr>
          <w:sz w:val="20"/>
          <w:szCs w:val="20"/>
          <w:color w:val="auto"/>
        </w:rPr>
      </w:pP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In connection with the Company’s debt investments, the Company will sometimes receive warrants or other equity-related securities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borrower (“Warrants”). The Company determines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original issue discount (“OID”), and accreted into interest income using the effective interest method over the term of the debt investment. Upon the prepayment of a debt investment, any unaccreted OID is accelerated into interest income.</w:t>
      </w:r>
    </w:p>
    <w:p>
      <w:pPr>
        <w:spacing w:after="0" w:line="123" w:lineRule="exact"/>
        <w:rPr>
          <w:sz w:val="20"/>
          <w:szCs w:val="20"/>
          <w:color w:val="auto"/>
        </w:rPr>
      </w:pPr>
    </w:p>
    <w:p>
      <w:pPr>
        <w:jc w:val="both"/>
        <w:ind w:firstLine="478"/>
        <w:spacing w:after="0" w:line="251" w:lineRule="auto"/>
        <w:rPr>
          <w:sz w:val="20"/>
          <w:szCs w:val="20"/>
          <w:color w:val="auto"/>
        </w:rPr>
      </w:pPr>
      <w:r>
        <w:rPr>
          <w:rFonts w:ascii="Times New Roman" w:cs="Times New Roman" w:eastAsia="Times New Roman" w:hAnsi="Times New Roman"/>
          <w:sz w:val="18"/>
          <w:szCs w:val="18"/>
          <w:i w:val="1"/>
          <w:iCs w:val="1"/>
          <w:color w:val="auto"/>
        </w:rPr>
        <w:t>Fee income</w:t>
      </w:r>
      <w:r>
        <w:rPr>
          <w:rFonts w:ascii="Times New Roman" w:cs="Times New Roman" w:eastAsia="Times New Roman" w:hAnsi="Times New Roman"/>
          <w:sz w:val="18"/>
          <w:szCs w:val="18"/>
          <w:color w:val="auto"/>
        </w:rPr>
        <w:t>: Transaction fees earned in connection with the Company’s investments are recognized as fee income and are generally non-recurring.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fees typically include fees for services, including structuring and advisory services, provided to portfolio companies. The Company recognizes income from fees for providing such structuring and advisory services when the services are rendered or the transactions are completed. Upon the prepayment of a debt investment, any prepayment penalties are recorded as fee income when earned.</w:t>
      </w:r>
    </w:p>
    <w:p>
      <w:pPr>
        <w:spacing w:after="0" w:line="120" w:lineRule="exact"/>
        <w:rPr>
          <w:sz w:val="20"/>
          <w:szCs w:val="20"/>
          <w:color w:val="auto"/>
        </w:rPr>
      </w:pPr>
    </w:p>
    <w:p>
      <w:pPr>
        <w:jc w:val="both"/>
        <w:ind w:firstLine="479"/>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Partial loan and equity sales: </w:t>
      </w:r>
      <w:r>
        <w:rPr>
          <w:rFonts w:ascii="Times New Roman" w:cs="Times New Roman" w:eastAsia="Times New Roman" w:hAnsi="Times New Roman"/>
          <w:sz w:val="18"/>
          <w:szCs w:val="18"/>
          <w:color w:val="auto"/>
        </w:rPr>
        <w:t>The Company follows the guidance in ASC 860,</w:t>
      </w:r>
      <w:r>
        <w:rPr>
          <w:rFonts w:ascii="Times New Roman" w:cs="Times New Roman" w:eastAsia="Times New Roman" w:hAnsi="Times New Roman"/>
          <w:sz w:val="18"/>
          <w:szCs w:val="18"/>
          <w:i w:val="1"/>
          <w:iCs w:val="1"/>
          <w:color w:val="auto"/>
        </w:rPr>
        <w:t xml:space="preserve"> Transfers and Servicing, </w:t>
      </w:r>
      <w:r>
        <w:rPr>
          <w:rFonts w:ascii="Times New Roman" w:cs="Times New Roman" w:eastAsia="Times New Roman" w:hAnsi="Times New Roman"/>
          <w:sz w:val="18"/>
          <w:szCs w:val="18"/>
          <w:color w:val="auto"/>
        </w:rPr>
        <w:t>when accounting for loan (debt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participations, equity assignments and other partial loan sales. Such guidance requires a participation, assignment or other partial loan or equity sale to meet the definition of a “participating interest,” as defined in the guidance, in order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3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for sale treatment to be allowed. Participations, assignments or other partial loan or equity sales which do not meet the definition of a participating interest should remain on the Company’s consolidated statements of assets and liabilities and the proceeds recorded as a secured borrowing until the definition is met. For these partial loan sales, the interest earned on the entire loan balance is recorded within “interest income” and the interest earned by the buyer in the partial loan sale is recorded within “interest and financing expenses” in the accompanying consolidated statements of operations.</w:t>
      </w:r>
    </w:p>
    <w:p>
      <w:pPr>
        <w:spacing w:after="0" w:line="121" w:lineRule="exact"/>
        <w:rPr>
          <w:sz w:val="20"/>
          <w:szCs w:val="20"/>
          <w:color w:val="auto"/>
        </w:rPr>
      </w:pPr>
    </w:p>
    <w:p>
      <w:pPr>
        <w:jc w:val="both"/>
        <w:ind w:firstLine="478"/>
        <w:spacing w:after="0" w:line="22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Company has elected, and intends to qualify annually, to be treated for U.S. federal income tax purposes as a RIC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Subchapter M of the Code, which will generally relieve the Company from U.S. federal income taxes with respect to all income distributed to stockholders. To maintain the tax treatment of a RIC, the Company is required to timely distribute to its stockholders at least 90.0% of “investment company taxable income,” as defined by Subchapter M of the Code, each year. Depending on the level of taxable income earned in a tax year, the Company may choose to carry forward taxable income in excess of current year distributions into the next tax year; however, the Company will pay a 4.0% excise tax if it does not distribute at least 98.0% of the current year’s ordinary taxable income. Any such carryover taxable income must be distributed through a dividend declared prior to the later of the date on which the final tax return related to the year in which the Company generated such taxable income is filed or the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the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month following the close of such taxable year. In addition, the Company will be subject to federal excise tax if it does not distribute at least 98.2% of its net capital gains realized, computed for any one year period ending October 31.</w:t>
      </w:r>
    </w:p>
    <w:p>
      <w:pPr>
        <w:spacing w:after="0" w:line="135" w:lineRule="exact"/>
        <w:rPr>
          <w:sz w:val="20"/>
          <w:szCs w:val="20"/>
          <w:color w:val="auto"/>
        </w:rPr>
      </w:pPr>
    </w:p>
    <w:p>
      <w:pPr>
        <w:jc w:val="both"/>
        <w:ind w:right="20" w:firstLine="478"/>
        <w:spacing w:after="0" w:line="266" w:lineRule="auto"/>
        <w:rPr>
          <w:sz w:val="20"/>
          <w:szCs w:val="20"/>
          <w:color w:val="auto"/>
        </w:rPr>
      </w:pPr>
      <w:r>
        <w:rPr>
          <w:rFonts w:ascii="Times New Roman" w:cs="Times New Roman" w:eastAsia="Times New Roman" w:hAnsi="Times New Roman"/>
          <w:sz w:val="18"/>
          <w:szCs w:val="18"/>
          <w:color w:val="auto"/>
        </w:rPr>
        <w:t>In the future, the Funds may be limited by provisions of the SBIC Act and SBA regulations governing SBICs from making certain distributions to FIC that may be necessary to enable FIC to make the minimum distributions required to maintain the tax treatment of a RIC.</w:t>
      </w:r>
    </w:p>
    <w:p>
      <w:pPr>
        <w:spacing w:after="0" w:line="122" w:lineRule="exact"/>
        <w:rPr>
          <w:sz w:val="20"/>
          <w:szCs w:val="20"/>
          <w:color w:val="auto"/>
        </w:rPr>
      </w:pPr>
    </w:p>
    <w:p>
      <w:pPr>
        <w:jc w:val="both"/>
        <w:ind w:firstLine="478"/>
        <w:spacing w:after="0" w:line="243" w:lineRule="auto"/>
        <w:rPr>
          <w:sz w:val="20"/>
          <w:szCs w:val="20"/>
          <w:color w:val="auto"/>
        </w:rPr>
      </w:pPr>
      <w:r>
        <w:rPr>
          <w:rFonts w:ascii="Times New Roman" w:cs="Times New Roman" w:eastAsia="Times New Roman" w:hAnsi="Times New Roman"/>
          <w:sz w:val="18"/>
          <w:szCs w:val="18"/>
          <w:color w:val="auto"/>
        </w:rPr>
        <w:t>The Company has certain wholly-owned taxable subsidiaries (the “Taxable Subsidiaries”), each of which generally holds one or more of the Company’s portfolio investments listed on the consolidated schedules of investments. The Taxable Subsidiaries are consolidated for financial reporting purposes, such that the Company’s consolidated financial statements reflect the Company’s investment in the portfolio company investments owned by the Taxable Subsidiaries. The purpose of the Taxable Subsidiaries is to permit the Company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the Company for U.S. federal corporate income tax purposes, and each Taxable Subsidiary will be subject to U.S. federal corporate income tax on its taxable income. Any such income or expense is reflected in the consolidated statements of operations.</w:t>
      </w:r>
    </w:p>
    <w:p>
      <w:pPr>
        <w:spacing w:after="0" w:line="132" w:lineRule="exact"/>
        <w:rPr>
          <w:sz w:val="20"/>
          <w:szCs w:val="20"/>
          <w:color w:val="auto"/>
        </w:rPr>
      </w:pPr>
    </w:p>
    <w:p>
      <w:pPr>
        <w:jc w:val="both"/>
        <w:ind w:firstLine="478"/>
        <w:spacing w:after="0" w:line="250" w:lineRule="auto"/>
        <w:rPr>
          <w:sz w:val="20"/>
          <w:szCs w:val="20"/>
          <w:color w:val="auto"/>
        </w:rPr>
      </w:pPr>
      <w:r>
        <w:rPr>
          <w:rFonts w:ascii="Times New Roman" w:cs="Times New Roman" w:eastAsia="Times New Roman" w:hAnsi="Times New Roman"/>
          <w:sz w:val="18"/>
          <w:szCs w:val="18"/>
          <w:color w:val="auto"/>
        </w:rPr>
        <w:t>U.S. federal income tax regulations differ from GAAP, and as a result, distributions in accordance with tax regulations may differ from net investment income and realized gains recognized under GAAP. Differences may be permanent or temporary. Permanent differences may arise as a result of, among other items, a difference in the book and tax basis of certain assets and nondeductible federal income taxes. Temporary differences arise when certain items of income, expense, gain or loss are recognized at some time in the future.</w:t>
      </w:r>
    </w:p>
    <w:p>
      <w:pPr>
        <w:spacing w:after="0" w:line="121" w:lineRule="exact"/>
        <w:rPr>
          <w:sz w:val="20"/>
          <w:szCs w:val="20"/>
          <w:color w:val="auto"/>
        </w:rPr>
      </w:pPr>
    </w:p>
    <w:p>
      <w:pPr>
        <w:jc w:val="both"/>
        <w:ind w:firstLine="478"/>
        <w:spacing w:after="0" w:line="246" w:lineRule="auto"/>
        <w:rPr>
          <w:sz w:val="20"/>
          <w:szCs w:val="20"/>
          <w:color w:val="auto"/>
        </w:rPr>
      </w:pPr>
      <w:r>
        <w:rPr>
          <w:rFonts w:ascii="Times New Roman" w:cs="Times New Roman" w:eastAsia="Times New Roman" w:hAnsi="Times New Roman"/>
          <w:sz w:val="18"/>
          <w:szCs w:val="18"/>
          <w:color w:val="auto"/>
        </w:rPr>
        <w:t xml:space="preserve">ASC Topic 740 —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xml:space="preserve"> (“ASC Topic 740”) provides guidance for how uncertain tax positions should be recognized, measured, presented and disclosed in the consolidated financial statements. ASC Topic 740 requires the evaluation of tax positions taken in the course of preparing the Company’s tax returns to determine whether the tax positions are “more-likely-than-not” to be respected by the applicable tax authorities. Tax benefits of positions not deemed to meet the more-likely-than-not threshold would be recorded as a tax expense in the current year. It is the Company’s policy to recognize accrued interest and penalties related to uncertain tax benefits included in the income tax provision, if any. There were no material uncertain income tax positions at March 31, 2022 and December 31, 2021. The Company’s tax returns are generally subject to examination by U.S. federal and most state tax authorities for a period of three years from the date the respective returns are filed, and, accordingly, the Company’s 2018 through 2020 tax years remain subject to examination.</w:t>
      </w:r>
    </w:p>
    <w:p>
      <w:pPr>
        <w:spacing w:after="0" w:line="125" w:lineRule="exact"/>
        <w:rPr>
          <w:sz w:val="20"/>
          <w:szCs w:val="20"/>
          <w:color w:val="auto"/>
        </w:rPr>
      </w:pPr>
    </w:p>
    <w:p>
      <w:pPr>
        <w:jc w:val="both"/>
        <w:ind w:firstLine="47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Dividends to stockholders: </w:t>
      </w:r>
      <w:r>
        <w:rPr>
          <w:rFonts w:ascii="Times New Roman" w:cs="Times New Roman" w:eastAsia="Times New Roman" w:hAnsi="Times New Roman"/>
          <w:sz w:val="18"/>
          <w:szCs w:val="18"/>
          <w:color w:val="auto"/>
        </w:rPr>
        <w:t>Dividends to stockholders are recorded on the record date with respect to such distributions. The amount, if any,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distributed to stockholders, is determined by the Board each quarter and is generally based upon the earnings estimated by management. Net realized capital gains, if any, may be distributed at least annually, although the Company may decide to retain such capital gains for investment.</w:t>
      </w:r>
    </w:p>
    <w:p>
      <w:pPr>
        <w:spacing w:after="0" w:line="115" w:lineRule="exact"/>
        <w:rPr>
          <w:sz w:val="20"/>
          <w:szCs w:val="20"/>
          <w:color w:val="auto"/>
        </w:rPr>
      </w:pPr>
    </w:p>
    <w:p>
      <w:pPr>
        <w:jc w:val="both"/>
        <w:ind w:firstLine="478"/>
        <w:spacing w:after="0" w:line="242" w:lineRule="auto"/>
        <w:rPr>
          <w:sz w:val="20"/>
          <w:szCs w:val="20"/>
          <w:color w:val="auto"/>
        </w:rPr>
      </w:pPr>
      <w:r>
        <w:rPr>
          <w:rFonts w:ascii="Times New Roman" w:cs="Times New Roman" w:eastAsia="Times New Roman" w:hAnsi="Times New Roman"/>
          <w:sz w:val="18"/>
          <w:szCs w:val="18"/>
          <w:color w:val="auto"/>
        </w:rPr>
        <w:t>The determination of the tax attributes for the Company’s distributions is made annually, and is based upon the Company’s taxable income and distributions paid to its stockholders for the full year. Ordinary dividend distributions from a RIC do not qualify for the preferential tax rate on qualified dividend income from domestic corporations and qualified foreign corporations, except to the extent that the RIC received the income in the form of qualifying dividends from domestic corporations and qualified foreign corporations. The tax characterization of the Company’s distributions generally includes both ordinary income and capital gains but may also include qualified dividends or return of capital.</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39" w:lineRule="exact"/>
        <w:rPr>
          <w:sz w:val="20"/>
          <w:szCs w:val="20"/>
          <w:color w:val="auto"/>
        </w:rPr>
      </w:pPr>
    </w:p>
    <w:p>
      <w:pPr>
        <w:jc w:val="both"/>
        <w:ind w:firstLine="478"/>
        <w:spacing w:after="0" w:line="243" w:lineRule="auto"/>
        <w:rPr>
          <w:sz w:val="20"/>
          <w:szCs w:val="20"/>
          <w:color w:val="auto"/>
        </w:rPr>
      </w:pPr>
      <w:r>
        <w:rPr>
          <w:rFonts w:ascii="Times New Roman" w:cs="Times New Roman" w:eastAsia="Times New Roman" w:hAnsi="Times New Roman"/>
          <w:sz w:val="18"/>
          <w:szCs w:val="18"/>
          <w:color w:val="auto"/>
        </w:rPr>
        <w:t>The Company has adopted a dividend reinvestment plan (“DRIP”) that provides for the reinvestment of dividends on behalf of its stockholders, unless a stockholder has elected to receive dividends in cash. As a result, if the Company declares a cash dividend, the Company’s stockholders who have not “opted out” of the DRIP at least two days prior to the dividend payment date will have their cash dividend automatically reinvested into additional shares of the Company’s common stock. The Company has the option to satisfy the share requirements of the DRIP through the issuance of new shares of common stock or through open market purchases of common stock by the DRIP plan administrator. Newly issued shares are valued based upon the final closing price of the Company’s common stock on a date determined by the Board. Shares purchased in the open market to satisfy the DRIP requirements will be valued based upon the average price of the applicable shares purchased by the DRIP plan administrator before any associated brokerage or other costs. See Note 9 to the consolidated financial statements regarding dividend declarations and distributions.</w:t>
      </w:r>
    </w:p>
    <w:p>
      <w:pPr>
        <w:spacing w:after="0" w:line="130" w:lineRule="exact"/>
        <w:rPr>
          <w:sz w:val="20"/>
          <w:szCs w:val="20"/>
          <w:color w:val="auto"/>
        </w:rPr>
      </w:pPr>
    </w:p>
    <w:p>
      <w:pPr>
        <w:jc w:val="both"/>
        <w:ind w:firstLine="47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Earnings and net asset value per share: </w:t>
      </w:r>
      <w:r>
        <w:rPr>
          <w:rFonts w:ascii="Times New Roman" w:cs="Times New Roman" w:eastAsia="Times New Roman" w:hAnsi="Times New Roman"/>
          <w:sz w:val="18"/>
          <w:szCs w:val="18"/>
          <w:color w:val="auto"/>
        </w:rPr>
        <w:t>The earnings per share calculations for the three months ended March 31, 2022 and 2021, are computed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utilizing the weighted average shares outstanding for the period. Net asset value per share is calculated using the number of shares outstanding as of the end of the period.</w:t>
      </w:r>
    </w:p>
    <w:p>
      <w:pPr>
        <w:spacing w:after="0" w:line="113" w:lineRule="exact"/>
        <w:rPr>
          <w:sz w:val="20"/>
          <w:szCs w:val="20"/>
          <w:color w:val="auto"/>
        </w:rPr>
      </w:pPr>
    </w:p>
    <w:p>
      <w:pPr>
        <w:jc w:val="both"/>
        <w:ind w:firstLine="478"/>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Stock Repurchase Program: </w:t>
      </w:r>
      <w:r>
        <w:rPr>
          <w:rFonts w:ascii="Times New Roman" w:cs="Times New Roman" w:eastAsia="Times New Roman" w:hAnsi="Times New Roman"/>
          <w:sz w:val="18"/>
          <w:szCs w:val="18"/>
          <w:color w:val="auto"/>
        </w:rPr>
        <w:t>The Company has an open market stock repurchase program (the “Stock Repurchase Program”) under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may acquire up to $5,000 of its outstanding common stock. Under the Stock Repurchase Program, the Company may, but is not obligated to, repurchase outstanding common stock in the open market from time to time provided that the Company complies with the prohibitions under its insider trading policies and the requirements of Rule 10b-18 of the Securities Exchange Act of 1934, as amended (the “Exchange Act”), including certain price, market value and timing constraints. The timing, manner, price and amount of any share repurchases will be determined by the Company’s management, in its discretion, based upon the evaluation of economic and market conditions, stock price, capital availability, applicable legal and regulatory requirements and other corporate considerations. On November 1, 2021, the Board extended the Stock Repurchase Program through December 31, 2022, or until the approved dollar amount has been used to repurchase shares. The Stock Repurchase Program does not require the Company to repurchase any specific number of shares and the Company cannot assure that any shares will be repurchased under the Stock Repurchase Program. The Stock Repurchase Program may be suspended, extended, modified or discontinued at any time. The Company did not make any repurchases of common stock during the three months ended March 31, 2022 and 2021. Refer to Note 8 for additional information concerning stock repurchases.</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Recent accounting pronouncement:</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SEC Regulation S-K Update:</w:t>
      </w:r>
    </w:p>
    <w:p>
      <w:pPr>
        <w:spacing w:after="0" w:line="160" w:lineRule="exact"/>
        <w:rPr>
          <w:sz w:val="20"/>
          <w:szCs w:val="20"/>
          <w:color w:val="auto"/>
        </w:rPr>
      </w:pPr>
    </w:p>
    <w:p>
      <w:pPr>
        <w:jc w:val="both"/>
        <w:ind w:firstLine="562"/>
        <w:spacing w:after="0" w:line="245" w:lineRule="auto"/>
        <w:rPr>
          <w:sz w:val="20"/>
          <w:szCs w:val="20"/>
          <w:color w:val="auto"/>
        </w:rPr>
      </w:pPr>
      <w:r>
        <w:rPr>
          <w:rFonts w:ascii="Times New Roman" w:cs="Times New Roman" w:eastAsia="Times New Roman" w:hAnsi="Times New Roman"/>
          <w:sz w:val="18"/>
          <w:szCs w:val="18"/>
          <w:color w:val="auto"/>
        </w:rPr>
        <w:t>In November 2020, the SEC issued a final rule that modernized and simplifies Management's Discussion and Analysis and certain financial disclosure requirements in Regulation S-K (the “Amendments”). Specifically, the Amendments: (i) eliminate Item 301 of Regulation S-K (Selected Financial Data); (ii) simplify Item 302 of Regulation S-K (Supplementary Financial Information); and (iii) amend certain aspects of Item 303 of Regulation S-K (Management's Discussion and Analysis of Financial Condition and Results of Operations). The Amendments became effective on February 10, 2021 and compliance will be required for the registrants' fiscal year ending on or after August 9, 2021. Early adoption of the Amendments is permitted on an item-by-item basis after the effective date; however, a registrant must fully comply with each adopted item in its entirety. The Company adopted the Amendments on the effective date which did not have a material impact on the Company’s Consolidated Financial Statements.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Portfolio Company Investments</w:t>
      </w:r>
    </w:p>
    <w:p>
      <w:pPr>
        <w:spacing w:after="0" w:line="162" w:lineRule="exact"/>
        <w:rPr>
          <w:sz w:val="20"/>
          <w:szCs w:val="20"/>
          <w:color w:val="auto"/>
        </w:rPr>
      </w:pPr>
    </w:p>
    <w:p>
      <w:pPr>
        <w:jc w:val="both"/>
        <w:ind w:firstLine="478"/>
        <w:spacing w:after="0" w:line="245" w:lineRule="auto"/>
        <w:rPr>
          <w:sz w:val="20"/>
          <w:szCs w:val="20"/>
          <w:color w:val="auto"/>
        </w:rPr>
      </w:pPr>
      <w:r>
        <w:rPr>
          <w:rFonts w:ascii="Times New Roman" w:cs="Times New Roman" w:eastAsia="Times New Roman" w:hAnsi="Times New Roman"/>
          <w:sz w:val="18"/>
          <w:szCs w:val="18"/>
          <w:color w:val="auto"/>
        </w:rPr>
        <w:t>The Company’s portfolio investments principally consist of secured and unsecured debt, equity warrants and direct equity investments primarily in privately held companies. The debt investments may or may not be secured by either a first or second lien on the assets of the portfolio company. The debt investments generally bear interest at fixed rates or variable rates, and generally mature between five and seven years from the original investment. In connection with a debt investment, the Company also may receive nominally priced equity warrants and/or make a direct equity investment in the portfolio company. The Company’s warrants or equity investments may be investments in a holding company related to the portfolio company. In addition, the Company periodically makes equity investments in its portfolio companies through Taxable Subsidiaries. In both situations, the investment is generally reported under the name of the operating company on the consolidated schedules of investments.</w:t>
      </w:r>
    </w:p>
    <w:p>
      <w:pPr>
        <w:spacing w:after="0" w:line="127" w:lineRule="exact"/>
        <w:rPr>
          <w:sz w:val="20"/>
          <w:szCs w:val="20"/>
          <w:color w:val="auto"/>
        </w:rPr>
      </w:pPr>
    </w:p>
    <w:p>
      <w:pPr>
        <w:jc w:val="both"/>
        <w:ind w:firstLine="478"/>
        <w:spacing w:after="0" w:line="250" w:lineRule="auto"/>
        <w:rPr>
          <w:sz w:val="20"/>
          <w:szCs w:val="20"/>
          <w:color w:val="auto"/>
        </w:rPr>
      </w:pPr>
      <w:r>
        <w:rPr>
          <w:rFonts w:ascii="Times New Roman" w:cs="Times New Roman" w:eastAsia="Times New Roman" w:hAnsi="Times New Roman"/>
          <w:sz w:val="18"/>
          <w:szCs w:val="18"/>
          <w:color w:val="auto"/>
        </w:rPr>
        <w:t>As of March 31, 2022, the Company had active investments in 74 portfolio companies and residual investments in ten portfolio companies that have sold their underlying operations. The aggregate fair value of the total portfolio was $811,995 and the weighted average effective yield on the Company’s debt investments was 11.9% as of such date. As of March 31, 2022, the Company held equity investments in 82.1% of its portfolio companies and the average fully diluted equity ownership in those portfolio companies was 4.3%.</w:t>
      </w:r>
    </w:p>
    <w:p>
      <w:pPr>
        <w:spacing w:after="0" w:line="123" w:lineRule="exact"/>
        <w:rPr>
          <w:sz w:val="20"/>
          <w:szCs w:val="20"/>
          <w:color w:val="auto"/>
        </w:rPr>
      </w:pPr>
    </w:p>
    <w:p>
      <w:pPr>
        <w:jc w:val="both"/>
        <w:ind w:firstLine="478"/>
        <w:spacing w:after="0" w:line="254" w:lineRule="auto"/>
        <w:rPr>
          <w:sz w:val="20"/>
          <w:szCs w:val="20"/>
          <w:color w:val="auto"/>
        </w:rPr>
      </w:pPr>
      <w:r>
        <w:rPr>
          <w:rFonts w:ascii="Times New Roman" w:cs="Times New Roman" w:eastAsia="Times New Roman" w:hAnsi="Times New Roman"/>
          <w:sz w:val="18"/>
          <w:szCs w:val="18"/>
          <w:color w:val="auto"/>
        </w:rPr>
        <w:t>As of December 31, 2021, the Company had active investments in 70 portfolio companies and residual investments in eight portfolio companies that have sold their underlying operations. The aggregate fair value of the total portfolio was $719,124 and the</w:t>
      </w: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weighted average effective yield on the Company’s debt investments was 12.3% as of such date. As of December 31, 2021, the Company held equity investments in 82.1% of its portfolio companies and the average fully diluted equity ownership in those portfolio companies was 4.7%.</w:t>
      </w:r>
    </w:p>
    <w:p>
      <w:pPr>
        <w:spacing w:after="0" w:line="122" w:lineRule="exact"/>
        <w:rPr>
          <w:sz w:val="20"/>
          <w:szCs w:val="20"/>
          <w:color w:val="auto"/>
        </w:rPr>
      </w:pPr>
    </w:p>
    <w:p>
      <w:pPr>
        <w:jc w:val="both"/>
        <w:ind w:firstLine="478"/>
        <w:spacing w:after="0" w:line="246" w:lineRule="auto"/>
        <w:rPr>
          <w:sz w:val="20"/>
          <w:szCs w:val="20"/>
          <w:color w:val="auto"/>
        </w:rPr>
      </w:pPr>
      <w:r>
        <w:rPr>
          <w:rFonts w:ascii="Times New Roman" w:cs="Times New Roman" w:eastAsia="Times New Roman" w:hAnsi="Times New Roman"/>
          <w:sz w:val="18"/>
          <w:szCs w:val="18"/>
          <w:color w:val="auto"/>
        </w:rPr>
        <w:t>The weighted average yield of the Company’s debt investments is not the same as a return on investment for its stockholders but, rather, relates to a portion of the Company’s investment portfolio and is calculated before the payment of all of the Company’s and its subsidiaries’ fees and expenses. The weighted average yields were computed using the effective interest rates for debt investments at cost as of March 31, 2022 and December 31, 2021, including accretion of OID and debt investment origination fees, but excluding investments on non-accrual status and investments recorded as a secured borrowing, if any.</w:t>
      </w:r>
    </w:p>
    <w:p>
      <w:pPr>
        <w:spacing w:after="0" w:line="127"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Purchases of debt and equity investments for the three months ended March 31, 2022 and 2021 totaled $114,428 and $63,107, respectively. Proceeds from sales and repayments, including principal, return of capital distributions and realized gains, of portfolio investments for the three months ended March 31, 2022 and 2021 totaled $23,185 and $98,565, respectively.</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Investments by type with corresponding percentage of total portfolio investments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158"/>
        </w:trPr>
        <w:tc>
          <w:tcPr>
            <w:tcW w:w="2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3"/>
          </w:tcPr>
          <w:p>
            <w:pPr>
              <w:jc w:val="center"/>
              <w:ind w:left="168"/>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3"/>
          </w:tcPr>
          <w:p>
            <w:pPr>
              <w:jc w:val="center"/>
              <w:ind w:left="2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3"/>
          </w:tcPr>
          <w:p>
            <w:pPr>
              <w:jc w:val="center"/>
              <w:ind w:left="128"/>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3"/>
          </w:tcPr>
          <w:p>
            <w:pPr>
              <w:jc w:val="center"/>
              <w:ind w:left="8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87"/>
        </w:trPr>
        <w:tc>
          <w:tcPr>
            <w:tcW w:w="2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169"/>
        </w:trPr>
        <w:tc>
          <w:tcPr>
            <w:tcW w:w="204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4"/>
                <w:szCs w:val="14"/>
                <w:color w:val="auto"/>
              </w:rPr>
              <w:t>First Lien Debt</w:t>
            </w:r>
            <w:r>
              <w:rPr>
                <w:rFonts w:ascii="Times New Roman" w:cs="Times New Roman" w:eastAsia="Times New Roman" w:hAnsi="Times New Roman"/>
                <w:sz w:val="19"/>
                <w:szCs w:val="19"/>
                <w:color w:val="auto"/>
                <w:vertAlign w:val="superscript"/>
              </w:rPr>
              <w:t>(1)</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428,317</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354,922</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425,881</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353,306</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3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 Debt</w:t>
            </w: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169,087</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158,815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177,567</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168,573</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320" w:type="dxa"/>
            <w:vAlign w:val="bottom"/>
          </w:tcPr>
          <w:p>
            <w:pPr>
              <w:spacing w:after="0"/>
              <w:rPr>
                <w:sz w:val="15"/>
                <w:szCs w:val="15"/>
                <w:color w:val="auto"/>
              </w:rPr>
            </w:pPr>
          </w:p>
        </w:tc>
      </w:tr>
      <w:tr>
        <w:trPr>
          <w:trHeight w:val="176"/>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2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53,413</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4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36,064</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53,350</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35,995</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320" w:type="dxa"/>
            <w:vAlign w:val="bottom"/>
            <w:shd w:val="clear" w:color="auto" w:fill="CFF0FC"/>
          </w:tcPr>
          <w:p>
            <w:pPr>
              <w:spacing w:after="0"/>
              <w:rPr>
                <w:sz w:val="15"/>
                <w:szCs w:val="15"/>
                <w:color w:val="auto"/>
              </w:rPr>
            </w:pPr>
          </w:p>
        </w:tc>
      </w:tr>
      <w:tr>
        <w:trPr>
          <w:trHeight w:val="175"/>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157,779</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166,119</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59,855</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60,589</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320" w:type="dxa"/>
            <w:vAlign w:val="bottom"/>
          </w:tcPr>
          <w:p>
            <w:pPr>
              <w:spacing w:after="0"/>
              <w:rPr>
                <w:sz w:val="15"/>
                <w:szCs w:val="15"/>
                <w:color w:val="auto"/>
              </w:rPr>
            </w:pPr>
          </w:p>
        </w:tc>
      </w:tr>
      <w:tr>
        <w:trPr>
          <w:trHeight w:val="176"/>
        </w:trPr>
        <w:tc>
          <w:tcPr>
            <w:tcW w:w="2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2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3,399</w:t>
            </w: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4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3,204</w:t>
            </w: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3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3,323</w:t>
            </w:r>
          </w:p>
        </w:tc>
        <w:tc>
          <w:tcPr>
            <w:tcW w:w="2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3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3,323</w:t>
            </w:r>
          </w:p>
        </w:tc>
        <w:tc>
          <w:tcPr>
            <w:tcW w:w="2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320" w:type="dxa"/>
            <w:vAlign w:val="bottom"/>
            <w:tcBorders>
              <w:bottom w:val="single" w:sz="8" w:color="CFF0FC"/>
            </w:tcBorders>
            <w:shd w:val="clear" w:color="auto" w:fill="CFF0FC"/>
          </w:tcPr>
          <w:p>
            <w:pPr>
              <w:spacing w:after="0"/>
              <w:rPr>
                <w:sz w:val="15"/>
                <w:szCs w:val="15"/>
                <w:color w:val="auto"/>
              </w:rPr>
            </w:pPr>
          </w:p>
        </w:tc>
      </w:tr>
      <w:tr>
        <w:trPr>
          <w:trHeight w:val="169"/>
        </w:trPr>
        <w:tc>
          <w:tcPr>
            <w:tcW w:w="20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811,995</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46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719,124</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32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719,976</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32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621,786</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32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2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-144780</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-144780</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-144780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-144780</wp:posOffset>
            </wp:positionV>
            <wp:extent cx="431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-144780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-144780</wp:posOffset>
            </wp:positionV>
            <wp:extent cx="431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-144780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-144780</wp:posOffset>
            </wp:positionV>
            <wp:extent cx="431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65" w:lineRule="exact"/>
        <w:rPr>
          <w:sz w:val="20"/>
          <w:szCs w:val="20"/>
          <w:color w:val="auto"/>
        </w:rPr>
      </w:pPr>
    </w:p>
    <w:p>
      <w:pPr>
        <w:ind w:left="520" w:hanging="512"/>
        <w:spacing w:after="0" w:line="282"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unitranche investments, which account for 42.4% and 47.6% of our portfolio on a fair value and cost basis as of March 31, 2022, respectively. Includes unitranche investments, which account for 40.2% and 46.3% of our portfolio on a fair value and cost basis as of December 31, 2021, respectively.</w:t>
      </w:r>
    </w:p>
    <w:p>
      <w:pPr>
        <w:spacing w:after="0" w:line="112"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All investments made by the Company as of March 31, 2022 and December 31, 2021 were made in portfolio companies headquartered in the U.S. The following table shows portfolio composition by geographic region at fair value and cost and as a percentage of total investments. The geographic composition is determined by the location of the corporate headquarters of the portfolio company, which may not be indicative of the primary source of the portfolio company’s business.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158"/>
        </w:trPr>
        <w:tc>
          <w:tcPr>
            <w:tcW w:w="6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3"/>
          </w:tcPr>
          <w:p>
            <w:pPr>
              <w:jc w:val="center"/>
              <w:ind w:left="128"/>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3"/>
          </w:tcPr>
          <w:p>
            <w:pPr>
              <w:ind w:left="220"/>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3"/>
          </w:tcPr>
          <w:p>
            <w:pPr>
              <w:jc w:val="center"/>
              <w:ind w:left="108"/>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3"/>
          </w:tcPr>
          <w:p>
            <w:pPr>
              <w:jc w:val="center"/>
              <w:ind w:left="8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87"/>
        </w:trPr>
        <w:tc>
          <w:tcPr>
            <w:tcW w:w="6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169"/>
        </w:trPr>
        <w:tc>
          <w:tcPr>
            <w:tcW w:w="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Midwest</w:t>
            </w:r>
          </w:p>
        </w:tc>
        <w:tc>
          <w:tcPr>
            <w:tcW w:w="136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195,699</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48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157,222</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44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132,203</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89,865</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3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Southeast</w:t>
            </w: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239,559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219,988</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223,348</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197,380</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320" w:type="dxa"/>
            <w:vAlign w:val="bottom"/>
          </w:tcPr>
          <w:p>
            <w:pPr>
              <w:spacing w:after="0"/>
              <w:rPr>
                <w:sz w:val="15"/>
                <w:szCs w:val="15"/>
                <w:color w:val="auto"/>
              </w:rPr>
            </w:pPr>
          </w:p>
        </w:tc>
      </w:tr>
      <w:tr>
        <w:trPr>
          <w:trHeight w:val="176"/>
        </w:trPr>
        <w:tc>
          <w:tcPr>
            <w:tcW w:w="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Northeast</w:t>
            </w:r>
          </w:p>
        </w:tc>
        <w:tc>
          <w:tcPr>
            <w:tcW w:w="1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135,107</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4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126,569</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4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134,782</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4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127,809</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320" w:type="dxa"/>
            <w:vAlign w:val="bottom"/>
            <w:shd w:val="clear" w:color="auto" w:fill="CFF0FC"/>
          </w:tcPr>
          <w:p>
            <w:pPr>
              <w:spacing w:after="0"/>
              <w:rPr>
                <w:sz w:val="15"/>
                <w:szCs w:val="15"/>
                <w:color w:val="auto"/>
              </w:rPr>
            </w:pPr>
          </w:p>
        </w:tc>
      </w:tr>
      <w:tr>
        <w:trPr>
          <w:trHeight w:val="175"/>
        </w:trPr>
        <w:tc>
          <w:tcPr>
            <w:tcW w:w="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West</w:t>
            </w: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124,736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105,918</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120,296</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100,098</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320" w:type="dxa"/>
            <w:vAlign w:val="bottom"/>
          </w:tcPr>
          <w:p>
            <w:pPr>
              <w:spacing w:after="0"/>
              <w:rPr>
                <w:sz w:val="15"/>
                <w:szCs w:val="15"/>
                <w:color w:val="auto"/>
              </w:rPr>
            </w:pPr>
          </w:p>
        </w:tc>
      </w:tr>
      <w:tr>
        <w:trPr>
          <w:trHeight w:val="175"/>
        </w:trPr>
        <w:tc>
          <w:tcPr>
            <w:tcW w:w="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Southwest</w:t>
            </w:r>
          </w:p>
        </w:tc>
        <w:tc>
          <w:tcPr>
            <w:tcW w:w="13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116,894</w:t>
            </w: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4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109,427</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4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109,347</w:t>
            </w: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4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106,634</w:t>
            </w:r>
          </w:p>
        </w:tc>
        <w:tc>
          <w:tcPr>
            <w:tcW w:w="2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320" w:type="dxa"/>
            <w:vAlign w:val="bottom"/>
            <w:tcBorders>
              <w:bottom w:val="single" w:sz="8" w:color="CFF0FC"/>
            </w:tcBorders>
            <w:shd w:val="clear" w:color="auto" w:fill="CFF0FC"/>
          </w:tcPr>
          <w:p>
            <w:pPr>
              <w:spacing w:after="0"/>
              <w:rPr>
                <w:sz w:val="15"/>
                <w:szCs w:val="15"/>
                <w:color w:val="auto"/>
              </w:rPr>
            </w:pPr>
          </w:p>
        </w:tc>
      </w:tr>
      <w:tr>
        <w:trPr>
          <w:trHeight w:val="169"/>
        </w:trPr>
        <w:tc>
          <w:tcPr>
            <w:tcW w:w="6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360" w:type="dxa"/>
            <w:vAlign w:val="bottom"/>
          </w:tcPr>
          <w:p>
            <w:pPr>
              <w:spacing w:after="0"/>
              <w:rPr>
                <w:sz w:val="14"/>
                <w:szCs w:val="14"/>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811,995</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480" w:type="dxa"/>
            <w:vAlign w:val="bottom"/>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ind w:left="200"/>
              <w:spacing w:after="0" w:line="155" w:lineRule="exact"/>
              <w:rPr>
                <w:sz w:val="20"/>
                <w:szCs w:val="20"/>
                <w:color w:val="auto"/>
              </w:rPr>
            </w:pPr>
            <w:r>
              <w:rPr>
                <w:rFonts w:ascii="Times New Roman" w:cs="Times New Roman" w:eastAsia="Times New Roman" w:hAnsi="Times New Roman"/>
                <w:sz w:val="14"/>
                <w:szCs w:val="14"/>
                <w:color w:val="auto"/>
              </w:rPr>
              <w:t>719,124</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44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719,976</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44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621,786</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32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99"/>
        </w:trPr>
        <w:tc>
          <w:tcPr>
            <w:tcW w:w="680" w:type="dxa"/>
            <w:vAlign w:val="bottom"/>
          </w:tcPr>
          <w:p>
            <w:pPr>
              <w:spacing w:after="0"/>
              <w:rPr>
                <w:sz w:val="24"/>
                <w:szCs w:val="24"/>
                <w:color w:val="auto"/>
              </w:rPr>
            </w:pPr>
          </w:p>
        </w:tc>
        <w:tc>
          <w:tcPr>
            <w:tcW w:w="9800" w:type="dxa"/>
            <w:vAlign w:val="bottom"/>
            <w:gridSpan w:val="23"/>
          </w:tcPr>
          <w:p>
            <w:pPr>
              <w:ind w:left="80"/>
              <w:spacing w:after="0"/>
              <w:rPr>
                <w:sz w:val="20"/>
                <w:szCs w:val="20"/>
                <w:color w:val="auto"/>
              </w:rPr>
            </w:pPr>
            <w:r>
              <w:rPr>
                <w:rFonts w:ascii="Times New Roman" w:cs="Times New Roman" w:eastAsia="Times New Roman" w:hAnsi="Times New Roman"/>
                <w:sz w:val="18"/>
                <w:szCs w:val="18"/>
                <w:color w:val="auto"/>
              </w:rPr>
              <w:t>The following table shows portfolio composition by type and by geographic region at fair value as a percentage of net assets.</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-410845</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-410845</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-410845</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-410845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-410845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-410845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-410845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-410845</wp:posOffset>
            </wp:positionV>
            <wp:extent cx="431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By Type</w:t>
            </w:r>
          </w:p>
        </w:tc>
        <w:tc>
          <w:tcPr>
            <w:tcW w:w="3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By Geographic Region</w:t>
            </w:r>
          </w:p>
        </w:tc>
        <w:tc>
          <w:tcPr>
            <w:tcW w:w="14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r>
      <w:tr>
        <w:trPr>
          <w:trHeight w:val="158"/>
        </w:trPr>
        <w:tc>
          <w:tcPr>
            <w:tcW w:w="2200" w:type="dxa"/>
            <w:vAlign w:val="bottom"/>
          </w:tcPr>
          <w:p>
            <w:pPr>
              <w:spacing w:after="0"/>
              <w:rPr>
                <w:sz w:val="13"/>
                <w:szCs w:val="13"/>
                <w:color w:val="auto"/>
              </w:rPr>
            </w:pPr>
          </w:p>
        </w:tc>
        <w:tc>
          <w:tcPr>
            <w:tcW w:w="1080" w:type="dxa"/>
            <w:vAlign w:val="bottom"/>
          </w:tcPr>
          <w:p>
            <w:pPr>
              <w:ind w:left="400"/>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40" w:type="dxa"/>
            <w:vAlign w:val="bottom"/>
          </w:tcPr>
          <w:p>
            <w:pPr>
              <w:jc w:val="right"/>
              <w:ind w:right="22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0" w:type="dxa"/>
            <w:vAlign w:val="bottom"/>
          </w:tcPr>
          <w:p>
            <w:pPr>
              <w:jc w:val="right"/>
              <w:ind w:right="308"/>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Pr>
          <w:p>
            <w:pPr>
              <w:spacing w:after="0"/>
              <w:rPr>
                <w:sz w:val="13"/>
                <w:szCs w:val="13"/>
                <w:color w:val="auto"/>
              </w:rPr>
            </w:pPr>
          </w:p>
        </w:tc>
        <w:tc>
          <w:tcPr>
            <w:tcW w:w="1400" w:type="dxa"/>
            <w:vAlign w:val="bottom"/>
          </w:tcPr>
          <w:p>
            <w:pPr>
              <w:jc w:val="right"/>
              <w:ind w:right="20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3"/>
                <w:szCs w:val="13"/>
                <w:color w:val="auto"/>
              </w:rPr>
            </w:pPr>
          </w:p>
        </w:tc>
      </w:tr>
      <w:tr>
        <w:trPr>
          <w:trHeight w:val="187"/>
        </w:trPr>
        <w:tc>
          <w:tcPr>
            <w:tcW w:w="3280" w:type="dxa"/>
            <w:vAlign w:val="bottom"/>
            <w:gridSpan w:val="2"/>
          </w:tcPr>
          <w:p>
            <w:pPr>
              <w:ind w:left="27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140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6"/>
                <w:szCs w:val="16"/>
                <w:color w:val="auto"/>
              </w:rPr>
            </w:pPr>
          </w:p>
        </w:tc>
      </w:tr>
      <w:tr>
        <w:trPr>
          <w:trHeight w:val="16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First Lien Debt</w:t>
            </w:r>
          </w:p>
        </w:tc>
        <w:tc>
          <w:tcPr>
            <w:tcW w:w="10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6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6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Midwest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58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3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Second Lien Debt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6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6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Southeast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5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360" w:type="dxa"/>
            <w:vAlign w:val="bottom"/>
          </w:tcPr>
          <w:p>
            <w:pPr>
              <w:spacing w:after="0"/>
              <w:rPr>
                <w:sz w:val="15"/>
                <w:szCs w:val="15"/>
                <w:color w:val="auto"/>
              </w:rPr>
            </w:pPr>
          </w:p>
        </w:tc>
      </w:tr>
      <w:tr>
        <w:trPr>
          <w:trHeight w:val="175"/>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6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6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Northeast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5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360" w:type="dxa"/>
            <w:vAlign w:val="bottom"/>
            <w:shd w:val="clear" w:color="auto" w:fill="CCEEFF"/>
          </w:tcPr>
          <w:p>
            <w:pPr>
              <w:spacing w:after="0"/>
              <w:rPr>
                <w:sz w:val="15"/>
                <w:szCs w:val="15"/>
                <w:color w:val="auto"/>
              </w:rPr>
            </w:pPr>
          </w:p>
        </w:tc>
      </w:tr>
      <w:tr>
        <w:trPr>
          <w:trHeight w:val="175"/>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6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6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West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5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360" w:type="dxa"/>
            <w:vAlign w:val="bottom"/>
          </w:tcPr>
          <w:p>
            <w:pPr>
              <w:spacing w:after="0"/>
              <w:rPr>
                <w:sz w:val="15"/>
                <w:szCs w:val="15"/>
                <w:color w:val="auto"/>
              </w:rPr>
            </w:pPr>
          </w:p>
        </w:tc>
      </w:tr>
      <w:tr>
        <w:trPr>
          <w:trHeight w:val="175"/>
        </w:trPr>
        <w:tc>
          <w:tcPr>
            <w:tcW w:w="2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0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6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6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Southwest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5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360" w:type="dxa"/>
            <w:vAlign w:val="bottom"/>
            <w:tcBorders>
              <w:bottom w:val="single" w:sz="8" w:color="CCEEFF"/>
            </w:tcBorders>
            <w:shd w:val="clear" w:color="auto" w:fill="CCEEFF"/>
          </w:tcPr>
          <w:p>
            <w:pPr>
              <w:spacing w:after="0"/>
              <w:rPr>
                <w:sz w:val="15"/>
                <w:szCs w:val="15"/>
                <w:color w:val="auto"/>
              </w:rPr>
            </w:pPr>
          </w:p>
        </w:tc>
      </w:tr>
      <w:tr>
        <w:trPr>
          <w:trHeight w:val="169"/>
        </w:trPr>
        <w:tc>
          <w:tcPr>
            <w:tcW w:w="328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3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166.9</w:t>
            </w:r>
          </w:p>
        </w:tc>
        <w:tc>
          <w:tcPr>
            <w:tcW w:w="600" w:type="dxa"/>
            <w:vAlign w:val="bottom"/>
          </w:tcPr>
          <w:p>
            <w:pPr>
              <w:jc w:val="right"/>
              <w:ind w:right="3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147.4</w:t>
            </w:r>
          </w:p>
        </w:tc>
        <w:tc>
          <w:tcPr>
            <w:tcW w:w="600" w:type="dxa"/>
            <w:vAlign w:val="bottom"/>
          </w:tcPr>
          <w:p>
            <w:pPr>
              <w:jc w:val="right"/>
              <w:ind w:right="3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166.9</w:t>
            </w:r>
          </w:p>
        </w:tc>
        <w:tc>
          <w:tcPr>
            <w:tcW w:w="580" w:type="dxa"/>
            <w:vAlign w:val="bottom"/>
          </w:tcPr>
          <w:p>
            <w:pPr>
              <w:jc w:val="right"/>
              <w:ind w:right="3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147.4</w:t>
            </w:r>
          </w:p>
        </w:tc>
        <w:tc>
          <w:tcPr>
            <w:tcW w:w="360" w:type="dxa"/>
            <w:vAlign w:val="bottom"/>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2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-145415</wp:posOffset>
            </wp:positionV>
            <wp:extent cx="51435" cy="146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14605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-145415</wp:posOffset>
            </wp:positionV>
            <wp:extent cx="51435" cy="146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14605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-145415</wp:posOffset>
            </wp:positionV>
            <wp:extent cx="43180" cy="146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3180" cy="14605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-145415</wp:posOffset>
            </wp:positionV>
            <wp:extent cx="43180" cy="146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3180" cy="146050"/>
                    </a:xfrm>
                    <a:prstGeom prst="rect">
                      <a:avLst/>
                    </a:prstGeom>
                    <a:noFill/>
                  </pic:spPr>
                </pic:pic>
              </a:graphicData>
            </a:graphic>
          </wp:anchor>
        </w:drawing>
      </w:r>
    </w:p>
    <w:p>
      <w:pPr>
        <w:spacing w:after="0" w:line="16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As of March 31, 2022 and December 31, 2021, the Company had no portfolio company investments that represented more than 10% of the total investment portfolio on a fair value or cost basis. As of March 31, 2022 and December 31, 2021, the Company's investment in Pfanstiehl, Inc. totaled $59,297 and $57,639 or 6.5% and 6.4% of total assets, respectively.</w:t>
      </w:r>
    </w:p>
    <w:p>
      <w:pPr>
        <w:spacing w:after="0" w:line="11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As of March 31, 2022, the Company had debt investments in two portfolio companies on non-accrual status. As of December 31, 2021, the Company had a debt investment in one portfolio company on non-accrual status.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jc w:val="center"/>
        <w:spacing w:after="0" w:line="238" w:lineRule="auto"/>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tbl>
      <w:tblPr>
        <w:tblLayout w:type="fixed"/>
        <w:tblInd w:w="0" w:type="dxa"/>
        <w:tblCellMar>
          <w:top w:w="0" w:type="dxa"/>
          <w:left w:w="0" w:type="dxa"/>
          <w:bottom w:w="0" w:type="dxa"/>
          <w:right w:w="0" w:type="dxa"/>
        </w:tblCellMar>
      </w:tblPr>
      <w:tr>
        <w:trPr>
          <w:trHeight w:val="166"/>
        </w:trPr>
        <w:tc>
          <w:tcPr>
            <w:tcW w:w="5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March 31, 2022</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417"/>
              <w:spacing w:after="0"/>
              <w:rPr>
                <w:sz w:val="20"/>
                <w:szCs w:val="20"/>
                <w:color w:val="auto"/>
              </w:rPr>
            </w:pPr>
            <w:r>
              <w:rPr>
                <w:rFonts w:ascii="Times New Roman" w:cs="Times New Roman" w:eastAsia="Times New Roman" w:hAnsi="Times New Roman"/>
                <w:sz w:val="13"/>
                <w:szCs w:val="13"/>
                <w:b w:val="1"/>
                <w:bCs w:val="1"/>
                <w:color w:val="auto"/>
                <w:w w:val="97"/>
              </w:rPr>
              <w:t>December 31, 2021</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35"/>
        </w:trPr>
        <w:tc>
          <w:tcPr>
            <w:tcW w:w="5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ind w:right="417"/>
              <w:spacing w:after="0" w:line="136" w:lineRule="exact"/>
              <w:rPr>
                <w:sz w:val="20"/>
                <w:szCs w:val="20"/>
                <w:color w:val="auto"/>
              </w:rPr>
            </w:pPr>
            <w:r>
              <w:rPr>
                <w:rFonts w:ascii="Times New Roman" w:cs="Times New Roman" w:eastAsia="Times New Roman" w:hAnsi="Times New Roman"/>
                <w:sz w:val="13"/>
                <w:szCs w:val="13"/>
                <w:b w:val="1"/>
                <w:bCs w:val="1"/>
                <w:color w:val="auto"/>
              </w:rPr>
              <w:t>Fair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tcPr>
          <w:p>
            <w:pPr>
              <w:jc w:val="center"/>
              <w:ind w:right="418"/>
              <w:spacing w:after="0" w:line="136"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76"/>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240" w:type="dxa"/>
            <w:vAlign w:val="bottom"/>
          </w:tcPr>
          <w:p>
            <w:pPr>
              <w:spacing w:after="0"/>
              <w:rPr>
                <w:sz w:val="15"/>
                <w:szCs w:val="15"/>
                <w:color w:val="auto"/>
              </w:rPr>
            </w:pPr>
          </w:p>
        </w:tc>
        <w:tc>
          <w:tcPr>
            <w:tcW w:w="920" w:type="dxa"/>
            <w:vAlign w:val="bottom"/>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center"/>
              <w:ind w:right="418"/>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420" w:type="dxa"/>
            <w:vAlign w:val="bottom"/>
          </w:tcPr>
          <w:p>
            <w:pPr>
              <w:spacing w:after="0"/>
              <w:rPr>
                <w:sz w:val="15"/>
                <w:szCs w:val="15"/>
                <w:color w:val="auto"/>
              </w:rPr>
            </w:pPr>
          </w:p>
        </w:tc>
        <w:tc>
          <w:tcPr>
            <w:tcW w:w="720" w:type="dxa"/>
            <w:vAlign w:val="bottom"/>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5"/>
                <w:szCs w:val="15"/>
                <w:color w:val="auto"/>
              </w:rPr>
            </w:pPr>
          </w:p>
        </w:tc>
      </w:tr>
      <w:tr>
        <w:trPr>
          <w:trHeight w:val="162"/>
        </w:trPr>
        <w:tc>
          <w:tcPr>
            <w:tcW w:w="5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US GreenFiber, LLC</w:t>
            </w:r>
          </w:p>
        </w:tc>
        <w:tc>
          <w:tcPr>
            <w:tcW w:w="180" w:type="dxa"/>
            <w:vAlign w:val="bottom"/>
          </w:tcPr>
          <w:p>
            <w:pPr>
              <w:spacing w:after="0"/>
              <w:rPr>
                <w:sz w:val="14"/>
                <w:szCs w:val="14"/>
                <w:color w:val="auto"/>
              </w:rPr>
            </w:pPr>
          </w:p>
        </w:tc>
        <w:tc>
          <w:tcPr>
            <w:tcW w:w="24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400" w:type="dxa"/>
            <w:vAlign w:val="bottom"/>
            <w:tcBorders>
              <w:top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5,223</w:t>
            </w:r>
          </w:p>
        </w:tc>
        <w:tc>
          <w:tcPr>
            <w:tcW w:w="200" w:type="dxa"/>
            <w:vAlign w:val="bottom"/>
          </w:tcPr>
          <w:p>
            <w:pPr>
              <w:spacing w:after="0"/>
              <w:rPr>
                <w:sz w:val="14"/>
                <w:szCs w:val="14"/>
                <w:color w:val="auto"/>
              </w:rPr>
            </w:pPr>
          </w:p>
        </w:tc>
        <w:tc>
          <w:tcPr>
            <w:tcW w:w="26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420" w:type="dxa"/>
            <w:vAlign w:val="bottom"/>
            <w:tcBorders>
              <w:top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5,223</w:t>
            </w: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(2)</w:t>
            </w:r>
          </w:p>
        </w:tc>
      </w:tr>
      <w:tr>
        <w:trPr>
          <w:trHeight w:val="162"/>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K2 Merger Agreement Agent, LLC (fka K2 Industrial Services, Inc.)</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2,225</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2,368</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8"/>
                <w:szCs w:val="8"/>
                <w:color w:val="auto"/>
              </w:rPr>
              <w:t>(1)</w:t>
            </w: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(1)</w:t>
            </w:r>
          </w:p>
        </w:tc>
      </w:tr>
      <w:tr>
        <w:trPr>
          <w:trHeight w:val="156"/>
        </w:trPr>
        <w:tc>
          <w:tcPr>
            <w:tcW w:w="582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2,225</w:t>
            </w:r>
          </w:p>
        </w:tc>
        <w:tc>
          <w:tcPr>
            <w:tcW w:w="200" w:type="dxa"/>
            <w:vAlign w:val="bottom"/>
            <w:tcBorders>
              <w:top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7,591</w:t>
            </w:r>
          </w:p>
        </w:tc>
        <w:tc>
          <w:tcPr>
            <w:tcW w:w="200" w:type="dxa"/>
            <w:vAlign w:val="bottom"/>
            <w:tcBorders>
              <w:top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5,223</w:t>
            </w:r>
          </w:p>
        </w:tc>
        <w:tc>
          <w:tcPr>
            <w:tcW w:w="200" w:type="dxa"/>
            <w:vAlign w:val="bottom"/>
            <w:tcBorders>
              <w:top w:val="single" w:sz="8" w:color="CCEEFF"/>
            </w:tcBorders>
          </w:tcPr>
          <w:p>
            <w:pPr>
              <w:spacing w:after="0"/>
              <w:rPr>
                <w:sz w:val="13"/>
                <w:szCs w:val="13"/>
                <w:color w:val="auto"/>
              </w:rPr>
            </w:pPr>
          </w:p>
        </w:tc>
      </w:tr>
      <w:tr>
        <w:trPr>
          <w:trHeight w:val="20"/>
        </w:trPr>
        <w:tc>
          <w:tcPr>
            <w:tcW w:w="5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-136525</wp:posOffset>
            </wp:positionV>
            <wp:extent cx="342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-136525</wp:posOffset>
            </wp:positionV>
            <wp:extent cx="342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-136525</wp:posOffset>
            </wp:positionV>
            <wp:extent cx="260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-136525</wp:posOffset>
            </wp:positionV>
            <wp:extent cx="25400"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5400" cy="137160"/>
                    </a:xfrm>
                    <a:prstGeom prst="rect">
                      <a:avLst/>
                    </a:prstGeom>
                    <a:noFill/>
                  </pic:spPr>
                </pic:pic>
              </a:graphicData>
            </a:graphic>
          </wp:anchor>
        </w:drawing>
      </w:r>
    </w:p>
    <w:p>
      <w:pPr>
        <w:spacing w:after="0" w:line="160" w:lineRule="exact"/>
        <w:rPr>
          <w:sz w:val="20"/>
          <w:szCs w:val="20"/>
          <w:color w:val="auto"/>
        </w:rPr>
      </w:pPr>
    </w:p>
    <w:p>
      <w:pPr>
        <w:ind w:left="360" w:hanging="339"/>
        <w:spacing w:after="0"/>
        <w:tabs>
          <w:tab w:leader="none" w:pos="3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company debt investment was not on non-accrual status as of December 31, 2021.</w:t>
      </w:r>
    </w:p>
    <w:p>
      <w:pPr>
        <w:spacing w:after="0" w:line="17" w:lineRule="exact"/>
        <w:rPr>
          <w:rFonts w:ascii="Times New Roman" w:cs="Times New Roman" w:eastAsia="Times New Roman" w:hAnsi="Times New Roman"/>
          <w:sz w:val="14"/>
          <w:szCs w:val="14"/>
          <w:color w:val="auto"/>
        </w:rPr>
      </w:pPr>
    </w:p>
    <w:p>
      <w:pPr>
        <w:ind w:left="360" w:hanging="339"/>
        <w:spacing w:after="0"/>
        <w:tabs>
          <w:tab w:leader="none" w:pos="3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company was on PIK-only non-accrual status at December 31, 2021, meaning the Company has ceased recognizing PIK interest income on the investment.</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Schedule of Investments In and Advances To Affiliates</w:t>
      </w:r>
    </w:p>
    <w:p>
      <w:pPr>
        <w:spacing w:after="0" w:line="16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table below represents the fair value of control and affiliate investments as of December 31, 2021 and any additions and reductions made to such investments during the three months ended March 31, 2022, the ending fair value as of March 31, 2022, and the total investment income earned on such investments during the period.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9"/>
                <w:szCs w:val="9"/>
                <w:b w:val="1"/>
                <w:bCs w:val="1"/>
                <w:color w:val="auto"/>
              </w:rPr>
              <w:t>Three Months Ended March 31, 2022</w:t>
            </w:r>
          </w:p>
        </w:tc>
        <w:tc>
          <w:tcPr>
            <w:tcW w:w="1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gridSpan w:val="2"/>
          </w:tcPr>
          <w:p>
            <w:pPr>
              <w:jc w:val="center"/>
              <w:ind w:right="240"/>
              <w:spacing w:after="0" w:line="91" w:lineRule="exact"/>
              <w:rPr>
                <w:sz w:val="20"/>
                <w:szCs w:val="20"/>
                <w:color w:val="auto"/>
              </w:rPr>
            </w:pPr>
            <w:r>
              <w:rPr>
                <w:rFonts w:ascii="Times New Roman" w:cs="Times New Roman" w:eastAsia="Times New Roman" w:hAnsi="Times New Roman"/>
                <w:sz w:val="9"/>
                <w:szCs w:val="9"/>
                <w:b w:val="1"/>
                <w:bCs w:val="1"/>
                <w:color w:val="auto"/>
                <w:w w:val="98"/>
              </w:rPr>
              <w:t>Net Change in</w:t>
            </w: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ind w:right="55"/>
              <w:spacing w:after="0" w:line="95" w:lineRule="exact"/>
              <w:rPr>
                <w:sz w:val="20"/>
                <w:szCs w:val="20"/>
                <w:color w:val="auto"/>
              </w:rPr>
            </w:pPr>
            <w:r>
              <w:rPr>
                <w:rFonts w:ascii="Times New Roman" w:cs="Times New Roman" w:eastAsia="Times New Roman" w:hAnsi="Times New Roman"/>
                <w:sz w:val="9"/>
                <w:szCs w:val="9"/>
                <w:b w:val="1"/>
                <w:bCs w:val="1"/>
                <w:color w:val="auto"/>
                <w:w w:val="97"/>
              </w:rPr>
              <w:t>March 31, 2022</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restart"/>
          </w:tcPr>
          <w:p>
            <w:pPr>
              <w:jc w:val="right"/>
              <w:ind w:right="75"/>
              <w:spacing w:after="0"/>
              <w:rPr>
                <w:sz w:val="20"/>
                <w:szCs w:val="20"/>
                <w:color w:val="auto"/>
              </w:rPr>
            </w:pPr>
            <w:r>
              <w:rPr>
                <w:rFonts w:ascii="Times New Roman" w:cs="Times New Roman" w:eastAsia="Times New Roman" w:hAnsi="Times New Roman"/>
                <w:sz w:val="9"/>
                <w:szCs w:val="9"/>
                <w:b w:val="1"/>
                <w:bCs w:val="1"/>
                <w:color w:val="auto"/>
                <w:w w:val="98"/>
              </w:rPr>
              <w:t>Net Realized</w:t>
            </w:r>
          </w:p>
        </w:tc>
        <w:tc>
          <w:tcPr>
            <w:tcW w:w="200" w:type="dxa"/>
            <w:vAlign w:val="bottom"/>
          </w:tcPr>
          <w:p>
            <w:pPr>
              <w:spacing w:after="0"/>
              <w:rPr>
                <w:sz w:val="8"/>
                <w:szCs w:val="8"/>
                <w:color w:val="auto"/>
              </w:rPr>
            </w:pPr>
          </w:p>
        </w:tc>
        <w:tc>
          <w:tcPr>
            <w:tcW w:w="820" w:type="dxa"/>
            <w:vAlign w:val="bottom"/>
            <w:gridSpan w:val="2"/>
          </w:tcPr>
          <w:p>
            <w:pPr>
              <w:jc w:val="center"/>
              <w:ind w:right="240"/>
              <w:spacing w:after="0" w:line="95" w:lineRule="exact"/>
              <w:rPr>
                <w:sz w:val="20"/>
                <w:szCs w:val="20"/>
                <w:color w:val="auto"/>
              </w:rPr>
            </w:pPr>
            <w:r>
              <w:rPr>
                <w:rFonts w:ascii="Times New Roman" w:cs="Times New Roman" w:eastAsia="Times New Roman" w:hAnsi="Times New Roman"/>
                <w:sz w:val="9"/>
                <w:szCs w:val="9"/>
                <w:b w:val="1"/>
                <w:bCs w:val="1"/>
                <w:color w:val="auto"/>
                <w:w w:val="99"/>
              </w:rPr>
              <w:t>Unrealized</w:t>
            </w: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620" w:type="dxa"/>
            <w:vAlign w:val="bottom"/>
            <w:vMerge w:val="restart"/>
          </w:tcPr>
          <w:p>
            <w:pPr>
              <w:ind w:left="20"/>
              <w:spacing w:after="0"/>
              <w:rPr>
                <w:sz w:val="20"/>
                <w:szCs w:val="20"/>
                <w:color w:val="auto"/>
              </w:rPr>
            </w:pPr>
            <w:r>
              <w:rPr>
                <w:rFonts w:ascii="Times New Roman" w:cs="Times New Roman" w:eastAsia="Times New Roman" w:hAnsi="Times New Roman"/>
                <w:sz w:val="9"/>
                <w:szCs w:val="9"/>
                <w:b w:val="1"/>
                <w:bCs w:val="1"/>
                <w:color w:val="auto"/>
              </w:rPr>
              <w:t xml:space="preserve">Portfolio Company </w:t>
            </w:r>
            <w:r>
              <w:rPr>
                <w:rFonts w:ascii="Times New Roman" w:cs="Times New Roman" w:eastAsia="Times New Roman" w:hAnsi="Times New Roman"/>
                <w:sz w:val="12"/>
                <w:szCs w:val="12"/>
                <w:b w:val="1"/>
                <w:bCs w:val="1"/>
                <w:color w:val="auto"/>
                <w:vertAlign w:val="superscript"/>
              </w:rPr>
              <w:t>(1)</w:t>
            </w:r>
          </w:p>
        </w:tc>
        <w:tc>
          <w:tcPr>
            <w:tcW w:w="120" w:type="dxa"/>
            <w:vAlign w:val="bottom"/>
          </w:tcPr>
          <w:p>
            <w:pPr>
              <w:spacing w:after="0"/>
              <w:rPr>
                <w:sz w:val="8"/>
                <w:szCs w:val="8"/>
                <w:color w:val="auto"/>
              </w:rPr>
            </w:pPr>
          </w:p>
        </w:tc>
        <w:tc>
          <w:tcPr>
            <w:tcW w:w="780" w:type="dxa"/>
            <w:vAlign w:val="bottom"/>
            <w:gridSpan w:val="2"/>
          </w:tcPr>
          <w:p>
            <w:pPr>
              <w:jc w:val="right"/>
              <w:ind w:right="15"/>
              <w:spacing w:after="0" w:line="92" w:lineRule="exact"/>
              <w:rPr>
                <w:sz w:val="20"/>
                <w:szCs w:val="20"/>
                <w:color w:val="auto"/>
              </w:rPr>
            </w:pPr>
            <w:r>
              <w:rPr>
                <w:rFonts w:ascii="Times New Roman" w:cs="Times New Roman" w:eastAsia="Times New Roman" w:hAnsi="Times New Roman"/>
                <w:sz w:val="9"/>
                <w:szCs w:val="9"/>
                <w:b w:val="1"/>
                <w:bCs w:val="1"/>
                <w:color w:val="auto"/>
              </w:rPr>
              <w:t>Principal Amount</w:t>
            </w:r>
          </w:p>
        </w:tc>
        <w:tc>
          <w:tcPr>
            <w:tcW w:w="160" w:type="dxa"/>
            <w:vAlign w:val="bottom"/>
          </w:tcPr>
          <w:p>
            <w:pPr>
              <w:spacing w:after="0"/>
              <w:rPr>
                <w:sz w:val="8"/>
                <w:szCs w:val="8"/>
                <w:color w:val="auto"/>
              </w:rPr>
            </w:pPr>
          </w:p>
        </w:tc>
        <w:tc>
          <w:tcPr>
            <w:tcW w:w="780" w:type="dxa"/>
            <w:vAlign w:val="bottom"/>
            <w:gridSpan w:val="2"/>
          </w:tcPr>
          <w:p>
            <w:pPr>
              <w:ind w:left="20"/>
              <w:spacing w:after="0" w:line="92" w:lineRule="exact"/>
              <w:rPr>
                <w:sz w:val="20"/>
                <w:szCs w:val="20"/>
                <w:color w:val="auto"/>
              </w:rPr>
            </w:pPr>
            <w:r>
              <w:rPr>
                <w:rFonts w:ascii="Times New Roman" w:cs="Times New Roman" w:eastAsia="Times New Roman" w:hAnsi="Times New Roman"/>
                <w:sz w:val="9"/>
                <w:szCs w:val="9"/>
                <w:b w:val="1"/>
                <w:bCs w:val="1"/>
                <w:color w:val="auto"/>
              </w:rPr>
              <w:t>December 31, 2021</w:t>
            </w:r>
          </w:p>
        </w:tc>
        <w:tc>
          <w:tcPr>
            <w:tcW w:w="160" w:type="dxa"/>
            <w:vAlign w:val="bottom"/>
          </w:tcPr>
          <w:p>
            <w:pPr>
              <w:spacing w:after="0"/>
              <w:rPr>
                <w:sz w:val="8"/>
                <w:szCs w:val="8"/>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97"/>
              </w:rPr>
              <w:t xml:space="preserve">Gross Additions </w:t>
            </w:r>
            <w:r>
              <w:rPr>
                <w:rFonts w:ascii="Times New Roman" w:cs="Times New Roman" w:eastAsia="Times New Roman" w:hAnsi="Times New Roman"/>
                <w:sz w:val="12"/>
                <w:szCs w:val="12"/>
                <w:b w:val="1"/>
                <w:bCs w:val="1"/>
                <w:color w:val="auto"/>
                <w:w w:val="97"/>
                <w:vertAlign w:val="superscript"/>
              </w:rPr>
              <w:t>(2)</w:t>
            </w:r>
          </w:p>
        </w:tc>
        <w:tc>
          <w:tcPr>
            <w:tcW w:w="160" w:type="dxa"/>
            <w:vAlign w:val="bottom"/>
          </w:tcPr>
          <w:p>
            <w:pPr>
              <w:spacing w:after="0"/>
              <w:rPr>
                <w:sz w:val="8"/>
                <w:szCs w:val="8"/>
                <w:color w:val="auto"/>
              </w:rPr>
            </w:pPr>
          </w:p>
        </w:tc>
        <w:tc>
          <w:tcPr>
            <w:tcW w:w="9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9"/>
                <w:szCs w:val="9"/>
                <w:b w:val="1"/>
                <w:bCs w:val="1"/>
                <w:color w:val="auto"/>
                <w:w w:val="88"/>
              </w:rPr>
              <w:t>Gross Reductions</w:t>
            </w:r>
            <w:r>
              <w:rPr>
                <w:rFonts w:ascii="Times New Roman" w:cs="Times New Roman" w:eastAsia="Times New Roman" w:hAnsi="Times New Roman"/>
                <w:sz w:val="12"/>
                <w:szCs w:val="12"/>
                <w:b w:val="1"/>
                <w:bCs w:val="1"/>
                <w:color w:val="auto"/>
                <w:w w:val="88"/>
                <w:vertAlign w:val="subscript"/>
              </w:rPr>
              <w:t>(3)</w:t>
            </w:r>
          </w:p>
        </w:tc>
        <w:tc>
          <w:tcPr>
            <w:tcW w:w="60" w:type="dxa"/>
            <w:vAlign w:val="bottom"/>
          </w:tcPr>
          <w:p>
            <w:pPr>
              <w:spacing w:after="0"/>
              <w:rPr>
                <w:sz w:val="8"/>
                <w:szCs w:val="8"/>
                <w:color w:val="auto"/>
              </w:rPr>
            </w:pPr>
          </w:p>
        </w:tc>
        <w:tc>
          <w:tcPr>
            <w:tcW w:w="820" w:type="dxa"/>
            <w:vAlign w:val="bottom"/>
            <w:gridSpan w:val="2"/>
          </w:tcPr>
          <w:p>
            <w:pPr>
              <w:jc w:val="center"/>
              <w:ind w:right="220"/>
              <w:spacing w:after="0" w:line="92" w:lineRule="exact"/>
              <w:rPr>
                <w:sz w:val="20"/>
                <w:szCs w:val="20"/>
                <w:color w:val="auto"/>
              </w:rPr>
            </w:pPr>
            <w:r>
              <w:rPr>
                <w:rFonts w:ascii="Times New Roman" w:cs="Times New Roman" w:eastAsia="Times New Roman" w:hAnsi="Times New Roman"/>
                <w:sz w:val="9"/>
                <w:szCs w:val="9"/>
                <w:b w:val="1"/>
                <w:bCs w:val="1"/>
                <w:color w:val="auto"/>
              </w:rPr>
              <w:t>March 31, 2022</w:t>
            </w:r>
          </w:p>
        </w:tc>
        <w:tc>
          <w:tcPr>
            <w:tcW w:w="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gridSpan w:val="2"/>
          </w:tcPr>
          <w:p>
            <w:pPr>
              <w:jc w:val="center"/>
              <w:ind w:right="240"/>
              <w:spacing w:after="0" w:line="92" w:lineRule="exact"/>
              <w:rPr>
                <w:sz w:val="20"/>
                <w:szCs w:val="20"/>
                <w:color w:val="auto"/>
              </w:rPr>
            </w:pPr>
            <w:r>
              <w:rPr>
                <w:rFonts w:ascii="Times New Roman" w:cs="Times New Roman" w:eastAsia="Times New Roman" w:hAnsi="Times New Roman"/>
                <w:sz w:val="9"/>
                <w:szCs w:val="9"/>
                <w:b w:val="1"/>
                <w:bCs w:val="1"/>
                <w:color w:val="auto"/>
                <w:w w:val="98"/>
              </w:rPr>
              <w:t>Appreciation</w:t>
            </w: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tcPr>
          <w:p>
            <w:pPr>
              <w:ind w:left="20"/>
              <w:spacing w:after="0" w:line="92" w:lineRule="exact"/>
              <w:rPr>
                <w:sz w:val="20"/>
                <w:szCs w:val="20"/>
                <w:color w:val="auto"/>
              </w:rPr>
            </w:pPr>
            <w:r>
              <w:rPr>
                <w:rFonts w:ascii="Times New Roman" w:cs="Times New Roman" w:eastAsia="Times New Roman" w:hAnsi="Times New Roman"/>
                <w:sz w:val="9"/>
                <w:szCs w:val="9"/>
                <w:b w:val="1"/>
                <w:bCs w:val="1"/>
                <w:color w:val="auto"/>
                <w:w w:val="98"/>
              </w:rPr>
              <w:t>Payment-in-kind</w:t>
            </w: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9"/>
                <w:szCs w:val="9"/>
                <w:b w:val="1"/>
                <w:bCs w:val="1"/>
                <w:color w:val="auto"/>
                <w:w w:val="99"/>
              </w:rPr>
              <w:t>- Debt Investments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9"/>
                <w:szCs w:val="9"/>
                <w:b w:val="1"/>
                <w:bCs w:val="1"/>
                <w:color w:val="auto"/>
              </w:rPr>
              <w:t>Fair Value</w:t>
            </w:r>
          </w:p>
        </w:tc>
        <w:tc>
          <w:tcPr>
            <w:tcW w:w="16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6"/>
              </w:rPr>
              <w:t>Fair Value</w:t>
            </w:r>
          </w:p>
        </w:tc>
        <w:tc>
          <w:tcPr>
            <w:tcW w:w="6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9"/>
                <w:szCs w:val="9"/>
                <w:b w:val="1"/>
                <w:bCs w:val="1"/>
                <w:color w:val="auto"/>
                <w:w w:val="94"/>
              </w:rPr>
              <w:t xml:space="preserve">Gains (Losses) </w:t>
            </w:r>
            <w:r>
              <w:rPr>
                <w:rFonts w:ascii="Times New Roman" w:cs="Times New Roman" w:eastAsia="Times New Roman" w:hAnsi="Times New Roman"/>
                <w:sz w:val="12"/>
                <w:szCs w:val="12"/>
                <w:b w:val="1"/>
                <w:bCs w:val="1"/>
                <w:color w:val="auto"/>
                <w:w w:val="94"/>
                <w:vertAlign w:val="superscript"/>
              </w:rPr>
              <w:t>(4)</w:t>
            </w:r>
          </w:p>
        </w:tc>
        <w:tc>
          <w:tcPr>
            <w:tcW w:w="200" w:type="dxa"/>
            <w:vAlign w:val="bottom"/>
          </w:tcPr>
          <w:p>
            <w:pPr>
              <w:spacing w:after="0"/>
              <w:rPr>
                <w:sz w:val="10"/>
                <w:szCs w:val="10"/>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rPr>
              <w:t>(Depreciation)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Interest Income</w:t>
            </w:r>
          </w:p>
        </w:tc>
        <w:tc>
          <w:tcPr>
            <w:tcW w:w="140" w:type="dxa"/>
            <w:vAlign w:val="bottom"/>
          </w:tcPr>
          <w:p>
            <w:pPr>
              <w:spacing w:after="0"/>
              <w:rPr>
                <w:sz w:val="10"/>
                <w:szCs w:val="1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Interest Income</w:t>
            </w:r>
          </w:p>
        </w:tc>
        <w:tc>
          <w:tcPr>
            <w:tcW w:w="14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w w:val="97"/>
              </w:rPr>
              <w:t>Dividend Income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115"/>
              <w:spacing w:after="0"/>
              <w:rPr>
                <w:sz w:val="20"/>
                <w:szCs w:val="20"/>
                <w:color w:val="auto"/>
              </w:rPr>
            </w:pPr>
            <w:r>
              <w:rPr>
                <w:rFonts w:ascii="Times New Roman" w:cs="Times New Roman" w:eastAsia="Times New Roman" w:hAnsi="Times New Roman"/>
                <w:sz w:val="9"/>
                <w:szCs w:val="9"/>
                <w:b w:val="1"/>
                <w:bCs w:val="1"/>
                <w:color w:val="auto"/>
                <w:w w:val="99"/>
              </w:rPr>
              <w:t>Fee Income</w:t>
            </w:r>
          </w:p>
        </w:tc>
        <w:tc>
          <w:tcPr>
            <w:tcW w:w="0" w:type="dxa"/>
            <w:vAlign w:val="bottom"/>
          </w:tcPr>
          <w:p>
            <w:pPr>
              <w:spacing w:after="0"/>
              <w:rPr>
                <w:sz w:val="1"/>
                <w:szCs w:val="1"/>
                <w:color w:val="auto"/>
              </w:rPr>
            </w:pPr>
          </w:p>
        </w:tc>
      </w:tr>
      <w:tr>
        <w:trPr>
          <w:trHeight w:val="115"/>
        </w:trPr>
        <w:tc>
          <w:tcPr>
            <w:tcW w:w="1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Control Investments</w:t>
            </w:r>
          </w:p>
        </w:tc>
        <w:tc>
          <w:tcPr>
            <w:tcW w:w="1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20" w:type="dxa"/>
            <w:vAlign w:val="bottom"/>
          </w:tcPr>
          <w:p>
            <w:pPr>
              <w:ind w:left="20"/>
              <w:spacing w:after="0" w:line="99" w:lineRule="exact"/>
              <w:rPr>
                <w:sz w:val="20"/>
                <w:szCs w:val="20"/>
                <w:color w:val="auto"/>
              </w:rPr>
            </w:pPr>
            <w:r>
              <w:rPr>
                <w:rFonts w:ascii="Times New Roman" w:cs="Times New Roman" w:eastAsia="Times New Roman" w:hAnsi="Times New Roman"/>
                <w:sz w:val="9"/>
                <w:szCs w:val="9"/>
                <w:color w:val="auto"/>
              </w:rPr>
              <w:t>Hilco Plastics Holdings, LLC (dba Hilco</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620" w:type="dxa"/>
            <w:vAlign w:val="bottom"/>
          </w:tcPr>
          <w:p>
            <w:pPr>
              <w:ind w:left="20"/>
              <w:spacing w:after="0"/>
              <w:rPr>
                <w:sz w:val="20"/>
                <w:szCs w:val="20"/>
                <w:color w:val="auto"/>
              </w:rPr>
            </w:pPr>
            <w:r>
              <w:rPr>
                <w:rFonts w:ascii="Times New Roman" w:cs="Times New Roman" w:eastAsia="Times New Roman" w:hAnsi="Times New Roman"/>
                <w:sz w:val="9"/>
                <w:szCs w:val="9"/>
                <w:color w:val="auto"/>
              </w:rPr>
              <w:t>Technologies)</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9"/>
                <w:szCs w:val="9"/>
                <w:color w:val="auto"/>
                <w:w w:val="87"/>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gridSpan w:val="2"/>
          </w:tcPr>
          <w:p>
            <w:pPr>
              <w:jc w:val="right"/>
              <w:ind w:right="175"/>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gridSpan w:val="2"/>
          </w:tcPr>
          <w:p>
            <w:pPr>
              <w:jc w:val="right"/>
              <w:ind w:right="155"/>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2"/>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Mesa Line Services, LLC</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2,151</w:t>
            </w: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499</w:t>
            </w: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(500 )</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2,150</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20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rPr>
                <w:sz w:val="20"/>
                <w:szCs w:val="20"/>
                <w:color w:val="auto"/>
              </w:rPr>
            </w:pPr>
            <w:r>
              <w:rPr>
                <w:rFonts w:ascii="Times New Roman" w:cs="Times New Roman" w:eastAsia="Times New Roman" w:hAnsi="Times New Roman"/>
                <w:sz w:val="9"/>
                <w:szCs w:val="9"/>
                <w:color w:val="auto"/>
              </w:rPr>
              <w:t>US GreenFiber, LLC</w:t>
            </w: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5,226</w:t>
            </w: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54"/>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Total Control Investments</w:t>
            </w:r>
          </w:p>
        </w:tc>
        <w:tc>
          <w:tcPr>
            <w:tcW w:w="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9"/>
                <w:szCs w:val="9"/>
                <w:color w:val="auto"/>
                <w:w w:val="87"/>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5,226</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2,151</w:t>
            </w:r>
          </w:p>
        </w:tc>
        <w:tc>
          <w:tcPr>
            <w:tcW w:w="44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499</w:t>
            </w:r>
          </w:p>
        </w:tc>
        <w:tc>
          <w:tcPr>
            <w:tcW w:w="42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(500 )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2,150</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02"/>
        </w:trPr>
        <w:tc>
          <w:tcPr>
            <w:tcW w:w="1620" w:type="dxa"/>
            <w:vAlign w:val="bottom"/>
            <w:tcBorders>
              <w:top w:val="single" w:sz="8" w:color="CCEEFF"/>
            </w:tcBorders>
          </w:tcPr>
          <w:p>
            <w:pPr>
              <w:ind w:left="20"/>
              <w:spacing w:after="0" w:line="102" w:lineRule="exact"/>
              <w:rPr>
                <w:sz w:val="20"/>
                <w:szCs w:val="20"/>
                <w:color w:val="auto"/>
              </w:rPr>
            </w:pPr>
            <w:r>
              <w:rPr>
                <w:rFonts w:ascii="Times New Roman" w:cs="Times New Roman" w:eastAsia="Times New Roman" w:hAnsi="Times New Roman"/>
                <w:sz w:val="9"/>
                <w:szCs w:val="9"/>
                <w:b w:val="1"/>
                <w:bCs w:val="1"/>
                <w:color w:val="auto"/>
              </w:rPr>
              <w:t>Affiliate Investments</w:t>
            </w:r>
          </w:p>
        </w:tc>
        <w:tc>
          <w:tcPr>
            <w:tcW w:w="12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20" w:type="dxa"/>
            <w:vAlign w:val="bottom"/>
            <w:shd w:val="clear" w:color="auto" w:fill="CCEEFF"/>
          </w:tcPr>
          <w:p>
            <w:pPr>
              <w:ind w:left="20"/>
              <w:spacing w:after="0" w:line="100" w:lineRule="exact"/>
              <w:rPr>
                <w:sz w:val="20"/>
                <w:szCs w:val="20"/>
                <w:color w:val="auto"/>
              </w:rPr>
            </w:pPr>
            <w:r>
              <w:rPr>
                <w:rFonts w:ascii="Times New Roman" w:cs="Times New Roman" w:eastAsia="Times New Roman" w:hAnsi="Times New Roman"/>
                <w:sz w:val="9"/>
                <w:szCs w:val="9"/>
                <w:color w:val="auto"/>
              </w:rPr>
              <w:t>Applegate Greenfiber Intermediate Inc.</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tcBorders>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(fka US GreenFiber, LLC)</w:t>
            </w:r>
          </w:p>
        </w:tc>
        <w:tc>
          <w:tcPr>
            <w:tcW w:w="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9"/>
                <w:szCs w:val="9"/>
                <w:color w:val="auto"/>
                <w:w w:val="87"/>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9,602</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22,405</w:t>
            </w:r>
          </w:p>
        </w:tc>
        <w:tc>
          <w:tcPr>
            <w:tcW w:w="44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12,803</w:t>
            </w:r>
          </w:p>
        </w:tc>
        <w:tc>
          <w:tcPr>
            <w:tcW w:w="42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(12,803 )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22,405</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240</w:t>
            </w: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1"/>
        </w:trPr>
        <w:tc>
          <w:tcPr>
            <w:tcW w:w="1620" w:type="dxa"/>
            <w:vAlign w:val="bottom"/>
          </w:tcPr>
          <w:p>
            <w:pPr>
              <w:ind w:left="20"/>
              <w:spacing w:after="0"/>
              <w:rPr>
                <w:sz w:val="20"/>
                <w:szCs w:val="20"/>
                <w:color w:val="auto"/>
              </w:rPr>
            </w:pPr>
            <w:r>
              <w:rPr>
                <w:rFonts w:ascii="Times New Roman" w:cs="Times New Roman" w:eastAsia="Times New Roman" w:hAnsi="Times New Roman"/>
                <w:sz w:val="9"/>
                <w:szCs w:val="9"/>
                <w:color w:val="auto"/>
              </w:rPr>
              <w:t>FAR Research Inc.</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2"/>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Medsurant Holdings, LLC</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3,662</w:t>
            </w: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37</w:t>
            </w: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3,699</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37</w:t>
            </w: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1"/>
        </w:trPr>
        <w:tc>
          <w:tcPr>
            <w:tcW w:w="1620" w:type="dxa"/>
            <w:vAlign w:val="bottom"/>
          </w:tcPr>
          <w:p>
            <w:pPr>
              <w:ind w:left="20"/>
              <w:spacing w:after="0"/>
              <w:rPr>
                <w:sz w:val="20"/>
                <w:szCs w:val="20"/>
                <w:color w:val="auto"/>
              </w:rPr>
            </w:pPr>
            <w:r>
              <w:rPr>
                <w:rFonts w:ascii="Times New Roman" w:cs="Times New Roman" w:eastAsia="Times New Roman" w:hAnsi="Times New Roman"/>
                <w:sz w:val="9"/>
                <w:szCs w:val="9"/>
                <w:color w:val="auto"/>
              </w:rPr>
              <w:t>Mirage Trailers LLC</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10,675</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355</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(11,030 )</w:t>
            </w: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324</w:t>
            </w:r>
          </w:p>
        </w:tc>
        <w:tc>
          <w:tcPr>
            <w:tcW w:w="200" w:type="dxa"/>
            <w:vAlign w:val="bottom"/>
          </w:tcPr>
          <w:p>
            <w:pPr>
              <w:spacing w:after="0"/>
              <w:rPr>
                <w:sz w:val="10"/>
                <w:szCs w:val="1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(1,694 )</w:t>
            </w:r>
          </w:p>
        </w:tc>
        <w:tc>
          <w:tcPr>
            <w:tcW w:w="30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248</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29</w:t>
            </w: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132</w:t>
            </w:r>
          </w:p>
        </w:tc>
        <w:tc>
          <w:tcPr>
            <w:tcW w:w="0" w:type="dxa"/>
            <w:vAlign w:val="bottom"/>
          </w:tcPr>
          <w:p>
            <w:pPr>
              <w:spacing w:after="0"/>
              <w:rPr>
                <w:sz w:val="1"/>
                <w:szCs w:val="1"/>
                <w:color w:val="auto"/>
              </w:rPr>
            </w:pPr>
          </w:p>
        </w:tc>
      </w:tr>
      <w:tr>
        <w:trPr>
          <w:trHeight w:val="122"/>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Pfanstiehl, Inc.</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57,639</w:t>
            </w: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1,658</w:t>
            </w: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59,297</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1,657</w:t>
            </w: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1"/>
        </w:trPr>
        <w:tc>
          <w:tcPr>
            <w:tcW w:w="1620" w:type="dxa"/>
            <w:vAlign w:val="bottom"/>
          </w:tcPr>
          <w:p>
            <w:pPr>
              <w:ind w:left="20"/>
              <w:spacing w:after="0"/>
              <w:rPr>
                <w:sz w:val="20"/>
                <w:szCs w:val="20"/>
                <w:color w:val="auto"/>
              </w:rPr>
            </w:pPr>
            <w:r>
              <w:rPr>
                <w:rFonts w:ascii="Times New Roman" w:cs="Times New Roman" w:eastAsia="Times New Roman" w:hAnsi="Times New Roman"/>
                <w:sz w:val="9"/>
                <w:szCs w:val="9"/>
                <w:color w:val="auto"/>
              </w:rPr>
              <w:t>Pinnergy, Ltd.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21,178</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(2,738 )</w:t>
            </w: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18,440</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(2,738 )</w:t>
            </w:r>
          </w:p>
        </w:tc>
        <w:tc>
          <w:tcPr>
            <w:tcW w:w="30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656</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9"/>
        </w:trPr>
        <w:tc>
          <w:tcPr>
            <w:tcW w:w="1620" w:type="dxa"/>
            <w:vAlign w:val="bottom"/>
            <w:shd w:val="clear" w:color="auto" w:fill="CCEEFF"/>
          </w:tcPr>
          <w:p>
            <w:pPr>
              <w:ind w:left="20"/>
              <w:spacing w:after="0" w:line="100" w:lineRule="exact"/>
              <w:rPr>
                <w:sz w:val="20"/>
                <w:szCs w:val="20"/>
                <w:color w:val="auto"/>
              </w:rPr>
            </w:pPr>
            <w:r>
              <w:rPr>
                <w:rFonts w:ascii="Times New Roman" w:cs="Times New Roman" w:eastAsia="Times New Roman" w:hAnsi="Times New Roman"/>
                <w:sz w:val="9"/>
                <w:szCs w:val="9"/>
                <w:color w:val="auto"/>
              </w:rPr>
              <w:t>Spectra A&amp;D Acquisition, Inc. (fka FDS</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tcBorders>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Avionics Corp.)</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13,000</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18,359</w:t>
            </w: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w:t>
            </w: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(3,359 )</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15,005</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(3,358 )</w:t>
            </w:r>
          </w:p>
        </w:tc>
        <w:tc>
          <w:tcPr>
            <w:tcW w:w="3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396</w:t>
            </w: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w:t>
            </w:r>
          </w:p>
        </w:tc>
        <w:tc>
          <w:tcPr>
            <w:tcW w:w="0" w:type="dxa"/>
            <w:vAlign w:val="bottom"/>
          </w:tcPr>
          <w:p>
            <w:pPr>
              <w:spacing w:after="0"/>
              <w:rPr>
                <w:sz w:val="1"/>
                <w:szCs w:val="1"/>
                <w:color w:val="auto"/>
              </w:rPr>
            </w:pPr>
          </w:p>
        </w:tc>
      </w:tr>
      <w:tr>
        <w:trPr>
          <w:trHeight w:val="99"/>
        </w:trPr>
        <w:tc>
          <w:tcPr>
            <w:tcW w:w="1620" w:type="dxa"/>
            <w:vAlign w:val="bottom"/>
          </w:tcPr>
          <w:p>
            <w:pPr>
              <w:ind w:left="20"/>
              <w:spacing w:after="0" w:line="99" w:lineRule="exact"/>
              <w:rPr>
                <w:sz w:val="20"/>
                <w:szCs w:val="20"/>
                <w:color w:val="auto"/>
              </w:rPr>
            </w:pPr>
            <w:r>
              <w:rPr>
                <w:rFonts w:ascii="Times New Roman" w:cs="Times New Roman" w:eastAsia="Times New Roman" w:hAnsi="Times New Roman"/>
                <w:sz w:val="9"/>
                <w:szCs w:val="9"/>
                <w:color w:val="auto"/>
              </w:rPr>
              <w:t>Steward Holding LLC (dba Steward</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3,338</w:t>
            </w: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216</w:t>
            </w: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3,554</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217</w:t>
            </w: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04"/>
        </w:trPr>
        <w:tc>
          <w:tcPr>
            <w:tcW w:w="1620" w:type="dxa"/>
            <w:vAlign w:val="bottom"/>
          </w:tcPr>
          <w:p>
            <w:pPr>
              <w:ind w:left="20"/>
              <w:spacing w:after="0"/>
              <w:rPr>
                <w:sz w:val="20"/>
                <w:szCs w:val="20"/>
                <w:color w:val="auto"/>
              </w:rPr>
            </w:pPr>
            <w:r>
              <w:rPr>
                <w:rFonts w:ascii="Times New Roman" w:cs="Times New Roman" w:eastAsia="Times New Roman" w:hAnsi="Times New Roman"/>
                <w:sz w:val="9"/>
                <w:szCs w:val="9"/>
                <w:color w:val="auto"/>
              </w:rPr>
              <w:t>Advanced Materials)</w:t>
            </w: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bottom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Total Affiliate Investments</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w w:val="87"/>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22,602</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137,284</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15,074</w:t>
            </w: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9"/>
                <w:szCs w:val="9"/>
                <w:color w:val="auto"/>
                <w:w w:val="87"/>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(29,930 )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122,428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324</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(5,879 )</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884</w:t>
            </w: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30</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656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137</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-1002030</wp:posOffset>
            </wp:positionV>
            <wp:extent cx="5537835" cy="1028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537835" cy="102870"/>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-24765</wp:posOffset>
            </wp:positionV>
            <wp:extent cx="260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-7620</wp:posOffset>
            </wp:positionV>
            <wp:extent cx="260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-24765</wp:posOffset>
            </wp:positionV>
            <wp:extent cx="254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-7620</wp:posOffset>
            </wp:positionV>
            <wp:extent cx="254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-24765</wp:posOffset>
            </wp:positionV>
            <wp:extent cx="254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-7620</wp:posOffset>
            </wp:positionV>
            <wp:extent cx="254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-24765</wp:posOffset>
            </wp:positionV>
            <wp:extent cx="342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-7620</wp:posOffset>
            </wp:positionV>
            <wp:extent cx="342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-24765</wp:posOffset>
            </wp:positionV>
            <wp:extent cx="1714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1714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-24765</wp:posOffset>
            </wp:positionV>
            <wp:extent cx="1714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-7620</wp:posOffset>
            </wp:positionV>
            <wp:extent cx="1714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254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254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-24765</wp:posOffset>
            </wp:positionV>
            <wp:extent cx="1714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1714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1714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1714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-24765</wp:posOffset>
            </wp:positionV>
            <wp:extent cx="1714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-7620</wp:posOffset>
            </wp:positionV>
            <wp:extent cx="1714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-24765</wp:posOffset>
            </wp:positionV>
            <wp:extent cx="1714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-7620</wp:posOffset>
            </wp:positionV>
            <wp:extent cx="1714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160" w:lineRule="exact"/>
        <w:rPr>
          <w:sz w:val="20"/>
          <w:szCs w:val="20"/>
          <w:color w:val="auto"/>
        </w:rPr>
      </w:pPr>
    </w:p>
    <w:p>
      <w:pPr>
        <w:ind w:left="360" w:hanging="339"/>
        <w:spacing w:after="0"/>
        <w:tabs>
          <w:tab w:leader="none" w:pos="3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investment type, industry, ownership detail for equity investments, and if the investment is income producing is disclosed in the consolidated schedule of investments.</w:t>
      </w:r>
    </w:p>
    <w:p>
      <w:pPr>
        <w:spacing w:after="0" w:line="17" w:lineRule="exact"/>
        <w:rPr>
          <w:rFonts w:ascii="Times New Roman" w:cs="Times New Roman" w:eastAsia="Times New Roman" w:hAnsi="Times New Roman"/>
          <w:sz w:val="14"/>
          <w:szCs w:val="14"/>
          <w:color w:val="auto"/>
        </w:rPr>
      </w:pPr>
    </w:p>
    <w:p>
      <w:pPr>
        <w:ind w:left="360" w:right="20" w:hanging="339"/>
        <w:spacing w:after="0" w:line="234" w:lineRule="auto"/>
        <w:tabs>
          <w:tab w:leader="none" w:pos="3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p>
      <w:pPr>
        <w:spacing w:after="0" w:line="1" w:lineRule="exact"/>
        <w:rPr>
          <w:rFonts w:ascii="Times New Roman" w:cs="Times New Roman" w:eastAsia="Times New Roman" w:hAnsi="Times New Roman"/>
          <w:sz w:val="14"/>
          <w:szCs w:val="14"/>
          <w:color w:val="auto"/>
        </w:rPr>
      </w:pPr>
    </w:p>
    <w:p>
      <w:pPr>
        <w:ind w:left="360" w:right="420" w:hanging="339"/>
        <w:spacing w:after="0" w:line="231" w:lineRule="auto"/>
        <w:tabs>
          <w:tab w:leader="none" w:pos="3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p>
      <w:pPr>
        <w:ind w:left="360" w:right="160" w:hanging="339"/>
        <w:spacing w:after="0" w:line="239" w:lineRule="auto"/>
        <w:tabs>
          <w:tab w:leader="none" w:pos="3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p>
      <w:pPr>
        <w:spacing w:after="0" w:line="15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table below represents the fair value of control and affiliate investments as of December 31, 2020 and any additions and reductions made to such investments during the year ended December 31, 2021, including the total investment income earned on such investments during the period.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9"/>
                <w:szCs w:val="9"/>
                <w:b w:val="1"/>
                <w:bCs w:val="1"/>
                <w:color w:val="auto"/>
              </w:rPr>
              <w:t>Year Ended Ended December 31, 2021</w:t>
            </w: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gridSpan w:val="2"/>
          </w:tcPr>
          <w:p>
            <w:pPr>
              <w:jc w:val="center"/>
              <w:spacing w:after="0" w:line="91" w:lineRule="exact"/>
              <w:rPr>
                <w:sz w:val="20"/>
                <w:szCs w:val="20"/>
                <w:color w:val="auto"/>
              </w:rPr>
            </w:pPr>
            <w:r>
              <w:rPr>
                <w:rFonts w:ascii="Times New Roman" w:cs="Times New Roman" w:eastAsia="Times New Roman" w:hAnsi="Times New Roman"/>
                <w:sz w:val="9"/>
                <w:szCs w:val="9"/>
                <w:b w:val="1"/>
                <w:bCs w:val="1"/>
                <w:color w:val="auto"/>
                <w:w w:val="98"/>
              </w:rPr>
              <w:t>Net Change in</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tcPr>
          <w:p>
            <w:pPr>
              <w:ind w:left="20"/>
              <w:spacing w:after="0" w:line="95" w:lineRule="exact"/>
              <w:rPr>
                <w:sz w:val="20"/>
                <w:szCs w:val="20"/>
                <w:color w:val="auto"/>
              </w:rPr>
            </w:pPr>
            <w:r>
              <w:rPr>
                <w:rFonts w:ascii="Times New Roman" w:cs="Times New Roman" w:eastAsia="Times New Roman" w:hAnsi="Times New Roman"/>
                <w:sz w:val="9"/>
                <w:szCs w:val="9"/>
                <w:b w:val="1"/>
                <w:bCs w:val="1"/>
                <w:color w:val="auto"/>
              </w:rPr>
              <w:t>December 31, 2021</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gridSpan w:val="3"/>
          </w:tcPr>
          <w:p>
            <w:pPr>
              <w:jc w:val="center"/>
              <w:ind w:right="160"/>
              <w:spacing w:after="0" w:line="95" w:lineRule="exact"/>
              <w:rPr>
                <w:sz w:val="20"/>
                <w:szCs w:val="20"/>
                <w:color w:val="auto"/>
              </w:rPr>
            </w:pPr>
            <w:r>
              <w:rPr>
                <w:rFonts w:ascii="Times New Roman" w:cs="Times New Roman" w:eastAsia="Times New Roman" w:hAnsi="Times New Roman"/>
                <w:sz w:val="9"/>
                <w:szCs w:val="9"/>
                <w:b w:val="1"/>
                <w:bCs w:val="1"/>
                <w:color w:val="auto"/>
                <w:w w:val="97"/>
              </w:rPr>
              <w:t>December</w:t>
            </w:r>
          </w:p>
        </w:tc>
        <w:tc>
          <w:tcPr>
            <w:tcW w:w="80" w:type="dxa"/>
            <w:vAlign w:val="bottom"/>
          </w:tcPr>
          <w:p>
            <w:pPr>
              <w:spacing w:after="0"/>
              <w:rPr>
                <w:sz w:val="8"/>
                <w:szCs w:val="8"/>
                <w:color w:val="auto"/>
              </w:rPr>
            </w:pPr>
          </w:p>
        </w:tc>
        <w:tc>
          <w:tcPr>
            <w:tcW w:w="8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9"/>
                <w:szCs w:val="9"/>
                <w:b w:val="1"/>
                <w:bCs w:val="1"/>
                <w:color w:val="auto"/>
              </w:rPr>
              <w:t>Net Realized</w:t>
            </w:r>
          </w:p>
        </w:tc>
        <w:tc>
          <w:tcPr>
            <w:tcW w:w="60" w:type="dxa"/>
            <w:vAlign w:val="bottom"/>
          </w:tcPr>
          <w:p>
            <w:pPr>
              <w:spacing w:after="0"/>
              <w:rPr>
                <w:sz w:val="8"/>
                <w:szCs w:val="8"/>
                <w:color w:val="auto"/>
              </w:rPr>
            </w:pPr>
          </w:p>
        </w:tc>
        <w:tc>
          <w:tcPr>
            <w:tcW w:w="580" w:type="dxa"/>
            <w:vAlign w:val="bottom"/>
          </w:tcPr>
          <w:p>
            <w:pPr>
              <w:jc w:val="center"/>
              <w:ind w:right="35"/>
              <w:spacing w:after="0" w:line="95" w:lineRule="exact"/>
              <w:rPr>
                <w:sz w:val="20"/>
                <w:szCs w:val="20"/>
                <w:color w:val="auto"/>
              </w:rPr>
            </w:pPr>
            <w:r>
              <w:rPr>
                <w:rFonts w:ascii="Times New Roman" w:cs="Times New Roman" w:eastAsia="Times New Roman" w:hAnsi="Times New Roman"/>
                <w:sz w:val="9"/>
                <w:szCs w:val="9"/>
                <w:b w:val="1"/>
                <w:bCs w:val="1"/>
                <w:color w:val="auto"/>
                <w:w w:val="99"/>
              </w:rPr>
              <w:t>Unrealized</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gridSpan w:val="2"/>
          </w:tcPr>
          <w:p>
            <w:pPr>
              <w:jc w:val="center"/>
              <w:ind w:right="200"/>
              <w:spacing w:after="0" w:line="95" w:lineRule="exact"/>
              <w:rPr>
                <w:sz w:val="20"/>
                <w:szCs w:val="20"/>
                <w:color w:val="auto"/>
              </w:rPr>
            </w:pPr>
            <w:r>
              <w:rPr>
                <w:rFonts w:ascii="Times New Roman" w:cs="Times New Roman" w:eastAsia="Times New Roman" w:hAnsi="Times New Roman"/>
                <w:sz w:val="9"/>
                <w:szCs w:val="9"/>
                <w:b w:val="1"/>
                <w:bCs w:val="1"/>
                <w:color w:val="auto"/>
              </w:rPr>
              <w:t>Payment-in-</w:t>
            </w: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9"/>
                <w:szCs w:val="9"/>
                <w:b w:val="1"/>
                <w:bCs w:val="1"/>
                <w:color w:val="auto"/>
              </w:rPr>
              <w:t xml:space="preserve">Portfolio Company </w:t>
            </w:r>
            <w:r>
              <w:rPr>
                <w:rFonts w:ascii="Times New Roman" w:cs="Times New Roman" w:eastAsia="Times New Roman" w:hAnsi="Times New Roman"/>
                <w:sz w:val="12"/>
                <w:szCs w:val="12"/>
                <w:b w:val="1"/>
                <w:bCs w:val="1"/>
                <w:color w:val="auto"/>
                <w:vertAlign w:val="superscript"/>
              </w:rPr>
              <w:t>(1)</w:t>
            </w:r>
          </w:p>
        </w:tc>
        <w:tc>
          <w:tcPr>
            <w:tcW w:w="140" w:type="dxa"/>
            <w:vAlign w:val="bottom"/>
          </w:tcPr>
          <w:p>
            <w:pPr>
              <w:spacing w:after="0"/>
              <w:rPr>
                <w:sz w:val="8"/>
                <w:szCs w:val="8"/>
                <w:color w:val="auto"/>
              </w:rPr>
            </w:pPr>
          </w:p>
        </w:tc>
        <w:tc>
          <w:tcPr>
            <w:tcW w:w="780" w:type="dxa"/>
            <w:vAlign w:val="bottom"/>
            <w:gridSpan w:val="2"/>
          </w:tcPr>
          <w:p>
            <w:pPr>
              <w:spacing w:after="0" w:line="92" w:lineRule="exact"/>
              <w:rPr>
                <w:sz w:val="20"/>
                <w:szCs w:val="20"/>
                <w:color w:val="auto"/>
              </w:rPr>
            </w:pPr>
            <w:r>
              <w:rPr>
                <w:rFonts w:ascii="Times New Roman" w:cs="Times New Roman" w:eastAsia="Times New Roman" w:hAnsi="Times New Roman"/>
                <w:sz w:val="9"/>
                <w:szCs w:val="9"/>
                <w:b w:val="1"/>
                <w:bCs w:val="1"/>
                <w:color w:val="auto"/>
              </w:rPr>
              <w:t>Principal Amount -</w:t>
            </w:r>
          </w:p>
        </w:tc>
        <w:tc>
          <w:tcPr>
            <w:tcW w:w="240" w:type="dxa"/>
            <w:vAlign w:val="bottom"/>
          </w:tcPr>
          <w:p>
            <w:pPr>
              <w:spacing w:after="0"/>
              <w:rPr>
                <w:sz w:val="8"/>
                <w:szCs w:val="8"/>
                <w:color w:val="auto"/>
              </w:rPr>
            </w:pPr>
          </w:p>
        </w:tc>
        <w:tc>
          <w:tcPr>
            <w:tcW w:w="800" w:type="dxa"/>
            <w:vAlign w:val="bottom"/>
            <w:gridSpan w:val="2"/>
          </w:tcPr>
          <w:p>
            <w:pPr>
              <w:jc w:val="right"/>
              <w:spacing w:after="0" w:line="92" w:lineRule="exact"/>
              <w:rPr>
                <w:sz w:val="20"/>
                <w:szCs w:val="20"/>
                <w:color w:val="auto"/>
              </w:rPr>
            </w:pPr>
            <w:r>
              <w:rPr>
                <w:rFonts w:ascii="Times New Roman" w:cs="Times New Roman" w:eastAsia="Times New Roman" w:hAnsi="Times New Roman"/>
                <w:sz w:val="9"/>
                <w:szCs w:val="9"/>
                <w:b w:val="1"/>
                <w:bCs w:val="1"/>
                <w:color w:val="auto"/>
              </w:rPr>
              <w:t>December 31, 2020</w:t>
            </w:r>
          </w:p>
        </w:tc>
        <w:tc>
          <w:tcPr>
            <w:tcW w:w="240" w:type="dxa"/>
            <w:vAlign w:val="bottom"/>
          </w:tcPr>
          <w:p>
            <w:pPr>
              <w:spacing w:after="0"/>
              <w:rPr>
                <w:sz w:val="8"/>
                <w:szCs w:val="8"/>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rPr>
              <w:t xml:space="preserve">Gross Additions </w:t>
            </w:r>
            <w:r>
              <w:rPr>
                <w:rFonts w:ascii="Times New Roman" w:cs="Times New Roman" w:eastAsia="Times New Roman" w:hAnsi="Times New Roman"/>
                <w:sz w:val="12"/>
                <w:szCs w:val="12"/>
                <w:b w:val="1"/>
                <w:bCs w:val="1"/>
                <w:color w:val="auto"/>
                <w:vertAlign w:val="superscript"/>
              </w:rPr>
              <w:t>(2)</w:t>
            </w:r>
          </w:p>
        </w:tc>
        <w:tc>
          <w:tcPr>
            <w:tcW w:w="240" w:type="dxa"/>
            <w:vAlign w:val="bottom"/>
          </w:tcPr>
          <w:p>
            <w:pPr>
              <w:spacing w:after="0"/>
              <w:rPr>
                <w:sz w:val="8"/>
                <w:szCs w:val="8"/>
                <w:color w:val="auto"/>
              </w:rPr>
            </w:pP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9"/>
                <w:szCs w:val="9"/>
                <w:b w:val="1"/>
                <w:bCs w:val="1"/>
                <w:color w:val="auto"/>
              </w:rPr>
              <w:t>Gross Reductions</w:t>
            </w:r>
            <w:r>
              <w:rPr>
                <w:rFonts w:ascii="Times New Roman" w:cs="Times New Roman" w:eastAsia="Times New Roman" w:hAnsi="Times New Roman"/>
                <w:sz w:val="12"/>
                <w:szCs w:val="12"/>
                <w:b w:val="1"/>
                <w:bCs w:val="1"/>
                <w:color w:val="auto"/>
                <w:vertAlign w:val="subscript"/>
              </w:rPr>
              <w:t>(3)</w:t>
            </w:r>
          </w:p>
        </w:tc>
        <w:tc>
          <w:tcPr>
            <w:tcW w:w="80" w:type="dxa"/>
            <w:vAlign w:val="bottom"/>
          </w:tcPr>
          <w:p>
            <w:pPr>
              <w:spacing w:after="0"/>
              <w:rPr>
                <w:sz w:val="8"/>
                <w:szCs w:val="8"/>
                <w:color w:val="auto"/>
              </w:rPr>
            </w:pPr>
          </w:p>
        </w:tc>
        <w:tc>
          <w:tcPr>
            <w:tcW w:w="440" w:type="dxa"/>
            <w:vAlign w:val="bottom"/>
          </w:tcPr>
          <w:p>
            <w:pPr>
              <w:jc w:val="center"/>
              <w:ind w:right="55"/>
              <w:spacing w:after="0" w:line="92" w:lineRule="exact"/>
              <w:rPr>
                <w:sz w:val="20"/>
                <w:szCs w:val="20"/>
                <w:color w:val="auto"/>
              </w:rPr>
            </w:pPr>
            <w:r>
              <w:rPr>
                <w:rFonts w:ascii="Times New Roman" w:cs="Times New Roman" w:eastAsia="Times New Roman" w:hAnsi="Times New Roman"/>
                <w:sz w:val="9"/>
                <w:szCs w:val="9"/>
                <w:b w:val="1"/>
                <w:bCs w:val="1"/>
                <w:color w:val="auto"/>
                <w:w w:val="95"/>
              </w:rPr>
              <w:t>31, 2021</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jc w:val="center"/>
              <w:ind w:right="35"/>
              <w:spacing w:after="0" w:line="92" w:lineRule="exact"/>
              <w:rPr>
                <w:sz w:val="20"/>
                <w:szCs w:val="20"/>
                <w:color w:val="auto"/>
              </w:rPr>
            </w:pPr>
            <w:r>
              <w:rPr>
                <w:rFonts w:ascii="Times New Roman" w:cs="Times New Roman" w:eastAsia="Times New Roman" w:hAnsi="Times New Roman"/>
                <w:sz w:val="9"/>
                <w:szCs w:val="9"/>
                <w:b w:val="1"/>
                <w:bCs w:val="1"/>
                <w:color w:val="auto"/>
                <w:w w:val="98"/>
              </w:rPr>
              <w:t>Appreciation</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jc w:val="right"/>
              <w:ind w:right="115"/>
              <w:spacing w:after="0" w:line="92" w:lineRule="exact"/>
              <w:rPr>
                <w:sz w:val="20"/>
                <w:szCs w:val="20"/>
                <w:color w:val="auto"/>
              </w:rPr>
            </w:pPr>
            <w:r>
              <w:rPr>
                <w:rFonts w:ascii="Times New Roman" w:cs="Times New Roman" w:eastAsia="Times New Roman" w:hAnsi="Times New Roman"/>
                <w:sz w:val="9"/>
                <w:szCs w:val="9"/>
                <w:b w:val="1"/>
                <w:bCs w:val="1"/>
                <w:color w:val="auto"/>
              </w:rPr>
              <w:t>Interest</w:t>
            </w:r>
          </w:p>
        </w:tc>
        <w:tc>
          <w:tcPr>
            <w:tcW w:w="220" w:type="dxa"/>
            <w:vAlign w:val="bottom"/>
          </w:tcPr>
          <w:p>
            <w:pPr>
              <w:spacing w:after="0"/>
              <w:rPr>
                <w:sz w:val="8"/>
                <w:szCs w:val="8"/>
                <w:color w:val="auto"/>
              </w:rPr>
            </w:pPr>
          </w:p>
        </w:tc>
        <w:tc>
          <w:tcPr>
            <w:tcW w:w="720" w:type="dxa"/>
            <w:vAlign w:val="bottom"/>
            <w:gridSpan w:val="2"/>
          </w:tcPr>
          <w:p>
            <w:pPr>
              <w:jc w:val="center"/>
              <w:ind w:right="220"/>
              <w:spacing w:after="0" w:line="92" w:lineRule="exact"/>
              <w:rPr>
                <w:sz w:val="20"/>
                <w:szCs w:val="20"/>
                <w:color w:val="auto"/>
              </w:rPr>
            </w:pPr>
            <w:r>
              <w:rPr>
                <w:rFonts w:ascii="Times New Roman" w:cs="Times New Roman" w:eastAsia="Times New Roman" w:hAnsi="Times New Roman"/>
                <w:sz w:val="9"/>
                <w:szCs w:val="9"/>
                <w:b w:val="1"/>
                <w:bCs w:val="1"/>
                <w:color w:val="auto"/>
              </w:rPr>
              <w:t>kind Interest</w:t>
            </w:r>
          </w:p>
        </w:tc>
        <w:tc>
          <w:tcPr>
            <w:tcW w:w="100" w:type="dxa"/>
            <w:vAlign w:val="bottom"/>
          </w:tcPr>
          <w:p>
            <w:pPr>
              <w:spacing w:after="0"/>
              <w:rPr>
                <w:sz w:val="8"/>
                <w:szCs w:val="8"/>
                <w:color w:val="auto"/>
              </w:rPr>
            </w:pPr>
          </w:p>
        </w:tc>
        <w:tc>
          <w:tcPr>
            <w:tcW w:w="560" w:type="dxa"/>
            <w:vAlign w:val="bottom"/>
          </w:tcPr>
          <w:p>
            <w:pPr>
              <w:jc w:val="right"/>
              <w:ind w:right="115"/>
              <w:spacing w:after="0" w:line="92" w:lineRule="exact"/>
              <w:rPr>
                <w:sz w:val="20"/>
                <w:szCs w:val="20"/>
                <w:color w:val="auto"/>
              </w:rPr>
            </w:pPr>
            <w:r>
              <w:rPr>
                <w:rFonts w:ascii="Times New Roman" w:cs="Times New Roman" w:eastAsia="Times New Roman" w:hAnsi="Times New Roman"/>
                <w:sz w:val="9"/>
                <w:szCs w:val="9"/>
                <w:b w:val="1"/>
                <w:bCs w:val="1"/>
                <w:color w:val="auto"/>
              </w:rPr>
              <w:t>Dividend</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7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9"/>
                <w:szCs w:val="9"/>
                <w:b w:val="1"/>
                <w:bCs w:val="1"/>
                <w:color w:val="auto"/>
                <w:w w:val="95"/>
              </w:rPr>
              <w:t>Debt Investments</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9"/>
                <w:szCs w:val="9"/>
                <w:b w:val="1"/>
                <w:bCs w:val="1"/>
                <w:color w:val="auto"/>
              </w:rPr>
              <w:t>Fair Value</w:t>
            </w:r>
          </w:p>
        </w:tc>
        <w:tc>
          <w:tcPr>
            <w:tcW w:w="2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660" w:type="dxa"/>
            <w:vAlign w:val="bottom"/>
            <w:gridSpan w:val="3"/>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w w:val="96"/>
              </w:rPr>
              <w:t>Fair Value</w:t>
            </w:r>
          </w:p>
        </w:tc>
        <w:tc>
          <w:tcPr>
            <w:tcW w:w="880" w:type="dxa"/>
            <w:vAlign w:val="bottom"/>
            <w:gridSpan w:val="3"/>
          </w:tcPr>
          <w:p>
            <w:pPr>
              <w:jc w:val="right"/>
              <w:ind w:right="200"/>
              <w:spacing w:after="0" w:line="122" w:lineRule="exact"/>
              <w:rPr>
                <w:sz w:val="20"/>
                <w:szCs w:val="20"/>
                <w:color w:val="auto"/>
              </w:rPr>
            </w:pPr>
            <w:r>
              <w:rPr>
                <w:rFonts w:ascii="Times New Roman" w:cs="Times New Roman" w:eastAsia="Times New Roman" w:hAnsi="Times New Roman"/>
                <w:sz w:val="9"/>
                <w:szCs w:val="9"/>
                <w:b w:val="1"/>
                <w:bCs w:val="1"/>
                <w:color w:val="auto"/>
                <w:w w:val="97"/>
              </w:rPr>
              <w:t xml:space="preserve">Gains (Losses) </w:t>
            </w:r>
            <w:r>
              <w:rPr>
                <w:rFonts w:ascii="Times New Roman" w:cs="Times New Roman" w:eastAsia="Times New Roman" w:hAnsi="Times New Roman"/>
                <w:sz w:val="12"/>
                <w:szCs w:val="12"/>
                <w:b w:val="1"/>
                <w:bCs w:val="1"/>
                <w:color w:val="auto"/>
                <w:w w:val="97"/>
                <w:vertAlign w:val="superscript"/>
              </w:rPr>
              <w:t>(4)</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9"/>
                <w:szCs w:val="9"/>
                <w:b w:val="1"/>
                <w:bCs w:val="1"/>
                <w:color w:val="auto"/>
              </w:rPr>
              <w:t>(Depreciation)</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115"/>
              <w:spacing w:after="0"/>
              <w:rPr>
                <w:sz w:val="20"/>
                <w:szCs w:val="20"/>
                <w:color w:val="auto"/>
              </w:rPr>
            </w:pPr>
            <w:r>
              <w:rPr>
                <w:rFonts w:ascii="Times New Roman" w:cs="Times New Roman" w:eastAsia="Times New Roman" w:hAnsi="Times New Roman"/>
                <w:sz w:val="9"/>
                <w:szCs w:val="9"/>
                <w:b w:val="1"/>
                <w:bCs w:val="1"/>
                <w:color w:val="auto"/>
              </w:rPr>
              <w:t>Income</w:t>
            </w:r>
          </w:p>
        </w:tc>
        <w:tc>
          <w:tcPr>
            <w:tcW w:w="220" w:type="dxa"/>
            <w:vAlign w:val="bottom"/>
          </w:tcPr>
          <w:p>
            <w:pPr>
              <w:spacing w:after="0"/>
              <w:rPr>
                <w:sz w:val="10"/>
                <w:szCs w:val="10"/>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8"/>
              </w:rPr>
              <w:t>Income</w:t>
            </w:r>
          </w:p>
        </w:tc>
        <w:tc>
          <w:tcPr>
            <w:tcW w:w="100" w:type="dxa"/>
            <w:vAlign w:val="bottom"/>
          </w:tcPr>
          <w:p>
            <w:pPr>
              <w:spacing w:after="0"/>
              <w:rPr>
                <w:sz w:val="10"/>
                <w:szCs w:val="10"/>
                <w:color w:val="auto"/>
              </w:rPr>
            </w:pPr>
          </w:p>
        </w:tc>
        <w:tc>
          <w:tcPr>
            <w:tcW w:w="560" w:type="dxa"/>
            <w:vAlign w:val="bottom"/>
          </w:tcPr>
          <w:p>
            <w:pPr>
              <w:jc w:val="right"/>
              <w:ind w:right="135"/>
              <w:spacing w:after="0"/>
              <w:rPr>
                <w:sz w:val="20"/>
                <w:szCs w:val="20"/>
                <w:color w:val="auto"/>
              </w:rPr>
            </w:pPr>
            <w:r>
              <w:rPr>
                <w:rFonts w:ascii="Times New Roman" w:cs="Times New Roman" w:eastAsia="Times New Roman" w:hAnsi="Times New Roman"/>
                <w:sz w:val="9"/>
                <w:szCs w:val="9"/>
                <w:b w:val="1"/>
                <w:bCs w:val="1"/>
                <w:color w:val="auto"/>
              </w:rPr>
              <w:t>Income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b w:val="1"/>
                <w:bCs w:val="1"/>
                <w:color w:val="auto"/>
                <w:w w:val="99"/>
              </w:rPr>
              <w:t>Fee Income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Control Investments</w:t>
            </w:r>
          </w:p>
        </w:tc>
        <w:tc>
          <w:tcPr>
            <w:tcW w:w="14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00" w:type="dxa"/>
            <w:vAlign w:val="bottom"/>
          </w:tcPr>
          <w:p>
            <w:pPr>
              <w:ind w:left="20"/>
              <w:spacing w:after="0" w:line="95" w:lineRule="exact"/>
              <w:rPr>
                <w:sz w:val="20"/>
                <w:szCs w:val="20"/>
                <w:color w:val="auto"/>
              </w:rPr>
            </w:pPr>
            <w:r>
              <w:rPr>
                <w:rFonts w:ascii="Times New Roman" w:cs="Times New Roman" w:eastAsia="Times New Roman" w:hAnsi="Times New Roman"/>
                <w:sz w:val="9"/>
                <w:szCs w:val="9"/>
                <w:color w:val="auto"/>
              </w:rPr>
              <w:t>Hilco Plastics Holdings, LLC (dba Hilco</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20"/>
              <w:spacing w:after="0" w:line="135" w:lineRule="exact"/>
              <w:rPr>
                <w:sz w:val="20"/>
                <w:szCs w:val="20"/>
                <w:color w:val="auto"/>
              </w:rPr>
            </w:pPr>
            <w:r>
              <w:rPr>
                <w:rFonts w:ascii="Times New Roman" w:cs="Times New Roman" w:eastAsia="Times New Roman" w:hAnsi="Times New Roman"/>
                <w:sz w:val="9"/>
                <w:szCs w:val="9"/>
                <w:color w:val="auto"/>
              </w:rPr>
              <w:t>Technologies)</w:t>
            </w:r>
            <w:r>
              <w:rPr>
                <w:rFonts w:ascii="Times New Roman" w:cs="Times New Roman" w:eastAsia="Times New Roman" w:hAnsi="Times New Roman"/>
                <w:sz w:val="12"/>
                <w:szCs w:val="12"/>
                <w:color w:val="auto"/>
                <w:vertAlign w:val="superscript"/>
              </w:rPr>
              <w:t>(6)</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9"/>
                <w:szCs w:val="9"/>
                <w:color w:val="auto"/>
                <w:w w:val="87"/>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gridSpan w:val="2"/>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tcPr>
          <w:p>
            <w:pPr>
              <w:jc w:val="right"/>
              <w:ind w:right="195"/>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1,577</w:t>
            </w:r>
          </w:p>
        </w:tc>
        <w:tc>
          <w:tcPr>
            <w:tcW w:w="500" w:type="dxa"/>
            <w:vAlign w:val="bottom"/>
            <w:gridSpan w:val="2"/>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(1,577 )</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(881 )</w:t>
            </w: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308</w:t>
            </w:r>
          </w:p>
        </w:tc>
        <w:tc>
          <w:tcPr>
            <w:tcW w:w="2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568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9"/>
                <w:szCs w:val="9"/>
                <w:color w:val="auto"/>
              </w:rPr>
              <w:t xml:space="preserve">Mesa Line Services, LLC </w:t>
            </w:r>
            <w:r>
              <w:rPr>
                <w:rFonts w:ascii="Times New Roman" w:cs="Times New Roman" w:eastAsia="Times New Roman" w:hAnsi="Times New Roman"/>
                <w:sz w:val="12"/>
                <w:szCs w:val="12"/>
                <w:color w:val="auto"/>
                <w:vertAlign w:val="superscript"/>
              </w:rPr>
              <w:t>(6)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32,708</w:t>
            </w: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(30,557 )</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2,151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20,445</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2,150</w:t>
            </w: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951</w:t>
            </w:r>
          </w:p>
        </w:tc>
        <w:tc>
          <w:tcPr>
            <w:tcW w:w="22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903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1,472</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700" w:type="dxa"/>
            <w:vAlign w:val="bottom"/>
          </w:tcPr>
          <w:p>
            <w:pPr>
              <w:ind w:left="20"/>
              <w:spacing w:after="0" w:line="95" w:lineRule="exact"/>
              <w:rPr>
                <w:sz w:val="20"/>
                <w:szCs w:val="20"/>
                <w:color w:val="auto"/>
              </w:rPr>
            </w:pPr>
            <w:r>
              <w:rPr>
                <w:rFonts w:ascii="Times New Roman" w:cs="Times New Roman" w:eastAsia="Times New Roman" w:hAnsi="Times New Roman"/>
                <w:sz w:val="9"/>
                <w:szCs w:val="9"/>
                <w:color w:val="auto"/>
              </w:rPr>
              <w:t>Spectra A&amp;D Acquisition, Inc. (fka FDS</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20"/>
              <w:spacing w:after="0" w:line="135" w:lineRule="exact"/>
              <w:rPr>
                <w:sz w:val="20"/>
                <w:szCs w:val="20"/>
                <w:color w:val="auto"/>
              </w:rPr>
            </w:pPr>
            <w:r>
              <w:rPr>
                <w:rFonts w:ascii="Times New Roman" w:cs="Times New Roman" w:eastAsia="Times New Roman" w:hAnsi="Times New Roman"/>
                <w:sz w:val="9"/>
                <w:szCs w:val="9"/>
                <w:color w:val="auto"/>
              </w:rPr>
              <w:t>Avionics Corp.)</w:t>
            </w:r>
            <w:r>
              <w:rPr>
                <w:rFonts w:ascii="Times New Roman" w:cs="Times New Roman" w:eastAsia="Times New Roman" w:hAnsi="Times New Roman"/>
                <w:sz w:val="12"/>
                <w:szCs w:val="12"/>
                <w:color w:val="auto"/>
                <w:vertAlign w:val="superscript"/>
              </w:rPr>
              <w:t>(5)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7,391</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1,986</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(9,377 )</w:t>
            </w:r>
          </w:p>
        </w:tc>
        <w:tc>
          <w:tcPr>
            <w:tcW w:w="8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957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1,028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90</w:t>
            </w:r>
          </w:p>
        </w:tc>
        <w:tc>
          <w:tcPr>
            <w:tcW w:w="22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US GreenFiber, LLC</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5,226</w:t>
            </w: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20,862</w:t>
            </w: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5,214</w:t>
            </w: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(26,076 )</w:t>
            </w: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(3,144 )</w:t>
            </w:r>
          </w:p>
        </w:tc>
        <w:tc>
          <w:tcPr>
            <w:tcW w:w="16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2,386</w:t>
            </w:r>
          </w:p>
        </w:tc>
        <w:tc>
          <w:tcPr>
            <w:tcW w:w="220" w:type="dxa"/>
            <w:vAlign w:val="bottom"/>
            <w:tcBorders>
              <w:right w:val="single" w:sz="8" w:color="CCEEFF"/>
            </w:tcBorders>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1,214</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70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rPr>
              <w:t>Total Control Investments</w:t>
            </w:r>
          </w:p>
        </w:tc>
        <w:tc>
          <w:tcPr>
            <w:tcW w:w="140" w:type="dxa"/>
            <w:vAlign w:val="bottom"/>
          </w:tcPr>
          <w:p>
            <w:pPr>
              <w:spacing w:after="0"/>
              <w:rPr>
                <w:sz w:val="9"/>
                <w:szCs w:val="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9"/>
                <w:szCs w:val="9"/>
                <w:color w:val="auto"/>
                <w:w w:val="87"/>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5,226</w:t>
            </w:r>
          </w:p>
        </w:tc>
        <w:tc>
          <w:tcPr>
            <w:tcW w:w="240" w:type="dxa"/>
            <w:vAlign w:val="bottom"/>
          </w:tcPr>
          <w:p>
            <w:pPr>
              <w:spacing w:after="0"/>
              <w:rPr>
                <w:sz w:val="9"/>
                <w:szCs w:val="9"/>
                <w:color w:val="auto"/>
              </w:rPr>
            </w:pPr>
          </w:p>
        </w:tc>
        <w:tc>
          <w:tcPr>
            <w:tcW w:w="14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w w:val="87"/>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28,253</w:t>
            </w:r>
          </w:p>
        </w:tc>
        <w:tc>
          <w:tcPr>
            <w:tcW w:w="240" w:type="dxa"/>
            <w:vAlign w:val="bottom"/>
          </w:tcPr>
          <w:p>
            <w:pPr>
              <w:spacing w:after="0"/>
              <w:rPr>
                <w:sz w:val="9"/>
                <w:szCs w:val="9"/>
                <w:color w:val="auto"/>
              </w:rPr>
            </w:pPr>
          </w:p>
        </w:tc>
        <w:tc>
          <w:tcPr>
            <w:tcW w:w="30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41,485</w:t>
            </w:r>
          </w:p>
        </w:tc>
        <w:tc>
          <w:tcPr>
            <w:tcW w:w="240" w:type="dxa"/>
            <w:vAlign w:val="bottom"/>
          </w:tcPr>
          <w:p>
            <w:pPr>
              <w:spacing w:after="0"/>
              <w:rPr>
                <w:sz w:val="9"/>
                <w:szCs w:val="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(67,587 )</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2,151</w:t>
            </w:r>
          </w:p>
        </w:tc>
        <w:tc>
          <w:tcPr>
            <w:tcW w:w="140" w:type="dxa"/>
            <w:vAlign w:val="bottom"/>
          </w:tcPr>
          <w:p>
            <w:pPr>
              <w:spacing w:after="0"/>
              <w:rPr>
                <w:sz w:val="9"/>
                <w:szCs w:val="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20,521</w:t>
            </w:r>
          </w:p>
        </w:tc>
        <w:tc>
          <w:tcPr>
            <w:tcW w:w="16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3,735</w:t>
            </w:r>
          </w:p>
        </w:tc>
        <w:tc>
          <w:tcPr>
            <w:tcW w:w="2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2,117</w:t>
            </w:r>
          </w:p>
        </w:tc>
        <w:tc>
          <w:tcPr>
            <w:tcW w:w="140" w:type="dxa"/>
            <w:vAlign w:val="bottom"/>
          </w:tcPr>
          <w:p>
            <w:pPr>
              <w:spacing w:after="0"/>
              <w:rPr>
                <w:sz w:val="9"/>
                <w:szCs w:val="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568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1,872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Affiliate Investments</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tcBorders>
              <w:lef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0" w:type="dxa"/>
            <w:vAlign w:val="bottom"/>
            <w:tcBorders>
              <w:right w:val="single" w:sz="8" w:color="CCEEFF"/>
            </w:tcBorders>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700" w:type="dxa"/>
            <w:vAlign w:val="bottom"/>
          </w:tcPr>
          <w:p>
            <w:pPr>
              <w:ind w:left="20"/>
              <w:spacing w:after="0" w:line="99" w:lineRule="exact"/>
              <w:rPr>
                <w:sz w:val="20"/>
                <w:szCs w:val="20"/>
                <w:color w:val="auto"/>
              </w:rPr>
            </w:pPr>
            <w:r>
              <w:rPr>
                <w:rFonts w:ascii="Times New Roman" w:cs="Times New Roman" w:eastAsia="Times New Roman" w:hAnsi="Times New Roman"/>
                <w:sz w:val="9"/>
                <w:szCs w:val="9"/>
                <w:color w:val="auto"/>
              </w:rPr>
              <w:t>Applegate Greenfiber Intermediate Inc.</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700" w:type="dxa"/>
            <w:vAlign w:val="bottom"/>
          </w:tcPr>
          <w:p>
            <w:pPr>
              <w:ind w:left="20"/>
              <w:spacing w:after="0"/>
              <w:rPr>
                <w:sz w:val="20"/>
                <w:szCs w:val="20"/>
                <w:color w:val="auto"/>
              </w:rPr>
            </w:pPr>
            <w:r>
              <w:rPr>
                <w:rFonts w:ascii="Times New Roman" w:cs="Times New Roman" w:eastAsia="Times New Roman" w:hAnsi="Times New Roman"/>
                <w:sz w:val="9"/>
                <w:szCs w:val="9"/>
                <w:color w:val="auto"/>
              </w:rPr>
              <w:t>(fka US GreenFiber, LLC)</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9"/>
                <w:szCs w:val="9"/>
                <w:color w:val="auto"/>
                <w:w w:val="87"/>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9,602</w:t>
            </w:r>
          </w:p>
        </w:tc>
        <w:tc>
          <w:tcPr>
            <w:tcW w:w="380" w:type="dxa"/>
            <w:vAlign w:val="bottom"/>
            <w:gridSpan w:val="2"/>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tcPr>
          <w:p>
            <w:pPr>
              <w:jc w:val="right"/>
              <w:ind w:right="195"/>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22,405</w:t>
            </w:r>
          </w:p>
        </w:tc>
        <w:tc>
          <w:tcPr>
            <w:tcW w:w="500" w:type="dxa"/>
            <w:vAlign w:val="bottom"/>
            <w:gridSpan w:val="2"/>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22,405</w:t>
            </w:r>
          </w:p>
        </w:tc>
        <w:tc>
          <w:tcPr>
            <w:tcW w:w="14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FAR Research Inc.</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28</w:t>
            </w: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28</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Borders>
              <w:right w:val="single" w:sz="8" w:color="CCEEFF"/>
            </w:tcBorders>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00" w:type="dxa"/>
            <w:vAlign w:val="bottom"/>
          </w:tcPr>
          <w:p>
            <w:pPr>
              <w:ind w:left="20"/>
              <w:spacing w:after="0"/>
              <w:rPr>
                <w:sz w:val="20"/>
                <w:szCs w:val="20"/>
                <w:color w:val="auto"/>
              </w:rPr>
            </w:pPr>
            <w:r>
              <w:rPr>
                <w:rFonts w:ascii="Times New Roman" w:cs="Times New Roman" w:eastAsia="Times New Roman" w:hAnsi="Times New Roman"/>
                <w:sz w:val="9"/>
                <w:szCs w:val="9"/>
                <w:color w:val="auto"/>
              </w:rPr>
              <w:t>Fiber Materials, Inc.</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41</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94</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(135 )</w:t>
            </w: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94</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(42 )</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0"/>
                <w:szCs w:val="1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Medsurant Holdings, LLC</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10,960</w:t>
            </w: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733</w:t>
            </w: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(8,031 )</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3,662</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687</w:t>
            </w:r>
          </w:p>
        </w:tc>
        <w:tc>
          <w:tcPr>
            <w:tcW w:w="16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331</w:t>
            </w:r>
          </w:p>
        </w:tc>
        <w:tc>
          <w:tcPr>
            <w:tcW w:w="220" w:type="dxa"/>
            <w:vAlign w:val="bottom"/>
            <w:tcBorders>
              <w:right w:val="single" w:sz="8" w:color="CCEEFF"/>
            </w:tcBorders>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91</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00" w:type="dxa"/>
            <w:vAlign w:val="bottom"/>
          </w:tcPr>
          <w:p>
            <w:pPr>
              <w:ind w:left="20"/>
              <w:spacing w:after="0"/>
              <w:rPr>
                <w:sz w:val="20"/>
                <w:szCs w:val="20"/>
                <w:color w:val="auto"/>
              </w:rPr>
            </w:pPr>
            <w:r>
              <w:rPr>
                <w:rFonts w:ascii="Times New Roman" w:cs="Times New Roman" w:eastAsia="Times New Roman" w:hAnsi="Times New Roman"/>
                <w:sz w:val="9"/>
                <w:szCs w:val="9"/>
                <w:color w:val="auto"/>
              </w:rPr>
              <w:t>Mirage Trailers LLC</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6,705</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6,494</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4,225</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(44 )</w:t>
            </w: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10,675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3,871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761</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338</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Pfanstiehl, Inc.</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33,505</w:t>
            </w: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24,134</w:t>
            </w: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57,639</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24,135</w:t>
            </w:r>
          </w:p>
        </w:tc>
        <w:tc>
          <w:tcPr>
            <w:tcW w:w="16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Borders>
              <w:right w:val="single" w:sz="8" w:color="CCEEFF"/>
            </w:tcBorders>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1,062</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00" w:type="dxa"/>
            <w:vAlign w:val="bottom"/>
          </w:tcPr>
          <w:p>
            <w:pPr>
              <w:ind w:left="20"/>
              <w:spacing w:after="0"/>
              <w:rPr>
                <w:sz w:val="20"/>
                <w:szCs w:val="20"/>
                <w:color w:val="auto"/>
              </w:rPr>
            </w:pPr>
            <w:r>
              <w:rPr>
                <w:rFonts w:ascii="Times New Roman" w:cs="Times New Roman" w:eastAsia="Times New Roman" w:hAnsi="Times New Roman"/>
                <w:sz w:val="9"/>
                <w:szCs w:val="9"/>
                <w:color w:val="auto"/>
              </w:rPr>
              <w:t>Pinnergy, Ltd.</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20,589</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589</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21,178</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589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0"/>
                <w:szCs w:val="1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700" w:type="dxa"/>
            <w:vAlign w:val="bottom"/>
            <w:shd w:val="clear" w:color="auto" w:fill="CCEEFF"/>
          </w:tcPr>
          <w:p>
            <w:pPr>
              <w:ind w:left="20"/>
              <w:spacing w:after="0" w:line="95" w:lineRule="exact"/>
              <w:rPr>
                <w:sz w:val="20"/>
                <w:szCs w:val="20"/>
                <w:color w:val="auto"/>
              </w:rPr>
            </w:pPr>
            <w:r>
              <w:rPr>
                <w:rFonts w:ascii="Times New Roman" w:cs="Times New Roman" w:eastAsia="Times New Roman" w:hAnsi="Times New Roman"/>
                <w:sz w:val="9"/>
                <w:szCs w:val="9"/>
                <w:color w:val="auto"/>
              </w:rPr>
              <w:t>Spectra A&amp;D Acquisition, Inc. (fka FDS</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tcBorders>
              <w:lef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0" w:type="dxa"/>
            <w:vAlign w:val="bottom"/>
            <w:tcBorders>
              <w:right w:val="single" w:sz="8" w:color="CCEEFF"/>
            </w:tcBorders>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7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9"/>
                <w:szCs w:val="9"/>
                <w:color w:val="auto"/>
              </w:rPr>
              <w:t>Avionics Corp.)</w:t>
            </w:r>
            <w:r>
              <w:rPr>
                <w:rFonts w:ascii="Times New Roman" w:cs="Times New Roman" w:eastAsia="Times New Roman" w:hAnsi="Times New Roman"/>
                <w:sz w:val="12"/>
                <w:szCs w:val="12"/>
                <w:color w:val="auto"/>
                <w:vertAlign w:val="superscript"/>
              </w:rPr>
              <w:t>(5)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13,000</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18,452</w:t>
            </w: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(93 )</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18,359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1,626</w:t>
            </w: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1,142</w:t>
            </w:r>
          </w:p>
        </w:tc>
        <w:tc>
          <w:tcPr>
            <w:tcW w:w="22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294</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00" w:type="dxa"/>
            <w:vAlign w:val="bottom"/>
          </w:tcPr>
          <w:p>
            <w:pPr>
              <w:ind w:left="20"/>
              <w:spacing w:after="0" w:line="99" w:lineRule="exact"/>
              <w:rPr>
                <w:sz w:val="20"/>
                <w:szCs w:val="20"/>
                <w:color w:val="auto"/>
              </w:rPr>
            </w:pPr>
            <w:r>
              <w:rPr>
                <w:rFonts w:ascii="Times New Roman" w:cs="Times New Roman" w:eastAsia="Times New Roman" w:hAnsi="Times New Roman"/>
                <w:sz w:val="9"/>
                <w:szCs w:val="9"/>
                <w:color w:val="auto"/>
              </w:rPr>
              <w:t>Steward Holding LLC (dba Steward</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9,777</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1,373</w:t>
            </w: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(7,812 )</w:t>
            </w:r>
          </w:p>
        </w:tc>
        <w:tc>
          <w:tcPr>
            <w:tcW w:w="8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3,338</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1,341</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461</w:t>
            </w:r>
          </w:p>
        </w:tc>
        <w:tc>
          <w:tcPr>
            <w:tcW w:w="22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30</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700" w:type="dxa"/>
            <w:vAlign w:val="bottom"/>
          </w:tcPr>
          <w:p>
            <w:pPr>
              <w:ind w:left="20"/>
              <w:spacing w:after="0"/>
              <w:rPr>
                <w:sz w:val="20"/>
                <w:szCs w:val="20"/>
                <w:color w:val="auto"/>
              </w:rPr>
            </w:pPr>
            <w:r>
              <w:rPr>
                <w:rFonts w:ascii="Times New Roman" w:cs="Times New Roman" w:eastAsia="Times New Roman" w:hAnsi="Times New Roman"/>
                <w:sz w:val="9"/>
                <w:szCs w:val="9"/>
                <w:color w:val="auto"/>
              </w:rPr>
              <w:t>Advanced Materials)</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Total Affiliate Investments</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w w:val="87"/>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29,307</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w w:val="87"/>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81,394</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72,005</w:t>
            </w: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(16,115 )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137,284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94</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32,207</w:t>
            </w:r>
          </w:p>
        </w:tc>
        <w:tc>
          <w:tcPr>
            <w:tcW w:w="26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2,695</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368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1,172</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385</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-1173480</wp:posOffset>
            </wp:positionV>
            <wp:extent cx="76835" cy="1111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-1173480</wp:posOffset>
            </wp:positionV>
            <wp:extent cx="76835" cy="1111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-1173480</wp:posOffset>
            </wp:positionV>
            <wp:extent cx="76835" cy="1111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-1173480</wp:posOffset>
            </wp:positionV>
            <wp:extent cx="34290" cy="1111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11112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-1173480</wp:posOffset>
            </wp:positionV>
            <wp:extent cx="17145" cy="1111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145" cy="11112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-1173480</wp:posOffset>
            </wp:positionV>
            <wp:extent cx="25400" cy="1111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5400" cy="11112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-1173480</wp:posOffset>
            </wp:positionV>
            <wp:extent cx="25400" cy="1111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5400" cy="11112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-1173480</wp:posOffset>
            </wp:positionV>
            <wp:extent cx="17145" cy="1111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7145" cy="11112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-1173480</wp:posOffset>
            </wp:positionV>
            <wp:extent cx="17145" cy="1111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145" cy="11112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-1173480</wp:posOffset>
            </wp:positionV>
            <wp:extent cx="17145" cy="1111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7145" cy="11112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-1173480</wp:posOffset>
            </wp:positionV>
            <wp:extent cx="17145" cy="1111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7145" cy="11112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-24765</wp:posOffset>
            </wp:positionV>
            <wp:extent cx="768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-8255</wp:posOffset>
            </wp:positionV>
            <wp:extent cx="768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-24765</wp:posOffset>
            </wp:positionV>
            <wp:extent cx="768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-8255</wp:posOffset>
            </wp:positionV>
            <wp:extent cx="768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-24765</wp:posOffset>
            </wp:positionV>
            <wp:extent cx="768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-8255</wp:posOffset>
            </wp:positionV>
            <wp:extent cx="768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-24765</wp:posOffset>
            </wp:positionV>
            <wp:extent cx="342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-8255</wp:posOffset>
            </wp:positionV>
            <wp:extent cx="342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-24765</wp:posOffset>
            </wp:positionV>
            <wp:extent cx="1714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-8255</wp:posOffset>
            </wp:positionV>
            <wp:extent cx="1714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-24765</wp:posOffset>
            </wp:positionV>
            <wp:extent cx="254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-8255</wp:posOffset>
            </wp:positionV>
            <wp:extent cx="254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-24765</wp:posOffset>
            </wp:positionV>
            <wp:extent cx="254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-8255</wp:posOffset>
            </wp:positionV>
            <wp:extent cx="254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1714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-8255</wp:posOffset>
            </wp:positionV>
            <wp:extent cx="1714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1714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1714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-24765</wp:posOffset>
            </wp:positionV>
            <wp:extent cx="1714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-8255</wp:posOffset>
            </wp:positionV>
            <wp:extent cx="1714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-24765</wp:posOffset>
            </wp:positionV>
            <wp:extent cx="1714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-8255</wp:posOffset>
            </wp:positionV>
            <wp:extent cx="1714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337" w:lineRule="exact"/>
        <w:rPr>
          <w:sz w:val="20"/>
          <w:szCs w:val="20"/>
          <w:color w:val="auto"/>
        </w:rPr>
      </w:pPr>
    </w:p>
    <w:p>
      <w:pPr>
        <w:ind w:left="360" w:hanging="339"/>
        <w:spacing w:after="0"/>
        <w:tabs>
          <w:tab w:leader="none" w:pos="3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investment type, industry, ownership detail for equity investments, and if the investment is income producing is disclosed in the consolidated schedule of investments.</w:t>
      </w:r>
    </w:p>
    <w:p>
      <w:pPr>
        <w:spacing w:after="0" w:line="17" w:lineRule="exact"/>
        <w:rPr>
          <w:rFonts w:ascii="Times New Roman" w:cs="Times New Roman" w:eastAsia="Times New Roman" w:hAnsi="Times New Roman"/>
          <w:sz w:val="14"/>
          <w:szCs w:val="14"/>
          <w:color w:val="auto"/>
        </w:rPr>
      </w:pPr>
    </w:p>
    <w:p>
      <w:pPr>
        <w:ind w:left="360" w:right="20" w:hanging="339"/>
        <w:spacing w:after="0" w:line="234" w:lineRule="auto"/>
        <w:tabs>
          <w:tab w:leader="none" w:pos="3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p>
      <w:pPr>
        <w:spacing w:after="0" w:line="1" w:lineRule="exact"/>
        <w:rPr>
          <w:rFonts w:ascii="Times New Roman" w:cs="Times New Roman" w:eastAsia="Times New Roman" w:hAnsi="Times New Roman"/>
          <w:sz w:val="14"/>
          <w:szCs w:val="14"/>
          <w:color w:val="auto"/>
        </w:rPr>
      </w:pPr>
    </w:p>
    <w:p>
      <w:pPr>
        <w:ind w:left="360" w:right="420" w:hanging="339"/>
        <w:spacing w:after="0" w:line="231" w:lineRule="auto"/>
        <w:tabs>
          <w:tab w:leader="none" w:pos="3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p>
      <w:pPr>
        <w:ind w:left="360" w:right="160" w:hanging="339"/>
        <w:spacing w:after="0" w:line="234" w:lineRule="auto"/>
        <w:tabs>
          <w:tab w:leader="none" w:pos="3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p>
      <w:pPr>
        <w:spacing w:after="0" w:line="1" w:lineRule="exact"/>
        <w:rPr>
          <w:rFonts w:ascii="Times New Roman" w:cs="Times New Roman" w:eastAsia="Times New Roman" w:hAnsi="Times New Roman"/>
          <w:sz w:val="14"/>
          <w:szCs w:val="14"/>
          <w:color w:val="auto"/>
        </w:rPr>
      </w:pPr>
    </w:p>
    <w:p>
      <w:pPr>
        <w:ind w:left="360" w:hanging="339"/>
        <w:spacing w:after="0"/>
        <w:tabs>
          <w:tab w:leader="none" w:pos="3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company was transferred to Affiliate investments from Control investments during the year ended December 31, 2021.</w:t>
      </w:r>
    </w:p>
    <w:p>
      <w:pPr>
        <w:spacing w:after="0" w:line="1" w:lineRule="exact"/>
        <w:rPr>
          <w:rFonts w:ascii="Times New Roman" w:cs="Times New Roman" w:eastAsia="Times New Roman" w:hAnsi="Times New Roman"/>
          <w:sz w:val="14"/>
          <w:szCs w:val="14"/>
          <w:color w:val="auto"/>
        </w:rPr>
      </w:pPr>
    </w:p>
    <w:p>
      <w:pPr>
        <w:ind w:left="360" w:hanging="339"/>
        <w:spacing w:after="0"/>
        <w:tabs>
          <w:tab w:leader="none" w:pos="3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company was transferred to Control investments from Non-control/Non-affiliate investments during the year ended December 31, 2021.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60" w:lineRule="exact"/>
        <w:rPr>
          <w:sz w:val="20"/>
          <w:szCs w:val="20"/>
          <w:color w:val="auto"/>
        </w:rPr>
      </w:pPr>
    </w:p>
    <w:p>
      <w:pPr>
        <w:jc w:val="both"/>
        <w:ind w:firstLine="478"/>
        <w:spacing w:after="0" w:line="245" w:lineRule="auto"/>
        <w:rPr>
          <w:sz w:val="20"/>
          <w:szCs w:val="20"/>
          <w:color w:val="auto"/>
        </w:rPr>
      </w:pPr>
      <w:r>
        <w:rPr>
          <w:rFonts w:ascii="Times New Roman" w:cs="Times New Roman" w:eastAsia="Times New Roman" w:hAnsi="Times New Roman"/>
          <w:sz w:val="18"/>
          <w:szCs w:val="18"/>
          <w:color w:val="auto"/>
        </w:rPr>
        <w:t>The Board has established and documented processes and methodologies for determining the fair values of portfolio company investments on a recurring basis in accordance with ASC Topic 820 and consistent with the requirements of the 1940 Act. Fair value is the price, determined at the measurement date, that would be received in the sale of an asset or paid to transfer a liability in an orderly transaction between market participants. Where available, fair value is based on observable market prices or parameters, or derived from such prices or parameters. Where observable prices or inputs are not available or reliable, valuation techniques described below are applied. Under ASC Topic 820, portfolio investments recorded at fair value in the consolidated financial statements are classified within the fair value hierarchy based upon the level of judgment associated with the inputs used to measure their value, as defined below:</w:t>
      </w:r>
    </w:p>
    <w:p>
      <w:pPr>
        <w:spacing w:after="0" w:line="1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Inputs are unadjusted, quoted prices in active markets for identical assets as of the measurement date.</w:t>
      </w:r>
    </w:p>
    <w:p>
      <w:pPr>
        <w:spacing w:after="0" w:line="171" w:lineRule="exact"/>
        <w:rPr>
          <w:sz w:val="20"/>
          <w:szCs w:val="20"/>
          <w:color w:val="auto"/>
        </w:rPr>
      </w:pPr>
    </w:p>
    <w:p>
      <w:pPr>
        <w:jc w:val="both"/>
        <w:ind w:firstLine="478"/>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include quoted prices for similar assets in active markets, or that are quoted prices for identical or similar assets in markets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active and inputs that are observable, either directly or indirectly, for substantially the full term, if applicable, of the investment.</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Inputs include those that are both unobservable and significant to the overall fair value measurement.</w:t>
      </w:r>
    </w:p>
    <w:p>
      <w:pPr>
        <w:spacing w:after="0" w:line="173" w:lineRule="exact"/>
        <w:rPr>
          <w:sz w:val="20"/>
          <w:szCs w:val="20"/>
          <w:color w:val="auto"/>
        </w:rPr>
      </w:pPr>
    </w:p>
    <w:p>
      <w:pPr>
        <w:jc w:val="both"/>
        <w:ind w:firstLine="478"/>
        <w:spacing w:after="0" w:line="242" w:lineRule="auto"/>
        <w:rPr>
          <w:sz w:val="20"/>
          <w:szCs w:val="20"/>
          <w:color w:val="auto"/>
        </w:rPr>
      </w:pPr>
      <w:r>
        <w:rPr>
          <w:rFonts w:ascii="Times New Roman" w:cs="Times New Roman" w:eastAsia="Times New Roman" w:hAnsi="Times New Roman"/>
          <w:sz w:val="18"/>
          <w:szCs w:val="18"/>
          <w:color w:val="auto"/>
        </w:rPr>
        <w:t>An investment’s categorization within the valuation hierarchy is based upon the lowest level of input that is significant to the fair value measurement. 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using Level 3 inputs. The degree of judgment exercised by the Board in determining fair value is greatest for investments classified as Level 3 inputs. Due to the inherent uncertainty of determining the fair values of investments that do not have readily available market values, the Board’s estimate of fair values may differ significantly from the values that would have been used had a ready market for the securities existed, and those differences may be material. In addition, changes in the market environment, portfolio company performance and other events that may occur over the lives of the investments may cause the amounts ultimately realized on these investments to be materially different than the valuations currently assigned.</w:t>
      </w:r>
    </w:p>
    <w:p>
      <w:pPr>
        <w:spacing w:after="0" w:line="133" w:lineRule="exact"/>
        <w:rPr>
          <w:sz w:val="20"/>
          <w:szCs w:val="20"/>
          <w:color w:val="auto"/>
        </w:rPr>
      </w:pPr>
    </w:p>
    <w:p>
      <w:pPr>
        <w:jc w:val="both"/>
        <w:ind w:firstLine="478"/>
        <w:spacing w:after="0" w:line="282" w:lineRule="auto"/>
        <w:rPr>
          <w:sz w:val="20"/>
          <w:szCs w:val="20"/>
          <w:color w:val="auto"/>
        </w:rPr>
      </w:pPr>
      <w:r>
        <w:rPr>
          <w:rFonts w:ascii="Times New Roman" w:cs="Times New Roman" w:eastAsia="Times New Roman" w:hAnsi="Times New Roman"/>
          <w:sz w:val="18"/>
          <w:szCs w:val="18"/>
          <w:color w:val="auto"/>
        </w:rPr>
        <w:t>With respect to investments for which market quotations are not readily available, the Board undertakes a multi-step valuation process each quarter, as described below:</w:t>
      </w:r>
    </w:p>
    <w:p>
      <w:pPr>
        <w:spacing w:after="0" w:line="40" w:lineRule="exact"/>
        <w:rPr>
          <w:sz w:val="20"/>
          <w:szCs w:val="20"/>
          <w:color w:val="auto"/>
        </w:rPr>
      </w:pPr>
    </w:p>
    <w:p>
      <w:pPr>
        <w:ind w:left="960" w:right="20" w:hanging="473"/>
        <w:spacing w:after="0" w:line="266"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valuation process begins with each portfolio company or investment being initially evaluated and rated by the investment professionals of the Investment Advisor responsible for the portfolio investment;</w:t>
      </w:r>
    </w:p>
    <w:p>
      <w:pPr>
        <w:spacing w:after="0" w:line="6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the investment committee of the Investment Advisor;</w:t>
      </w:r>
    </w:p>
    <w:p>
      <w:pPr>
        <w:spacing w:after="0" w:line="103" w:lineRule="exact"/>
        <w:rPr>
          <w:rFonts w:ascii="Times New Roman" w:cs="Times New Roman" w:eastAsia="Times New Roman" w:hAnsi="Times New Roman"/>
          <w:sz w:val="18"/>
          <w:szCs w:val="18"/>
          <w:color w:val="auto"/>
        </w:rPr>
      </w:pPr>
    </w:p>
    <w:p>
      <w:pPr>
        <w:jc w:val="both"/>
        <w:ind w:left="960" w:hanging="473"/>
        <w:spacing w:after="0" w:line="245"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the Company may determine that it is not cost-effective, and as a result it is not in the Company’s stockholders’ best interest, to request the independent appraisal of certain portfolio company investments. Such instances include, but are not</w:t>
      </w:r>
    </w:p>
    <w:p>
      <w:pPr>
        <w:ind w:left="960"/>
        <w:spacing w:after="0" w:line="238" w:lineRule="auto"/>
        <w:rPr>
          <w:sz w:val="20"/>
          <w:szCs w:val="20"/>
          <w:color w:val="auto"/>
        </w:rPr>
      </w:pPr>
      <w:r>
        <w:rPr>
          <w:rFonts w:ascii="Times New Roman" w:cs="Times New Roman" w:eastAsia="Times New Roman" w:hAnsi="Times New Roman"/>
          <w:sz w:val="18"/>
          <w:szCs w:val="18"/>
          <w:color w:val="auto"/>
        </w:rPr>
        <w:t>limited to,</w:t>
      </w: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85" w:lineRule="exact"/>
        <w:rPr>
          <w:sz w:val="20"/>
          <w:szCs w:val="20"/>
          <w:color w:val="auto"/>
        </w:rPr>
      </w:pPr>
    </w:p>
    <w:p>
      <w:pPr>
        <w:ind w:left="960" w:right="20"/>
        <w:spacing w:after="0" w:line="266" w:lineRule="auto"/>
        <w:rPr>
          <w:sz w:val="20"/>
          <w:szCs w:val="20"/>
          <w:color w:val="auto"/>
        </w:rPr>
      </w:pPr>
      <w:r>
        <w:rPr>
          <w:rFonts w:ascii="Times New Roman" w:cs="Times New Roman" w:eastAsia="Times New Roman" w:hAnsi="Times New Roman"/>
          <w:sz w:val="18"/>
          <w:szCs w:val="18"/>
          <w:color w:val="auto"/>
        </w:rPr>
        <w:t>situations where the Company determines that the fair value of the portfolio company investment is relatively insignificant to the fair value of the total portfolio.</w:t>
      </w:r>
    </w:p>
    <w:p>
      <w:pPr>
        <w:spacing w:after="0" w:line="68" w:lineRule="exact"/>
        <w:rPr>
          <w:sz w:val="20"/>
          <w:szCs w:val="20"/>
          <w:color w:val="auto"/>
        </w:rPr>
      </w:pPr>
    </w:p>
    <w:p>
      <w:pPr>
        <w:ind w:left="960" w:hanging="473"/>
        <w:spacing w:after="0" w:line="266"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of the Board reviews the preliminary valuations of the Investment Advisor and of the independent valuation firm(s) and responds and supplements the valuation recommendations to reflect any comments; and</w:t>
      </w:r>
    </w:p>
    <w:p>
      <w:pPr>
        <w:spacing w:after="0" w:line="54" w:lineRule="exact"/>
        <w:rPr>
          <w:rFonts w:ascii="Times New Roman" w:cs="Times New Roman" w:eastAsia="Times New Roman" w:hAnsi="Times New Roman"/>
          <w:sz w:val="18"/>
          <w:szCs w:val="18"/>
          <w:color w:val="auto"/>
        </w:rPr>
      </w:pPr>
    </w:p>
    <w:p>
      <w:pPr>
        <w:ind w:left="960" w:hanging="473"/>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discusses these valuations and determines the fair value of each investment in our portfolio in good faith, based on the input of the Investment Advisor, the independent valuation firm(s) and the audit committee.</w:t>
      </w:r>
    </w:p>
    <w:p>
      <w:pPr>
        <w:spacing w:after="0" w:line="94" w:lineRule="exact"/>
        <w:rPr>
          <w:sz w:val="20"/>
          <w:szCs w:val="20"/>
          <w:color w:val="auto"/>
        </w:rPr>
      </w:pPr>
    </w:p>
    <w:p>
      <w:pPr>
        <w:jc w:val="both"/>
        <w:ind w:firstLine="478"/>
        <w:spacing w:after="0" w:line="250" w:lineRule="auto"/>
        <w:rPr>
          <w:sz w:val="20"/>
          <w:szCs w:val="20"/>
          <w:color w:val="auto"/>
        </w:rPr>
      </w:pPr>
      <w:r>
        <w:rPr>
          <w:rFonts w:ascii="Times New Roman" w:cs="Times New Roman" w:eastAsia="Times New Roman" w:hAnsi="Times New Roman"/>
          <w:sz w:val="18"/>
          <w:szCs w:val="18"/>
          <w:color w:val="auto"/>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36" w:lineRule="exact"/>
        <w:rPr>
          <w:sz w:val="20"/>
          <w:szCs w:val="20"/>
          <w:color w:val="auto"/>
        </w:rPr>
      </w:pPr>
    </w:p>
    <w:p>
      <w:pPr>
        <w:jc w:val="both"/>
        <w:ind w:firstLine="478"/>
        <w:spacing w:after="0" w:line="244" w:lineRule="auto"/>
        <w:rPr>
          <w:sz w:val="20"/>
          <w:szCs w:val="20"/>
          <w:color w:val="auto"/>
        </w:rPr>
      </w:pPr>
      <w:r>
        <w:rPr>
          <w:rFonts w:ascii="Times New Roman" w:cs="Times New Roman" w:eastAsia="Times New Roman" w:hAnsi="Times New Roman"/>
          <w:sz w:val="18"/>
          <w:szCs w:val="18"/>
          <w:color w:val="auto"/>
        </w:rPr>
        <w:t>Consistent with the policies and methodologies adopted by the Board, the Company performs detailed valuations of its debt and equity investments, including an analysis on the Company’s unfunded debt investment commitments, using both the market and income approaches as appropriate. Under the market approach, the Company typically uses the enterprise value methodology to determine the fair value of an investment. There is no one methodology to estimate enterprise value and, in fact, for any one portfolio company, enterprise value is generally best expressed as a range of values, from which the Company derives a single estimate of enterprise value. Under the income approach, the Company typically prepares and analyzes discounted cash flow models to estimate the present value of future cash flows of either an individual debt investment or of the underlying portfolio company itself.</w:t>
      </w:r>
    </w:p>
    <w:p>
      <w:pPr>
        <w:spacing w:after="0" w:line="141" w:lineRule="exact"/>
        <w:rPr>
          <w:sz w:val="20"/>
          <w:szCs w:val="20"/>
          <w:color w:val="auto"/>
        </w:rPr>
      </w:pPr>
    </w:p>
    <w:p>
      <w:pPr>
        <w:jc w:val="both"/>
        <w:ind w:firstLine="478"/>
        <w:spacing w:after="0" w:line="250" w:lineRule="auto"/>
        <w:rPr>
          <w:sz w:val="20"/>
          <w:szCs w:val="20"/>
          <w:color w:val="auto"/>
        </w:rPr>
      </w:pPr>
      <w:r>
        <w:rPr>
          <w:rFonts w:ascii="Times New Roman" w:cs="Times New Roman" w:eastAsia="Times New Roman" w:hAnsi="Times New Roman"/>
          <w:sz w:val="18"/>
          <w:szCs w:val="18"/>
          <w:color w:val="auto"/>
        </w:rPr>
        <w:t>The Company evaluates investments in portfolio companies using the most recent portfolio company financial statements and forecasts. The Company also consults with the portfolio company’s senior management to obtain further updates on the portfolio company’s performance, including information such as industry trends, new product development and other operational issues.</w:t>
      </w:r>
    </w:p>
    <w:p>
      <w:pPr>
        <w:spacing w:after="0" w:line="136" w:lineRule="exact"/>
        <w:rPr>
          <w:sz w:val="20"/>
          <w:szCs w:val="20"/>
          <w:color w:val="auto"/>
        </w:rPr>
      </w:pPr>
    </w:p>
    <w:p>
      <w:pPr>
        <w:jc w:val="both"/>
        <w:ind w:firstLine="478"/>
        <w:spacing w:after="0" w:line="242" w:lineRule="auto"/>
        <w:rPr>
          <w:sz w:val="20"/>
          <w:szCs w:val="20"/>
          <w:color w:val="auto"/>
        </w:rPr>
      </w:pPr>
      <w:r>
        <w:rPr>
          <w:rFonts w:ascii="Times New Roman" w:cs="Times New Roman" w:eastAsia="Times New Roman" w:hAnsi="Times New Roman"/>
          <w:sz w:val="18"/>
          <w:szCs w:val="18"/>
          <w:color w:val="auto"/>
        </w:rPr>
        <w:t>For the Company’s debt investments the primary valuation technique used to estimate the fair value is the discounted cash flow method. However, if there is deterioration in credit quality or a debt investment is in workout status, the Company may consider other methods in determining the fair value, including the value attributable to the debt investment from the enterprise value of the portfolio company or the proceeds that would be received in a liquidation analysis. The Company’s discounted cash flow models estimate a range of fair values by applying an appropriate discount rate to the future cash flow streams of its debt investments, based on future interest and principal payments as set forth in the associated debt investment agreements. The Company prepares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The Company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The Company estimates the remaining life of its debt investments to generally be the legal maturity date of the instrument, as the Company generally intends to hold its debt investments to maturity. However, if the Company has information available to it that the debt investment is expected to be repaid in the near term, it would use an estimated remaining life based on the expected repayment date.</w:t>
      </w:r>
    </w:p>
    <w:p>
      <w:pPr>
        <w:spacing w:after="0" w:line="129" w:lineRule="exact"/>
        <w:rPr>
          <w:sz w:val="20"/>
          <w:szCs w:val="20"/>
          <w:color w:val="auto"/>
        </w:rPr>
      </w:pPr>
    </w:p>
    <w:p>
      <w:pPr>
        <w:jc w:val="both"/>
        <w:ind w:firstLine="478"/>
        <w:spacing w:after="0" w:line="245" w:lineRule="auto"/>
        <w:rPr>
          <w:sz w:val="20"/>
          <w:szCs w:val="20"/>
          <w:color w:val="auto"/>
        </w:rPr>
      </w:pPr>
      <w:r>
        <w:rPr>
          <w:rFonts w:ascii="Times New Roman" w:cs="Times New Roman" w:eastAsia="Times New Roman" w:hAnsi="Times New Roman"/>
          <w:sz w:val="18"/>
          <w:szCs w:val="18"/>
          <w:color w:val="auto"/>
        </w:rPr>
        <w:t>For the Company’s equity investments, including equity and warrants, the Company generally uses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the Company analyzes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spacing w:after="0" w:line="127" w:lineRule="exact"/>
        <w:rPr>
          <w:sz w:val="20"/>
          <w:szCs w:val="20"/>
          <w:color w:val="auto"/>
        </w:rPr>
      </w:pPr>
    </w:p>
    <w:p>
      <w:pPr>
        <w:jc w:val="both"/>
        <w:ind w:firstLine="478"/>
        <w:spacing w:after="0" w:line="243" w:lineRule="auto"/>
        <w:rPr>
          <w:sz w:val="20"/>
          <w:szCs w:val="20"/>
          <w:color w:val="auto"/>
        </w:rPr>
      </w:pPr>
      <w:r>
        <w:rPr>
          <w:rFonts w:ascii="Times New Roman" w:cs="Times New Roman" w:eastAsia="Times New Roman" w:hAnsi="Times New Roman"/>
          <w:sz w:val="18"/>
          <w:szCs w:val="18"/>
          <w:color w:val="auto"/>
        </w:rPr>
        <w:t>The Company may also utilize an income approach when estimating the fair value of its equity securities, either as a primary methodology if consistent with industry practice or if the market approach is otherwise not applicable, or as a supporting methodology to corroborate the fair value ranges determined by the market approach. The Company typically prepares and analyzes discounted cash flow models based on projections of the future free cash flows (or earnings) of the portfolio company. The Company considers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39"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The Company reviews the fair value hierarchy classifications on a quarterly basis. Reclassifications impacting Level 3 of the fair value hierarchy are reported as transfers in or out of the Level 3 category as of the beginning of the quarter in which the reclassifications occur. There were no transfers among Levels 1, 2, and 3 during the three months ended March 31, 2022 and 2021.</w:t>
      </w:r>
    </w:p>
    <w:p>
      <w:pPr>
        <w:spacing w:after="0" w:line="115"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The following tables present a reconciliation of the beginning and ending balances for fair valued investments measured using significant unobservable inputs (Level 3) for the three months ended March 31, 2022 and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First Lien</w:t>
            </w:r>
          </w:p>
        </w:tc>
        <w:tc>
          <w:tcPr>
            <w:tcW w:w="16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Second Lien</w:t>
            </w:r>
          </w:p>
        </w:tc>
        <w:tc>
          <w:tcPr>
            <w:tcW w:w="200" w:type="dxa"/>
            <w:vAlign w:val="bottom"/>
          </w:tcPr>
          <w:p>
            <w:pPr>
              <w:spacing w:after="0"/>
              <w:rPr>
                <w:sz w:val="14"/>
                <w:szCs w:val="14"/>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Subordinated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Debt</w:t>
            </w:r>
          </w:p>
        </w:tc>
        <w:tc>
          <w:tcPr>
            <w:tcW w:w="160" w:type="dxa"/>
            <w:vAlign w:val="bottom"/>
          </w:tcPr>
          <w:p>
            <w:pPr>
              <w:spacing w:after="0"/>
              <w:rPr>
                <w:sz w:val="15"/>
                <w:szCs w:val="15"/>
                <w:color w:val="auto"/>
              </w:rPr>
            </w:pPr>
          </w:p>
        </w:tc>
        <w:tc>
          <w:tcPr>
            <w:tcW w:w="118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Debt</w:t>
            </w:r>
          </w:p>
        </w:tc>
        <w:tc>
          <w:tcPr>
            <w:tcW w:w="200" w:type="dxa"/>
            <w:vAlign w:val="bottom"/>
          </w:tcPr>
          <w:p>
            <w:pPr>
              <w:spacing w:after="0"/>
              <w:rPr>
                <w:sz w:val="15"/>
                <w:szCs w:val="15"/>
                <w:color w:val="auto"/>
              </w:rPr>
            </w:pPr>
          </w:p>
        </w:tc>
        <w:tc>
          <w:tcPr>
            <w:tcW w:w="140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Debt</w:t>
            </w:r>
          </w:p>
        </w:tc>
        <w:tc>
          <w:tcPr>
            <w:tcW w:w="180" w:type="dxa"/>
            <w:vAlign w:val="bottom"/>
          </w:tcPr>
          <w:p>
            <w:pPr>
              <w:spacing w:after="0"/>
              <w:rPr>
                <w:sz w:val="15"/>
                <w:szCs w:val="15"/>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5"/>
                <w:szCs w:val="15"/>
                <w:color w:val="auto"/>
              </w:rPr>
            </w:pPr>
          </w:p>
        </w:tc>
        <w:tc>
          <w:tcPr>
            <w:tcW w:w="74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9"/>
              </w:rPr>
              <w:t>Warrants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37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December 31, 2020</w:t>
            </w:r>
          </w:p>
        </w:tc>
        <w:tc>
          <w:tcPr>
            <w:tcW w:w="1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187,353</w:t>
            </w:r>
          </w:p>
        </w:tc>
        <w:tc>
          <w:tcPr>
            <w:tcW w:w="2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332,154</w:t>
            </w:r>
          </w:p>
        </w:tc>
        <w:tc>
          <w:tcPr>
            <w:tcW w:w="20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107,911</w:t>
            </w:r>
          </w:p>
        </w:tc>
        <w:tc>
          <w:tcPr>
            <w:tcW w:w="2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112,836</w:t>
            </w:r>
          </w:p>
        </w:tc>
        <w:tc>
          <w:tcPr>
            <w:tcW w:w="2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2,615</w:t>
            </w:r>
          </w:p>
        </w:tc>
        <w:tc>
          <w:tcPr>
            <w:tcW w:w="18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742,869</w:t>
            </w:r>
          </w:p>
        </w:tc>
        <w:tc>
          <w:tcPr>
            <w:tcW w:w="20" w:type="dxa"/>
            <w:vAlign w:val="bottom"/>
          </w:tcPr>
          <w:p>
            <w:pPr>
              <w:spacing w:after="0"/>
              <w:rPr>
                <w:sz w:val="14"/>
                <w:szCs w:val="14"/>
                <w:color w:val="auto"/>
              </w:rPr>
            </w:pPr>
          </w:p>
        </w:tc>
      </w:tr>
      <w:tr>
        <w:trPr>
          <w:trHeight w:val="162"/>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gains (losses) on investments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3,216</w:t>
            </w:r>
          </w:p>
        </w:tc>
        <w:tc>
          <w:tcPr>
            <w:tcW w:w="20" w:type="dxa"/>
            <w:vAlign w:val="bottom"/>
          </w:tcPr>
          <w:p>
            <w:pPr>
              <w:spacing w:after="0"/>
              <w:rPr>
                <w:sz w:val="14"/>
                <w:szCs w:val="14"/>
                <w:color w:val="auto"/>
              </w:rPr>
            </w:pPr>
          </w:p>
        </w:tc>
      </w:tr>
      <w:tr>
        <w:trPr>
          <w:trHeight w:val="162"/>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(2,356 )</w:t>
            </w:r>
          </w:p>
        </w:tc>
        <w:tc>
          <w:tcPr>
            <w:tcW w:w="16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(4,240 )</w:t>
            </w:r>
          </w:p>
        </w:tc>
        <w:tc>
          <w:tcPr>
            <w:tcW w:w="2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(92 )</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6,072</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(579 )</w:t>
            </w:r>
          </w:p>
        </w:tc>
        <w:tc>
          <w:tcPr>
            <w:tcW w:w="20" w:type="dxa"/>
            <w:vAlign w:val="bottom"/>
          </w:tcPr>
          <w:p>
            <w:pPr>
              <w:spacing w:after="0"/>
              <w:rPr>
                <w:sz w:val="14"/>
                <w:szCs w:val="14"/>
                <w:color w:val="auto"/>
              </w:rPr>
            </w:pPr>
          </w:p>
        </w:tc>
      </w:tr>
      <w:tr>
        <w:trPr>
          <w:trHeight w:val="162"/>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of investments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63,107</w:t>
            </w:r>
          </w:p>
        </w:tc>
        <w:tc>
          <w:tcPr>
            <w:tcW w:w="20" w:type="dxa"/>
            <w:vAlign w:val="bottom"/>
          </w:tcPr>
          <w:p>
            <w:pPr>
              <w:spacing w:after="0"/>
              <w:rPr>
                <w:sz w:val="14"/>
                <w:szCs w:val="14"/>
                <w:color w:val="auto"/>
              </w:rPr>
            </w:pPr>
          </w:p>
        </w:tc>
      </w:tr>
      <w:tr>
        <w:trPr>
          <w:trHeight w:val="162"/>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sales and repayments of investments</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(26,471 )</w:t>
            </w:r>
          </w:p>
        </w:tc>
        <w:tc>
          <w:tcPr>
            <w:tcW w:w="16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(40,403 )</w:t>
            </w:r>
          </w:p>
        </w:tc>
        <w:tc>
          <w:tcPr>
            <w:tcW w:w="2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(24,039 )</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(7,652 )</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(98,565 )</w:t>
            </w:r>
          </w:p>
        </w:tc>
        <w:tc>
          <w:tcPr>
            <w:tcW w:w="20" w:type="dxa"/>
            <w:vAlign w:val="bottom"/>
          </w:tcPr>
          <w:p>
            <w:pPr>
              <w:spacing w:after="0"/>
              <w:rPr>
                <w:sz w:val="14"/>
                <w:szCs w:val="14"/>
                <w:color w:val="auto"/>
              </w:rPr>
            </w:pPr>
          </w:p>
        </w:tc>
      </w:tr>
      <w:tr>
        <w:trPr>
          <w:trHeight w:val="162"/>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and dividend income paid-in-kind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897</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968</w:t>
            </w:r>
          </w:p>
        </w:tc>
        <w:tc>
          <w:tcPr>
            <w:tcW w:w="20" w:type="dxa"/>
            <w:vAlign w:val="bottom"/>
          </w:tcPr>
          <w:p>
            <w:pPr>
              <w:spacing w:after="0"/>
              <w:rPr>
                <w:sz w:val="14"/>
                <w:szCs w:val="14"/>
                <w:color w:val="auto"/>
              </w:rPr>
            </w:pPr>
          </w:p>
        </w:tc>
      </w:tr>
      <w:tr>
        <w:trPr>
          <w:trHeight w:val="162"/>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loan origination fees</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(346 )</w:t>
            </w:r>
          </w:p>
        </w:tc>
        <w:tc>
          <w:tcPr>
            <w:tcW w:w="16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(50 )</w:t>
            </w:r>
          </w:p>
        </w:tc>
        <w:tc>
          <w:tcPr>
            <w:tcW w:w="2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(80 )</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(476 )</w:t>
            </w:r>
          </w:p>
        </w:tc>
        <w:tc>
          <w:tcPr>
            <w:tcW w:w="20" w:type="dxa"/>
            <w:vAlign w:val="bottom"/>
          </w:tcPr>
          <w:p>
            <w:pPr>
              <w:spacing w:after="0"/>
              <w:rPr>
                <w:sz w:val="14"/>
                <w:szCs w:val="14"/>
                <w:color w:val="auto"/>
              </w:rPr>
            </w:pPr>
          </w:p>
        </w:tc>
      </w:tr>
      <w:tr>
        <w:trPr>
          <w:trHeight w:val="162"/>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Accretion of loan origination fees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747</w:t>
            </w:r>
          </w:p>
        </w:tc>
        <w:tc>
          <w:tcPr>
            <w:tcW w:w="20" w:type="dxa"/>
            <w:vAlign w:val="bottom"/>
          </w:tcPr>
          <w:p>
            <w:pPr>
              <w:spacing w:after="0"/>
              <w:rPr>
                <w:sz w:val="14"/>
                <w:szCs w:val="14"/>
                <w:color w:val="auto"/>
              </w:rPr>
            </w:pPr>
          </w:p>
        </w:tc>
      </w:tr>
      <w:tr>
        <w:trPr>
          <w:trHeight w:val="162"/>
        </w:trPr>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Accretion of original issue discount</w:t>
            </w:r>
          </w:p>
        </w:tc>
        <w:tc>
          <w:tcPr>
            <w:tcW w:w="1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597</w:t>
            </w:r>
          </w:p>
        </w:tc>
        <w:tc>
          <w:tcPr>
            <w:tcW w:w="2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597</w:t>
            </w:r>
          </w:p>
        </w:tc>
        <w:tc>
          <w:tcPr>
            <w:tcW w:w="20" w:type="dxa"/>
            <w:vAlign w:val="bottom"/>
          </w:tcPr>
          <w:p>
            <w:pPr>
              <w:spacing w:after="0"/>
              <w:rPr>
                <w:sz w:val="14"/>
                <w:szCs w:val="14"/>
                <w:color w:val="auto"/>
              </w:rPr>
            </w:pPr>
          </w:p>
        </w:tc>
      </w:tr>
      <w:tr>
        <w:trPr>
          <w:trHeight w:val="156"/>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March 31, 2021</w:t>
            </w:r>
          </w:p>
        </w:tc>
        <w:tc>
          <w:tcPr>
            <w:tcW w:w="3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195,673</w:t>
            </w:r>
          </w:p>
        </w:tc>
        <w:tc>
          <w:tcPr>
            <w:tcW w:w="22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295,546</w:t>
            </w:r>
          </w:p>
        </w:tc>
        <w:tc>
          <w:tcPr>
            <w:tcW w:w="200" w:type="dxa"/>
            <w:vAlign w:val="bottom"/>
          </w:tcPr>
          <w:p>
            <w:pPr>
              <w:spacing w:after="0"/>
              <w:rPr>
                <w:sz w:val="13"/>
                <w:szCs w:val="13"/>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99,834</w:t>
            </w:r>
          </w:p>
        </w:tc>
        <w:tc>
          <w:tcPr>
            <w:tcW w:w="220" w:type="dxa"/>
            <w:vAlign w:val="bottom"/>
          </w:tcPr>
          <w:p>
            <w:pPr>
              <w:spacing w:after="0"/>
              <w:rPr>
                <w:sz w:val="13"/>
                <w:szCs w:val="13"/>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118,179</w:t>
            </w:r>
          </w:p>
        </w:tc>
        <w:tc>
          <w:tcPr>
            <w:tcW w:w="2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2,652</w:t>
            </w:r>
          </w:p>
        </w:tc>
        <w:tc>
          <w:tcPr>
            <w:tcW w:w="36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711,884</w:t>
            </w:r>
          </w:p>
        </w:tc>
        <w:tc>
          <w:tcPr>
            <w:tcW w:w="20" w:type="dxa"/>
            <w:vAlign w:val="bottom"/>
          </w:tcPr>
          <w:p>
            <w:pPr>
              <w:spacing w:after="0"/>
              <w:rPr>
                <w:sz w:val="13"/>
                <w:szCs w:val="13"/>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372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Balance, December 31, 2021</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5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354,922</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1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158,815</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5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36,064</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165,762</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3,204</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right w:val="single" w:sz="8" w:color="CFF0FC"/>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718,767</w:t>
            </w:r>
          </w:p>
        </w:tc>
        <w:tc>
          <w:tcPr>
            <w:tcW w:w="20" w:type="dxa"/>
            <w:vAlign w:val="bottom"/>
          </w:tcPr>
          <w:p>
            <w:pPr>
              <w:spacing w:after="0"/>
              <w:rPr>
                <w:sz w:val="12"/>
                <w:szCs w:val="12"/>
                <w:color w:val="auto"/>
              </w:rPr>
            </w:pPr>
          </w:p>
        </w:tc>
      </w:tr>
      <w:tr>
        <w:trPr>
          <w:trHeight w:val="162"/>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gains (losses) on investments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6,868</w:t>
            </w:r>
          </w:p>
        </w:tc>
        <w:tc>
          <w:tcPr>
            <w:tcW w:w="20" w:type="dxa"/>
            <w:vAlign w:val="bottom"/>
          </w:tcPr>
          <w:p>
            <w:pPr>
              <w:spacing w:after="0"/>
              <w:rPr>
                <w:sz w:val="14"/>
                <w:szCs w:val="14"/>
                <w:color w:val="auto"/>
              </w:rPr>
            </w:pPr>
          </w:p>
        </w:tc>
      </w:tr>
      <w:tr>
        <w:trPr>
          <w:trHeight w:val="162"/>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823</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1,277</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(5 )</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(7,590 )</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(5,300 )</w:t>
            </w:r>
          </w:p>
        </w:tc>
        <w:tc>
          <w:tcPr>
            <w:tcW w:w="20" w:type="dxa"/>
            <w:vAlign w:val="bottom"/>
          </w:tcPr>
          <w:p>
            <w:pPr>
              <w:spacing w:after="0"/>
              <w:rPr>
                <w:sz w:val="14"/>
                <w:szCs w:val="14"/>
                <w:color w:val="auto"/>
              </w:rPr>
            </w:pPr>
          </w:p>
        </w:tc>
      </w:tr>
      <w:tr>
        <w:trPr>
          <w:trHeight w:val="162"/>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of investments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76,710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15,795</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17,470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114,428</w:t>
            </w:r>
          </w:p>
        </w:tc>
        <w:tc>
          <w:tcPr>
            <w:tcW w:w="20" w:type="dxa"/>
            <w:vAlign w:val="bottom"/>
          </w:tcPr>
          <w:p>
            <w:pPr>
              <w:spacing w:after="0"/>
              <w:rPr>
                <w:sz w:val="14"/>
                <w:szCs w:val="14"/>
                <w:color w:val="auto"/>
              </w:rPr>
            </w:pPr>
          </w:p>
        </w:tc>
      </w:tr>
      <w:tr>
        <w:trPr>
          <w:trHeight w:val="162"/>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sales and repayments of investments</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(4,027 )</w:t>
            </w:r>
          </w:p>
        </w:tc>
        <w:tc>
          <w:tcPr>
            <w:tcW w:w="16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(7,106 )</w:t>
            </w:r>
          </w:p>
        </w:tc>
        <w:tc>
          <w:tcPr>
            <w:tcW w:w="2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(12,052 )</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(23,185 )</w:t>
            </w:r>
          </w:p>
        </w:tc>
        <w:tc>
          <w:tcPr>
            <w:tcW w:w="20" w:type="dxa"/>
            <w:vAlign w:val="bottom"/>
          </w:tcPr>
          <w:p>
            <w:pPr>
              <w:spacing w:after="0"/>
              <w:rPr>
                <w:sz w:val="14"/>
                <w:szCs w:val="14"/>
                <w:color w:val="auto"/>
              </w:rPr>
            </w:pPr>
          </w:p>
        </w:tc>
      </w:tr>
      <w:tr>
        <w:trPr>
          <w:trHeight w:val="162"/>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and dividend income paid-in-kind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20" w:type="dxa"/>
            <w:vAlign w:val="bottom"/>
          </w:tcPr>
          <w:p>
            <w:pPr>
              <w:spacing w:after="0"/>
              <w:rPr>
                <w:sz w:val="14"/>
                <w:szCs w:val="14"/>
                <w:color w:val="auto"/>
              </w:rPr>
            </w:pPr>
          </w:p>
        </w:tc>
      </w:tr>
      <w:tr>
        <w:trPr>
          <w:trHeight w:val="162"/>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loan origination fees</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(602 )</w:t>
            </w:r>
          </w:p>
        </w:tc>
        <w:tc>
          <w:tcPr>
            <w:tcW w:w="16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(4 )</w:t>
            </w:r>
          </w:p>
        </w:tc>
        <w:tc>
          <w:tcPr>
            <w:tcW w:w="2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(165 )</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(771 )</w:t>
            </w:r>
          </w:p>
        </w:tc>
        <w:tc>
          <w:tcPr>
            <w:tcW w:w="20" w:type="dxa"/>
            <w:vAlign w:val="bottom"/>
          </w:tcPr>
          <w:p>
            <w:pPr>
              <w:spacing w:after="0"/>
              <w:rPr>
                <w:sz w:val="14"/>
                <w:szCs w:val="14"/>
                <w:color w:val="auto"/>
              </w:rPr>
            </w:pPr>
          </w:p>
        </w:tc>
      </w:tr>
      <w:tr>
        <w:trPr>
          <w:trHeight w:val="162"/>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Accretion of loan origination fees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20" w:type="dxa"/>
            <w:vAlign w:val="bottom"/>
          </w:tcPr>
          <w:p>
            <w:pPr>
              <w:spacing w:after="0"/>
              <w:rPr>
                <w:sz w:val="14"/>
                <w:szCs w:val="14"/>
                <w:color w:val="auto"/>
              </w:rPr>
            </w:pPr>
          </w:p>
        </w:tc>
      </w:tr>
      <w:tr>
        <w:trPr>
          <w:trHeight w:val="162"/>
        </w:trPr>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Accretion of original issue discount</w:t>
            </w:r>
          </w:p>
        </w:tc>
        <w:tc>
          <w:tcPr>
            <w:tcW w:w="1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20" w:type="dxa"/>
            <w:vAlign w:val="bottom"/>
          </w:tcPr>
          <w:p>
            <w:pPr>
              <w:spacing w:after="0"/>
              <w:rPr>
                <w:sz w:val="14"/>
                <w:szCs w:val="14"/>
                <w:color w:val="auto"/>
              </w:rPr>
            </w:pPr>
          </w:p>
        </w:tc>
      </w:tr>
      <w:tr>
        <w:trPr>
          <w:trHeight w:val="156"/>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March 31, 2022</w:t>
            </w:r>
          </w:p>
        </w:tc>
        <w:tc>
          <w:tcPr>
            <w:tcW w:w="3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428,317</w:t>
            </w:r>
          </w:p>
        </w:tc>
        <w:tc>
          <w:tcPr>
            <w:tcW w:w="22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169,087</w:t>
            </w:r>
          </w:p>
        </w:tc>
        <w:tc>
          <w:tcPr>
            <w:tcW w:w="200" w:type="dxa"/>
            <w:vAlign w:val="bottom"/>
          </w:tcPr>
          <w:p>
            <w:pPr>
              <w:spacing w:after="0"/>
              <w:rPr>
                <w:sz w:val="13"/>
                <w:szCs w:val="13"/>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53,413</w:t>
            </w:r>
          </w:p>
        </w:tc>
        <w:tc>
          <w:tcPr>
            <w:tcW w:w="220" w:type="dxa"/>
            <w:vAlign w:val="bottom"/>
          </w:tcPr>
          <w:p>
            <w:pPr>
              <w:spacing w:after="0"/>
              <w:rPr>
                <w:sz w:val="13"/>
                <w:szCs w:val="13"/>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157,441</w:t>
            </w:r>
          </w:p>
        </w:tc>
        <w:tc>
          <w:tcPr>
            <w:tcW w:w="2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3,399</w:t>
            </w:r>
          </w:p>
        </w:tc>
        <w:tc>
          <w:tcPr>
            <w:tcW w:w="36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811,657</w:t>
            </w:r>
          </w:p>
        </w:tc>
        <w:tc>
          <w:tcPr>
            <w:tcW w:w="20" w:type="dxa"/>
            <w:vAlign w:val="bottom"/>
          </w:tcPr>
          <w:p>
            <w:pPr>
              <w:spacing w:after="0"/>
              <w:rPr>
                <w:sz w:val="13"/>
                <w:szCs w:val="13"/>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-1199515</wp:posOffset>
            </wp:positionV>
            <wp:extent cx="431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-1199515</wp:posOffset>
            </wp:positionV>
            <wp:extent cx="431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-1199515</wp:posOffset>
            </wp:positionV>
            <wp:extent cx="431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-1199515</wp:posOffset>
            </wp:positionV>
            <wp:extent cx="431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-1199515</wp:posOffset>
            </wp:positionV>
            <wp:extent cx="342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-1199515</wp:posOffset>
            </wp:positionV>
            <wp:extent cx="342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-136525</wp:posOffset>
            </wp:positionV>
            <wp:extent cx="431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-136525</wp:posOffset>
            </wp:positionV>
            <wp:extent cx="431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-136525</wp:posOffset>
            </wp:positionV>
            <wp:extent cx="431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-136525</wp:posOffset>
            </wp:positionV>
            <wp:extent cx="431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-136525</wp:posOffset>
            </wp:positionV>
            <wp:extent cx="342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-136525</wp:posOffset>
            </wp:positionV>
            <wp:extent cx="342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4" w:lineRule="exact"/>
        <w:rPr>
          <w:sz w:val="20"/>
          <w:szCs w:val="20"/>
          <w:color w:val="auto"/>
        </w:rPr>
      </w:pPr>
    </w:p>
    <w:p>
      <w:pPr>
        <w:jc w:val="both"/>
        <w:ind w:firstLine="479"/>
        <w:spacing w:after="0" w:line="258" w:lineRule="auto"/>
        <w:rPr>
          <w:sz w:val="20"/>
          <w:szCs w:val="20"/>
          <w:color w:val="auto"/>
        </w:rPr>
      </w:pPr>
      <w:r>
        <w:rPr>
          <w:rFonts w:ascii="Times New Roman" w:cs="Times New Roman" w:eastAsia="Times New Roman" w:hAnsi="Times New Roman"/>
          <w:sz w:val="18"/>
          <w:szCs w:val="18"/>
          <w:color w:val="auto"/>
        </w:rPr>
        <w:t>Net change in unrealized appreciation/(depreciation) of $(123) for the three months ended March 31, 2022, was attributable to Level 3 investments held at March 31, 2022. Net change in unrealized appreciation/(depreciation) of $1,018 for the three months ended March 31, 2021 was attributable to Level 3 investments held at March 31, 2021.</w:t>
      </w:r>
    </w:p>
    <w:p>
      <w:pPr>
        <w:spacing w:after="0" w:line="115"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The following tables summarize the significant unobservable inputs by valuation technique used to determine the fair value of the Company’s Level 3 debt and equity investments as of March 31, 2022 and December 31, 2021. The tables are not intended to be all-inclusive, but instead capture the significant unobservable inputs relevant to the Company’s determination of fair values.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Fair Value at</w:t>
            </w:r>
          </w:p>
        </w:tc>
        <w:tc>
          <w:tcPr>
            <w:tcW w:w="240" w:type="dxa"/>
            <w:vAlign w:val="bottom"/>
          </w:tcPr>
          <w:p>
            <w:pPr>
              <w:spacing w:after="0"/>
              <w:rPr>
                <w:sz w:val="16"/>
                <w:szCs w:val="16"/>
                <w:color w:val="auto"/>
              </w:rPr>
            </w:pPr>
          </w:p>
        </w:tc>
        <w:tc>
          <w:tcPr>
            <w:tcW w:w="200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Valuation</w:t>
            </w:r>
          </w:p>
        </w:tc>
        <w:tc>
          <w:tcPr>
            <w:tcW w:w="120" w:type="dxa"/>
            <w:vAlign w:val="bottom"/>
          </w:tcPr>
          <w:p>
            <w:pPr>
              <w:spacing w:after="0"/>
              <w:rPr>
                <w:sz w:val="16"/>
                <w:szCs w:val="16"/>
                <w:color w:val="auto"/>
              </w:rPr>
            </w:pPr>
          </w:p>
        </w:tc>
        <w:tc>
          <w:tcPr>
            <w:tcW w:w="3020" w:type="dxa"/>
            <w:vAlign w:val="bottom"/>
          </w:tcPr>
          <w:p>
            <w:pPr>
              <w:ind w:left="1020"/>
              <w:spacing w:after="0"/>
              <w:rPr>
                <w:sz w:val="20"/>
                <w:szCs w:val="20"/>
                <w:color w:val="auto"/>
              </w:rPr>
            </w:pPr>
            <w:r>
              <w:rPr>
                <w:rFonts w:ascii="Times New Roman" w:cs="Times New Roman" w:eastAsia="Times New Roman" w:hAnsi="Times New Roman"/>
                <w:sz w:val="16"/>
                <w:szCs w:val="16"/>
                <w:b w:val="1"/>
                <w:bCs w:val="1"/>
                <w:color w:val="auto"/>
              </w:rPr>
              <w:t>Unobservable</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Range</w:t>
            </w:r>
          </w:p>
        </w:tc>
      </w:tr>
      <w:tr>
        <w:trPr>
          <w:trHeight w:val="232"/>
        </w:trPr>
        <w:tc>
          <w:tcPr>
            <w:tcW w:w="2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240" w:type="dxa"/>
            <w:vAlign w:val="bottom"/>
          </w:tcPr>
          <w:p>
            <w:pPr>
              <w:spacing w:after="0"/>
              <w:rPr>
                <w:sz w:val="20"/>
                <w:szCs w:val="20"/>
                <w:color w:val="auto"/>
              </w:rPr>
            </w:pPr>
          </w:p>
        </w:tc>
        <w:tc>
          <w:tcPr>
            <w:tcW w:w="20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6"/>
                <w:szCs w:val="16"/>
                <w:b w:val="1"/>
                <w:bCs w:val="1"/>
                <w:color w:val="auto"/>
              </w:rPr>
              <w:t>Techniques</w:t>
            </w:r>
          </w:p>
        </w:tc>
        <w:tc>
          <w:tcPr>
            <w:tcW w:w="120" w:type="dxa"/>
            <w:vAlign w:val="bottom"/>
          </w:tcPr>
          <w:p>
            <w:pPr>
              <w:spacing w:after="0"/>
              <w:rPr>
                <w:sz w:val="20"/>
                <w:szCs w:val="20"/>
                <w:color w:val="auto"/>
              </w:rPr>
            </w:pPr>
          </w:p>
        </w:tc>
        <w:tc>
          <w:tcPr>
            <w:tcW w:w="302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ind w:left="60"/>
              <w:spacing w:after="0" w:line="232" w:lineRule="exact"/>
              <w:rPr>
                <w:sz w:val="20"/>
                <w:szCs w:val="20"/>
                <w:color w:val="auto"/>
              </w:rPr>
            </w:pPr>
            <w:r>
              <w:rPr>
                <w:rFonts w:ascii="Times New Roman" w:cs="Times New Roman" w:eastAsia="Times New Roman" w:hAnsi="Times New Roman"/>
                <w:sz w:val="16"/>
                <w:szCs w:val="16"/>
                <w:b w:val="1"/>
                <w:bCs w:val="1"/>
                <w:color w:val="auto"/>
              </w:rPr>
              <w:t>(weighted average)</w:t>
            </w:r>
            <w:r>
              <w:rPr>
                <w:rFonts w:ascii="Times New Roman" w:cs="Times New Roman" w:eastAsia="Times New Roman" w:hAnsi="Times New Roman"/>
                <w:sz w:val="21"/>
                <w:szCs w:val="21"/>
                <w:b w:val="1"/>
                <w:bCs w:val="1"/>
                <w:color w:val="auto"/>
                <w:vertAlign w:val="superscript"/>
              </w:rPr>
              <w:t>(1)</w:t>
            </w:r>
          </w:p>
        </w:tc>
      </w:tr>
      <w:tr>
        <w:trPr>
          <w:trHeight w:val="196"/>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Debt investments:</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r>
      <w:tr>
        <w:trPr>
          <w:trHeight w:val="203"/>
        </w:trPr>
        <w:tc>
          <w:tcPr>
            <w:tcW w:w="2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First Lien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395,484</w:t>
            </w:r>
          </w:p>
        </w:tc>
        <w:tc>
          <w:tcPr>
            <w:tcW w:w="240" w:type="dxa"/>
            <w:vAlign w:val="bottom"/>
          </w:tcPr>
          <w:p>
            <w:pPr>
              <w:spacing w:after="0"/>
              <w:rPr>
                <w:sz w:val="17"/>
                <w:szCs w:val="17"/>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Discounted cash flow</w:t>
            </w:r>
          </w:p>
        </w:tc>
        <w:tc>
          <w:tcPr>
            <w:tcW w:w="1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cost of capital</w:t>
            </w:r>
          </w:p>
        </w:tc>
        <w:tc>
          <w:tcPr>
            <w:tcW w:w="22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4.0% - 21.8% (11.7%)</w:t>
            </w:r>
          </w:p>
        </w:tc>
      </w:tr>
      <w:tr>
        <w:trPr>
          <w:trHeight w:val="203"/>
        </w:trPr>
        <w:tc>
          <w:tcPr>
            <w:tcW w:w="2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23,933</w:t>
            </w:r>
          </w:p>
        </w:tc>
        <w:tc>
          <w:tcPr>
            <w:tcW w:w="240" w:type="dxa"/>
            <w:vAlign w:val="bottom"/>
            <w:shd w:val="clear" w:color="auto" w:fill="CFF0FC"/>
          </w:tcPr>
          <w:p>
            <w:pPr>
              <w:spacing w:after="0"/>
              <w:rPr>
                <w:sz w:val="17"/>
                <w:szCs w:val="17"/>
                <w:color w:val="auto"/>
              </w:rPr>
            </w:pPr>
          </w:p>
        </w:tc>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Enterprise value</w:t>
            </w:r>
          </w:p>
        </w:tc>
        <w:tc>
          <w:tcPr>
            <w:tcW w:w="120" w:type="dxa"/>
            <w:vAlign w:val="bottom"/>
            <w:shd w:val="clear" w:color="auto" w:fill="CFF0FC"/>
          </w:tcPr>
          <w:p>
            <w:pPr>
              <w:spacing w:after="0"/>
              <w:rPr>
                <w:sz w:val="17"/>
                <w:szCs w:val="17"/>
                <w:color w:val="auto"/>
              </w:rPr>
            </w:pP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 Coverage</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1.1x</w:t>
            </w: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- 1.3x (1.2x)</w:t>
            </w:r>
          </w:p>
        </w:tc>
      </w:tr>
      <w:tr>
        <w:trPr>
          <w:trHeight w:val="203"/>
        </w:trPr>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8,900</w:t>
            </w:r>
          </w:p>
        </w:tc>
        <w:tc>
          <w:tcPr>
            <w:tcW w:w="240" w:type="dxa"/>
            <w:vAlign w:val="bottom"/>
          </w:tcPr>
          <w:p>
            <w:pPr>
              <w:spacing w:after="0"/>
              <w:rPr>
                <w:sz w:val="17"/>
                <w:szCs w:val="17"/>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Enterprise value</w:t>
            </w:r>
          </w:p>
        </w:tc>
        <w:tc>
          <w:tcPr>
            <w:tcW w:w="1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Revenue multiples</w:t>
            </w:r>
          </w:p>
        </w:tc>
        <w:tc>
          <w:tcPr>
            <w:tcW w:w="100" w:type="dxa"/>
            <w:vAlign w:val="bottom"/>
          </w:tcPr>
          <w:p>
            <w:pPr>
              <w:spacing w:after="0"/>
              <w:rPr>
                <w:sz w:val="17"/>
                <w:szCs w:val="17"/>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3.0x</w:t>
            </w:r>
          </w:p>
        </w:tc>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- 3.0x (3.0x)</w:t>
            </w:r>
          </w:p>
        </w:tc>
      </w:tr>
      <w:tr>
        <w:trPr>
          <w:trHeight w:val="203"/>
        </w:trPr>
        <w:tc>
          <w:tcPr>
            <w:tcW w:w="2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20" w:type="dxa"/>
            <w:vAlign w:val="bottom"/>
            <w:shd w:val="clear" w:color="auto" w:fill="CFF0FC"/>
          </w:tcPr>
          <w:p>
            <w:pPr>
              <w:spacing w:after="0"/>
              <w:rPr>
                <w:sz w:val="17"/>
                <w:szCs w:val="17"/>
                <w:color w:val="auto"/>
              </w:rPr>
            </w:pPr>
          </w:p>
        </w:tc>
        <w:tc>
          <w:tcPr>
            <w:tcW w:w="2280" w:type="dxa"/>
            <w:vAlign w:val="bottom"/>
            <w:gridSpan w:val="3"/>
            <w:shd w:val="clear" w:color="auto" w:fill="CFF0FC"/>
          </w:tcPr>
          <w:p>
            <w:pPr>
              <w:spacing w:after="0"/>
              <w:rPr>
                <w:sz w:val="17"/>
                <w:szCs w:val="17"/>
                <w:color w:val="auto"/>
              </w:rPr>
            </w:pPr>
          </w:p>
        </w:tc>
      </w:tr>
      <w:tr>
        <w:trPr>
          <w:trHeight w:val="203"/>
        </w:trPr>
        <w:tc>
          <w:tcPr>
            <w:tcW w:w="2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Second Lien Debt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155,237</w:t>
            </w:r>
          </w:p>
        </w:tc>
        <w:tc>
          <w:tcPr>
            <w:tcW w:w="240" w:type="dxa"/>
            <w:vAlign w:val="bottom"/>
          </w:tcPr>
          <w:p>
            <w:pPr>
              <w:spacing w:after="0"/>
              <w:rPr>
                <w:sz w:val="17"/>
                <w:szCs w:val="17"/>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Discounted cash flow</w:t>
            </w:r>
          </w:p>
        </w:tc>
        <w:tc>
          <w:tcPr>
            <w:tcW w:w="1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cost of capital</w:t>
            </w:r>
          </w:p>
        </w:tc>
        <w:tc>
          <w:tcPr>
            <w:tcW w:w="22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8.0% - 23.9% (13.6%)</w:t>
            </w:r>
          </w:p>
        </w:tc>
      </w:tr>
      <w:tr>
        <w:trPr>
          <w:trHeight w:val="203"/>
        </w:trPr>
        <w:tc>
          <w:tcPr>
            <w:tcW w:w="2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13,850</w:t>
            </w:r>
          </w:p>
        </w:tc>
        <w:tc>
          <w:tcPr>
            <w:tcW w:w="240" w:type="dxa"/>
            <w:vAlign w:val="bottom"/>
            <w:shd w:val="clear" w:color="auto" w:fill="CFF0FC"/>
          </w:tcPr>
          <w:p>
            <w:pPr>
              <w:spacing w:after="0"/>
              <w:rPr>
                <w:sz w:val="17"/>
                <w:szCs w:val="17"/>
                <w:color w:val="auto"/>
              </w:rPr>
            </w:pPr>
          </w:p>
        </w:tc>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Enterprise value</w:t>
            </w:r>
          </w:p>
        </w:tc>
        <w:tc>
          <w:tcPr>
            <w:tcW w:w="120" w:type="dxa"/>
            <w:vAlign w:val="bottom"/>
            <w:shd w:val="clear" w:color="auto" w:fill="CFF0FC"/>
          </w:tcPr>
          <w:p>
            <w:pPr>
              <w:spacing w:after="0"/>
              <w:rPr>
                <w:sz w:val="17"/>
                <w:szCs w:val="17"/>
                <w:color w:val="auto"/>
              </w:rPr>
            </w:pP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 Coverage</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0.9x</w:t>
            </w: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- 1.5x (1.4x)</w:t>
            </w:r>
          </w:p>
        </w:tc>
      </w:tr>
      <w:tr>
        <w:trPr>
          <w:trHeight w:val="203"/>
        </w:trPr>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280" w:type="dxa"/>
            <w:vAlign w:val="bottom"/>
            <w:gridSpan w:val="3"/>
          </w:tcPr>
          <w:p>
            <w:pPr>
              <w:spacing w:after="0"/>
              <w:rPr>
                <w:sz w:val="17"/>
                <w:szCs w:val="17"/>
                <w:color w:val="auto"/>
              </w:rPr>
            </w:pPr>
          </w:p>
        </w:tc>
      </w:tr>
      <w:tr>
        <w:trPr>
          <w:trHeight w:val="203"/>
        </w:trPr>
        <w:tc>
          <w:tcPr>
            <w:tcW w:w="2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Subordinated Debt</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53,413</w:t>
            </w:r>
          </w:p>
        </w:tc>
        <w:tc>
          <w:tcPr>
            <w:tcW w:w="240" w:type="dxa"/>
            <w:vAlign w:val="bottom"/>
            <w:shd w:val="clear" w:color="auto" w:fill="CFF0FC"/>
          </w:tcPr>
          <w:p>
            <w:pPr>
              <w:spacing w:after="0"/>
              <w:rPr>
                <w:sz w:val="17"/>
                <w:szCs w:val="17"/>
                <w:color w:val="auto"/>
              </w:rPr>
            </w:pPr>
          </w:p>
        </w:tc>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Discounted cash flow</w:t>
            </w:r>
          </w:p>
        </w:tc>
        <w:tc>
          <w:tcPr>
            <w:tcW w:w="120" w:type="dxa"/>
            <w:vAlign w:val="bottom"/>
            <w:shd w:val="clear" w:color="auto" w:fill="CFF0FC"/>
          </w:tcPr>
          <w:p>
            <w:pPr>
              <w:spacing w:after="0"/>
              <w:rPr>
                <w:sz w:val="17"/>
                <w:szCs w:val="17"/>
                <w:color w:val="auto"/>
              </w:rPr>
            </w:pP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cost of capital</w:t>
            </w:r>
          </w:p>
        </w:tc>
        <w:tc>
          <w:tcPr>
            <w:tcW w:w="22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8.8% - 13.5% (11.2%)</w:t>
            </w:r>
          </w:p>
        </w:tc>
      </w:tr>
      <w:tr>
        <w:trPr>
          <w:trHeight w:val="203"/>
        </w:trPr>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Equity investments:</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r>
      <w:tr>
        <w:trPr>
          <w:trHeight w:val="203"/>
        </w:trPr>
        <w:tc>
          <w:tcPr>
            <w:tcW w:w="2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Equity</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148,444</w:t>
            </w:r>
          </w:p>
        </w:tc>
        <w:tc>
          <w:tcPr>
            <w:tcW w:w="240" w:type="dxa"/>
            <w:vAlign w:val="bottom"/>
          </w:tcPr>
          <w:p>
            <w:pPr>
              <w:spacing w:after="0"/>
              <w:rPr>
                <w:sz w:val="17"/>
                <w:szCs w:val="17"/>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Enterprise value</w:t>
            </w:r>
          </w:p>
        </w:tc>
        <w:tc>
          <w:tcPr>
            <w:tcW w:w="1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EBITDA multiples</w:t>
            </w:r>
          </w:p>
        </w:tc>
        <w:tc>
          <w:tcPr>
            <w:tcW w:w="100" w:type="dxa"/>
            <w:vAlign w:val="bottom"/>
          </w:tcPr>
          <w:p>
            <w:pPr>
              <w:spacing w:after="0"/>
              <w:rPr>
                <w:sz w:val="17"/>
                <w:szCs w:val="17"/>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3.3x</w:t>
            </w:r>
          </w:p>
        </w:tc>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- 17.5x (7.3x)</w:t>
            </w:r>
          </w:p>
        </w:tc>
      </w:tr>
      <w:tr>
        <w:trPr>
          <w:trHeight w:val="203"/>
        </w:trPr>
        <w:tc>
          <w:tcPr>
            <w:tcW w:w="2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8,997</w:t>
            </w:r>
          </w:p>
        </w:tc>
        <w:tc>
          <w:tcPr>
            <w:tcW w:w="240" w:type="dxa"/>
            <w:vAlign w:val="bottom"/>
            <w:shd w:val="clear" w:color="auto" w:fill="CFF0FC"/>
          </w:tcPr>
          <w:p>
            <w:pPr>
              <w:spacing w:after="0"/>
              <w:rPr>
                <w:sz w:val="17"/>
                <w:szCs w:val="17"/>
                <w:color w:val="auto"/>
              </w:rPr>
            </w:pPr>
          </w:p>
        </w:tc>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Enterprise value</w:t>
            </w:r>
          </w:p>
        </w:tc>
        <w:tc>
          <w:tcPr>
            <w:tcW w:w="120" w:type="dxa"/>
            <w:vAlign w:val="bottom"/>
            <w:shd w:val="clear" w:color="auto" w:fill="CFF0FC"/>
          </w:tcPr>
          <w:p>
            <w:pPr>
              <w:spacing w:after="0"/>
              <w:rPr>
                <w:sz w:val="17"/>
                <w:szCs w:val="17"/>
                <w:color w:val="auto"/>
              </w:rPr>
            </w:pP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 multiples</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3.5x</w:t>
            </w: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- 9.3x (6.8x)</w:t>
            </w:r>
          </w:p>
        </w:tc>
      </w:tr>
      <w:tr>
        <w:trPr>
          <w:trHeight w:val="203"/>
        </w:trPr>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2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Warrants</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3,270</w:t>
            </w:r>
          </w:p>
        </w:tc>
        <w:tc>
          <w:tcPr>
            <w:tcW w:w="240" w:type="dxa"/>
            <w:vAlign w:val="bottom"/>
            <w:shd w:val="clear" w:color="auto" w:fill="CFF0FC"/>
          </w:tcPr>
          <w:p>
            <w:pPr>
              <w:spacing w:after="0"/>
              <w:rPr>
                <w:sz w:val="17"/>
                <w:szCs w:val="17"/>
                <w:color w:val="auto"/>
              </w:rPr>
            </w:pPr>
          </w:p>
        </w:tc>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Enterprise value</w:t>
            </w:r>
          </w:p>
        </w:tc>
        <w:tc>
          <w:tcPr>
            <w:tcW w:w="120" w:type="dxa"/>
            <w:vAlign w:val="bottom"/>
            <w:shd w:val="clear" w:color="auto" w:fill="CFF0FC"/>
          </w:tcPr>
          <w:p>
            <w:pPr>
              <w:spacing w:after="0"/>
              <w:rPr>
                <w:sz w:val="17"/>
                <w:szCs w:val="17"/>
                <w:color w:val="auto"/>
              </w:rPr>
            </w:pP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EBITDA multiples</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4.5x</w:t>
            </w: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- 6.0x (5.8x)</w:t>
            </w:r>
          </w:p>
        </w:tc>
      </w:tr>
      <w:tr>
        <w:trPr>
          <w:trHeight w:val="196"/>
        </w:trPr>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40" w:type="dxa"/>
            <w:vAlign w:val="bottom"/>
          </w:tcPr>
          <w:p>
            <w:pPr>
              <w:spacing w:after="0"/>
              <w:rPr>
                <w:sz w:val="17"/>
                <w:szCs w:val="17"/>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Enterprise value</w:t>
            </w:r>
          </w:p>
        </w:tc>
        <w:tc>
          <w:tcPr>
            <w:tcW w:w="1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Revenue multiples</w:t>
            </w:r>
          </w:p>
        </w:tc>
        <w:tc>
          <w:tcPr>
            <w:tcW w:w="100" w:type="dxa"/>
            <w:vAlign w:val="bottom"/>
          </w:tcPr>
          <w:p>
            <w:pPr>
              <w:spacing w:after="0"/>
              <w:rPr>
                <w:sz w:val="17"/>
                <w:szCs w:val="17"/>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4.5x</w:t>
            </w:r>
          </w:p>
        </w:tc>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- 4.5x (4.5x)</w:t>
            </w:r>
          </w:p>
        </w:tc>
      </w:tr>
    </w:tbl>
    <w:p>
      <w:pPr>
        <w:ind w:left="480" w:hanging="472"/>
        <w:spacing w:after="0"/>
        <w:tabs>
          <w:tab w:leader="none" w:pos="4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the relative fair value of the instruments.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tbl>
      <w:tblPr>
        <w:tblLayout w:type="fixed"/>
        <w:tblInd w:w="0" w:type="dxa"/>
        <w:tblCellMar>
          <w:top w:w="0" w:type="dxa"/>
          <w:left w:w="0" w:type="dxa"/>
          <w:bottom w:w="0" w:type="dxa"/>
          <w:right w:w="0" w:type="dxa"/>
        </w:tblCellMar>
      </w:tblPr>
      <w:tr>
        <w:trPr>
          <w:trHeight w:val="155"/>
        </w:trPr>
        <w:tc>
          <w:tcPr>
            <w:tcW w:w="2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jc w:val="right"/>
              <w:ind w:right="259"/>
              <w:spacing w:after="0" w:line="155" w:lineRule="exact"/>
              <w:rPr>
                <w:sz w:val="20"/>
                <w:szCs w:val="20"/>
                <w:color w:val="auto"/>
              </w:rPr>
            </w:pPr>
            <w:r>
              <w:rPr>
                <w:rFonts w:ascii="Times New Roman" w:cs="Times New Roman" w:eastAsia="Times New Roman" w:hAnsi="Times New Roman"/>
                <w:sz w:val="16"/>
                <w:szCs w:val="16"/>
                <w:b w:val="1"/>
                <w:bCs w:val="1"/>
                <w:color w:val="auto"/>
              </w:rPr>
              <w:t>Fair Value at</w:t>
            </w:r>
          </w:p>
        </w:tc>
        <w:tc>
          <w:tcPr>
            <w:tcW w:w="220" w:type="dxa"/>
            <w:vAlign w:val="bottom"/>
          </w:tcPr>
          <w:p>
            <w:pPr>
              <w:spacing w:after="0"/>
              <w:rPr>
                <w:sz w:val="13"/>
                <w:szCs w:val="13"/>
                <w:color w:val="auto"/>
              </w:rPr>
            </w:pPr>
          </w:p>
        </w:tc>
        <w:tc>
          <w:tcPr>
            <w:tcW w:w="2020" w:type="dxa"/>
            <w:vAlign w:val="bottom"/>
          </w:tcPr>
          <w:p>
            <w:pPr>
              <w:ind w:left="680"/>
              <w:spacing w:after="0" w:line="155" w:lineRule="exact"/>
              <w:rPr>
                <w:sz w:val="20"/>
                <w:szCs w:val="20"/>
                <w:color w:val="auto"/>
              </w:rPr>
            </w:pPr>
            <w:r>
              <w:rPr>
                <w:rFonts w:ascii="Times New Roman" w:cs="Times New Roman" w:eastAsia="Times New Roman" w:hAnsi="Times New Roman"/>
                <w:sz w:val="16"/>
                <w:szCs w:val="16"/>
                <w:b w:val="1"/>
                <w:bCs w:val="1"/>
                <w:color w:val="auto"/>
              </w:rPr>
              <w:t>Valuation</w:t>
            </w:r>
          </w:p>
        </w:tc>
        <w:tc>
          <w:tcPr>
            <w:tcW w:w="100" w:type="dxa"/>
            <w:vAlign w:val="bottom"/>
          </w:tcPr>
          <w:p>
            <w:pPr>
              <w:spacing w:after="0"/>
              <w:rPr>
                <w:sz w:val="13"/>
                <w:szCs w:val="13"/>
                <w:color w:val="auto"/>
              </w:rPr>
            </w:pPr>
          </w:p>
        </w:tc>
        <w:tc>
          <w:tcPr>
            <w:tcW w:w="2920" w:type="dxa"/>
            <w:vAlign w:val="bottom"/>
          </w:tcPr>
          <w:p>
            <w:pPr>
              <w:ind w:left="980"/>
              <w:spacing w:after="0" w:line="155" w:lineRule="exact"/>
              <w:rPr>
                <w:sz w:val="20"/>
                <w:szCs w:val="20"/>
                <w:color w:val="auto"/>
              </w:rPr>
            </w:pPr>
            <w:r>
              <w:rPr>
                <w:rFonts w:ascii="Times New Roman" w:cs="Times New Roman" w:eastAsia="Times New Roman" w:hAnsi="Times New Roman"/>
                <w:sz w:val="16"/>
                <w:szCs w:val="16"/>
                <w:b w:val="1"/>
                <w:bCs w:val="1"/>
                <w:color w:val="auto"/>
              </w:rPr>
              <w:t>Unobservable</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tcPr>
          <w:p>
            <w:pPr>
              <w:ind w:left="560"/>
              <w:spacing w:after="0" w:line="155" w:lineRule="exact"/>
              <w:rPr>
                <w:sz w:val="20"/>
                <w:szCs w:val="20"/>
                <w:color w:val="auto"/>
              </w:rPr>
            </w:pPr>
            <w:r>
              <w:rPr>
                <w:rFonts w:ascii="Times New Roman" w:cs="Times New Roman" w:eastAsia="Times New Roman" w:hAnsi="Times New Roman"/>
                <w:sz w:val="16"/>
                <w:szCs w:val="16"/>
                <w:b w:val="1"/>
                <w:bCs w:val="1"/>
                <w:color w:val="auto"/>
              </w:rPr>
              <w:t>Range</w:t>
            </w:r>
          </w:p>
        </w:tc>
      </w:tr>
      <w:tr>
        <w:trPr>
          <w:trHeight w:val="246"/>
        </w:trPr>
        <w:tc>
          <w:tcPr>
            <w:tcW w:w="2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20" w:type="dxa"/>
            <w:vAlign w:val="bottom"/>
          </w:tcPr>
          <w:p>
            <w:pPr>
              <w:spacing w:after="0"/>
              <w:rPr>
                <w:sz w:val="21"/>
                <w:szCs w:val="21"/>
                <w:color w:val="auto"/>
              </w:rPr>
            </w:pPr>
          </w:p>
        </w:tc>
        <w:tc>
          <w:tcPr>
            <w:tcW w:w="20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6"/>
                <w:szCs w:val="16"/>
                <w:b w:val="1"/>
                <w:bCs w:val="1"/>
                <w:color w:val="auto"/>
              </w:rPr>
              <w:t>Techniques</w:t>
            </w:r>
          </w:p>
        </w:tc>
        <w:tc>
          <w:tcPr>
            <w:tcW w:w="100" w:type="dxa"/>
            <w:vAlign w:val="bottom"/>
          </w:tcPr>
          <w:p>
            <w:pPr>
              <w:spacing w:after="0"/>
              <w:rPr>
                <w:sz w:val="21"/>
                <w:szCs w:val="21"/>
                <w:color w:val="auto"/>
              </w:rPr>
            </w:pPr>
          </w:p>
        </w:tc>
        <w:tc>
          <w:tcPr>
            <w:tcW w:w="29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(weighted average)</w:t>
            </w:r>
            <w:r>
              <w:rPr>
                <w:rFonts w:ascii="Times New Roman" w:cs="Times New Roman" w:eastAsia="Times New Roman" w:hAnsi="Times New Roman"/>
                <w:sz w:val="21"/>
                <w:szCs w:val="21"/>
                <w:b w:val="1"/>
                <w:bCs w:val="1"/>
                <w:color w:val="auto"/>
                <w:vertAlign w:val="superscript"/>
              </w:rPr>
              <w:t>(1)</w:t>
            </w:r>
          </w:p>
        </w:tc>
      </w:tr>
      <w:tr>
        <w:trPr>
          <w:trHeight w:val="196"/>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Debt investments:</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r>
      <w:tr>
        <w:trPr>
          <w:trHeight w:val="203"/>
        </w:trPr>
        <w:tc>
          <w:tcPr>
            <w:tcW w:w="2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First Lien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335,022</w:t>
            </w:r>
          </w:p>
        </w:tc>
        <w:tc>
          <w:tcPr>
            <w:tcW w:w="220" w:type="dxa"/>
            <w:vAlign w:val="bottom"/>
          </w:tcPr>
          <w:p>
            <w:pPr>
              <w:spacing w:after="0"/>
              <w:rPr>
                <w:sz w:val="17"/>
                <w:szCs w:val="17"/>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Discounted cash flow</w:t>
            </w:r>
          </w:p>
        </w:tc>
        <w:tc>
          <w:tcPr>
            <w:tcW w:w="100" w:type="dxa"/>
            <w:vAlign w:val="bottom"/>
          </w:tcPr>
          <w:p>
            <w:pPr>
              <w:spacing w:after="0"/>
              <w:rPr>
                <w:sz w:val="17"/>
                <w:szCs w:val="17"/>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cost of capital</w:t>
            </w:r>
          </w:p>
        </w:tc>
        <w:tc>
          <w:tcPr>
            <w:tcW w:w="22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4.0% - 21.6% (12.2%)</w:t>
            </w:r>
          </w:p>
        </w:tc>
      </w:tr>
      <w:tr>
        <w:trPr>
          <w:trHeight w:val="203"/>
        </w:trPr>
        <w:tc>
          <w:tcPr>
            <w:tcW w:w="2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220" w:type="dxa"/>
            <w:vAlign w:val="bottom"/>
            <w:shd w:val="clear" w:color="auto" w:fill="CFF0FC"/>
          </w:tcPr>
          <w:p>
            <w:pPr>
              <w:spacing w:after="0"/>
              <w:rPr>
                <w:sz w:val="17"/>
                <w:szCs w:val="17"/>
                <w:color w:val="auto"/>
              </w:rPr>
            </w:pPr>
          </w:p>
        </w:tc>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Enterprise value</w:t>
            </w:r>
          </w:p>
        </w:tc>
        <w:tc>
          <w:tcPr>
            <w:tcW w:w="100" w:type="dxa"/>
            <w:vAlign w:val="bottom"/>
            <w:shd w:val="clear" w:color="auto" w:fill="CFF0FC"/>
          </w:tcPr>
          <w:p>
            <w:pPr>
              <w:spacing w:after="0"/>
              <w:rPr>
                <w:sz w:val="17"/>
                <w:szCs w:val="17"/>
                <w:color w:val="auto"/>
              </w:rPr>
            </w:pPr>
          </w:p>
        </w:tc>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 Coverage</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1.2x</w:t>
            </w: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- 1.2x (1.2x)</w:t>
            </w:r>
          </w:p>
        </w:tc>
      </w:tr>
      <w:tr>
        <w:trPr>
          <w:trHeight w:val="203"/>
        </w:trPr>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8,900</w:t>
            </w:r>
          </w:p>
        </w:tc>
        <w:tc>
          <w:tcPr>
            <w:tcW w:w="220" w:type="dxa"/>
            <w:vAlign w:val="bottom"/>
          </w:tcPr>
          <w:p>
            <w:pPr>
              <w:spacing w:after="0"/>
              <w:rPr>
                <w:sz w:val="17"/>
                <w:szCs w:val="17"/>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Enterprise value</w:t>
            </w:r>
          </w:p>
        </w:tc>
        <w:tc>
          <w:tcPr>
            <w:tcW w:w="100" w:type="dxa"/>
            <w:vAlign w:val="bottom"/>
          </w:tcPr>
          <w:p>
            <w:pPr>
              <w:spacing w:after="0"/>
              <w:rPr>
                <w:sz w:val="17"/>
                <w:szCs w:val="17"/>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multiples</w:t>
            </w:r>
          </w:p>
        </w:tc>
        <w:tc>
          <w:tcPr>
            <w:tcW w:w="100" w:type="dxa"/>
            <w:vAlign w:val="bottom"/>
          </w:tcPr>
          <w:p>
            <w:pPr>
              <w:spacing w:after="0"/>
              <w:rPr>
                <w:sz w:val="17"/>
                <w:szCs w:val="17"/>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4.5x</w:t>
            </w:r>
          </w:p>
        </w:tc>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- 4.5x (4.5x)</w:t>
            </w:r>
          </w:p>
        </w:tc>
      </w:tr>
      <w:tr>
        <w:trPr>
          <w:trHeight w:val="203"/>
        </w:trPr>
        <w:tc>
          <w:tcPr>
            <w:tcW w:w="2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920" w:type="dxa"/>
            <w:vAlign w:val="bottom"/>
            <w:shd w:val="clear" w:color="auto" w:fill="CFF0FC"/>
          </w:tcPr>
          <w:p>
            <w:pPr>
              <w:spacing w:after="0"/>
              <w:rPr>
                <w:sz w:val="17"/>
                <w:szCs w:val="17"/>
                <w:color w:val="auto"/>
              </w:rPr>
            </w:pPr>
          </w:p>
        </w:tc>
        <w:tc>
          <w:tcPr>
            <w:tcW w:w="2280" w:type="dxa"/>
            <w:vAlign w:val="bottom"/>
            <w:gridSpan w:val="3"/>
            <w:shd w:val="clear" w:color="auto" w:fill="CFF0FC"/>
          </w:tcPr>
          <w:p>
            <w:pPr>
              <w:spacing w:after="0"/>
              <w:rPr>
                <w:sz w:val="17"/>
                <w:szCs w:val="17"/>
                <w:color w:val="auto"/>
              </w:rPr>
            </w:pPr>
          </w:p>
        </w:tc>
      </w:tr>
      <w:tr>
        <w:trPr>
          <w:trHeight w:val="203"/>
        </w:trPr>
        <w:tc>
          <w:tcPr>
            <w:tcW w:w="2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Second Lien Debt</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144,541</w:t>
            </w:r>
          </w:p>
        </w:tc>
        <w:tc>
          <w:tcPr>
            <w:tcW w:w="220" w:type="dxa"/>
            <w:vAlign w:val="bottom"/>
          </w:tcPr>
          <w:p>
            <w:pPr>
              <w:spacing w:after="0"/>
              <w:rPr>
                <w:sz w:val="17"/>
                <w:szCs w:val="17"/>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Discounted cash flow</w:t>
            </w:r>
          </w:p>
        </w:tc>
        <w:tc>
          <w:tcPr>
            <w:tcW w:w="100" w:type="dxa"/>
            <w:vAlign w:val="bottom"/>
          </w:tcPr>
          <w:p>
            <w:pPr>
              <w:spacing w:after="0"/>
              <w:rPr>
                <w:sz w:val="17"/>
                <w:szCs w:val="17"/>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cost of capital</w:t>
            </w:r>
          </w:p>
        </w:tc>
        <w:tc>
          <w:tcPr>
            <w:tcW w:w="22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7.8% - 25.0% (14.4%)</w:t>
            </w:r>
          </w:p>
        </w:tc>
      </w:tr>
      <w:tr>
        <w:trPr>
          <w:trHeight w:val="203"/>
        </w:trPr>
        <w:tc>
          <w:tcPr>
            <w:tcW w:w="2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14,274</w:t>
            </w:r>
          </w:p>
        </w:tc>
        <w:tc>
          <w:tcPr>
            <w:tcW w:w="220" w:type="dxa"/>
            <w:vAlign w:val="bottom"/>
            <w:shd w:val="clear" w:color="auto" w:fill="CFF0FC"/>
          </w:tcPr>
          <w:p>
            <w:pPr>
              <w:spacing w:after="0"/>
              <w:rPr>
                <w:sz w:val="17"/>
                <w:szCs w:val="17"/>
                <w:color w:val="auto"/>
              </w:rPr>
            </w:pPr>
          </w:p>
        </w:tc>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Enterprise value</w:t>
            </w:r>
          </w:p>
        </w:tc>
        <w:tc>
          <w:tcPr>
            <w:tcW w:w="100" w:type="dxa"/>
            <w:vAlign w:val="bottom"/>
            <w:shd w:val="clear" w:color="auto" w:fill="CFF0FC"/>
          </w:tcPr>
          <w:p>
            <w:pPr>
              <w:spacing w:after="0"/>
              <w:rPr>
                <w:sz w:val="17"/>
                <w:szCs w:val="17"/>
                <w:color w:val="auto"/>
              </w:rPr>
            </w:pPr>
          </w:p>
        </w:tc>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 Coverage</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1.0x</w:t>
            </w: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- 1.4x (1.4x)</w:t>
            </w:r>
          </w:p>
        </w:tc>
      </w:tr>
      <w:tr>
        <w:trPr>
          <w:trHeight w:val="203"/>
        </w:trPr>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280" w:type="dxa"/>
            <w:vAlign w:val="bottom"/>
            <w:gridSpan w:val="3"/>
          </w:tcPr>
          <w:p>
            <w:pPr>
              <w:spacing w:after="0"/>
              <w:rPr>
                <w:sz w:val="17"/>
                <w:szCs w:val="17"/>
                <w:color w:val="auto"/>
              </w:rPr>
            </w:pPr>
          </w:p>
        </w:tc>
      </w:tr>
      <w:tr>
        <w:trPr>
          <w:trHeight w:val="203"/>
        </w:trPr>
        <w:tc>
          <w:tcPr>
            <w:tcW w:w="2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Subordinated Debt</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36,064</w:t>
            </w:r>
          </w:p>
        </w:tc>
        <w:tc>
          <w:tcPr>
            <w:tcW w:w="220" w:type="dxa"/>
            <w:vAlign w:val="bottom"/>
            <w:shd w:val="clear" w:color="auto" w:fill="CFF0FC"/>
          </w:tcPr>
          <w:p>
            <w:pPr>
              <w:spacing w:after="0"/>
              <w:rPr>
                <w:sz w:val="17"/>
                <w:szCs w:val="17"/>
                <w:color w:val="auto"/>
              </w:rPr>
            </w:pPr>
          </w:p>
        </w:tc>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Discounted cash flow</w:t>
            </w:r>
          </w:p>
        </w:tc>
        <w:tc>
          <w:tcPr>
            <w:tcW w:w="100" w:type="dxa"/>
            <w:vAlign w:val="bottom"/>
            <w:shd w:val="clear" w:color="auto" w:fill="CFF0FC"/>
          </w:tcPr>
          <w:p>
            <w:pPr>
              <w:spacing w:after="0"/>
              <w:rPr>
                <w:sz w:val="17"/>
                <w:szCs w:val="17"/>
                <w:color w:val="auto"/>
              </w:rPr>
            </w:pPr>
          </w:p>
        </w:tc>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 average cost of capital</w:t>
            </w:r>
          </w:p>
        </w:tc>
        <w:tc>
          <w:tcPr>
            <w:tcW w:w="22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10.0% - 13.5% (11.1%)</w:t>
            </w:r>
          </w:p>
        </w:tc>
      </w:tr>
      <w:tr>
        <w:trPr>
          <w:trHeight w:val="203"/>
        </w:trPr>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Equity investments:</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r>
      <w:tr>
        <w:trPr>
          <w:trHeight w:val="203"/>
        </w:trPr>
        <w:tc>
          <w:tcPr>
            <w:tcW w:w="2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Equity</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162,681</w:t>
            </w:r>
          </w:p>
        </w:tc>
        <w:tc>
          <w:tcPr>
            <w:tcW w:w="220" w:type="dxa"/>
            <w:vAlign w:val="bottom"/>
          </w:tcPr>
          <w:p>
            <w:pPr>
              <w:spacing w:after="0"/>
              <w:rPr>
                <w:sz w:val="17"/>
                <w:szCs w:val="17"/>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Enterprise value</w:t>
            </w:r>
          </w:p>
        </w:tc>
        <w:tc>
          <w:tcPr>
            <w:tcW w:w="100" w:type="dxa"/>
            <w:vAlign w:val="bottom"/>
          </w:tcPr>
          <w:p>
            <w:pPr>
              <w:spacing w:after="0"/>
              <w:rPr>
                <w:sz w:val="17"/>
                <w:szCs w:val="17"/>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EBITDA multiples</w:t>
            </w:r>
          </w:p>
        </w:tc>
        <w:tc>
          <w:tcPr>
            <w:tcW w:w="100" w:type="dxa"/>
            <w:vAlign w:val="bottom"/>
          </w:tcPr>
          <w:p>
            <w:pPr>
              <w:spacing w:after="0"/>
              <w:rPr>
                <w:sz w:val="17"/>
                <w:szCs w:val="17"/>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3.5x</w:t>
            </w:r>
          </w:p>
        </w:tc>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- 23.8x (8.2x)</w:t>
            </w:r>
          </w:p>
        </w:tc>
      </w:tr>
      <w:tr>
        <w:trPr>
          <w:trHeight w:val="203"/>
        </w:trPr>
        <w:tc>
          <w:tcPr>
            <w:tcW w:w="2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3,081</w:t>
            </w:r>
          </w:p>
        </w:tc>
        <w:tc>
          <w:tcPr>
            <w:tcW w:w="220" w:type="dxa"/>
            <w:vAlign w:val="bottom"/>
            <w:shd w:val="clear" w:color="auto" w:fill="CFF0FC"/>
          </w:tcPr>
          <w:p>
            <w:pPr>
              <w:spacing w:after="0"/>
              <w:rPr>
                <w:sz w:val="17"/>
                <w:szCs w:val="17"/>
                <w:color w:val="auto"/>
              </w:rPr>
            </w:pPr>
          </w:p>
        </w:tc>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Enterprise value</w:t>
            </w:r>
          </w:p>
        </w:tc>
        <w:tc>
          <w:tcPr>
            <w:tcW w:w="100" w:type="dxa"/>
            <w:vAlign w:val="bottom"/>
            <w:shd w:val="clear" w:color="auto" w:fill="CFF0FC"/>
          </w:tcPr>
          <w:p>
            <w:pPr>
              <w:spacing w:after="0"/>
              <w:rPr>
                <w:sz w:val="17"/>
                <w:szCs w:val="17"/>
                <w:color w:val="auto"/>
              </w:rPr>
            </w:pPr>
          </w:p>
        </w:tc>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 multiples</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3.5x</w:t>
            </w: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- 9.3x (6.2x)</w:t>
            </w:r>
          </w:p>
        </w:tc>
      </w:tr>
      <w:tr>
        <w:trPr>
          <w:trHeight w:val="203"/>
        </w:trPr>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2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Warrants</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3,075</w:t>
            </w:r>
          </w:p>
        </w:tc>
        <w:tc>
          <w:tcPr>
            <w:tcW w:w="220" w:type="dxa"/>
            <w:vAlign w:val="bottom"/>
            <w:shd w:val="clear" w:color="auto" w:fill="CFF0FC"/>
          </w:tcPr>
          <w:p>
            <w:pPr>
              <w:spacing w:after="0"/>
              <w:rPr>
                <w:sz w:val="17"/>
                <w:szCs w:val="17"/>
                <w:color w:val="auto"/>
              </w:rPr>
            </w:pPr>
          </w:p>
        </w:tc>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Enterprise value</w:t>
            </w:r>
          </w:p>
        </w:tc>
        <w:tc>
          <w:tcPr>
            <w:tcW w:w="100" w:type="dxa"/>
            <w:vAlign w:val="bottom"/>
            <w:shd w:val="clear" w:color="auto" w:fill="CFF0FC"/>
          </w:tcPr>
          <w:p>
            <w:pPr>
              <w:spacing w:after="0"/>
              <w:rPr>
                <w:sz w:val="17"/>
                <w:szCs w:val="17"/>
                <w:color w:val="auto"/>
              </w:rPr>
            </w:pPr>
          </w:p>
        </w:tc>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EBITDA multiples</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4.5x</w:t>
            </w: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- 6.0x (5.9x)</w:t>
            </w:r>
          </w:p>
        </w:tc>
      </w:tr>
      <w:tr>
        <w:trPr>
          <w:trHeight w:val="196"/>
        </w:trPr>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20" w:type="dxa"/>
            <w:vAlign w:val="bottom"/>
          </w:tcPr>
          <w:p>
            <w:pPr>
              <w:spacing w:after="0"/>
              <w:rPr>
                <w:sz w:val="17"/>
                <w:szCs w:val="17"/>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Enterprise value</w:t>
            </w:r>
          </w:p>
        </w:tc>
        <w:tc>
          <w:tcPr>
            <w:tcW w:w="100" w:type="dxa"/>
            <w:vAlign w:val="bottom"/>
          </w:tcPr>
          <w:p>
            <w:pPr>
              <w:spacing w:after="0"/>
              <w:rPr>
                <w:sz w:val="17"/>
                <w:szCs w:val="17"/>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multiples</w:t>
            </w:r>
          </w:p>
        </w:tc>
        <w:tc>
          <w:tcPr>
            <w:tcW w:w="100" w:type="dxa"/>
            <w:vAlign w:val="bottom"/>
          </w:tcPr>
          <w:p>
            <w:pPr>
              <w:spacing w:after="0"/>
              <w:rPr>
                <w:sz w:val="17"/>
                <w:szCs w:val="17"/>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4.5x</w:t>
            </w:r>
          </w:p>
        </w:tc>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- 4.5x (4.5x)</w:t>
            </w:r>
          </w:p>
        </w:tc>
      </w:tr>
    </w:tbl>
    <w:p>
      <w:pPr>
        <w:ind w:left="480" w:hanging="472"/>
        <w:spacing w:after="0"/>
        <w:tabs>
          <w:tab w:leader="none" w:pos="4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the relative fair value of the instruments.</w:t>
      </w:r>
    </w:p>
    <w:p>
      <w:pPr>
        <w:spacing w:after="0" w:line="151" w:lineRule="exact"/>
        <w:rPr>
          <w:sz w:val="20"/>
          <w:szCs w:val="20"/>
          <w:color w:val="auto"/>
        </w:rPr>
      </w:pPr>
    </w:p>
    <w:p>
      <w:pPr>
        <w:jc w:val="both"/>
        <w:ind w:firstLine="478"/>
        <w:spacing w:after="0" w:line="282" w:lineRule="auto"/>
        <w:rPr>
          <w:sz w:val="20"/>
          <w:szCs w:val="20"/>
          <w:color w:val="auto"/>
        </w:rPr>
      </w:pPr>
      <w:r>
        <w:rPr>
          <w:rFonts w:ascii="Times New Roman" w:cs="Times New Roman" w:eastAsia="Times New Roman" w:hAnsi="Times New Roman"/>
          <w:sz w:val="18"/>
          <w:szCs w:val="18"/>
          <w:color w:val="auto"/>
        </w:rPr>
        <w:t>The significant unobservable input used in determining the fair value under the discounted cash flow technique is the weighted average cost of capital of each security. Significant increases (or decreases) in this input would likely result in significantly lower (or higher) fair value estimates.</w:t>
      </w:r>
    </w:p>
    <w:p>
      <w:pPr>
        <w:spacing w:after="0" w:line="94" w:lineRule="exact"/>
        <w:rPr>
          <w:sz w:val="20"/>
          <w:szCs w:val="20"/>
          <w:color w:val="auto"/>
        </w:rPr>
      </w:pPr>
    </w:p>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The significant unobservable inputs used in determining fair value under the enterprise value technique are revenue and EBITDA multiples, as well as asset coverage. Significant increases (or decreases) in these inputs could result in significantly higher (or lower) fair value estimates.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Financial Assets and Liabilities</w:t>
      </w:r>
    </w:p>
    <w:p>
      <w:pPr>
        <w:spacing w:after="0" w:line="173" w:lineRule="exact"/>
        <w:rPr>
          <w:sz w:val="20"/>
          <w:szCs w:val="20"/>
          <w:color w:val="auto"/>
        </w:rPr>
      </w:pPr>
    </w:p>
    <w:p>
      <w:pPr>
        <w:jc w:val="both"/>
        <w:ind w:firstLine="478"/>
        <w:spacing w:after="0" w:line="250" w:lineRule="auto"/>
        <w:rPr>
          <w:sz w:val="20"/>
          <w:szCs w:val="20"/>
          <w:color w:val="auto"/>
        </w:rPr>
      </w:pPr>
      <w:r>
        <w:rPr>
          <w:rFonts w:ascii="Times New Roman" w:cs="Times New Roman" w:eastAsia="Times New Roman" w:hAnsi="Times New Roman"/>
          <w:sz w:val="18"/>
          <w:szCs w:val="18"/>
          <w:color w:val="auto"/>
        </w:rPr>
        <w:t>ASC Topic 820 requires disclosure of the fair value of financial instruments for which it is practical to estimate such value. The Company believes that the carrying amounts of its other financial instruments such as cash and cash equivalents, interest receivable and accounts payable and other liabilities approximate the fair value of such items due to the short maturity of such instruments. The Company’s borrowings under the Credit Facility (as defined in Note 6), SBA debentures, and Notes (as defined in Note 6) are recorded at their respective carrying values.</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tables summarize the carrying value and fair value of the Company’s debt obligations as of March 31, 2022 and December 31, 2021.</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276"/>
        </w:trPr>
        <w:tc>
          <w:tcPr>
            <w:tcW w:w="418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58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March 31, 2022</w:t>
            </w:r>
            <w:r>
              <w:rPr>
                <w:rFonts w:ascii="Times New Roman" w:cs="Times New Roman" w:eastAsia="Times New Roman" w:hAnsi="Times New Roman"/>
                <w:sz w:val="24"/>
                <w:szCs w:val="24"/>
                <w:b w:val="1"/>
                <w:bCs w:val="1"/>
                <w:color w:val="auto"/>
                <w:vertAlign w:val="superscript"/>
              </w:rPr>
              <w:t>(5)</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 2021</w:t>
            </w:r>
            <w:r>
              <w:rPr>
                <w:rFonts w:ascii="Times New Roman" w:cs="Times New Roman" w:eastAsia="Times New Roman" w:hAnsi="Times New Roman"/>
                <w:sz w:val="24"/>
                <w:szCs w:val="24"/>
                <w:b w:val="1"/>
                <w:bCs w:val="1"/>
                <w:color w:val="auto"/>
                <w:vertAlign w:val="superscript"/>
              </w:rPr>
              <w:t>(5)</w:t>
            </w:r>
          </w:p>
        </w:tc>
        <w:tc>
          <w:tcPr>
            <w:tcW w:w="0" w:type="dxa"/>
            <w:vAlign w:val="bottom"/>
          </w:tcPr>
          <w:p>
            <w:pPr>
              <w:spacing w:after="0"/>
              <w:rPr>
                <w:sz w:val="1"/>
                <w:szCs w:val="1"/>
                <w:color w:val="auto"/>
              </w:rPr>
            </w:pPr>
          </w:p>
        </w:tc>
      </w:tr>
      <w:tr>
        <w:trPr>
          <w:trHeight w:val="155"/>
        </w:trPr>
        <w:tc>
          <w:tcPr>
            <w:tcW w:w="4180" w:type="dxa"/>
            <w:vAlign w:val="bottom"/>
          </w:tcPr>
          <w:p>
            <w:pPr>
              <w:spacing w:after="0"/>
              <w:rPr>
                <w:sz w:val="13"/>
                <w:szCs w:val="13"/>
                <w:color w:val="auto"/>
              </w:rPr>
            </w:pPr>
          </w:p>
        </w:tc>
        <w:tc>
          <w:tcPr>
            <w:tcW w:w="1420" w:type="dxa"/>
            <w:vAlign w:val="bottom"/>
            <w:gridSpan w:val="2"/>
          </w:tcPr>
          <w:p>
            <w:pPr>
              <w:jc w:val="right"/>
              <w:ind w:right="94"/>
              <w:spacing w:after="0" w:line="156" w:lineRule="exact"/>
              <w:rPr>
                <w:sz w:val="20"/>
                <w:szCs w:val="20"/>
                <w:color w:val="auto"/>
              </w:rPr>
            </w:pPr>
            <w:r>
              <w:rPr>
                <w:rFonts w:ascii="Times New Roman" w:cs="Times New Roman" w:eastAsia="Times New Roman" w:hAnsi="Times New Roman"/>
                <w:sz w:val="18"/>
                <w:szCs w:val="18"/>
                <w:b w:val="1"/>
                <w:bCs w:val="1"/>
                <w:color w:val="auto"/>
              </w:rPr>
              <w:t>Carrying Value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right"/>
              <w:ind w:right="54"/>
              <w:spacing w:after="0" w:line="156" w:lineRule="exact"/>
              <w:rPr>
                <w:sz w:val="20"/>
                <w:szCs w:val="20"/>
                <w:color w:val="auto"/>
              </w:rPr>
            </w:pPr>
            <w:r>
              <w:rPr>
                <w:rFonts w:ascii="Times New Roman" w:cs="Times New Roman" w:eastAsia="Times New Roman" w:hAnsi="Times New Roman"/>
                <w:sz w:val="18"/>
                <w:szCs w:val="18"/>
                <w:b w:val="1"/>
                <w:bCs w:val="1"/>
                <w:color w:val="auto"/>
              </w:rPr>
              <w:t>Carrying Value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tcPr>
          <w:p>
            <w:pPr>
              <w:jc w:val="right"/>
              <w:ind w:right="594"/>
              <w:spacing w:after="0" w:line="122" w:lineRule="exact"/>
              <w:rPr>
                <w:sz w:val="20"/>
                <w:szCs w:val="20"/>
                <w:color w:val="auto"/>
              </w:rPr>
            </w:pPr>
            <w:r>
              <w:rPr>
                <w:rFonts w:ascii="Times New Roman" w:cs="Times New Roman" w:eastAsia="Times New Roman" w:hAnsi="Times New Roman"/>
                <w:sz w:val="12"/>
                <w:szCs w:val="12"/>
                <w:b w:val="1"/>
                <w:bCs w:val="1"/>
                <w:color w:val="auto"/>
              </w:rPr>
              <w:t>(1)</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vMerge w:val="restart"/>
          </w:tcPr>
          <w:p>
            <w:pPr>
              <w:jc w:val="right"/>
              <w:ind w:right="230"/>
              <w:spacing w:after="0" w:line="176"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Pr>
          <w:p>
            <w:pPr>
              <w:jc w:val="right"/>
              <w:ind w:right="554"/>
              <w:spacing w:after="0" w:line="122" w:lineRule="exact"/>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vMerge w:val="restart"/>
          </w:tcPr>
          <w:p>
            <w:pPr>
              <w:jc w:val="right"/>
              <w:ind w:right="230"/>
              <w:spacing w:after="0" w:line="176"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54"/>
        </w:trPr>
        <w:tc>
          <w:tcPr>
            <w:tcW w:w="4180" w:type="dxa"/>
            <w:vAlign w:val="bottom"/>
            <w:vMerge w:val="restart"/>
          </w:tcPr>
          <w:p>
            <w:pPr>
              <w:spacing w:after="0" w:line="232" w:lineRule="exact"/>
              <w:rPr>
                <w:sz w:val="20"/>
                <w:szCs w:val="20"/>
                <w:color w:val="auto"/>
              </w:rPr>
            </w:pPr>
            <w:r>
              <w:rPr>
                <w:rFonts w:ascii="Times New Roman" w:cs="Times New Roman" w:eastAsia="Times New Roman" w:hAnsi="Times New Roman"/>
                <w:sz w:val="18"/>
                <w:szCs w:val="18"/>
                <w:color w:val="auto"/>
              </w:rPr>
              <w:t xml:space="preserve">SBA debentures </w:t>
            </w:r>
            <w:r>
              <w:rPr>
                <w:rFonts w:ascii="Times New Roman" w:cs="Times New Roman" w:eastAsia="Times New Roman" w:hAnsi="Times New Roman"/>
                <w:sz w:val="24"/>
                <w:szCs w:val="24"/>
                <w:color w:val="auto"/>
                <w:vertAlign w:val="superscript"/>
              </w:rPr>
              <w:t>(2)</w:t>
            </w:r>
          </w:p>
        </w:tc>
        <w:tc>
          <w:tcPr>
            <w:tcW w:w="3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4180" w:type="dxa"/>
            <w:vAlign w:val="bottom"/>
            <w:vMerge w:val="continue"/>
          </w:tcPr>
          <w:p>
            <w:pPr>
              <w:spacing w:after="0"/>
              <w:rPr>
                <w:sz w:val="13"/>
                <w:szCs w:val="13"/>
                <w:color w:val="auto"/>
              </w:rPr>
            </w:pPr>
          </w:p>
        </w:tc>
        <w:tc>
          <w:tcPr>
            <w:tcW w:w="360" w:type="dxa"/>
            <w:vAlign w:val="bottom"/>
          </w:tcPr>
          <w:p>
            <w:pPr>
              <w:jc w:val="right"/>
              <w:ind w:right="170"/>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128,500</w:t>
            </w:r>
          </w:p>
        </w:tc>
        <w:tc>
          <w:tcPr>
            <w:tcW w:w="120" w:type="dxa"/>
            <w:vAlign w:val="bottom"/>
          </w:tcPr>
          <w:p>
            <w:pPr>
              <w:spacing w:after="0"/>
              <w:rPr>
                <w:sz w:val="13"/>
                <w:szCs w:val="13"/>
                <w:color w:val="auto"/>
              </w:rPr>
            </w:pPr>
          </w:p>
        </w:tc>
        <w:tc>
          <w:tcPr>
            <w:tcW w:w="18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128,500</w:t>
            </w:r>
          </w:p>
        </w:tc>
        <w:tc>
          <w:tcPr>
            <w:tcW w:w="120" w:type="dxa"/>
            <w:vAlign w:val="bottom"/>
          </w:tcPr>
          <w:p>
            <w:pPr>
              <w:spacing w:after="0"/>
              <w:rPr>
                <w:sz w:val="13"/>
                <w:szCs w:val="13"/>
                <w:color w:val="auto"/>
              </w:rPr>
            </w:pPr>
          </w:p>
        </w:tc>
        <w:tc>
          <w:tcPr>
            <w:tcW w:w="360" w:type="dxa"/>
            <w:vAlign w:val="bottom"/>
          </w:tcPr>
          <w:p>
            <w:pPr>
              <w:jc w:val="right"/>
              <w:ind w:right="170"/>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107,000</w:t>
            </w:r>
          </w:p>
        </w:tc>
        <w:tc>
          <w:tcPr>
            <w:tcW w:w="100" w:type="dxa"/>
            <w:vAlign w:val="bottom"/>
          </w:tcPr>
          <w:p>
            <w:pPr>
              <w:spacing w:after="0"/>
              <w:rPr>
                <w:sz w:val="13"/>
                <w:szCs w:val="13"/>
                <w:color w:val="auto"/>
              </w:rPr>
            </w:pPr>
          </w:p>
        </w:tc>
        <w:tc>
          <w:tcPr>
            <w:tcW w:w="18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107,000</w:t>
            </w:r>
          </w:p>
        </w:tc>
        <w:tc>
          <w:tcPr>
            <w:tcW w:w="0" w:type="dxa"/>
            <w:vAlign w:val="bottom"/>
          </w:tcPr>
          <w:p>
            <w:pPr>
              <w:spacing w:after="0"/>
              <w:rPr>
                <w:sz w:val="1"/>
                <w:szCs w:val="1"/>
                <w:color w:val="auto"/>
              </w:rPr>
            </w:pPr>
          </w:p>
        </w:tc>
      </w:tr>
      <w:tr>
        <w:trPr>
          <w:trHeight w:val="216"/>
        </w:trPr>
        <w:tc>
          <w:tcPr>
            <w:tcW w:w="41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Credit Facility borrowings </w:t>
            </w:r>
            <w:r>
              <w:rPr>
                <w:rFonts w:ascii="Times New Roman" w:cs="Times New Roman" w:eastAsia="Times New Roman" w:hAnsi="Times New Roman"/>
                <w:sz w:val="24"/>
                <w:szCs w:val="24"/>
                <w:color w:val="auto"/>
                <w:vertAlign w:val="superscript"/>
              </w:rPr>
              <w:t>(3)</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January 2026 Notes </w:t>
            </w:r>
            <w:r>
              <w:rPr>
                <w:rFonts w:ascii="Times New Roman" w:cs="Times New Roman" w:eastAsia="Times New Roman" w:hAnsi="Times New Roman"/>
                <w:sz w:val="24"/>
                <w:szCs w:val="24"/>
                <w:color w:val="auto"/>
                <w:vertAlign w:val="superscript"/>
              </w:rPr>
              <w:t>(4)</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125,247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125,258</w:t>
            </w:r>
          </w:p>
        </w:tc>
        <w:tc>
          <w:tcPr>
            <w:tcW w:w="0" w:type="dxa"/>
            <w:vAlign w:val="bottom"/>
          </w:tcPr>
          <w:p>
            <w:pPr>
              <w:spacing w:after="0"/>
              <w:rPr>
                <w:sz w:val="1"/>
                <w:szCs w:val="1"/>
                <w:color w:val="auto"/>
              </w:rPr>
            </w:pPr>
          </w:p>
        </w:tc>
      </w:tr>
      <w:tr>
        <w:trPr>
          <w:trHeight w:val="268"/>
        </w:trPr>
        <w:tc>
          <w:tcPr>
            <w:tcW w:w="418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November 2026 Notes </w:t>
            </w:r>
            <w:r>
              <w:rPr>
                <w:rFonts w:ascii="Times New Roman" w:cs="Times New Roman" w:eastAsia="Times New Roman" w:hAnsi="Times New Roman"/>
                <w:sz w:val="24"/>
                <w:szCs w:val="24"/>
                <w:color w:val="auto"/>
                <w:vertAlign w:val="superscript"/>
              </w:rPr>
              <w:t>(4)</w:t>
            </w:r>
          </w:p>
        </w:tc>
        <w:tc>
          <w:tcPr>
            <w:tcW w:w="3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125,163</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125,171</w:t>
            </w:r>
          </w:p>
        </w:tc>
        <w:tc>
          <w:tcPr>
            <w:tcW w:w="0" w:type="dxa"/>
            <w:vAlign w:val="bottom"/>
          </w:tcPr>
          <w:p>
            <w:pPr>
              <w:spacing w:after="0"/>
              <w:rPr>
                <w:sz w:val="1"/>
                <w:szCs w:val="1"/>
                <w:color w:val="auto"/>
              </w:rPr>
            </w:pPr>
          </w:p>
        </w:tc>
      </w:tr>
      <w:tr>
        <w:trPr>
          <w:trHeight w:val="21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378,500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378,910</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357,000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357,429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-702310</wp:posOffset>
            </wp:positionV>
            <wp:extent cx="6412230" cy="1371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-427990</wp:posOffset>
            </wp:positionV>
            <wp:extent cx="6412230"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631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ind w:left="480" w:hanging="472"/>
        <w:spacing w:after="0"/>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Carrying value represents the outstanding principal balance of the debt obligation.</w:t>
      </w:r>
    </w:p>
    <w:p>
      <w:pPr>
        <w:spacing w:after="0" w:line="17" w:lineRule="exact"/>
        <w:rPr>
          <w:rFonts w:ascii="Times New Roman" w:cs="Times New Roman" w:eastAsia="Times New Roman" w:hAnsi="Times New Roman"/>
          <w:sz w:val="14"/>
          <w:szCs w:val="14"/>
          <w:color w:val="auto"/>
        </w:rPr>
      </w:pPr>
    </w:p>
    <w:p>
      <w:pPr>
        <w:ind w:left="480" w:hanging="472"/>
        <w:spacing w:after="0" w:line="241" w:lineRule="auto"/>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SBA debentures is estimated by discounting the remaining payments using current market rates for similar instruments and considering such factors as the legal maturity date and the ability of market participants to prepay the debentures, which are Level 3 inputs under ASC Topic 820.</w:t>
      </w:r>
    </w:p>
    <w:p>
      <w:pPr>
        <w:ind w:left="480" w:right="20" w:hanging="472"/>
        <w:spacing w:after="0" w:line="251" w:lineRule="auto"/>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borrowings under the Credit Facility, if valued under ASC Topic 820, are based on a market yield approach and current interest rates, which are Level 3 inputs to the market yield model.</w:t>
      </w:r>
    </w:p>
    <w:p>
      <w:pPr>
        <w:ind w:left="480" w:right="20" w:hanging="472"/>
        <w:spacing w:after="0" w:line="241" w:lineRule="auto"/>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January 2026 and November 2026 Notes are estimated by discounting the remaining payments using current market rates for similar instruments and considering such factors as the legal maturity date, which are Level 3 inputs under ASC Topic 820.</w:t>
      </w:r>
    </w:p>
    <w:p>
      <w:pPr>
        <w:ind w:left="480" w:hanging="472"/>
        <w:spacing w:after="0"/>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Totals exclude $17,443 and $17,637 of Secured Borrowings as of March 31, 2022 and December 31, 2021, respectively.</w:t>
      </w:r>
    </w:p>
    <w:p>
      <w:pPr>
        <w:spacing w:after="0" w:line="205" w:lineRule="exact"/>
        <w:rPr>
          <w:sz w:val="20"/>
          <w:szCs w:val="20"/>
          <w:color w:val="auto"/>
        </w:rPr>
      </w:pPr>
    </w:p>
    <w:p>
      <w:pPr>
        <w:ind w:firstLine="47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inputs used to value the Company’s debt obligations if measured at fair value as of March 31, 2022 and December 31, 2021.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tbl>
      <w:tblPr>
        <w:tblLayout w:type="fixed"/>
        <w:tblInd w:w="1700" w:type="dxa"/>
        <w:tblCellMar>
          <w:top w:w="0" w:type="dxa"/>
          <w:left w:w="0" w:type="dxa"/>
          <w:bottom w:w="0" w:type="dxa"/>
          <w:right w:w="0" w:type="dxa"/>
        </w:tblCellMar>
      </w:tblPr>
      <w:tr>
        <w:trPr>
          <w:trHeight w:val="207"/>
        </w:trPr>
        <w:tc>
          <w:tcPr>
            <w:tcW w:w="1540" w:type="dxa"/>
            <w:vAlign w:val="bottom"/>
          </w:tcPr>
          <w:p>
            <w:pPr>
              <w:spacing w:after="0"/>
              <w:rPr>
                <w:sz w:val="17"/>
                <w:szCs w:val="17"/>
                <w:color w:val="auto"/>
              </w:rPr>
            </w:pPr>
          </w:p>
        </w:tc>
        <w:tc>
          <w:tcPr>
            <w:tcW w:w="458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FIDUS INVESTMENT CORPORATION</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1540" w:type="dxa"/>
            <w:vAlign w:val="bottom"/>
          </w:tcPr>
          <w:p>
            <w:pPr>
              <w:spacing w:after="0"/>
              <w:rPr>
                <w:sz w:val="18"/>
                <w:szCs w:val="18"/>
                <w:color w:val="auto"/>
              </w:rPr>
            </w:pPr>
          </w:p>
        </w:tc>
        <w:tc>
          <w:tcPr>
            <w:tcW w:w="458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(unaudited)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03"/>
        </w:trPr>
        <w:tc>
          <w:tcPr>
            <w:tcW w:w="1540" w:type="dxa"/>
            <w:vAlign w:val="bottom"/>
          </w:tcPr>
          <w:p>
            <w:pPr>
              <w:spacing w:after="0"/>
              <w:rPr>
                <w:sz w:val="17"/>
                <w:szCs w:val="17"/>
                <w:color w:val="auto"/>
              </w:rPr>
            </w:pPr>
          </w:p>
        </w:tc>
        <w:tc>
          <w:tcPr>
            <w:tcW w:w="4580" w:type="dxa"/>
            <w:vAlign w:val="bottom"/>
            <w:gridSpan w:val="4"/>
          </w:tcPr>
          <w:p>
            <w:pPr>
              <w:jc w:val="center"/>
              <w:ind w:left="11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 thousands, except shares and per share data)</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8"/>
        </w:trPr>
        <w:tc>
          <w:tcPr>
            <w:tcW w:w="15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187"/>
        </w:trPr>
        <w:tc>
          <w:tcPr>
            <w:tcW w:w="15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37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Valuation Inputs</w:t>
            </w:r>
          </w:p>
        </w:tc>
        <w:tc>
          <w:tcPr>
            <w:tcW w:w="28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1</w:t>
            </w:r>
          </w:p>
        </w:tc>
        <w:tc>
          <w:tcPr>
            <w:tcW w:w="2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3</w:t>
            </w:r>
          </w:p>
        </w:tc>
        <w:tc>
          <w:tcPr>
            <w:tcW w:w="28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378,910</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357,429</w:t>
            </w: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2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378,910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357,429</w:t>
            </w:r>
          </w:p>
        </w:tc>
      </w:tr>
      <w:tr>
        <w:trPr>
          <w:trHeight w:val="20"/>
        </w:trPr>
        <w:tc>
          <w:tcPr>
            <w:tcW w:w="15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-170815</wp:posOffset>
            </wp:positionV>
            <wp:extent cx="7683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173" w:lineRule="exact"/>
        <w:rPr>
          <w:sz w:val="20"/>
          <w:szCs w:val="20"/>
          <w:color w:val="auto"/>
        </w:rPr>
      </w:pPr>
    </w:p>
    <w:p>
      <w:pPr>
        <w:jc w:val="both"/>
        <w:ind w:firstLine="47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Investment Advisory Agreement: </w:t>
      </w:r>
      <w:r>
        <w:rPr>
          <w:rFonts w:ascii="Times New Roman" w:cs="Times New Roman" w:eastAsia="Times New Roman" w:hAnsi="Times New Roman"/>
          <w:sz w:val="18"/>
          <w:szCs w:val="18"/>
          <w:color w:val="auto"/>
        </w:rPr>
        <w:t>The Company has entered into an Investment Advisory Agreement with the Investment Advisor. On June 10,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approved the renewal of the Investment Advisory Agreement through June 20, 2022. Pursuant to the Investment Advisory Agreement and subject to the overall supervision of the Board, the Investment Advisor provides investment advisory services to the Company. For providing these services, the Investment Advisor receives a fee, consisting of two components — a base management fee and an incentive fee.</w:t>
      </w:r>
    </w:p>
    <w:p>
      <w:pPr>
        <w:spacing w:after="0" w:line="122" w:lineRule="exact"/>
        <w:rPr>
          <w:sz w:val="20"/>
          <w:szCs w:val="20"/>
          <w:color w:val="auto"/>
        </w:rPr>
      </w:pPr>
    </w:p>
    <w:p>
      <w:pPr>
        <w:jc w:val="both"/>
        <w:ind w:firstLine="478"/>
        <w:spacing w:after="0" w:line="243" w:lineRule="auto"/>
        <w:rPr>
          <w:sz w:val="20"/>
          <w:szCs w:val="20"/>
          <w:color w:val="auto"/>
        </w:rPr>
      </w:pPr>
      <w:r>
        <w:rPr>
          <w:rFonts w:ascii="Times New Roman" w:cs="Times New Roman" w:eastAsia="Times New Roman" w:hAnsi="Times New Roman"/>
          <w:sz w:val="18"/>
          <w:szCs w:val="18"/>
          <w:color w:val="auto"/>
        </w:rPr>
        <w:t>The base management fee is calculated at an annual rate of 1.75% based on the average value of total assets (other than cash or cash equivalents but including assets purchased with borrowed amounts) at the end of the two most recently completed calendar quarters. The Board of Directors accepted a voluntary, non-contractual, and unconditional waiver from the Investment Advisor to exclude any investments recorded as secured borrowings as defined under GAAP from the base management fee payable as of March 31, 2022. The base management fee is payable quarterly in arrears. The base management fee under the Investment Advisory Agreement was $3,343 for the three months ended March 31, 2022, and $3,176 for the three months ended March 31, 2021. The base management fee waiver was $76 for the three months ended March 31, 2022. There was no base management fee waiver for the three months ended March 31, 2021. As of March 31, 2022 and December 31, 2021, the base management fee payable (net of the base management fee waiver) was $3,268 and $3,135, respectively.</w:t>
      </w:r>
    </w:p>
    <w:p>
      <w:pPr>
        <w:spacing w:after="0" w:line="132" w:lineRule="exact"/>
        <w:rPr>
          <w:sz w:val="20"/>
          <w:szCs w:val="20"/>
          <w:color w:val="auto"/>
        </w:rPr>
      </w:pPr>
    </w:p>
    <w:p>
      <w:pPr>
        <w:jc w:val="both"/>
        <w:ind w:firstLine="478"/>
        <w:spacing w:after="0" w:line="244" w:lineRule="auto"/>
        <w:rPr>
          <w:sz w:val="20"/>
          <w:szCs w:val="20"/>
          <w:color w:val="auto"/>
        </w:rPr>
      </w:pPr>
      <w:r>
        <w:rPr>
          <w:rFonts w:ascii="Times New Roman" w:cs="Times New Roman" w:eastAsia="Times New Roman" w:hAnsi="Times New Roman"/>
          <w:sz w:val="18"/>
          <w:szCs w:val="18"/>
          <w:color w:val="auto"/>
        </w:rPr>
        <w:t>The incentive fee consists of two parts. The first part is calculated and payable quarterly in arrears based on the Company’s pre-incentive fee net investment income for the quarter. Pre-incentive fee net investment income means interest income, dividend income and any other income (including any other fees such as commitment, origination, structuring, diligence and consulting fees or other fees that the Company receives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original issue discount, debt instruments with PIK income, preferred stock with PIK dividends and zero-coupon securities), accrued income the Company has not yet received in cash. The Investment Advisor is not under any obligation to reimburse the Company for any part of the incentive fee it receives that was based on accrued interest that the Company never collects.</w:t>
      </w:r>
    </w:p>
    <w:p>
      <w:pPr>
        <w:spacing w:after="0" w:line="131" w:lineRule="exact"/>
        <w:rPr>
          <w:sz w:val="20"/>
          <w:szCs w:val="20"/>
          <w:color w:val="auto"/>
        </w:rPr>
      </w:pPr>
    </w:p>
    <w:p>
      <w:pPr>
        <w:jc w:val="both"/>
        <w:ind w:firstLine="478"/>
        <w:spacing w:after="0" w:line="246" w:lineRule="auto"/>
        <w:rPr>
          <w:sz w:val="20"/>
          <w:szCs w:val="20"/>
          <w:color w:val="auto"/>
        </w:rPr>
      </w:pPr>
      <w:r>
        <w:rPr>
          <w:rFonts w:ascii="Times New Roman" w:cs="Times New Roman" w:eastAsia="Times New Roman" w:hAnsi="Times New Roman"/>
          <w:sz w:val="18"/>
          <w:szCs w:val="18"/>
          <w:color w:val="auto"/>
        </w:rPr>
        <w:t>Pre-incentive fee net investment income does not include any realized capital gains, taxes associated with such realized capital gains, realized capital losses or unrealized capital appreciation or depreciation. Because of the structure of the incentive fee, it is possible that the Company may pay an incentive fee in a quarter where the Company incurs a loss. For example, if the Company generates pre-incentive fee net investment income in excess of the hurdle rate (as defined below) for a quarter, the Company will pay the applicable incentive fee even if the Company has incurred a loss in that quarter due to a net loss on investments.</w:t>
      </w:r>
    </w:p>
    <w:p>
      <w:pPr>
        <w:spacing w:after="0" w:line="141" w:lineRule="exact"/>
        <w:rPr>
          <w:sz w:val="20"/>
          <w:szCs w:val="20"/>
          <w:color w:val="auto"/>
        </w:rPr>
      </w:pPr>
    </w:p>
    <w:p>
      <w:pPr>
        <w:jc w:val="both"/>
        <w:ind w:firstLine="478"/>
        <w:spacing w:after="0" w:line="246" w:lineRule="auto"/>
        <w:rPr>
          <w:sz w:val="20"/>
          <w:szCs w:val="20"/>
          <w:color w:val="auto"/>
        </w:rPr>
      </w:pPr>
      <w:r>
        <w:rPr>
          <w:rFonts w:ascii="Times New Roman" w:cs="Times New Roman" w:eastAsia="Times New Roman" w:hAnsi="Times New Roman"/>
          <w:sz w:val="18"/>
          <w:szCs w:val="18"/>
          <w:color w:val="auto"/>
        </w:rPr>
        <w:t>Pre-incentive fee net investment income, expressed as a rate of return on the value of the Company’s net assets (defined as total assets less indebtedness and before taking into account any incentive fees payable during the period) at the end of the immediately preceding calendar quarter, is compared to a fixed “hurdle rate” of 2.0% per quarter. If market interest rates rise, the Company may be able to invest funds in debt instruments that provide for a higher return, which would increase the Company’s pre-incentive fee net investment income and make it easier for the Investment Advisor to surpass the fixed hurdle rate and receive an incentive fee based on such net investment income.</w:t>
      </w:r>
    </w:p>
    <w:p>
      <w:pPr>
        <w:spacing w:after="0" w:line="127" w:lineRule="exact"/>
        <w:rPr>
          <w:sz w:val="20"/>
          <w:szCs w:val="20"/>
          <w:color w:val="auto"/>
        </w:rPr>
      </w:pPr>
    </w:p>
    <w:p>
      <w:pPr>
        <w:jc w:val="both"/>
        <w:ind w:firstLine="478"/>
        <w:spacing w:after="0" w:line="282" w:lineRule="auto"/>
        <w:rPr>
          <w:sz w:val="20"/>
          <w:szCs w:val="20"/>
          <w:color w:val="auto"/>
        </w:rPr>
      </w:pPr>
      <w:r>
        <w:rPr>
          <w:rFonts w:ascii="Times New Roman" w:cs="Times New Roman" w:eastAsia="Times New Roman" w:hAnsi="Times New Roman"/>
          <w:sz w:val="18"/>
          <w:szCs w:val="18"/>
          <w:color w:val="auto"/>
        </w:rPr>
        <w:t>The Company pays the Investment Advisor an incentive fee with respect to pre-incentive fee net investment income in each calendar quarter as follows:</w:t>
      </w:r>
    </w:p>
    <w:p>
      <w:pPr>
        <w:spacing w:after="0" w:line="94"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incentive fee in any calendar quarter in which the pre-incentive fee net investment income does not exceed the hurdle rate of 2.0%;</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of the Company’s pre-incentive fee net investment income with respect to that portion of such pre-incentive fee net investment</w:t>
      </w:r>
    </w:p>
    <w:p>
      <w:pPr>
        <w:spacing w:after="0" w:line="27" w:lineRule="exact"/>
        <w:rPr>
          <w:sz w:val="20"/>
          <w:szCs w:val="20"/>
          <w:color w:val="auto"/>
        </w:rPr>
      </w:pPr>
    </w:p>
    <w:p>
      <w:pPr>
        <w:ind w:left="5540" w:right="2740" w:hanging="4507"/>
        <w:spacing w:after="0" w:line="245" w:lineRule="auto"/>
        <w:rPr>
          <w:sz w:val="20"/>
          <w:szCs w:val="20"/>
          <w:color w:val="auto"/>
        </w:rPr>
      </w:pPr>
      <w:r>
        <w:rPr>
          <w:rFonts w:ascii="Times New Roman" w:cs="Times New Roman" w:eastAsia="Times New Roman" w:hAnsi="Times New Roman"/>
          <w:sz w:val="18"/>
          <w:szCs w:val="18"/>
          <w:color w:val="auto"/>
        </w:rPr>
        <w:t>income, if any, that exceeds the hurdle rate but is less than 2.5% in any calendar quarter. This portion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85" w:lineRule="exact"/>
        <w:rPr>
          <w:sz w:val="20"/>
          <w:szCs w:val="20"/>
          <w:color w:val="auto"/>
        </w:rPr>
      </w:pPr>
    </w:p>
    <w:p>
      <w:pPr>
        <w:jc w:val="both"/>
        <w:ind w:left="1020"/>
        <w:spacing w:after="0" w:line="258" w:lineRule="auto"/>
        <w:rPr>
          <w:sz w:val="20"/>
          <w:szCs w:val="20"/>
          <w:color w:val="auto"/>
        </w:rPr>
      </w:pPr>
      <w:r>
        <w:rPr>
          <w:rFonts w:ascii="Times New Roman" w:cs="Times New Roman" w:eastAsia="Times New Roman" w:hAnsi="Times New Roman"/>
          <w:sz w:val="18"/>
          <w:szCs w:val="18"/>
          <w:color w:val="auto"/>
        </w:rPr>
        <w:t>the pre-incentive fee net investment income (which exceeds the hurdle rate but is less than 2.5%) is referred to as the “catch-up” provision. The catch-up is meant to provide the Investment Advisor with 20.0% of the pre-incentive fee net investment income as if a hurdle rate did not apply if this net investment income exceeds 2.5% in any calendar quarter; and</w:t>
      </w:r>
    </w:p>
    <w:p>
      <w:pPr>
        <w:spacing w:after="0" w:line="61"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of the amount of the Company’s pre-incentive fee net investment income, if any, that exceeds 2.5% in any calendar quarter.</w:t>
      </w:r>
    </w:p>
    <w:p>
      <w:pPr>
        <w:spacing w:after="0" w:line="158" w:lineRule="exact"/>
        <w:rPr>
          <w:sz w:val="20"/>
          <w:szCs w:val="20"/>
          <w:color w:val="auto"/>
        </w:rPr>
      </w:pPr>
    </w:p>
    <w:p>
      <w:pPr>
        <w:jc w:val="both"/>
        <w:ind w:firstLine="478"/>
        <w:spacing w:after="0" w:line="250" w:lineRule="auto"/>
        <w:rPr>
          <w:sz w:val="20"/>
          <w:szCs w:val="20"/>
          <w:color w:val="auto"/>
        </w:rPr>
      </w:pPr>
      <w:r>
        <w:rPr>
          <w:rFonts w:ascii="Times New Roman" w:cs="Times New Roman" w:eastAsia="Times New Roman" w:hAnsi="Times New Roman"/>
          <w:sz w:val="18"/>
          <w:szCs w:val="18"/>
          <w:color w:val="auto"/>
        </w:rPr>
        <w:t>The sum of the calculations above equals the income incentive fee. The income incentive fee is appropriately prorated for any period of less than three months and adjusted for any share issuances or repurchases during the calendar quarter. The income incentive fee was $1,053 for the three months ended March 31, 2022 and $2,669 for the three months ended March 31, 2021. As of March 31, 2022 and December 31, 2021, the income incentive fee payable was $1,053 and $2,622, respectively.</w:t>
      </w:r>
    </w:p>
    <w:p>
      <w:pPr>
        <w:spacing w:after="0" w:line="123" w:lineRule="exact"/>
        <w:rPr>
          <w:sz w:val="20"/>
          <w:szCs w:val="20"/>
          <w:color w:val="auto"/>
        </w:rPr>
      </w:pPr>
    </w:p>
    <w:p>
      <w:pPr>
        <w:jc w:val="both"/>
        <w:ind w:firstLine="478"/>
        <w:spacing w:after="0" w:line="242" w:lineRule="auto"/>
        <w:rPr>
          <w:sz w:val="20"/>
          <w:szCs w:val="20"/>
          <w:color w:val="auto"/>
        </w:rPr>
      </w:pPr>
      <w:r>
        <w:rPr>
          <w:rFonts w:ascii="Times New Roman" w:cs="Times New Roman" w:eastAsia="Times New Roman" w:hAnsi="Times New Roman"/>
          <w:sz w:val="18"/>
          <w:szCs w:val="18"/>
          <w:color w:val="auto"/>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in cash to the Investment Advisor, the Company calculates the cumulative aggregate realized capital gains and losses since the Formation Transactions (realized capital gains and losses include realized gains and losses on investments, net of income tax provision from realized gains on investments, and realized losses on extinguishment of debt), and the aggregate unrealized capital depreciation on investments as of the date of the calculation. At the end of the applicable year, the amount of capital gains that serves as the basis for the calculation of the capital gains incentive fee to be paid equals the cumulative aggregate realized capital gains on investments, less cumulative aggregate realized capital losses on investments, less aggregate unrealized capital depreciation on investments, and less cumulative aggregate realized losses on extinguishment of debt. If this number is positive at the end of such year, then the capital gains incentive fee to be paid in cash for such year equals 20.0% of such amount, less the aggregate amount of any capital gains incentive fees paid in all prior years. As of March 31, 2022 and December 31, 2021, the capital gains incentive fee payable in cash was $1,094 and $6,136, respectively (as cumulative aggregate realized capital gains and losses on investments plus aggregate unrealized capital depreciation on investments plus realized losses on extinguishment of debt was negative as of each period). The aggregate amount of capital gains incentive fees paid from the IPO through March 31, 2022 was $6,484.</w:t>
      </w:r>
    </w:p>
    <w:p>
      <w:pPr>
        <w:spacing w:after="0" w:line="149" w:lineRule="exact"/>
        <w:rPr>
          <w:sz w:val="20"/>
          <w:szCs w:val="20"/>
          <w:color w:val="auto"/>
        </w:rPr>
      </w:pPr>
    </w:p>
    <w:p>
      <w:pPr>
        <w:jc w:val="both"/>
        <w:ind w:firstLine="478"/>
        <w:spacing w:after="0" w:line="242" w:lineRule="auto"/>
        <w:rPr>
          <w:sz w:val="20"/>
          <w:szCs w:val="20"/>
          <w:color w:val="auto"/>
        </w:rPr>
      </w:pPr>
      <w:r>
        <w:rPr>
          <w:rFonts w:ascii="Times New Roman" w:cs="Times New Roman" w:eastAsia="Times New Roman" w:hAnsi="Times New Roman"/>
          <w:sz w:val="18"/>
          <w:szCs w:val="18"/>
          <w:color w:val="auto"/>
        </w:rPr>
        <w:t>In addition, the Company accrues, but does not pay in cash, a capital gains incentive fee in connection with any unrealized capital appreciation on investments, as applicable. If, on a cumulative basis, the sum of (i) net realized gains/(losses) on investments plus (ii) net unrealized appreciation/(depreciation) on investments plus (iii) realized losses on extinguishment of debt decreases during a period, the Company will reverse any excess capital gains incentive fee previously accrued such that the amount of capital gains incentive fee accrued is no more than 20.0% of the sum of (i) net realized gains/(losses) on investments plus (ii) net unrealized appreciation/(depreciation) on investments plus (iii) realized losses on extinguishment of debt. The capital gains incentive fee accrued (reversed) during the three months ended March 31, 2022 was $270 and $91 for the three months ended March 31, 2021. As of March 31, 2022 and December 31, 2021, the accrued capital gains incentive fee payable was $23,361 and $29,227, respectively.</w:t>
      </w:r>
    </w:p>
    <w:p>
      <w:pPr>
        <w:spacing w:after="0" w:line="146" w:lineRule="exact"/>
        <w:rPr>
          <w:sz w:val="20"/>
          <w:szCs w:val="20"/>
          <w:color w:val="auto"/>
        </w:rPr>
      </w:pPr>
    </w:p>
    <w:p>
      <w:pPr>
        <w:jc w:val="both"/>
        <w:ind w:firstLine="478"/>
        <w:spacing w:after="0" w:line="244" w:lineRule="auto"/>
        <w:rPr>
          <w:sz w:val="20"/>
          <w:szCs w:val="20"/>
          <w:color w:val="auto"/>
        </w:rPr>
      </w:pPr>
      <w:r>
        <w:rPr>
          <w:rFonts w:ascii="Times New Roman" w:cs="Times New Roman" w:eastAsia="Times New Roman" w:hAnsi="Times New Roman"/>
          <w:sz w:val="18"/>
          <w:szCs w:val="18"/>
          <w:color w:val="auto"/>
        </w:rPr>
        <w:t>Unless terminated earlier as described below, the Investment Advisory Agreement will continue in effect from year to year if approved annually by the Board or by the affirmative vote of the holders of a majority of the Company’s outstanding voting securities, and, in either case, if also approved by a majority of the directors who are not “interested persons” of the Company, as such term is defined under Section 2(a)(19) of the 1940 Act (the “Independent Directors”). The Investment Advisory Agreement automatically terminates in the event of its assignment, as defined in the 1940 Act, by the Investment Advisor and may be terminated by either party without penalty upon not less than 60 days’ written notice to the other. The holders of a majority of the Company’s outstanding voting securities may also terminate the Investment Advisory Agreement without penalty.</w:t>
      </w:r>
    </w:p>
    <w:p>
      <w:pPr>
        <w:spacing w:after="0" w:line="139" w:lineRule="exact"/>
        <w:rPr>
          <w:sz w:val="20"/>
          <w:szCs w:val="20"/>
          <w:color w:val="auto"/>
        </w:rPr>
      </w:pPr>
    </w:p>
    <w:p>
      <w:pPr>
        <w:jc w:val="both"/>
        <w:ind w:firstLine="478"/>
        <w:spacing w:after="0"/>
        <w:rPr>
          <w:sz w:val="20"/>
          <w:szCs w:val="20"/>
          <w:color w:val="auto"/>
        </w:rPr>
      </w:pPr>
      <w:r>
        <w:rPr>
          <w:rFonts w:ascii="Times New Roman" w:cs="Times New Roman" w:eastAsia="Times New Roman" w:hAnsi="Times New Roman"/>
          <w:sz w:val="18"/>
          <w:szCs w:val="18"/>
          <w:i w:val="1"/>
          <w:iCs w:val="1"/>
          <w:color w:val="auto"/>
        </w:rPr>
        <w:t xml:space="preserve">Administration Agreement: </w:t>
      </w:r>
      <w:r>
        <w:rPr>
          <w:rFonts w:ascii="Times New Roman" w:cs="Times New Roman" w:eastAsia="Times New Roman" w:hAnsi="Times New Roman"/>
          <w:sz w:val="18"/>
          <w:szCs w:val="18"/>
          <w:color w:val="auto"/>
        </w:rPr>
        <w:t>The Company also entered into an administration agreement (the “Administration Agreement”) with the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 On June 10, 2021, the Board approved the renewal of the Administration Agreement through June 20, 2022. Under the Administration Agreement, the Investment Advisor furnishes the Company with office facilities and equipment, provides clerical, bookkeeping, and record keeping services at such facilities and provides the Company with other administrative services necessary to conduct its day-to-day operations. The Company reimburses the Investment Advisor for the allocable portion of overhead expenses incurred in performing its obligations under the Administration Agreement, including rent and the Company’s allocable portion of the cost of its chief financial officer and chief compliance officer and their respective staffs. Under the Administration Agreement, the Investment Advisor also provides managerial assistance to those portfolio companies to which the Company is required to provide such assistance and the Company reimburses the Investment Advisor for fees and expenses incurred with providing such services. In addition, the Company reimburses the Investment Advisor for fees and expenses incurred while performing due diligence on the Company’s prospective portfolio companies, including “dead deal” expenses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Under the Administration Agreement, administrative service expenses for the three months ended March 31, 2022 were $422 and $413 for the three months ended March 31, 2021. As of March 31, 2022 and December 31, 2021, the accrued administrative service expense payable was $429 and $634, respectively.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37" w:lineRule="exact"/>
        <w:rPr>
          <w:sz w:val="20"/>
          <w:szCs w:val="20"/>
          <w:color w:val="auto"/>
        </w:rPr>
      </w:pPr>
    </w:p>
    <w:p>
      <w:pPr>
        <w:jc w:val="both"/>
        <w:ind w:firstLine="478"/>
        <w:spacing w:after="0" w:line="251" w:lineRule="auto"/>
        <w:rPr>
          <w:sz w:val="20"/>
          <w:szCs w:val="20"/>
          <w:color w:val="auto"/>
        </w:rPr>
      </w:pPr>
      <w:r>
        <w:rPr>
          <w:rFonts w:ascii="Times New Roman" w:cs="Times New Roman" w:eastAsia="Times New Roman" w:hAnsi="Times New Roman"/>
          <w:sz w:val="18"/>
          <w:szCs w:val="18"/>
          <w:i w:val="1"/>
          <w:iCs w:val="1"/>
          <w:color w:val="auto"/>
        </w:rPr>
        <w:t>Fidus Equity Fund I, L.P.</w:t>
      </w:r>
      <w:r>
        <w:rPr>
          <w:rFonts w:ascii="Times New Roman" w:cs="Times New Roman" w:eastAsia="Times New Roman" w:hAnsi="Times New Roman"/>
          <w:sz w:val="18"/>
          <w:szCs w:val="18"/>
          <w:color w:val="auto"/>
        </w:rPr>
        <w:t>: On February 25, 2020, the Company entered into a Limited Partnership Agreement (the “Agreement”) with Fidus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 I, L.P. (“FEF I”). Pursuant to the Agreement, the Company will serve as the General Partner of FEF I. Owned by third-party investors, FEF I was formed to purchase 50% of select equity investments from the Company. The Company will not receive any fees from FEF I for any services provided in its capacity as the General Partner of FEF I.</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Debt</w:t>
      </w:r>
    </w:p>
    <w:p>
      <w:pPr>
        <w:spacing w:after="0" w:line="173" w:lineRule="exact"/>
        <w:rPr>
          <w:sz w:val="20"/>
          <w:szCs w:val="20"/>
          <w:color w:val="auto"/>
        </w:rPr>
      </w:pPr>
    </w:p>
    <w:p>
      <w:pPr>
        <w:jc w:val="both"/>
        <w:ind w:firstLine="478"/>
        <w:spacing w:after="0" w:line="242" w:lineRule="auto"/>
        <w:rPr>
          <w:sz w:val="20"/>
          <w:szCs w:val="20"/>
          <w:color w:val="auto"/>
        </w:rPr>
      </w:pPr>
      <w:r>
        <w:rPr>
          <w:rFonts w:ascii="Times New Roman" w:cs="Times New Roman" w:eastAsia="Times New Roman" w:hAnsi="Times New Roman"/>
          <w:sz w:val="18"/>
          <w:szCs w:val="18"/>
          <w:i w:val="1"/>
          <w:iCs w:val="1"/>
          <w:color w:val="auto"/>
        </w:rPr>
        <w:t>Revolving Credit Facility</w:t>
      </w:r>
      <w:r>
        <w:rPr>
          <w:rFonts w:ascii="Times New Roman" w:cs="Times New Roman" w:eastAsia="Times New Roman" w:hAnsi="Times New Roman"/>
          <w:sz w:val="18"/>
          <w:szCs w:val="18"/>
          <w:color w:val="auto"/>
        </w:rPr>
        <w:t>: On June 16, 2014, FIC entered into a senior secured revolving credit agreement (the "Credit Agreement" and the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secured revolving credit facility, the “Credit Facility”) with ING Capital LLC (“ING”), as the administrative agent, collateral agent, and lender. The Credit Facility is secured by certain portfolio investments held by the Company, but portfolio investments held by the Funds are not collateral for the Credit Facility. On April 24, 2019, the Company entered into an Amended &amp; Restated Senior Secured Revolving Credit Agreement (the “Amended Credit Agreement”) among the Company, as borrower, the lenders party thereto, and ING Capital LLC, as administrative agent. The Amended Credit Agreement amends, restates, and replaces the Credit Agreement. On June 26, 2020, the Company amended the Amended Credit Agreement, but the material terms were unchanged. Among other revisions, the amendment to the Amended Credit Agreement modifies certain covenants therein, including to amend the minimum consolidated interest coverage ratio to be 2.25 to 1.00 for the four quarter period ending on June 30, 2020, 2.00 to 1.00 for the four quarter periods ending on each of September 30, 2020 and December 31, 2020, and 1.75 to 1.00 for each four quarter period ending at the end of each quarter thereafter.</w:t>
      </w:r>
    </w:p>
    <w:p>
      <w:pPr>
        <w:spacing w:after="0" w:line="142" w:lineRule="exact"/>
        <w:rPr>
          <w:sz w:val="20"/>
          <w:szCs w:val="20"/>
          <w:color w:val="auto"/>
        </w:rPr>
      </w:pPr>
    </w:p>
    <w:p>
      <w:pPr>
        <w:jc w:val="both"/>
        <w:ind w:firstLine="469"/>
        <w:spacing w:after="0" w:line="241" w:lineRule="auto"/>
        <w:rPr>
          <w:sz w:val="20"/>
          <w:szCs w:val="20"/>
          <w:color w:val="auto"/>
        </w:rPr>
      </w:pPr>
      <w:r>
        <w:rPr>
          <w:rFonts w:ascii="Times New Roman" w:cs="Times New Roman" w:eastAsia="Times New Roman" w:hAnsi="Times New Roman"/>
          <w:sz w:val="18"/>
          <w:szCs w:val="18"/>
          <w:color w:val="auto"/>
        </w:rPr>
        <w:t>Under the Amended Credit Agreement, (i) revolving commitments by lenders were increased from $90,000 to $100,000, with an accordion feature that allows for an increase in total commitments up to $250,000, subject to satisfaction of certain conditions at the time of any such future increase, (ii) the maturity date of the Credit Facility was extended from June 16, 2019 to April 24, 2023, and (iii) borrowings under the Credit Facility bear interest, at our election, at a rate per annum equal to (a) 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 (A) a prime rate, (B) the Federal Funds rate plus 0.5%, (C) three month LIBOR plus 1.0%, and (D) zero. The Company pays a commitment fee that varies depending on the size of the unused portion of the Credit Facility: 3.00% per annum on the unused portion of the Credit Facility at or below 35% of the commitments and 0.50% per annum on any remaining unused portion of the Credit Facility between the total commitments and the 35% minimum utilization. The Amended Credit Agreement also modifies certain covenants in the Credit Facility, including to provide for a minimum asset coverage ratio of 2.00 to 1 (on a regulatory basis). The Credit Facility is secured by a first priority security interest in all of our assets, excluding the assets of our SBIC subsidiaries.</w:t>
      </w:r>
    </w:p>
    <w:p>
      <w:pPr>
        <w:spacing w:after="0" w:line="146" w:lineRule="exact"/>
        <w:rPr>
          <w:sz w:val="20"/>
          <w:szCs w:val="20"/>
          <w:color w:val="auto"/>
        </w:rPr>
      </w:pPr>
    </w:p>
    <w:p>
      <w:pPr>
        <w:jc w:val="both"/>
        <w:ind w:firstLine="478"/>
        <w:spacing w:after="0" w:line="250" w:lineRule="auto"/>
        <w:rPr>
          <w:sz w:val="20"/>
          <w:szCs w:val="20"/>
          <w:color w:val="auto"/>
        </w:rPr>
      </w:pPr>
      <w:r>
        <w:rPr>
          <w:rFonts w:ascii="Times New Roman" w:cs="Times New Roman" w:eastAsia="Times New Roman" w:hAnsi="Times New Roman"/>
          <w:sz w:val="18"/>
          <w:szCs w:val="18"/>
          <w:color w:val="auto"/>
        </w:rPr>
        <w:t>Amounts available to borrow under the Credit Facility are subject to a minimum borrowing/collateral base that applies an advance rate to certain investments held by the Company, excluding investments held by the Funds. The Company is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23" w:lineRule="exact"/>
        <w:rPr>
          <w:sz w:val="20"/>
          <w:szCs w:val="20"/>
          <w:color w:val="auto"/>
        </w:rPr>
      </w:pPr>
    </w:p>
    <w:p>
      <w:pPr>
        <w:jc w:val="both"/>
        <w:ind w:firstLine="478"/>
        <w:spacing w:after="0" w:line="250" w:lineRule="auto"/>
        <w:rPr>
          <w:sz w:val="20"/>
          <w:szCs w:val="20"/>
          <w:color w:val="auto"/>
        </w:rPr>
      </w:pPr>
      <w:r>
        <w:rPr>
          <w:rFonts w:ascii="Times New Roman" w:cs="Times New Roman" w:eastAsia="Times New Roman" w:hAnsi="Times New Roman"/>
          <w:sz w:val="18"/>
          <w:szCs w:val="18"/>
          <w:color w:val="auto"/>
        </w:rPr>
        <w:t>The Company has made customary representations and warranties and is required to comply with various covenants, reporting requirements and other customary requirements for similar credit facilities. These covenants are subject to important limitations and exceptions that are described in the documents governing the Credit Facility. As of March 31, 2022 and December 31, 2021, the Company was in compliance in all material respect with the terms of the Credit Facility.</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 xml:space="preserve">SBA debentures: </w:t>
      </w:r>
      <w:r>
        <w:rPr>
          <w:rFonts w:ascii="Times New Roman" w:cs="Times New Roman" w:eastAsia="Times New Roman" w:hAnsi="Times New Roman"/>
          <w:sz w:val="18"/>
          <w:szCs w:val="18"/>
          <w:color w:val="auto"/>
        </w:rPr>
        <w:t>The Company uses debenture leverage provided through the SBA to fund a portion of its investment purchases.</w:t>
      </w:r>
    </w:p>
    <w:p>
      <w:pPr>
        <w:spacing w:after="0" w:line="173" w:lineRule="exact"/>
        <w:rPr>
          <w:sz w:val="20"/>
          <w:szCs w:val="20"/>
          <w:color w:val="auto"/>
        </w:rPr>
      </w:pPr>
    </w:p>
    <w:p>
      <w:pPr>
        <w:jc w:val="both"/>
        <w:ind w:firstLine="478"/>
        <w:spacing w:after="0" w:line="246" w:lineRule="auto"/>
        <w:rPr>
          <w:sz w:val="20"/>
          <w:szCs w:val="20"/>
          <w:color w:val="auto"/>
        </w:rPr>
      </w:pPr>
      <w:r>
        <w:rPr>
          <w:rFonts w:ascii="Times New Roman" w:cs="Times New Roman" w:eastAsia="Times New Roman" w:hAnsi="Times New Roman"/>
          <w:sz w:val="18"/>
          <w:szCs w:val="18"/>
          <w:color w:val="auto"/>
        </w:rPr>
        <w:t>Under the SBA debenture program, the SBA commits to purchase debentures issued by SBICs; such debentures have 10-year terms with the entire principal balance due at maturity and are guaranteed by the SBA. Interest on SBA debentures is payable semi-annually on March 1 and September 1. As of March 31, 2022 and December 31, 2021, approved and unused SBA debenture commitments were $21,500 and $63,000, respectively. The SBA may limit the amount that may be drawn each year under these commitments, and each issuance of leverage is conditioned on the Company’s full compliance, as determined by the SBA, with the terms and conditions set forth in the SBIC Act.</w:t>
      </w:r>
    </w:p>
    <w:p>
      <w:pPr>
        <w:spacing w:after="0" w:line="1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March 31, 2022 and December 31, 2021, the Company’s issued and outstanding SBA debentures mature as follows: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FIDUS INVESTMENT CORPORATION</w:t>
            </w: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(unaudited)</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0" w:type="dxa"/>
            <w:vAlign w:val="bottom"/>
            <w:gridSpan w:val="4"/>
          </w:tcPr>
          <w:p>
            <w:pPr>
              <w:jc w:val="center"/>
              <w:ind w:left="3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 thousands, except shares and per share data)</w:t>
            </w: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304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b w:val="1"/>
                <w:bCs w:val="1"/>
                <w:color w:val="auto"/>
              </w:rPr>
              <w:t>Pooling</w:t>
            </w:r>
          </w:p>
        </w:tc>
        <w:tc>
          <w:tcPr>
            <w:tcW w:w="280" w:type="dxa"/>
            <w:vAlign w:val="bottom"/>
          </w:tcPr>
          <w:p>
            <w:pPr>
              <w:spacing w:after="0"/>
              <w:rPr>
                <w:sz w:val="17"/>
                <w:szCs w:val="17"/>
                <w:color w:val="auto"/>
              </w:rPr>
            </w:pPr>
          </w:p>
        </w:tc>
        <w:tc>
          <w:tcPr>
            <w:tcW w:w="1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Maturity</w:t>
            </w:r>
          </w:p>
        </w:tc>
        <w:tc>
          <w:tcPr>
            <w:tcW w:w="280" w:type="dxa"/>
            <w:vAlign w:val="bottom"/>
          </w:tcPr>
          <w:p>
            <w:pPr>
              <w:spacing w:after="0"/>
              <w:rPr>
                <w:sz w:val="17"/>
                <w:szCs w:val="17"/>
                <w:color w:val="auto"/>
              </w:rPr>
            </w:pPr>
          </w:p>
        </w:tc>
        <w:tc>
          <w:tcPr>
            <w:tcW w:w="1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Fixed</w:t>
            </w: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230"/>
              <w:spacing w:after="0" w:line="196"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7"/>
                <w:szCs w:val="17"/>
                <w:color w:val="auto"/>
              </w:rPr>
            </w:pPr>
          </w:p>
        </w:tc>
      </w:tr>
      <w:tr>
        <w:trPr>
          <w:trHeight w:val="258"/>
        </w:trPr>
        <w:tc>
          <w:tcPr>
            <w:tcW w:w="3040" w:type="dxa"/>
            <w:vAlign w:val="bottom"/>
            <w:tcBorders>
              <w:bottom w:val="single" w:sz="8" w:color="auto"/>
            </w:tcBorders>
          </w:tcPr>
          <w:p>
            <w:pPr>
              <w:ind w:left="1260"/>
              <w:spacing w:after="0" w:line="258" w:lineRule="exact"/>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24"/>
                <w:szCs w:val="24"/>
                <w:b w:val="1"/>
                <w:bCs w:val="1"/>
                <w:color w:val="auto"/>
                <w:vertAlign w:val="superscript"/>
              </w:rPr>
              <w:t>(1)</w:t>
            </w:r>
          </w:p>
        </w:tc>
        <w:tc>
          <w:tcPr>
            <w:tcW w:w="280" w:type="dxa"/>
            <w:vAlign w:val="bottom"/>
          </w:tcPr>
          <w:p>
            <w:pPr>
              <w:spacing w:after="0"/>
              <w:rPr>
                <w:sz w:val="22"/>
                <w:szCs w:val="22"/>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80" w:type="dxa"/>
            <w:vAlign w:val="bottom"/>
          </w:tcPr>
          <w:p>
            <w:pPr>
              <w:spacing w:after="0"/>
              <w:rPr>
                <w:sz w:val="22"/>
                <w:szCs w:val="22"/>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5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22"/>
                <w:szCs w:val="22"/>
                <w:color w:val="auto"/>
              </w:rPr>
            </w:pPr>
          </w:p>
        </w:tc>
      </w:tr>
      <w:tr>
        <w:trPr>
          <w:trHeight w:val="210"/>
        </w:trPr>
        <w:tc>
          <w:tcPr>
            <w:tcW w:w="3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3/25/2015</w:t>
            </w:r>
          </w:p>
        </w:tc>
        <w:tc>
          <w:tcPr>
            <w:tcW w:w="28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3/1/2025</w:t>
            </w:r>
          </w:p>
        </w:tc>
        <w:tc>
          <w:tcPr>
            <w:tcW w:w="28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5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60" w:type="dxa"/>
            <w:vAlign w:val="bottom"/>
            <w:shd w:val="clear" w:color="auto" w:fill="CFF0FC"/>
          </w:tcPr>
          <w:p>
            <w:pPr>
              <w:spacing w:after="0"/>
              <w:rPr>
                <w:sz w:val="18"/>
                <w:szCs w:val="18"/>
                <w:color w:val="auto"/>
              </w:rPr>
            </w:pPr>
          </w:p>
        </w:tc>
      </w:tr>
      <w:tr>
        <w:trPr>
          <w:trHeight w:val="216"/>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3/23/2016</w:t>
            </w:r>
          </w:p>
        </w:tc>
        <w:tc>
          <w:tcPr>
            <w:tcW w:w="19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3/1/2026</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0" w:type="dxa"/>
            <w:vAlign w:val="bottom"/>
          </w:tcPr>
          <w:p>
            <w:pPr>
              <w:spacing w:after="0"/>
              <w:rPr>
                <w:sz w:val="18"/>
                <w:szCs w:val="18"/>
                <w:color w:val="auto"/>
              </w:rPr>
            </w:pPr>
          </w:p>
        </w:tc>
      </w:tr>
      <w:tr>
        <w:trPr>
          <w:trHeight w:val="216"/>
        </w:trPr>
        <w:tc>
          <w:tcPr>
            <w:tcW w:w="3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3/23/2016</w:t>
            </w:r>
          </w:p>
        </w:tc>
        <w:tc>
          <w:tcPr>
            <w:tcW w:w="1980" w:type="dxa"/>
            <w:vAlign w:val="bottom"/>
            <w:gridSpan w:val="2"/>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9"/>
              </w:rPr>
              <w:t>3/1/2026</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60" w:type="dxa"/>
            <w:vAlign w:val="bottom"/>
            <w:shd w:val="clear" w:color="auto" w:fill="CFF0FC"/>
          </w:tcPr>
          <w:p>
            <w:pPr>
              <w:spacing w:after="0"/>
              <w:rPr>
                <w:sz w:val="18"/>
                <w:szCs w:val="18"/>
                <w:color w:val="auto"/>
              </w:rPr>
            </w:pPr>
          </w:p>
        </w:tc>
      </w:tr>
      <w:tr>
        <w:trPr>
          <w:trHeight w:val="216"/>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9/21/2016</w:t>
            </w:r>
          </w:p>
        </w:tc>
        <w:tc>
          <w:tcPr>
            <w:tcW w:w="19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9/1/2026</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60" w:type="dxa"/>
            <w:vAlign w:val="bottom"/>
          </w:tcPr>
          <w:p>
            <w:pPr>
              <w:spacing w:after="0"/>
              <w:rPr>
                <w:sz w:val="18"/>
                <w:szCs w:val="18"/>
                <w:color w:val="auto"/>
              </w:rPr>
            </w:pPr>
          </w:p>
        </w:tc>
      </w:tr>
      <w:tr>
        <w:trPr>
          <w:trHeight w:val="216"/>
        </w:trPr>
        <w:tc>
          <w:tcPr>
            <w:tcW w:w="3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9/20/2017</w:t>
            </w:r>
          </w:p>
        </w:tc>
        <w:tc>
          <w:tcPr>
            <w:tcW w:w="1980" w:type="dxa"/>
            <w:vAlign w:val="bottom"/>
            <w:gridSpan w:val="2"/>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9"/>
              </w:rPr>
              <w:t>9/1/2027</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shd w:val="clear" w:color="auto" w:fill="CFF0FC"/>
          </w:tcPr>
          <w:p>
            <w:pPr>
              <w:spacing w:after="0"/>
              <w:rPr>
                <w:sz w:val="18"/>
                <w:szCs w:val="18"/>
                <w:color w:val="auto"/>
              </w:rPr>
            </w:pPr>
          </w:p>
        </w:tc>
      </w:tr>
      <w:tr>
        <w:trPr>
          <w:trHeight w:val="216"/>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9/20/2017</w:t>
            </w:r>
          </w:p>
        </w:tc>
        <w:tc>
          <w:tcPr>
            <w:tcW w:w="19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9/1/2027</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60" w:type="dxa"/>
            <w:vAlign w:val="bottom"/>
          </w:tcPr>
          <w:p>
            <w:pPr>
              <w:spacing w:after="0"/>
              <w:rPr>
                <w:sz w:val="18"/>
                <w:szCs w:val="18"/>
                <w:color w:val="auto"/>
              </w:rPr>
            </w:pPr>
          </w:p>
        </w:tc>
      </w:tr>
      <w:tr>
        <w:trPr>
          <w:trHeight w:val="216"/>
        </w:trPr>
        <w:tc>
          <w:tcPr>
            <w:tcW w:w="3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3/21/2018</w:t>
            </w:r>
          </w:p>
        </w:tc>
        <w:tc>
          <w:tcPr>
            <w:tcW w:w="1980" w:type="dxa"/>
            <w:vAlign w:val="bottom"/>
            <w:gridSpan w:val="2"/>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9"/>
              </w:rPr>
              <w:t>3/1/2028</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60" w:type="dxa"/>
            <w:vAlign w:val="bottom"/>
            <w:shd w:val="clear" w:color="auto" w:fill="CFF0FC"/>
          </w:tcPr>
          <w:p>
            <w:pPr>
              <w:spacing w:after="0"/>
              <w:rPr>
                <w:sz w:val="18"/>
                <w:szCs w:val="18"/>
                <w:color w:val="auto"/>
              </w:rPr>
            </w:pPr>
          </w:p>
        </w:tc>
      </w:tr>
      <w:tr>
        <w:trPr>
          <w:trHeight w:val="216"/>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9/25/2019</w:t>
            </w:r>
          </w:p>
        </w:tc>
        <w:tc>
          <w:tcPr>
            <w:tcW w:w="19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9/1/2029</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60" w:type="dxa"/>
            <w:vAlign w:val="bottom"/>
          </w:tcPr>
          <w:p>
            <w:pPr>
              <w:spacing w:after="0"/>
              <w:rPr>
                <w:sz w:val="18"/>
                <w:szCs w:val="18"/>
                <w:color w:val="auto"/>
              </w:rPr>
            </w:pPr>
          </w:p>
        </w:tc>
      </w:tr>
      <w:tr>
        <w:trPr>
          <w:trHeight w:val="216"/>
        </w:trPr>
        <w:tc>
          <w:tcPr>
            <w:tcW w:w="3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3/25/2020</w:t>
            </w:r>
          </w:p>
        </w:tc>
        <w:tc>
          <w:tcPr>
            <w:tcW w:w="1980" w:type="dxa"/>
            <w:vAlign w:val="bottom"/>
            <w:gridSpan w:val="2"/>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9"/>
              </w:rPr>
              <w:t>3/1/2030</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60" w:type="dxa"/>
            <w:vAlign w:val="bottom"/>
            <w:shd w:val="clear" w:color="auto" w:fill="CFF0FC"/>
          </w:tcPr>
          <w:p>
            <w:pPr>
              <w:spacing w:after="0"/>
              <w:rPr>
                <w:sz w:val="18"/>
                <w:szCs w:val="18"/>
                <w:color w:val="auto"/>
              </w:rPr>
            </w:pPr>
          </w:p>
        </w:tc>
      </w:tr>
      <w:tr>
        <w:trPr>
          <w:trHeight w:val="216"/>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9/22/2021</w:t>
            </w:r>
          </w:p>
        </w:tc>
        <w:tc>
          <w:tcPr>
            <w:tcW w:w="19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9/1/2031</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60" w:type="dxa"/>
            <w:vAlign w:val="bottom"/>
          </w:tcPr>
          <w:p>
            <w:pPr>
              <w:spacing w:after="0"/>
              <w:rPr>
                <w:sz w:val="18"/>
                <w:szCs w:val="18"/>
                <w:color w:val="auto"/>
              </w:rPr>
            </w:pPr>
          </w:p>
        </w:tc>
      </w:tr>
      <w:tr>
        <w:trPr>
          <w:trHeight w:val="216"/>
        </w:trPr>
        <w:tc>
          <w:tcPr>
            <w:tcW w:w="3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3/23/2022</w:t>
            </w:r>
          </w:p>
        </w:tc>
        <w:tc>
          <w:tcPr>
            <w:tcW w:w="1980" w:type="dxa"/>
            <w:vAlign w:val="bottom"/>
            <w:gridSpan w:val="2"/>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9"/>
              </w:rPr>
              <w:t>3/1/2032</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43,500</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60" w:type="dxa"/>
            <w:vAlign w:val="bottom"/>
            <w:shd w:val="clear" w:color="auto" w:fill="CFF0FC"/>
          </w:tcPr>
          <w:p>
            <w:pPr>
              <w:spacing w:after="0"/>
              <w:rPr>
                <w:sz w:val="18"/>
                <w:szCs w:val="18"/>
                <w:color w:val="auto"/>
              </w:rPr>
            </w:pPr>
          </w:p>
        </w:tc>
      </w:tr>
      <w:tr>
        <w:trPr>
          <w:trHeight w:val="216"/>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98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(2)</w:t>
            </w:r>
          </w:p>
        </w:tc>
        <w:tc>
          <w:tcPr>
            <w:tcW w:w="19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5"/>
              </w:rPr>
              <w:t>(2)</w:t>
            </w:r>
          </w:p>
        </w:tc>
        <w:tc>
          <w:tcPr>
            <w:tcW w:w="5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49"/>
        </w:trPr>
        <w:tc>
          <w:tcPr>
            <w:tcW w:w="3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outstanding SBA debentures</w:t>
            </w:r>
          </w:p>
        </w:tc>
        <w:tc>
          <w:tcPr>
            <w:tcW w:w="28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6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128,500</w:t>
            </w:r>
          </w:p>
        </w:tc>
        <w:tc>
          <w:tcPr>
            <w:tcW w:w="3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107,000</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-25400</wp:posOffset>
            </wp:positionV>
            <wp:extent cx="431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431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0" w:lineRule="exact"/>
        <w:rPr>
          <w:sz w:val="20"/>
          <w:szCs w:val="20"/>
          <w:color w:val="auto"/>
        </w:rPr>
      </w:pPr>
    </w:p>
    <w:p>
      <w:pPr>
        <w:ind w:left="480" w:right="20" w:hanging="459"/>
        <w:spacing w:after="0" w:line="243" w:lineRule="auto"/>
        <w:tabs>
          <w:tab w:leader="none" w:pos="4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SBA has two scheduled pooling dates for debentures (in March and in September). Certain debentures funded during the reporting periods may not be pooled until the subsequent pooling date.</w:t>
      </w:r>
    </w:p>
    <w:p>
      <w:pPr>
        <w:ind w:left="480" w:right="40" w:hanging="459"/>
        <w:spacing w:after="0" w:line="239" w:lineRule="auto"/>
        <w:tabs>
          <w:tab w:leader="none" w:pos="4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issued $10,000 in SBA debentures which will pool in September 2022. Until the pooling date, the debentures bear interest at a fixed rate interim interest rate of 1.86%. The Company expects the current interim interest rate will reset to a higher long-term fixed rate on the pooling date.</w:t>
      </w:r>
    </w:p>
    <w:p>
      <w:pPr>
        <w:spacing w:after="0" w:line="138" w:lineRule="exact"/>
        <w:rPr>
          <w:sz w:val="20"/>
          <w:szCs w:val="20"/>
          <w:color w:val="auto"/>
        </w:rPr>
      </w:pPr>
    </w:p>
    <w:p>
      <w:pPr>
        <w:jc w:val="both"/>
        <w:ind w:left="20" w:firstLine="461"/>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Notes: </w:t>
      </w:r>
      <w:r>
        <w:rPr>
          <w:rFonts w:ascii="Times New Roman" w:cs="Times New Roman" w:eastAsia="Times New Roman" w:hAnsi="Times New Roman"/>
          <w:sz w:val="18"/>
          <w:szCs w:val="18"/>
          <w:color w:val="auto"/>
        </w:rPr>
        <w:t>On February 2, 2018, the Company closed the public offering of approximately $43,478 in aggregate principal amount of its 5.875%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2023, or the “2023 Notes.” On February 22, 2018, the underwriters exercised their option to purchase an additional $6,522 in aggregate principal of the 2023 Notes. The total net proceeds to the Company from the 2023 Notes, including the exercise of the underwriters’ option, after deducting underwriting discounts of approximately $1,500 and offering expenses of $438, were approximately $48,062. On January 19, 2021, the Company redeemed $50,000 in aggregate principal amount of the issued and outstanding 2023 Notes, resulting in a realized loss on extinguishment of debt of approximately $794.</w:t>
      </w:r>
    </w:p>
    <w:p>
      <w:pPr>
        <w:spacing w:after="0" w:line="324" w:lineRule="exact"/>
        <w:rPr>
          <w:sz w:val="20"/>
          <w:szCs w:val="20"/>
          <w:color w:val="auto"/>
        </w:rPr>
      </w:pPr>
    </w:p>
    <w:p>
      <w:pPr>
        <w:jc w:val="both"/>
        <w:ind w:left="20"/>
        <w:spacing w:after="0" w:line="245" w:lineRule="auto"/>
        <w:rPr>
          <w:sz w:val="20"/>
          <w:szCs w:val="20"/>
          <w:color w:val="auto"/>
        </w:rPr>
      </w:pPr>
      <w:r>
        <w:rPr>
          <w:rFonts w:ascii="Times New Roman" w:cs="Times New Roman" w:eastAsia="Times New Roman" w:hAnsi="Times New Roman"/>
          <w:sz w:val="18"/>
          <w:szCs w:val="18"/>
          <w:color w:val="auto"/>
        </w:rPr>
        <w:t>On February 8, 2019, the Company closed the public offering of approximately $60,000 in aggregate principal amount of its 6.000% notes due 2024, or the “February 2024 Notes”. On February 19, 2019, the underwriters exercised their option to purchase an additional $9,000 in aggregate principal of the February 2024 Notes. The total net proceeds to the Company from the February 2024 Notes, including the exercise of the underwriters’ option, after deducting underwriting discounts of approximately $2,070 and estimated offering expenses of $409, were approximately $66,521. On February 16, 2021, the Company redeemed $50,000 of the $69,000 aggregate principal amount on the February 2024 Notes, resulting in a realized loss on extinguishment of debt of approximately $1,081. On November 2, 2021, we fully redeemed the remaining $19,000 in aggregate principal amount on the issued and outstanding February 2024 Notes, resulting in a realized loss on extinguishment of debt of approximately $313.</w:t>
      </w:r>
    </w:p>
    <w:p>
      <w:pPr>
        <w:spacing w:after="0" w:line="343" w:lineRule="exact"/>
        <w:rPr>
          <w:sz w:val="20"/>
          <w:szCs w:val="20"/>
          <w:color w:val="auto"/>
        </w:rPr>
      </w:pPr>
    </w:p>
    <w:p>
      <w:pPr>
        <w:jc w:val="both"/>
        <w:ind w:left="20"/>
        <w:spacing w:after="0" w:line="244" w:lineRule="auto"/>
        <w:rPr>
          <w:sz w:val="20"/>
          <w:szCs w:val="20"/>
          <w:color w:val="auto"/>
        </w:rPr>
      </w:pPr>
      <w:r>
        <w:rPr>
          <w:rFonts w:ascii="Times New Roman" w:cs="Times New Roman" w:eastAsia="Times New Roman" w:hAnsi="Times New Roman"/>
          <w:sz w:val="18"/>
          <w:szCs w:val="18"/>
          <w:color w:val="auto"/>
        </w:rPr>
        <w:t>On October 16, 2019, the Company closed the public offering of approximately $55,000 in aggregate principal amount of its 5.375% notes due 2024, or the “November 2024 Notes” (collectively with the 2023 Notes and the February 2024 Notes, the “Public Notes”). On October 23, 2019, the underwriters exercised their option to purchase an additional $8,250 in aggregate principal of the November 2024 Notes. The total net proceeds to the Company from the November 2024 Notes, including the exercise of the underwriters’ option, after deducting underwriting discounts of approximately $1,898 and estimated offering expenses of $300, were approximately $61,053. On November 2, 2021, we fully redeemed $63,250 in aggregate principal amount on the issued and outstanding November 2024 Notes, resulting in a realized loss on extinguishment of debt of approximately $1,311.</w:t>
      </w:r>
    </w:p>
    <w:p>
      <w:pPr>
        <w:spacing w:after="0" w:line="344" w:lineRule="exact"/>
        <w:rPr>
          <w:sz w:val="20"/>
          <w:szCs w:val="20"/>
          <w:color w:val="auto"/>
        </w:rPr>
      </w:pPr>
    </w:p>
    <w:p>
      <w:pPr>
        <w:jc w:val="both"/>
        <w:ind w:left="20"/>
        <w:spacing w:after="0" w:line="244" w:lineRule="auto"/>
        <w:rPr>
          <w:sz w:val="20"/>
          <w:szCs w:val="20"/>
          <w:color w:val="auto"/>
        </w:rPr>
      </w:pPr>
      <w:r>
        <w:rPr>
          <w:rFonts w:ascii="Times New Roman" w:cs="Times New Roman" w:eastAsia="Times New Roman" w:hAnsi="Times New Roman"/>
          <w:sz w:val="18"/>
          <w:szCs w:val="18"/>
          <w:color w:val="auto"/>
        </w:rPr>
        <w:t>On December 23, 2020, the Company closed the offering of $125,000 in aggregate principal amount of its 4.75% notes due 2026, or the “January 2026 Notes”. The total net proceeds to the Company from the January 2026 Notes after deducting underwriting discounts of $2,500 and estimated offering expenses of approximately $400, were approximately $122,100. The January 2026 Notes will mature on January 31, 2026 and bear interest at a rate of 4.75%. The January 2026 Notes may be redeemed in whole or in part at any time or from time to time at our option subject to a make whole provision if redeemed more than three months prior to maturity and at par thereafter. Interest on the January 2026 Notes is payable on January 31 and July 31 of each year. The Company does not intend to list the January 2026 Notes on any securities exchange or automated dealer quotation system.</w:t>
      </w:r>
    </w:p>
    <w:p>
      <w:pPr>
        <w:spacing w:after="0" w:line="3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On October 8, 2021, the Company closed the offering of $125,000 in aggregate principal amount of its 3.50% notes due 2026, or the “November 2026</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Notes” (collectively with the Public Notes and the January 2026 Notes, the “Notes”). The total net proceeds to the Company from the November 2026</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Notes, based on a public offering price of 99.996% of par, after deducting underwriting discounts</w:t>
      </w: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39" w:lineRule="exact"/>
        <w:rPr>
          <w:sz w:val="20"/>
          <w:szCs w:val="20"/>
          <w:color w:val="auto"/>
        </w:rPr>
      </w:pPr>
    </w:p>
    <w:p>
      <w:pPr>
        <w:jc w:val="both"/>
        <w:ind w:left="20"/>
        <w:spacing w:after="0" w:line="246" w:lineRule="auto"/>
        <w:rPr>
          <w:sz w:val="20"/>
          <w:szCs w:val="20"/>
          <w:color w:val="auto"/>
        </w:rPr>
      </w:pPr>
      <w:r>
        <w:rPr>
          <w:rFonts w:ascii="Times New Roman" w:cs="Times New Roman" w:eastAsia="Times New Roman" w:hAnsi="Times New Roman"/>
          <w:sz w:val="18"/>
          <w:szCs w:val="18"/>
          <w:color w:val="auto"/>
        </w:rPr>
        <w:t>of $2,505 and estimated offering expenses of approximately $400, were approximately $122,095. The November 2026 Notes will mature on November 15, 2026 and bear interest at a rate of 3.50%. The November 2026 Notes may be redeemed in whole or in part at any time or from time to time at our option subject to a make whole provision if redeemed more than three months prior to maturity and at par thereafter. Interest on the November 2026 Notes is payable on May 15 and November 15 of each year, beginning May 15, 2022. The Company does not intend to list the November 2026 Notes on any securities exchange or automated dealer quotation system.</w:t>
      </w:r>
    </w:p>
    <w:p>
      <w:pPr>
        <w:spacing w:after="0" w:line="343" w:lineRule="exact"/>
        <w:rPr>
          <w:sz w:val="20"/>
          <w:szCs w:val="20"/>
          <w:color w:val="auto"/>
        </w:rPr>
      </w:pPr>
    </w:p>
    <w:p>
      <w:pPr>
        <w:jc w:val="both"/>
        <w:ind w:left="20"/>
        <w:spacing w:after="0" w:line="250" w:lineRule="auto"/>
        <w:rPr>
          <w:sz w:val="20"/>
          <w:szCs w:val="20"/>
          <w:color w:val="auto"/>
        </w:rPr>
      </w:pPr>
      <w:r>
        <w:rPr>
          <w:rFonts w:ascii="Times New Roman" w:cs="Times New Roman" w:eastAsia="Times New Roman" w:hAnsi="Times New Roman"/>
          <w:sz w:val="18"/>
          <w:szCs w:val="18"/>
          <w:color w:val="auto"/>
        </w:rPr>
        <w:t>Each of the Notes are unsecured obligations of the Company and rank pari passu with the Company’s existing and future unsecured indebtedness; effectively subordinated to all of the Company’s existing and future secured indebtedness; and structurally subordinated to all existing and future indebtedness and other obligations of any of its subsidiaries, financing vehicles, or similar facilities the Company may form in the future, with respect to claims on the assets of any such subsidiaries, financing vehicles, or similar facilities.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Borrowing</w:t>
      </w:r>
    </w:p>
    <w:p>
      <w:pPr>
        <w:spacing w:after="0" w:line="160" w:lineRule="exact"/>
        <w:rPr>
          <w:sz w:val="20"/>
          <w:szCs w:val="20"/>
          <w:color w:val="auto"/>
        </w:rPr>
      </w:pPr>
    </w:p>
    <w:p>
      <w:pPr>
        <w:jc w:val="both"/>
        <w:ind w:left="20" w:firstLine="461"/>
        <w:spacing w:after="0" w:line="247" w:lineRule="auto"/>
        <w:rPr>
          <w:sz w:val="20"/>
          <w:szCs w:val="20"/>
          <w:color w:val="auto"/>
        </w:rPr>
      </w:pPr>
      <w:r>
        <w:rPr>
          <w:rFonts w:ascii="Times New Roman" w:cs="Times New Roman" w:eastAsia="Times New Roman" w:hAnsi="Times New Roman"/>
          <w:sz w:val="18"/>
          <w:szCs w:val="18"/>
          <w:color w:val="auto"/>
        </w:rPr>
        <w:t>As of March 31, 2022, the carrying value of secured borrowings totaled $17,443 and the fair value of the associated loans included in investments was $17,443. As of December 31, 2021, the carrying value of secured borrowings totaled $17,637 and the fair value of the associated loans included in investments was $17,522. These secured borrowings were created as a result of our completion of partial loan sales of certain unitranche loan assets that did not meet the definition of a “participating interest.” As a result, sale treatment was not permitted and these partial loan sales were treated as secured borrowings. The weighted average interest rate on our secured borrowings was approximately 4.5% and 4.4% as of March 31, 2022, and December 31, 2021, respectively.</w:t>
      </w:r>
    </w:p>
    <w:p>
      <w:pPr>
        <w:spacing w:after="0" w:line="126" w:lineRule="exact"/>
        <w:rPr>
          <w:sz w:val="20"/>
          <w:szCs w:val="20"/>
          <w:color w:val="auto"/>
        </w:rPr>
      </w:pPr>
    </w:p>
    <w:p>
      <w:pPr>
        <w:jc w:val="both"/>
        <w:ind w:firstLine="469"/>
        <w:spacing w:after="0" w:line="246" w:lineRule="auto"/>
        <w:rPr>
          <w:sz w:val="20"/>
          <w:szCs w:val="20"/>
          <w:color w:val="auto"/>
        </w:rPr>
      </w:pPr>
      <w:r>
        <w:rPr>
          <w:rFonts w:ascii="Times New Roman" w:cs="Times New Roman" w:eastAsia="Times New Roman" w:hAnsi="Times New Roman"/>
          <w:sz w:val="18"/>
          <w:szCs w:val="18"/>
          <w:color w:val="auto"/>
        </w:rPr>
        <w:t>As of March 31, 2022, and December 31, 2021, the aggregate amount outstanding of the senior securities (including secured borrowings) issued by the Company was $267,443 and $267,637, respectively, for which our asset coverage was 281.9% and 282.2%, respectively. The SBA-guaranteed debentures are not subject to the asset coverage requirements of the 1940 Act as a result of exemptive relief granted to us by the SEC on June 30, 2014. The asset coverage ratio for a class of senior securities representing indebtedness is calculated as our consolidated total assets, less all liabilities and indebtedness not represented by senior securities, divided by total senior securities representing indebtedness.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Financing Expenses</w:t>
      </w:r>
    </w:p>
    <w:p>
      <w:pPr>
        <w:spacing w:after="0" w:line="173" w:lineRule="exact"/>
        <w:rPr>
          <w:sz w:val="20"/>
          <w:szCs w:val="20"/>
          <w:color w:val="auto"/>
        </w:rPr>
      </w:pPr>
    </w:p>
    <w:p>
      <w:pPr>
        <w:jc w:val="both"/>
        <w:ind w:right="20" w:firstLine="574"/>
        <w:spacing w:after="0" w:line="266" w:lineRule="auto"/>
        <w:rPr>
          <w:sz w:val="20"/>
          <w:szCs w:val="20"/>
          <w:color w:val="auto"/>
        </w:rPr>
      </w:pPr>
      <w:r>
        <w:rPr>
          <w:rFonts w:ascii="Times New Roman" w:cs="Times New Roman" w:eastAsia="Times New Roman" w:hAnsi="Times New Roman"/>
          <w:sz w:val="18"/>
          <w:szCs w:val="18"/>
          <w:color w:val="auto"/>
        </w:rPr>
        <w:t>Interest and fees related to the Company’s debt for the three months ended March 31, 2022 and 2021 which are included in interest and financing expenses on the consolidated statements of operations,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7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6"/>
          </w:tcPr>
          <w:p>
            <w:pPr>
              <w:jc w:val="right"/>
              <w:ind w:right="15"/>
              <w:spacing w:after="0"/>
              <w:rPr>
                <w:sz w:val="20"/>
                <w:szCs w:val="20"/>
                <w:color w:val="auto"/>
              </w:rPr>
            </w:pPr>
            <w:r>
              <w:rPr>
                <w:rFonts w:ascii="Times New Roman" w:cs="Times New Roman" w:eastAsia="Times New Roman" w:hAnsi="Times New Roman"/>
                <w:sz w:val="9"/>
                <w:szCs w:val="9"/>
                <w:b w:val="1"/>
                <w:bCs w:val="1"/>
                <w:color w:val="auto"/>
              </w:rPr>
              <w:t>Three Months Ended March 31, 2022</w:t>
            </w:r>
          </w:p>
        </w:tc>
        <w:tc>
          <w:tcPr>
            <w:tcW w:w="4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9"/>
                <w:szCs w:val="9"/>
                <w:b w:val="1"/>
                <w:bCs w:val="1"/>
                <w:color w:val="auto"/>
              </w:rPr>
              <w:t>Three Months Ended March 31, 2021</w:t>
            </w:r>
          </w:p>
        </w:tc>
        <w:tc>
          <w:tcPr>
            <w:tcW w:w="3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720" w:type="dxa"/>
            <w:vAlign w:val="bottom"/>
          </w:tcPr>
          <w:p>
            <w:pPr>
              <w:spacing w:after="0"/>
              <w:rPr>
                <w:sz w:val="7"/>
                <w:szCs w:val="7"/>
                <w:color w:val="auto"/>
              </w:rPr>
            </w:pPr>
          </w:p>
        </w:tc>
        <w:tc>
          <w:tcPr>
            <w:tcW w:w="9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9"/>
                <w:szCs w:val="9"/>
                <w:b w:val="1"/>
                <w:bCs w:val="1"/>
                <w:color w:val="auto"/>
              </w:rPr>
              <w:t>SBA debentures</w:t>
            </w:r>
          </w:p>
        </w:tc>
        <w:tc>
          <w:tcPr>
            <w:tcW w:w="100" w:type="dxa"/>
            <w:vAlign w:val="bottom"/>
          </w:tcPr>
          <w:p>
            <w:pPr>
              <w:spacing w:after="0"/>
              <w:rPr>
                <w:sz w:val="7"/>
                <w:szCs w:val="7"/>
                <w:color w:val="auto"/>
              </w:rPr>
            </w:pPr>
          </w:p>
        </w:tc>
        <w:tc>
          <w:tcPr>
            <w:tcW w:w="760" w:type="dxa"/>
            <w:vAlign w:val="bottom"/>
            <w:gridSpan w:val="2"/>
          </w:tcPr>
          <w:p>
            <w:pPr>
              <w:jc w:val="right"/>
              <w:ind w:right="460"/>
              <w:spacing w:after="0" w:line="91" w:lineRule="exact"/>
              <w:rPr>
                <w:sz w:val="20"/>
                <w:szCs w:val="20"/>
                <w:color w:val="auto"/>
              </w:rPr>
            </w:pPr>
            <w:r>
              <w:rPr>
                <w:rFonts w:ascii="Times New Roman" w:cs="Times New Roman" w:eastAsia="Times New Roman" w:hAnsi="Times New Roman"/>
                <w:sz w:val="9"/>
                <w:szCs w:val="9"/>
                <w:b w:val="1"/>
                <w:bCs w:val="1"/>
                <w:color w:val="auto"/>
              </w:rPr>
              <w:t>Credit</w:t>
            </w:r>
          </w:p>
        </w:tc>
        <w:tc>
          <w:tcPr>
            <w:tcW w:w="80" w:type="dxa"/>
            <w:vAlign w:val="bottom"/>
          </w:tcPr>
          <w:p>
            <w:pPr>
              <w:spacing w:after="0"/>
              <w:rPr>
                <w:sz w:val="7"/>
                <w:szCs w:val="7"/>
                <w:color w:val="auto"/>
              </w:rPr>
            </w:pPr>
          </w:p>
        </w:tc>
        <w:tc>
          <w:tcPr>
            <w:tcW w:w="800" w:type="dxa"/>
            <w:vAlign w:val="bottom"/>
            <w:gridSpan w:val="2"/>
          </w:tcPr>
          <w:p>
            <w:pPr>
              <w:jc w:val="right"/>
              <w:ind w:right="420"/>
              <w:spacing w:after="0" w:line="91" w:lineRule="exact"/>
              <w:rPr>
                <w:sz w:val="20"/>
                <w:szCs w:val="20"/>
                <w:color w:val="auto"/>
              </w:rPr>
            </w:pPr>
            <w:r>
              <w:rPr>
                <w:rFonts w:ascii="Times New Roman" w:cs="Times New Roman" w:eastAsia="Times New Roman" w:hAnsi="Times New Roman"/>
                <w:sz w:val="9"/>
                <w:szCs w:val="9"/>
                <w:b w:val="1"/>
                <w:bCs w:val="1"/>
                <w:color w:val="auto"/>
              </w:rPr>
              <w:t>Secured</w:t>
            </w:r>
          </w:p>
        </w:tc>
        <w:tc>
          <w:tcPr>
            <w:tcW w:w="120" w:type="dxa"/>
            <w:vAlign w:val="bottom"/>
          </w:tcPr>
          <w:p>
            <w:pPr>
              <w:spacing w:after="0"/>
              <w:rPr>
                <w:sz w:val="7"/>
                <w:szCs w:val="7"/>
                <w:color w:val="auto"/>
              </w:rPr>
            </w:pPr>
          </w:p>
        </w:tc>
        <w:tc>
          <w:tcPr>
            <w:tcW w:w="7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9"/>
                <w:szCs w:val="9"/>
                <w:b w:val="1"/>
                <w:bCs w:val="1"/>
                <w:color w:val="auto"/>
              </w:rPr>
              <w:t>Notes</w:t>
            </w:r>
          </w:p>
        </w:tc>
        <w:tc>
          <w:tcPr>
            <w:tcW w:w="120" w:type="dxa"/>
            <w:vAlign w:val="bottom"/>
          </w:tcPr>
          <w:p>
            <w:pPr>
              <w:spacing w:after="0"/>
              <w:rPr>
                <w:sz w:val="7"/>
                <w:szCs w:val="7"/>
                <w:color w:val="auto"/>
              </w:rPr>
            </w:pPr>
          </w:p>
        </w:tc>
        <w:tc>
          <w:tcPr>
            <w:tcW w:w="7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9"/>
                <w:szCs w:val="9"/>
                <w:b w:val="1"/>
                <w:bCs w:val="1"/>
                <w:color w:val="auto"/>
              </w:rPr>
              <w:t>Total</w:t>
            </w:r>
          </w:p>
        </w:tc>
        <w:tc>
          <w:tcPr>
            <w:tcW w:w="9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9"/>
                <w:szCs w:val="9"/>
                <w:b w:val="1"/>
                <w:bCs w:val="1"/>
                <w:color w:val="auto"/>
                <w:w w:val="99"/>
              </w:rPr>
              <w:t>SBA debentures</w:t>
            </w:r>
          </w:p>
        </w:tc>
        <w:tc>
          <w:tcPr>
            <w:tcW w:w="100" w:type="dxa"/>
            <w:vAlign w:val="bottom"/>
          </w:tcPr>
          <w:p>
            <w:pPr>
              <w:spacing w:after="0"/>
              <w:rPr>
                <w:sz w:val="7"/>
                <w:szCs w:val="7"/>
                <w:color w:val="auto"/>
              </w:rPr>
            </w:pPr>
          </w:p>
        </w:tc>
        <w:tc>
          <w:tcPr>
            <w:tcW w:w="740" w:type="dxa"/>
            <w:vAlign w:val="bottom"/>
            <w:gridSpan w:val="2"/>
          </w:tcPr>
          <w:p>
            <w:pPr>
              <w:jc w:val="right"/>
              <w:ind w:right="440"/>
              <w:spacing w:after="0" w:line="91" w:lineRule="exact"/>
              <w:rPr>
                <w:sz w:val="20"/>
                <w:szCs w:val="20"/>
                <w:color w:val="auto"/>
              </w:rPr>
            </w:pPr>
            <w:r>
              <w:rPr>
                <w:rFonts w:ascii="Times New Roman" w:cs="Times New Roman" w:eastAsia="Times New Roman" w:hAnsi="Times New Roman"/>
                <w:sz w:val="9"/>
                <w:szCs w:val="9"/>
                <w:b w:val="1"/>
                <w:bCs w:val="1"/>
                <w:color w:val="auto"/>
              </w:rPr>
              <w:t>Credit</w:t>
            </w:r>
          </w:p>
        </w:tc>
        <w:tc>
          <w:tcPr>
            <w:tcW w:w="60" w:type="dxa"/>
            <w:vAlign w:val="bottom"/>
          </w:tcPr>
          <w:p>
            <w:pPr>
              <w:spacing w:after="0"/>
              <w:rPr>
                <w:sz w:val="7"/>
                <w:szCs w:val="7"/>
                <w:color w:val="auto"/>
              </w:rPr>
            </w:pPr>
          </w:p>
        </w:tc>
        <w:tc>
          <w:tcPr>
            <w:tcW w:w="500" w:type="dxa"/>
            <w:vAlign w:val="bottom"/>
          </w:tcPr>
          <w:p>
            <w:pPr>
              <w:jc w:val="right"/>
              <w:ind w:right="95"/>
              <w:spacing w:after="0" w:line="91" w:lineRule="exact"/>
              <w:rPr>
                <w:sz w:val="20"/>
                <w:szCs w:val="20"/>
                <w:color w:val="auto"/>
              </w:rPr>
            </w:pPr>
            <w:r>
              <w:rPr>
                <w:rFonts w:ascii="Times New Roman" w:cs="Times New Roman" w:eastAsia="Times New Roman" w:hAnsi="Times New Roman"/>
                <w:sz w:val="9"/>
                <w:szCs w:val="9"/>
                <w:b w:val="1"/>
                <w:bCs w:val="1"/>
                <w:color w:val="auto"/>
              </w:rPr>
              <w:t>Secured</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9"/>
                <w:szCs w:val="9"/>
                <w:b w:val="1"/>
                <w:bCs w:val="1"/>
                <w:color w:val="auto"/>
                <w:w w:val="92"/>
              </w:rPr>
              <w:t>Notes</w:t>
            </w:r>
          </w:p>
        </w:tc>
        <w:tc>
          <w:tcPr>
            <w:tcW w:w="120" w:type="dxa"/>
            <w:vAlign w:val="bottom"/>
          </w:tcPr>
          <w:p>
            <w:pPr>
              <w:spacing w:after="0"/>
              <w:rPr>
                <w:sz w:val="7"/>
                <w:szCs w:val="7"/>
                <w:color w:val="auto"/>
              </w:rPr>
            </w:pPr>
          </w:p>
        </w:tc>
        <w:tc>
          <w:tcPr>
            <w:tcW w:w="7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64"/>
        </w:trPr>
        <w:tc>
          <w:tcPr>
            <w:tcW w:w="272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vMerge w:val="restart"/>
          </w:tcPr>
          <w:p>
            <w:pPr>
              <w:jc w:val="right"/>
              <w:ind w:right="115"/>
              <w:spacing w:after="0"/>
              <w:rPr>
                <w:sz w:val="20"/>
                <w:szCs w:val="20"/>
                <w:color w:val="auto"/>
              </w:rPr>
            </w:pPr>
            <w:r>
              <w:rPr>
                <w:rFonts w:ascii="Times New Roman" w:cs="Times New Roman" w:eastAsia="Times New Roman" w:hAnsi="Times New Roman"/>
                <w:sz w:val="9"/>
                <w:szCs w:val="9"/>
                <w:b w:val="1"/>
                <w:bCs w:val="1"/>
                <w:color w:val="auto"/>
              </w:rPr>
              <w:t>Facility</w:t>
            </w:r>
          </w:p>
        </w:tc>
        <w:tc>
          <w:tcPr>
            <w:tcW w:w="28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restart"/>
          </w:tcPr>
          <w:p>
            <w:pPr>
              <w:jc w:val="right"/>
              <w:ind w:right="35"/>
              <w:spacing w:after="0"/>
              <w:rPr>
                <w:sz w:val="20"/>
                <w:szCs w:val="20"/>
                <w:color w:val="auto"/>
              </w:rPr>
            </w:pPr>
            <w:r>
              <w:rPr>
                <w:rFonts w:ascii="Times New Roman" w:cs="Times New Roman" w:eastAsia="Times New Roman" w:hAnsi="Times New Roman"/>
                <w:sz w:val="9"/>
                <w:szCs w:val="9"/>
                <w:b w:val="1"/>
                <w:bCs w:val="1"/>
                <w:color w:val="auto"/>
                <w:w w:val="97"/>
              </w:rPr>
              <w:t>Borrowings</w:t>
            </w:r>
          </w:p>
        </w:tc>
        <w:tc>
          <w:tcPr>
            <w:tcW w:w="26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vMerge w:val="restart"/>
          </w:tcPr>
          <w:p>
            <w:pPr>
              <w:jc w:val="right"/>
              <w:ind w:right="95"/>
              <w:spacing w:after="0"/>
              <w:rPr>
                <w:sz w:val="20"/>
                <w:szCs w:val="20"/>
                <w:color w:val="auto"/>
              </w:rPr>
            </w:pPr>
            <w:r>
              <w:rPr>
                <w:rFonts w:ascii="Times New Roman" w:cs="Times New Roman" w:eastAsia="Times New Roman" w:hAnsi="Times New Roman"/>
                <w:sz w:val="9"/>
                <w:szCs w:val="9"/>
                <w:b w:val="1"/>
                <w:bCs w:val="1"/>
                <w:color w:val="auto"/>
              </w:rPr>
              <w:t>Facility</w:t>
            </w:r>
          </w:p>
        </w:tc>
        <w:tc>
          <w:tcPr>
            <w:tcW w:w="260" w:type="dxa"/>
            <w:vAlign w:val="bottom"/>
            <w:vMerge w:val="restart"/>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vMerge w:val="restart"/>
          </w:tcPr>
          <w:p>
            <w:pPr>
              <w:jc w:val="right"/>
              <w:ind w:right="15"/>
              <w:spacing w:after="0"/>
              <w:rPr>
                <w:sz w:val="20"/>
                <w:szCs w:val="20"/>
                <w:color w:val="auto"/>
              </w:rPr>
            </w:pPr>
            <w:r>
              <w:rPr>
                <w:rFonts w:ascii="Times New Roman" w:cs="Times New Roman" w:eastAsia="Times New Roman" w:hAnsi="Times New Roman"/>
                <w:sz w:val="9"/>
                <w:szCs w:val="9"/>
                <w:b w:val="1"/>
                <w:bCs w:val="1"/>
                <w:color w:val="auto"/>
                <w:w w:val="93"/>
              </w:rPr>
              <w:t>Borrowings</w:t>
            </w: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27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Stated interest expense</w:t>
            </w:r>
          </w:p>
        </w:tc>
        <w:tc>
          <w:tcPr>
            <w:tcW w:w="26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739</w:t>
            </w: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363</w:t>
            </w:r>
          </w:p>
        </w:tc>
        <w:tc>
          <w:tcPr>
            <w:tcW w:w="28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208</w:t>
            </w: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2,578</w:t>
            </w: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3,888</w:t>
            </w:r>
          </w:p>
        </w:tc>
        <w:tc>
          <w:tcPr>
            <w:tcW w:w="320" w:type="dxa"/>
            <w:vAlign w:val="bottom"/>
            <w:shd w:val="clear" w:color="auto" w:fill="CFF0FC"/>
          </w:tcPr>
          <w:p>
            <w:pPr>
              <w:spacing w:after="0"/>
              <w:rPr>
                <w:sz w:val="10"/>
                <w:szCs w:val="10"/>
                <w:color w:val="auto"/>
              </w:rPr>
            </w:pPr>
          </w:p>
        </w:tc>
        <w:tc>
          <w:tcPr>
            <w:tcW w:w="26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1,133</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362</w:t>
            </w:r>
          </w:p>
        </w:tc>
        <w:tc>
          <w:tcPr>
            <w:tcW w:w="26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3,116</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4,611</w:t>
            </w:r>
          </w:p>
        </w:tc>
        <w:tc>
          <w:tcPr>
            <w:tcW w:w="2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20" w:type="dxa"/>
            <w:vAlign w:val="bottom"/>
          </w:tcPr>
          <w:p>
            <w:pPr>
              <w:ind w:left="20"/>
              <w:spacing w:after="0"/>
              <w:rPr>
                <w:sz w:val="20"/>
                <w:szCs w:val="20"/>
                <w:color w:val="auto"/>
              </w:rPr>
            </w:pPr>
            <w:r>
              <w:rPr>
                <w:rFonts w:ascii="Times New Roman" w:cs="Times New Roman" w:eastAsia="Times New Roman" w:hAnsi="Times New Roman"/>
                <w:sz w:val="9"/>
                <w:szCs w:val="9"/>
                <w:color w:val="auto"/>
              </w:rPr>
              <w:t>Amortization of deferred financing costs</w:t>
            </w:r>
          </w:p>
        </w:tc>
        <w:tc>
          <w:tcPr>
            <w:tcW w:w="2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138</w:t>
            </w:r>
          </w:p>
        </w:tc>
        <w:tc>
          <w:tcPr>
            <w:tcW w:w="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112</w:t>
            </w:r>
          </w:p>
        </w:tc>
        <w:tc>
          <w:tcPr>
            <w:tcW w:w="2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274</w:t>
            </w:r>
          </w:p>
        </w:tc>
        <w:tc>
          <w:tcPr>
            <w:tcW w:w="2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524</w:t>
            </w:r>
          </w:p>
        </w:tc>
        <w:tc>
          <w:tcPr>
            <w:tcW w:w="3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130</w:t>
            </w: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112</w:t>
            </w:r>
          </w:p>
        </w:tc>
        <w:tc>
          <w:tcPr>
            <w:tcW w:w="2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341</w:t>
            </w: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583</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Total interest and financing expenses</w:t>
            </w:r>
          </w:p>
        </w:tc>
        <w:tc>
          <w:tcPr>
            <w:tcW w:w="26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877</w:t>
            </w:r>
          </w:p>
        </w:tc>
        <w:tc>
          <w:tcPr>
            <w:tcW w:w="3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475</w:t>
            </w:r>
          </w:p>
        </w:tc>
        <w:tc>
          <w:tcPr>
            <w:tcW w:w="2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208</w:t>
            </w:r>
          </w:p>
        </w:tc>
        <w:tc>
          <w:tcPr>
            <w:tcW w:w="2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2,852</w:t>
            </w:r>
          </w:p>
        </w:tc>
        <w:tc>
          <w:tcPr>
            <w:tcW w:w="2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4,412</w:t>
            </w:r>
          </w:p>
        </w:tc>
        <w:tc>
          <w:tcPr>
            <w:tcW w:w="3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1,263</w:t>
            </w: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474</w:t>
            </w:r>
          </w:p>
        </w:tc>
        <w:tc>
          <w:tcPr>
            <w:tcW w:w="26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3,457</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5,194</w:t>
            </w:r>
          </w:p>
        </w:tc>
        <w:tc>
          <w:tcPr>
            <w:tcW w:w="26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720" w:type="dxa"/>
            <w:vAlign w:val="bottom"/>
          </w:tcPr>
          <w:p>
            <w:pPr>
              <w:ind w:left="20"/>
              <w:spacing w:after="0" w:line="102" w:lineRule="exact"/>
              <w:rPr>
                <w:sz w:val="20"/>
                <w:szCs w:val="20"/>
                <w:color w:val="auto"/>
              </w:rPr>
            </w:pPr>
            <w:r>
              <w:rPr>
                <w:rFonts w:ascii="Times New Roman" w:cs="Times New Roman" w:eastAsia="Times New Roman" w:hAnsi="Times New Roman"/>
                <w:sz w:val="9"/>
                <w:szCs w:val="9"/>
                <w:color w:val="auto"/>
              </w:rPr>
              <w:t>Weighted average stated interest rate, period end</w:t>
            </w:r>
          </w:p>
        </w:tc>
        <w:tc>
          <w:tcPr>
            <w:tcW w:w="260" w:type="dxa"/>
            <w:vAlign w:val="bottom"/>
          </w:tcPr>
          <w:p>
            <w:pPr>
              <w:spacing w:after="0"/>
              <w:rPr>
                <w:sz w:val="8"/>
                <w:szCs w:val="8"/>
                <w:color w:val="auto"/>
              </w:rPr>
            </w:pPr>
          </w:p>
        </w:tc>
        <w:tc>
          <w:tcPr>
            <w:tcW w:w="720" w:type="dxa"/>
            <w:vAlign w:val="bottom"/>
            <w:gridSpan w:val="2"/>
          </w:tcPr>
          <w:p>
            <w:pPr>
              <w:jc w:val="right"/>
              <w:ind w:right="200"/>
              <w:spacing w:after="0" w:line="102" w:lineRule="exact"/>
              <w:rPr>
                <w:sz w:val="20"/>
                <w:szCs w:val="20"/>
                <w:color w:val="auto"/>
              </w:rPr>
            </w:pPr>
            <w:r>
              <w:rPr>
                <w:rFonts w:ascii="Times New Roman" w:cs="Times New Roman" w:eastAsia="Times New Roman" w:hAnsi="Times New Roman"/>
                <w:sz w:val="9"/>
                <w:szCs w:val="9"/>
                <w:color w:val="auto"/>
              </w:rPr>
              <w:t>2.846 %</w:t>
            </w:r>
          </w:p>
        </w:tc>
        <w:tc>
          <w:tcPr>
            <w:tcW w:w="100" w:type="dxa"/>
            <w:vAlign w:val="bottom"/>
          </w:tcPr>
          <w:p>
            <w:pPr>
              <w:spacing w:after="0"/>
              <w:rPr>
                <w:sz w:val="8"/>
                <w:szCs w:val="8"/>
                <w:color w:val="auto"/>
              </w:rPr>
            </w:pPr>
          </w:p>
        </w:tc>
        <w:tc>
          <w:tcPr>
            <w:tcW w:w="760" w:type="dxa"/>
            <w:vAlign w:val="bottom"/>
            <w:gridSpan w:val="2"/>
          </w:tcPr>
          <w:p>
            <w:pPr>
              <w:jc w:val="right"/>
              <w:ind w:right="200"/>
              <w:spacing w:after="0" w:line="102" w:lineRule="exact"/>
              <w:rPr>
                <w:sz w:val="20"/>
                <w:szCs w:val="20"/>
                <w:color w:val="auto"/>
              </w:rPr>
            </w:pPr>
            <w:r>
              <w:rPr>
                <w:rFonts w:ascii="Times New Roman" w:cs="Times New Roman" w:eastAsia="Times New Roman" w:hAnsi="Times New Roman"/>
                <w:sz w:val="9"/>
                <w:szCs w:val="9"/>
                <w:color w:val="auto"/>
              </w:rPr>
              <w:t>3.125 %</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102" w:lineRule="exact"/>
              <w:rPr>
                <w:sz w:val="20"/>
                <w:szCs w:val="20"/>
                <w:color w:val="auto"/>
              </w:rPr>
            </w:pPr>
            <w:r>
              <w:rPr>
                <w:rFonts w:ascii="Times New Roman" w:cs="Times New Roman" w:eastAsia="Times New Roman" w:hAnsi="Times New Roman"/>
                <w:sz w:val="9"/>
                <w:szCs w:val="9"/>
                <w:color w:val="auto"/>
              </w:rPr>
              <w:t>4.497 %</w:t>
            </w:r>
          </w:p>
        </w:tc>
        <w:tc>
          <w:tcPr>
            <w:tcW w:w="120" w:type="dxa"/>
            <w:vAlign w:val="bottom"/>
          </w:tcPr>
          <w:p>
            <w:pPr>
              <w:spacing w:after="0"/>
              <w:rPr>
                <w:sz w:val="8"/>
                <w:szCs w:val="8"/>
                <w:color w:val="auto"/>
              </w:rPr>
            </w:pPr>
          </w:p>
        </w:tc>
        <w:tc>
          <w:tcPr>
            <w:tcW w:w="720" w:type="dxa"/>
            <w:vAlign w:val="bottom"/>
            <w:gridSpan w:val="2"/>
          </w:tcPr>
          <w:p>
            <w:pPr>
              <w:jc w:val="right"/>
              <w:ind w:right="180"/>
              <w:spacing w:after="0" w:line="102" w:lineRule="exact"/>
              <w:rPr>
                <w:sz w:val="20"/>
                <w:szCs w:val="20"/>
                <w:color w:val="auto"/>
              </w:rPr>
            </w:pPr>
            <w:r>
              <w:rPr>
                <w:rFonts w:ascii="Times New Roman" w:cs="Times New Roman" w:eastAsia="Times New Roman" w:hAnsi="Times New Roman"/>
                <w:sz w:val="9"/>
                <w:szCs w:val="9"/>
                <w:color w:val="auto"/>
              </w:rPr>
              <w:t>4.125 %</w:t>
            </w:r>
          </w:p>
        </w:tc>
        <w:tc>
          <w:tcPr>
            <w:tcW w:w="120" w:type="dxa"/>
            <w:vAlign w:val="bottom"/>
          </w:tcPr>
          <w:p>
            <w:pPr>
              <w:spacing w:after="0"/>
              <w:rPr>
                <w:sz w:val="8"/>
                <w:szCs w:val="8"/>
                <w:color w:val="auto"/>
              </w:rPr>
            </w:pPr>
          </w:p>
        </w:tc>
        <w:tc>
          <w:tcPr>
            <w:tcW w:w="780" w:type="dxa"/>
            <w:vAlign w:val="bottom"/>
            <w:gridSpan w:val="2"/>
          </w:tcPr>
          <w:p>
            <w:pPr>
              <w:jc w:val="right"/>
              <w:ind w:right="240"/>
              <w:spacing w:after="0" w:line="102" w:lineRule="exact"/>
              <w:rPr>
                <w:sz w:val="20"/>
                <w:szCs w:val="20"/>
                <w:color w:val="auto"/>
              </w:rPr>
            </w:pPr>
            <w:r>
              <w:rPr>
                <w:rFonts w:ascii="Times New Roman" w:cs="Times New Roman" w:eastAsia="Times New Roman" w:hAnsi="Times New Roman"/>
                <w:sz w:val="9"/>
                <w:szCs w:val="9"/>
                <w:color w:val="auto"/>
              </w:rPr>
              <w:t>3.726 %</w:t>
            </w:r>
          </w:p>
        </w:tc>
        <w:tc>
          <w:tcPr>
            <w:tcW w:w="260" w:type="dxa"/>
            <w:vAlign w:val="bottom"/>
          </w:tcPr>
          <w:p>
            <w:pPr>
              <w:spacing w:after="0"/>
              <w:rPr>
                <w:sz w:val="8"/>
                <w:szCs w:val="8"/>
                <w:color w:val="auto"/>
              </w:rPr>
            </w:pPr>
          </w:p>
        </w:tc>
        <w:tc>
          <w:tcPr>
            <w:tcW w:w="660" w:type="dxa"/>
            <w:vAlign w:val="bottom"/>
            <w:gridSpan w:val="2"/>
          </w:tcPr>
          <w:p>
            <w:pPr>
              <w:jc w:val="right"/>
              <w:ind w:right="160"/>
              <w:spacing w:after="0" w:line="102" w:lineRule="exact"/>
              <w:rPr>
                <w:sz w:val="20"/>
                <w:szCs w:val="20"/>
                <w:color w:val="auto"/>
              </w:rPr>
            </w:pPr>
            <w:r>
              <w:rPr>
                <w:rFonts w:ascii="Times New Roman" w:cs="Times New Roman" w:eastAsia="Times New Roman" w:hAnsi="Times New Roman"/>
                <w:sz w:val="9"/>
                <w:szCs w:val="9"/>
                <w:color w:val="auto"/>
              </w:rPr>
              <w:t>3.102 %</w:t>
            </w:r>
          </w:p>
        </w:tc>
        <w:tc>
          <w:tcPr>
            <w:tcW w:w="100" w:type="dxa"/>
            <w:vAlign w:val="bottom"/>
          </w:tcPr>
          <w:p>
            <w:pPr>
              <w:spacing w:after="0"/>
              <w:rPr>
                <w:sz w:val="8"/>
                <w:szCs w:val="8"/>
                <w:color w:val="auto"/>
              </w:rPr>
            </w:pPr>
          </w:p>
        </w:tc>
        <w:tc>
          <w:tcPr>
            <w:tcW w:w="740" w:type="dxa"/>
            <w:vAlign w:val="bottom"/>
            <w:gridSpan w:val="2"/>
          </w:tcPr>
          <w:p>
            <w:pPr>
              <w:jc w:val="right"/>
              <w:ind w:right="180"/>
              <w:spacing w:after="0" w:line="102" w:lineRule="exact"/>
              <w:rPr>
                <w:sz w:val="20"/>
                <w:szCs w:val="20"/>
                <w:color w:val="auto"/>
              </w:rPr>
            </w:pPr>
            <w:r>
              <w:rPr>
                <w:rFonts w:ascii="Times New Roman" w:cs="Times New Roman" w:eastAsia="Times New Roman" w:hAnsi="Times New Roman"/>
                <w:sz w:val="9"/>
                <w:szCs w:val="9"/>
                <w:color w:val="auto"/>
              </w:rPr>
              <w:t>4.117 %</w:t>
            </w:r>
          </w:p>
        </w:tc>
        <w:tc>
          <w:tcPr>
            <w:tcW w:w="6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Times New Roman" w:cs="Times New Roman" w:eastAsia="Times New Roman" w:hAnsi="Times New Roman"/>
                <w:sz w:val="9"/>
                <w:szCs w:val="9"/>
                <w:color w:val="auto"/>
              </w:rPr>
              <w:t>N/A</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tcPr>
          <w:p>
            <w:pPr>
              <w:jc w:val="right"/>
              <w:ind w:right="160"/>
              <w:spacing w:after="0" w:line="102" w:lineRule="exact"/>
              <w:rPr>
                <w:sz w:val="20"/>
                <w:szCs w:val="20"/>
                <w:color w:val="auto"/>
              </w:rPr>
            </w:pPr>
            <w:r>
              <w:rPr>
                <w:rFonts w:ascii="Times New Roman" w:cs="Times New Roman" w:eastAsia="Times New Roman" w:hAnsi="Times New Roman"/>
                <w:sz w:val="9"/>
                <w:szCs w:val="9"/>
                <w:color w:val="auto"/>
              </w:rPr>
              <w:t>5.055 %</w:t>
            </w:r>
          </w:p>
        </w:tc>
        <w:tc>
          <w:tcPr>
            <w:tcW w:w="120" w:type="dxa"/>
            <w:vAlign w:val="bottom"/>
          </w:tcPr>
          <w:p>
            <w:pPr>
              <w:spacing w:after="0"/>
              <w:rPr>
                <w:sz w:val="8"/>
                <w:szCs w:val="8"/>
                <w:color w:val="auto"/>
              </w:rPr>
            </w:pPr>
          </w:p>
        </w:tc>
        <w:tc>
          <w:tcPr>
            <w:tcW w:w="720" w:type="dxa"/>
            <w:vAlign w:val="bottom"/>
            <w:gridSpan w:val="2"/>
          </w:tcPr>
          <w:p>
            <w:pPr>
              <w:jc w:val="right"/>
              <w:ind w:right="160"/>
              <w:spacing w:after="0" w:line="102" w:lineRule="exact"/>
              <w:rPr>
                <w:sz w:val="20"/>
                <w:szCs w:val="20"/>
                <w:color w:val="auto"/>
              </w:rPr>
            </w:pPr>
            <w:r>
              <w:rPr>
                <w:rFonts w:ascii="Times New Roman" w:cs="Times New Roman" w:eastAsia="Times New Roman" w:hAnsi="Times New Roman"/>
                <w:sz w:val="9"/>
                <w:szCs w:val="9"/>
                <w:color w:val="auto"/>
              </w:rPr>
              <w:t>4.282 %</w:t>
            </w:r>
          </w:p>
        </w:tc>
        <w:tc>
          <w:tcPr>
            <w:tcW w:w="0" w:type="dxa"/>
            <w:vAlign w:val="bottom"/>
          </w:tcPr>
          <w:p>
            <w:pPr>
              <w:spacing w:after="0"/>
              <w:rPr>
                <w:sz w:val="1"/>
                <w:szCs w:val="1"/>
                <w:color w:val="auto"/>
              </w:rPr>
            </w:pPr>
          </w:p>
        </w:tc>
      </w:tr>
      <w:tr>
        <w:trPr>
          <w:trHeight w:val="122"/>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Unused commitment fee rate, period end</w:t>
            </w:r>
          </w:p>
        </w:tc>
        <w:tc>
          <w:tcPr>
            <w:tcW w:w="26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9"/>
                <w:szCs w:val="9"/>
                <w:color w:val="auto"/>
              </w:rPr>
              <w:t>N/A</w:t>
            </w:r>
          </w:p>
        </w:tc>
        <w:tc>
          <w:tcPr>
            <w:tcW w:w="10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9"/>
                <w:szCs w:val="9"/>
                <w:color w:val="auto"/>
              </w:rPr>
              <w:t>1.375 %</w:t>
            </w:r>
          </w:p>
        </w:tc>
        <w:tc>
          <w:tcPr>
            <w:tcW w:w="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9"/>
                <w:szCs w:val="9"/>
                <w:color w:val="auto"/>
              </w:rPr>
              <w:t>N/A</w:t>
            </w:r>
          </w:p>
        </w:tc>
        <w:tc>
          <w:tcPr>
            <w:tcW w:w="12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9"/>
                <w:szCs w:val="9"/>
                <w:color w:val="auto"/>
              </w:rPr>
              <w:t>N/A</w:t>
            </w:r>
          </w:p>
        </w:tc>
        <w:tc>
          <w:tcPr>
            <w:tcW w:w="12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1.375 %</w:t>
            </w:r>
          </w:p>
        </w:tc>
        <w:tc>
          <w:tcPr>
            <w:tcW w:w="26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9"/>
                <w:szCs w:val="9"/>
                <w:color w:val="auto"/>
              </w:rPr>
              <w:t>N/A</w:t>
            </w: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9"/>
                <w:szCs w:val="9"/>
                <w:color w:val="auto"/>
              </w:rPr>
              <w:t>1.088 %</w:t>
            </w: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N/A</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9"/>
                <w:szCs w:val="9"/>
                <w:color w:val="auto"/>
              </w:rPr>
              <w:t>N/A</w:t>
            </w:r>
          </w:p>
        </w:tc>
        <w:tc>
          <w:tcPr>
            <w:tcW w:w="12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9"/>
                <w:szCs w:val="9"/>
                <w:color w:val="auto"/>
              </w:rPr>
              <w:t>1.088 %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-179070</wp:posOffset>
            </wp:positionV>
            <wp:extent cx="1028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-161925</wp:posOffset>
            </wp:positionV>
            <wp:extent cx="10287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-179070</wp:posOffset>
            </wp:positionV>
            <wp:extent cx="10287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-161925</wp:posOffset>
            </wp:positionV>
            <wp:extent cx="1028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-179070</wp:posOffset>
            </wp:positionV>
            <wp:extent cx="9461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-161925</wp:posOffset>
            </wp:positionV>
            <wp:extent cx="9461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-179070</wp:posOffset>
            </wp:positionV>
            <wp:extent cx="1028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-161925</wp:posOffset>
            </wp:positionV>
            <wp:extent cx="1028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-179070</wp:posOffset>
            </wp:positionV>
            <wp:extent cx="939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-161925</wp:posOffset>
            </wp:positionV>
            <wp:extent cx="939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-179070</wp:posOffset>
            </wp:positionV>
            <wp:extent cx="939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-161925</wp:posOffset>
            </wp:positionV>
            <wp:extent cx="939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-179070</wp:posOffset>
            </wp:positionV>
            <wp:extent cx="9461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-161925</wp:posOffset>
            </wp:positionV>
            <wp:extent cx="9461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-179070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-161925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-179070</wp:posOffset>
            </wp:positionV>
            <wp:extent cx="857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-161925</wp:posOffset>
            </wp:positionV>
            <wp:extent cx="857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-179070</wp:posOffset>
            </wp:positionV>
            <wp:extent cx="939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-161925</wp:posOffset>
            </wp:positionV>
            <wp:extent cx="939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Realized Losses on Extinguishment of Debt</w:t>
      </w:r>
    </w:p>
    <w:p>
      <w:pPr>
        <w:spacing w:after="0" w:line="160" w:lineRule="exact"/>
        <w:rPr>
          <w:sz w:val="20"/>
          <w:szCs w:val="20"/>
          <w:color w:val="auto"/>
        </w:rPr>
      </w:pPr>
    </w:p>
    <w:p>
      <w:pPr>
        <w:jc w:val="both"/>
        <w:ind w:firstLine="469"/>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31, 2022 and 2021, the Company prepaid $20,000 and $19,200 of SBA debentures, respectively, which were scheduled to mature on dates ranging from 2025 to 2028 and 2025 to 2028, respectively. As a result of the prepayments, the Company recognized realized losses on extinguishment of debt of $198 and $305, respectively, equal to the write-off of the related unamortized deferred financing costs, during the three months ended March 31, 2022 and 2021.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Financing Costs</w:t>
      </w:r>
    </w:p>
    <w:p>
      <w:pPr>
        <w:spacing w:after="0" w:line="160"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8"/>
          <w:szCs w:val="18"/>
          <w:color w:val="auto"/>
        </w:rPr>
        <w:t>Deferred financing costs are amortized into interest and financing expenses on the consolidated statements of operations, using the effective interest method, over the term of the respective financing instrument. Deferred financing costs related to the SBA debentures, Credit Facility, and the Notes as of March 31, 2022 and December 31, 2021 were as follows: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8"/>
        </w:trPr>
        <w:tc>
          <w:tcPr>
            <w:tcW w:w="3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600"/>
              <w:spacing w:after="0" w:line="158" w:lineRule="exact"/>
              <w:rPr>
                <w:sz w:val="20"/>
                <w:szCs w:val="20"/>
                <w:color w:val="auto"/>
              </w:rPr>
            </w:pPr>
            <w:r>
              <w:rPr>
                <w:rFonts w:ascii="Times New Roman" w:cs="Times New Roman" w:eastAsia="Times New Roman" w:hAnsi="Times New Roman"/>
                <w:sz w:val="14"/>
                <w:szCs w:val="14"/>
                <w:b w:val="1"/>
                <w:bCs w:val="1"/>
                <w:color w:val="auto"/>
              </w:rPr>
              <w:t>SBA</w:t>
            </w:r>
          </w:p>
        </w:tc>
        <w:tc>
          <w:tcPr>
            <w:tcW w:w="120" w:type="dxa"/>
            <w:vAlign w:val="bottom"/>
          </w:tcPr>
          <w:p>
            <w:pPr>
              <w:spacing w:after="0"/>
              <w:rPr>
                <w:sz w:val="13"/>
                <w:szCs w:val="13"/>
                <w:color w:val="auto"/>
              </w:rPr>
            </w:pPr>
          </w:p>
        </w:tc>
        <w:tc>
          <w:tcPr>
            <w:tcW w:w="920" w:type="dxa"/>
            <w:vAlign w:val="bottom"/>
            <w:gridSpan w:val="2"/>
          </w:tcPr>
          <w:p>
            <w:pPr>
              <w:jc w:val="right"/>
              <w:ind w:right="440"/>
              <w:spacing w:after="0" w:line="158" w:lineRule="exact"/>
              <w:rPr>
                <w:sz w:val="20"/>
                <w:szCs w:val="20"/>
                <w:color w:val="auto"/>
              </w:rPr>
            </w:pPr>
            <w:r>
              <w:rPr>
                <w:rFonts w:ascii="Times New Roman" w:cs="Times New Roman" w:eastAsia="Times New Roman" w:hAnsi="Times New Roman"/>
                <w:sz w:val="14"/>
                <w:szCs w:val="14"/>
                <w:b w:val="1"/>
                <w:bCs w:val="1"/>
                <w:color w:val="auto"/>
              </w:rPr>
              <w:t>Credit</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560"/>
              <w:spacing w:after="0" w:line="158" w:lineRule="exact"/>
              <w:rPr>
                <w:sz w:val="20"/>
                <w:szCs w:val="20"/>
                <w:color w:val="auto"/>
              </w:rPr>
            </w:pPr>
            <w:r>
              <w:rPr>
                <w:rFonts w:ascii="Times New Roman" w:cs="Times New Roman" w:eastAsia="Times New Roman" w:hAnsi="Times New Roman"/>
                <w:sz w:val="14"/>
                <w:szCs w:val="14"/>
                <w:b w:val="1"/>
                <w:bCs w:val="1"/>
                <w:color w:val="auto"/>
              </w:rPr>
              <w:t>SBA</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line="158" w:lineRule="exact"/>
              <w:rPr>
                <w:sz w:val="20"/>
                <w:szCs w:val="20"/>
                <w:color w:val="auto"/>
              </w:rPr>
            </w:pPr>
            <w:r>
              <w:rPr>
                <w:rFonts w:ascii="Times New Roman" w:cs="Times New Roman" w:eastAsia="Times New Roman" w:hAnsi="Times New Roman"/>
                <w:sz w:val="14"/>
                <w:szCs w:val="14"/>
                <w:b w:val="1"/>
                <w:bCs w:val="1"/>
                <w:color w:val="auto"/>
              </w:rPr>
              <w:t>Credit</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7"/>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9"/>
              </w:rPr>
              <w:t>debentures</w:t>
            </w:r>
          </w:p>
        </w:tc>
        <w:tc>
          <w:tcPr>
            <w:tcW w:w="120" w:type="dxa"/>
            <w:vAlign w:val="bottom"/>
          </w:tcPr>
          <w:p>
            <w:pPr>
              <w:spacing w:after="0"/>
              <w:rPr>
                <w:sz w:val="16"/>
                <w:szCs w:val="16"/>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40" w:type="dxa"/>
            <w:vAlign w:val="bottom"/>
          </w:tcPr>
          <w:p>
            <w:pPr>
              <w:spacing w:after="0"/>
              <w:rPr>
                <w:sz w:val="16"/>
                <w:szCs w:val="16"/>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40" w:type="dxa"/>
            <w:vAlign w:val="bottom"/>
          </w:tcPr>
          <w:p>
            <w:pPr>
              <w:spacing w:after="0"/>
              <w:rPr>
                <w:sz w:val="16"/>
                <w:szCs w:val="16"/>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debentures</w:t>
            </w:r>
          </w:p>
        </w:tc>
        <w:tc>
          <w:tcPr>
            <w:tcW w:w="120" w:type="dxa"/>
            <w:vAlign w:val="bottom"/>
          </w:tcPr>
          <w:p>
            <w:pPr>
              <w:spacing w:after="0"/>
              <w:rPr>
                <w:sz w:val="16"/>
                <w:szCs w:val="16"/>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40" w:type="dxa"/>
            <w:vAlign w:val="bottom"/>
          </w:tcPr>
          <w:p>
            <w:pPr>
              <w:spacing w:after="0"/>
              <w:rPr>
                <w:sz w:val="16"/>
                <w:szCs w:val="16"/>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60" w:type="dxa"/>
            <w:vAlign w:val="bottom"/>
          </w:tcPr>
          <w:p>
            <w:pPr>
              <w:spacing w:after="0"/>
              <w:rPr>
                <w:sz w:val="16"/>
                <w:szCs w:val="16"/>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debenture commitment fees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2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2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shd w:val="clear" w:color="auto" w:fill="CCEEFF"/>
          </w:tcPr>
          <w:p>
            <w:pPr>
              <w:spacing w:after="0"/>
              <w:rPr>
                <w:sz w:val="14"/>
                <w:szCs w:val="14"/>
                <w:color w:val="auto"/>
              </w:rPr>
            </w:pPr>
          </w:p>
        </w:tc>
      </w:tr>
      <w:tr>
        <w:trPr>
          <w:trHeight w:val="176"/>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debenture leverage fees</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5,549</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4,538</w:t>
            </w:r>
          </w:p>
        </w:tc>
        <w:tc>
          <w:tcPr>
            <w:tcW w:w="80" w:type="dxa"/>
            <w:vAlign w:val="bottom"/>
          </w:tcPr>
          <w:p>
            <w:pPr>
              <w:spacing w:after="0"/>
              <w:rPr>
                <w:sz w:val="15"/>
                <w:szCs w:val="15"/>
                <w:color w:val="auto"/>
              </w:rPr>
            </w:pPr>
          </w:p>
        </w:tc>
      </w:tr>
      <w:tr>
        <w:trPr>
          <w:trHeight w:val="175"/>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Facility upfront fees</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3,238</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3,238</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3,238</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3,238</w:t>
            </w:r>
          </w:p>
        </w:tc>
        <w:tc>
          <w:tcPr>
            <w:tcW w:w="80" w:type="dxa"/>
            <w:vAlign w:val="bottom"/>
            <w:shd w:val="clear" w:color="auto" w:fill="CCEEFF"/>
          </w:tcPr>
          <w:p>
            <w:pPr>
              <w:spacing w:after="0"/>
              <w:rPr>
                <w:sz w:val="15"/>
                <w:szCs w:val="15"/>
                <w:color w:val="auto"/>
              </w:rPr>
            </w:pPr>
          </w:p>
        </w:tc>
      </w:tr>
      <w:tr>
        <w:trPr>
          <w:trHeight w:val="176"/>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underwriting discounts</w:t>
            </w:r>
          </w:p>
        </w:tc>
        <w:tc>
          <w:tcPr>
            <w:tcW w:w="12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5,005</w:t>
            </w:r>
          </w:p>
        </w:tc>
        <w:tc>
          <w:tcPr>
            <w:tcW w:w="80" w:type="dxa"/>
            <w:vAlign w:val="bottom"/>
          </w:tcPr>
          <w:p>
            <w:pPr>
              <w:spacing w:after="0"/>
              <w:rPr>
                <w:sz w:val="15"/>
                <w:szCs w:val="15"/>
                <w:color w:val="auto"/>
              </w:rPr>
            </w:pPr>
          </w:p>
        </w:tc>
      </w:tr>
      <w:tr>
        <w:trPr>
          <w:trHeight w:val="175"/>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debt issue costs</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80" w:type="dxa"/>
            <w:vAlign w:val="bottom"/>
            <w:shd w:val="clear" w:color="auto" w:fill="CCEEFF"/>
          </w:tcPr>
          <w:p>
            <w:pPr>
              <w:spacing w:after="0"/>
              <w:rPr>
                <w:sz w:val="15"/>
                <w:szCs w:val="15"/>
                <w:color w:val="auto"/>
              </w:rPr>
            </w:pPr>
          </w:p>
        </w:tc>
      </w:tr>
      <w:tr>
        <w:trPr>
          <w:trHeight w:val="169"/>
        </w:trPr>
        <w:tc>
          <w:tcPr>
            <w:tcW w:w="31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deferred financing costs</w:t>
            </w: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8,049</w:t>
            </w:r>
          </w:p>
        </w:tc>
        <w:tc>
          <w:tcPr>
            <w:tcW w:w="2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3,238</w:t>
            </w: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5,690</w:t>
            </w: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16,977</w:t>
            </w: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7,038</w:t>
            </w:r>
          </w:p>
        </w:tc>
        <w:tc>
          <w:tcPr>
            <w:tcW w:w="24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3,238</w:t>
            </w: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5,690</w:t>
            </w: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15,966</w:t>
            </w:r>
          </w:p>
        </w:tc>
        <w:tc>
          <w:tcPr>
            <w:tcW w:w="80" w:type="dxa"/>
            <w:vAlign w:val="bottom"/>
            <w:tcBorders>
              <w:top w:val="single" w:sz="8" w:color="CCEEFF"/>
            </w:tcBorders>
          </w:tcPr>
          <w:p>
            <w:pPr>
              <w:spacing w:after="0"/>
              <w:rPr>
                <w:sz w:val="14"/>
                <w:szCs w:val="14"/>
                <w:color w:val="auto"/>
              </w:rPr>
            </w:pPr>
          </w:p>
        </w:tc>
      </w:tr>
      <w:tr>
        <w:trPr>
          <w:trHeight w:val="17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amortization</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(4,352 )</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(2,755 )</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(980 )</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(8,087 )</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(4,016 )</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(2,643 )</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(706 )</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(7,365 )</w:t>
            </w:r>
          </w:p>
        </w:tc>
      </w:tr>
      <w:tr>
        <w:trPr>
          <w:trHeight w:val="169"/>
        </w:trPr>
        <w:tc>
          <w:tcPr>
            <w:tcW w:w="31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Unamortized deferred financing costs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3,697</w:t>
            </w:r>
          </w:p>
        </w:tc>
        <w:tc>
          <w:tcPr>
            <w:tcW w:w="280" w:type="dxa"/>
            <w:vAlign w:val="bottom"/>
            <w:tcBorders>
              <w:top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4,710</w:t>
            </w: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8,890</w:t>
            </w: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3,022</w:t>
            </w:r>
          </w:p>
        </w:tc>
        <w:tc>
          <w:tcPr>
            <w:tcW w:w="240" w:type="dxa"/>
            <w:vAlign w:val="bottom"/>
            <w:tcBorders>
              <w:top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4,984</w:t>
            </w: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8,601</w:t>
            </w:r>
          </w:p>
        </w:tc>
        <w:tc>
          <w:tcPr>
            <w:tcW w:w="80" w:type="dxa"/>
            <w:vAlign w:val="bottom"/>
            <w:tcBorders>
              <w:top w:val="single" w:sz="8" w:color="CCEEFF"/>
            </w:tcBorders>
          </w:tcPr>
          <w:p>
            <w:pPr>
              <w:spacing w:after="0"/>
              <w:rPr>
                <w:sz w:val="14"/>
                <w:szCs w:val="14"/>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-376555</wp:posOffset>
            </wp:positionV>
            <wp:extent cx="77470" cy="1200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-376555</wp:posOffset>
            </wp:positionV>
            <wp:extent cx="77470" cy="1200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-376555</wp:posOffset>
            </wp:positionV>
            <wp:extent cx="77470" cy="1200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-376555</wp:posOffset>
            </wp:positionV>
            <wp:extent cx="68580" cy="1200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-376555</wp:posOffset>
            </wp:positionV>
            <wp:extent cx="68580" cy="1200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-376555</wp:posOffset>
            </wp:positionV>
            <wp:extent cx="51435" cy="1200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 cy="12001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-376555</wp:posOffset>
            </wp:positionV>
            <wp:extent cx="51435" cy="1200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435" cy="1200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-376555</wp:posOffset>
            </wp:positionV>
            <wp:extent cx="51435" cy="1200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435" cy="12001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-144780</wp:posOffset>
            </wp:positionV>
            <wp:extent cx="77470" cy="1454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-144780</wp:posOffset>
            </wp:positionV>
            <wp:extent cx="77470" cy="1454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-144780</wp:posOffset>
            </wp:positionV>
            <wp:extent cx="77470" cy="1454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-144780</wp:posOffset>
            </wp:positionV>
            <wp:extent cx="68580" cy="1454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-144780</wp:posOffset>
            </wp:positionV>
            <wp:extent cx="68580" cy="1454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-144780</wp:posOffset>
            </wp:positionV>
            <wp:extent cx="51435" cy="1454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435" cy="14541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-144780</wp:posOffset>
            </wp:positionV>
            <wp:extent cx="51435" cy="1454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435" cy="1454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-144780</wp:posOffset>
            </wp:positionV>
            <wp:extent cx="51435" cy="1454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435" cy="145415"/>
                    </a:xfrm>
                    <a:prstGeom prst="rect">
                      <a:avLst/>
                    </a:prstGeom>
                    <a:noFill/>
                  </pic:spPr>
                </pic:pic>
              </a:graphicData>
            </a:graphic>
          </wp:anchor>
        </w:drawing>
      </w:r>
    </w:p>
    <w:p>
      <w:pPr>
        <w:spacing w:after="0" w:line="164" w:lineRule="exact"/>
        <w:rPr>
          <w:sz w:val="20"/>
          <w:szCs w:val="20"/>
          <w:color w:val="auto"/>
        </w:rPr>
      </w:pPr>
    </w:p>
    <w:p>
      <w:pPr>
        <w:jc w:val="both"/>
        <w:ind w:firstLine="479"/>
        <w:spacing w:after="0" w:line="258" w:lineRule="auto"/>
        <w:rPr>
          <w:sz w:val="20"/>
          <w:szCs w:val="20"/>
          <w:color w:val="auto"/>
        </w:rPr>
      </w:pPr>
      <w:r>
        <w:rPr>
          <w:rFonts w:ascii="Times New Roman" w:cs="Times New Roman" w:eastAsia="Times New Roman" w:hAnsi="Times New Roman"/>
          <w:sz w:val="18"/>
          <w:szCs w:val="18"/>
          <w:color w:val="auto"/>
        </w:rPr>
        <w:t>Unamortized deferred financing costs are presented as a direct offset to the SBA debentures, Credit Facility and Notes liabilities on the consolidated statements of assets and liabilities. The following table summarizes the outstanding debt net of unamortized deferred financing costs as of March 31, 2022 and December 31, 2021: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March 31, 2022</w:t>
            </w:r>
            <w:r>
              <w:rPr>
                <w:rFonts w:ascii="Times New Roman" w:cs="Times New Roman" w:eastAsia="Times New Roman" w:hAnsi="Times New Roman"/>
                <w:sz w:val="16"/>
                <w:szCs w:val="16"/>
                <w:b w:val="1"/>
                <w:bCs w:val="1"/>
                <w:color w:val="auto"/>
                <w:vertAlign w:val="superscript"/>
              </w:rPr>
              <w:t>(1)</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December 31, 2021</w:t>
            </w:r>
            <w:r>
              <w:rPr>
                <w:rFonts w:ascii="Times New Roman" w:cs="Times New Roman" w:eastAsia="Times New Roman" w:hAnsi="Times New Roman"/>
                <w:sz w:val="16"/>
                <w:szCs w:val="16"/>
                <w:b w:val="1"/>
                <w:bCs w:val="1"/>
                <w:color w:val="auto"/>
                <w:vertAlign w:val="superscript"/>
              </w:rPr>
              <w:t>(1)</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35"/>
        </w:trPr>
        <w:tc>
          <w:tcPr>
            <w:tcW w:w="3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500"/>
              <w:spacing w:after="0" w:line="136" w:lineRule="exact"/>
              <w:rPr>
                <w:sz w:val="20"/>
                <w:szCs w:val="20"/>
                <w:color w:val="auto"/>
              </w:rPr>
            </w:pPr>
            <w:r>
              <w:rPr>
                <w:rFonts w:ascii="Times New Roman" w:cs="Times New Roman" w:eastAsia="Times New Roman" w:hAnsi="Times New Roman"/>
                <w:sz w:val="13"/>
                <w:szCs w:val="13"/>
                <w:b w:val="1"/>
                <w:bCs w:val="1"/>
                <w:color w:val="auto"/>
              </w:rPr>
              <w:t>SBA</w:t>
            </w:r>
          </w:p>
        </w:tc>
        <w:tc>
          <w:tcPr>
            <w:tcW w:w="120" w:type="dxa"/>
            <w:vAlign w:val="bottom"/>
          </w:tcPr>
          <w:p>
            <w:pPr>
              <w:spacing w:after="0"/>
              <w:rPr>
                <w:sz w:val="11"/>
                <w:szCs w:val="11"/>
                <w:color w:val="auto"/>
              </w:rPr>
            </w:pPr>
          </w:p>
        </w:tc>
        <w:tc>
          <w:tcPr>
            <w:tcW w:w="880" w:type="dxa"/>
            <w:vAlign w:val="bottom"/>
            <w:gridSpan w:val="2"/>
          </w:tcPr>
          <w:p>
            <w:pPr>
              <w:jc w:val="right"/>
              <w:ind w:right="398"/>
              <w:spacing w:after="0" w:line="136" w:lineRule="exact"/>
              <w:rPr>
                <w:sz w:val="20"/>
                <w:szCs w:val="20"/>
                <w:color w:val="auto"/>
              </w:rPr>
            </w:pPr>
            <w:r>
              <w:rPr>
                <w:rFonts w:ascii="Times New Roman" w:cs="Times New Roman" w:eastAsia="Times New Roman" w:hAnsi="Times New Roman"/>
                <w:sz w:val="13"/>
                <w:szCs w:val="13"/>
                <w:b w:val="1"/>
                <w:bCs w:val="1"/>
                <w:color w:val="auto"/>
              </w:rPr>
              <w:t>Credit</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460"/>
              <w:spacing w:after="0" w:line="136" w:lineRule="exact"/>
              <w:rPr>
                <w:sz w:val="20"/>
                <w:szCs w:val="20"/>
                <w:color w:val="auto"/>
              </w:rPr>
            </w:pPr>
            <w:r>
              <w:rPr>
                <w:rFonts w:ascii="Times New Roman" w:cs="Times New Roman" w:eastAsia="Times New Roman" w:hAnsi="Times New Roman"/>
                <w:sz w:val="13"/>
                <w:szCs w:val="13"/>
                <w:b w:val="1"/>
                <w:bCs w:val="1"/>
                <w:color w:val="auto"/>
              </w:rPr>
              <w:t>SBA</w:t>
            </w:r>
          </w:p>
        </w:tc>
        <w:tc>
          <w:tcPr>
            <w:tcW w:w="120" w:type="dxa"/>
            <w:vAlign w:val="bottom"/>
          </w:tcPr>
          <w:p>
            <w:pPr>
              <w:spacing w:after="0"/>
              <w:rPr>
                <w:sz w:val="11"/>
                <w:szCs w:val="11"/>
                <w:color w:val="auto"/>
              </w:rPr>
            </w:pPr>
          </w:p>
        </w:tc>
        <w:tc>
          <w:tcPr>
            <w:tcW w:w="840" w:type="dxa"/>
            <w:vAlign w:val="bottom"/>
            <w:gridSpan w:val="2"/>
          </w:tcPr>
          <w:p>
            <w:pPr>
              <w:jc w:val="right"/>
              <w:ind w:right="337"/>
              <w:spacing w:after="0" w:line="136" w:lineRule="exact"/>
              <w:rPr>
                <w:sz w:val="20"/>
                <w:szCs w:val="20"/>
                <w:color w:val="auto"/>
              </w:rPr>
            </w:pPr>
            <w:r>
              <w:rPr>
                <w:rFonts w:ascii="Times New Roman" w:cs="Times New Roman" w:eastAsia="Times New Roman" w:hAnsi="Times New Roman"/>
                <w:sz w:val="13"/>
                <w:szCs w:val="13"/>
                <w:b w:val="1"/>
                <w:bCs w:val="1"/>
                <w:color w:val="auto"/>
              </w:rPr>
              <w:t>Credit</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76"/>
        </w:trPr>
        <w:tc>
          <w:tcPr>
            <w:tcW w:w="3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4"/>
              </w:rPr>
              <w:t>debentures</w:t>
            </w:r>
          </w:p>
        </w:tc>
        <w:tc>
          <w:tcPr>
            <w:tcW w:w="120" w:type="dxa"/>
            <w:vAlign w:val="bottom"/>
          </w:tcPr>
          <w:p>
            <w:pPr>
              <w:spacing w:after="0"/>
              <w:rPr>
                <w:sz w:val="15"/>
                <w:szCs w:val="15"/>
                <w:color w:val="auto"/>
              </w:rPr>
            </w:pPr>
          </w:p>
        </w:tc>
        <w:tc>
          <w:tcPr>
            <w:tcW w:w="880" w:type="dxa"/>
            <w:vAlign w:val="bottom"/>
            <w:gridSpan w:val="2"/>
          </w:tcPr>
          <w:p>
            <w:pPr>
              <w:jc w:val="right"/>
              <w:ind w:right="358"/>
              <w:spacing w:after="0"/>
              <w:rPr>
                <w:sz w:val="20"/>
                <w:szCs w:val="20"/>
                <w:color w:val="auto"/>
              </w:rPr>
            </w:pPr>
            <w:r>
              <w:rPr>
                <w:rFonts w:ascii="Times New Roman" w:cs="Times New Roman" w:eastAsia="Times New Roman" w:hAnsi="Times New Roman"/>
                <w:sz w:val="13"/>
                <w:szCs w:val="13"/>
                <w:b w:val="1"/>
                <w:bCs w:val="1"/>
                <w:color w:val="auto"/>
              </w:rPr>
              <w:t>Facility</w:t>
            </w:r>
          </w:p>
        </w:tc>
        <w:tc>
          <w:tcPr>
            <w:tcW w:w="180" w:type="dxa"/>
            <w:vAlign w:val="bottom"/>
          </w:tcPr>
          <w:p>
            <w:pPr>
              <w:spacing w:after="0"/>
              <w:rPr>
                <w:sz w:val="15"/>
                <w:szCs w:val="15"/>
                <w:color w:val="auto"/>
              </w:rPr>
            </w:pP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160" w:type="dxa"/>
            <w:vAlign w:val="bottom"/>
          </w:tcPr>
          <w:p>
            <w:pPr>
              <w:spacing w:after="0"/>
              <w:rPr>
                <w:sz w:val="15"/>
                <w:szCs w:val="15"/>
                <w:color w:val="auto"/>
              </w:rPr>
            </w:pPr>
          </w:p>
        </w:tc>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4"/>
              </w:rPr>
              <w:t>debentures</w:t>
            </w:r>
          </w:p>
        </w:tc>
        <w:tc>
          <w:tcPr>
            <w:tcW w:w="120" w:type="dxa"/>
            <w:vAlign w:val="bottom"/>
          </w:tcPr>
          <w:p>
            <w:pPr>
              <w:spacing w:after="0"/>
              <w:rPr>
                <w:sz w:val="15"/>
                <w:szCs w:val="15"/>
                <w:color w:val="auto"/>
              </w:rPr>
            </w:pPr>
          </w:p>
        </w:tc>
        <w:tc>
          <w:tcPr>
            <w:tcW w:w="840" w:type="dxa"/>
            <w:vAlign w:val="bottom"/>
            <w:gridSpan w:val="2"/>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Facility</w:t>
            </w:r>
          </w:p>
        </w:tc>
        <w:tc>
          <w:tcPr>
            <w:tcW w:w="160" w:type="dxa"/>
            <w:vAlign w:val="bottom"/>
          </w:tcPr>
          <w:p>
            <w:pPr>
              <w:spacing w:after="0"/>
              <w:rPr>
                <w:sz w:val="15"/>
                <w:szCs w:val="15"/>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200" w:type="dxa"/>
            <w:vAlign w:val="bottom"/>
          </w:tcPr>
          <w:p>
            <w:pPr>
              <w:spacing w:after="0"/>
              <w:rPr>
                <w:sz w:val="15"/>
                <w:szCs w:val="15"/>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Outstanding debt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128,500</w:t>
            </w:r>
          </w:p>
        </w:tc>
        <w:tc>
          <w:tcPr>
            <w:tcW w:w="2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22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378,500</w:t>
            </w:r>
          </w:p>
        </w:tc>
        <w:tc>
          <w:tcPr>
            <w:tcW w:w="2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107,000</w:t>
            </w:r>
          </w:p>
        </w:tc>
        <w:tc>
          <w:tcPr>
            <w:tcW w:w="2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357,000</w:t>
            </w:r>
          </w:p>
        </w:tc>
        <w:tc>
          <w:tcPr>
            <w:tcW w:w="60" w:type="dxa"/>
            <w:vAlign w:val="bottom"/>
            <w:shd w:val="clear" w:color="auto" w:fill="CCEEFF"/>
          </w:tcPr>
          <w:p>
            <w:pPr>
              <w:spacing w:after="0"/>
              <w:rPr>
                <w:sz w:val="14"/>
                <w:szCs w:val="14"/>
                <w:color w:val="auto"/>
              </w:rPr>
            </w:pPr>
          </w:p>
        </w:tc>
      </w:tr>
      <w:tr>
        <w:trPr>
          <w:trHeight w:val="162"/>
        </w:trPr>
        <w:tc>
          <w:tcPr>
            <w:tcW w:w="3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unamortized deferred financing costs</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(3,697 )</w:t>
            </w:r>
          </w:p>
        </w:tc>
        <w:tc>
          <w:tcPr>
            <w:tcW w:w="120" w:type="dxa"/>
            <w:vAlign w:val="bottom"/>
          </w:tcPr>
          <w:p>
            <w:pPr>
              <w:spacing w:after="0"/>
              <w:rPr>
                <w:sz w:val="14"/>
                <w:szCs w:val="14"/>
                <w:color w:val="auto"/>
              </w:rPr>
            </w:pP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(483 )</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(4,710 )</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(8,890 )</w:t>
            </w:r>
          </w:p>
        </w:tc>
        <w:tc>
          <w:tcPr>
            <w:tcW w:w="1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(3,022 )</w:t>
            </w:r>
          </w:p>
        </w:tc>
        <w:tc>
          <w:tcPr>
            <w:tcW w:w="120" w:type="dxa"/>
            <w:vAlign w:val="bottom"/>
          </w:tcPr>
          <w:p>
            <w:pPr>
              <w:spacing w:after="0"/>
              <w:rPr>
                <w:sz w:val="14"/>
                <w:szCs w:val="14"/>
                <w:color w:val="auto"/>
              </w:rPr>
            </w:pPr>
          </w:p>
        </w:tc>
        <w:tc>
          <w:tcPr>
            <w:tcW w:w="84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(595 )</w:t>
            </w: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(4,984 )</w:t>
            </w:r>
          </w:p>
        </w:tc>
        <w:tc>
          <w:tcPr>
            <w:tcW w:w="2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(8,601 )</w:t>
            </w:r>
          </w:p>
        </w:tc>
      </w:tr>
      <w:tr>
        <w:trPr>
          <w:trHeight w:val="195"/>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Debt, net of deferred financing costs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124,803</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w:t>
            </w:r>
          </w:p>
        </w:tc>
        <w:tc>
          <w:tcPr>
            <w:tcW w:w="2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245,290</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369,610</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103,978</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(595</w:t>
            </w:r>
          </w:p>
        </w:tc>
        <w:tc>
          <w:tcPr>
            <w:tcW w:w="2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245,016</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348,399</w:t>
            </w:r>
          </w:p>
        </w:tc>
        <w:tc>
          <w:tcPr>
            <w:tcW w:w="60" w:type="dxa"/>
            <w:vAlign w:val="bottom"/>
            <w:tcBorders>
              <w:bottom w:val="single" w:sz="8" w:color="CCEEFF"/>
            </w:tcBorders>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-25400</wp:posOffset>
            </wp:positionV>
            <wp:extent cx="431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-7620</wp:posOffset>
            </wp:positionV>
            <wp:extent cx="431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-25400</wp:posOffset>
            </wp:positionV>
            <wp:extent cx="431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-7620</wp:posOffset>
            </wp:positionV>
            <wp:extent cx="431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-25400</wp:posOffset>
            </wp:positionV>
            <wp:extent cx="431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-7620</wp:posOffset>
            </wp:positionV>
            <wp:extent cx="431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-25400</wp:posOffset>
            </wp:positionV>
            <wp:extent cx="342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-7620</wp:posOffset>
            </wp:positionV>
            <wp:extent cx="342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-25400</wp:posOffset>
            </wp:positionV>
            <wp:extent cx="342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342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-25400</wp:posOffset>
            </wp:positionV>
            <wp:extent cx="342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342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-25400</wp:posOffset>
            </wp:positionV>
            <wp:extent cx="342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342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65"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excludes $17,443 and $17,637 of Secured Borrowings as of March 31, 2022 and December 31, 2021, respectively.</w:t>
      </w:r>
    </w:p>
    <w:p>
      <w:pPr>
        <w:spacing w:after="0" w:line="2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xml:space="preserve">As of March 31, 2022, the Company’s debt liabilities are scheduled to mature as follows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w:t>
      </w:r>
    </w:p>
    <w:p>
      <w:pPr>
        <w:spacing w:after="0" w:line="116"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SBA</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Secured</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0"/>
        </w:trPr>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debentures</w:t>
            </w:r>
          </w:p>
        </w:tc>
        <w:tc>
          <w:tcPr>
            <w:tcW w:w="2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ind w:left="12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Facility </w:t>
            </w:r>
            <w:r>
              <w:rPr>
                <w:rFonts w:ascii="Times New Roman" w:cs="Times New Roman" w:eastAsia="Times New Roman" w:hAnsi="Times New Roman"/>
                <w:sz w:val="24"/>
                <w:szCs w:val="24"/>
                <w:b w:val="1"/>
                <w:bCs w:val="1"/>
                <w:color w:val="auto"/>
                <w:vertAlign w:val="superscript"/>
              </w:rPr>
              <w:t>(2)</w:t>
            </w:r>
          </w:p>
        </w:tc>
        <w:tc>
          <w:tcPr>
            <w:tcW w:w="2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2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23"/>
                <w:szCs w:val="23"/>
                <w:color w:val="auto"/>
              </w:rPr>
            </w:pPr>
          </w:p>
        </w:tc>
      </w:tr>
      <w:tr>
        <w:trPr>
          <w:trHeight w:val="210"/>
        </w:trPr>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60" w:type="dxa"/>
            <w:vAlign w:val="bottom"/>
          </w:tcPr>
          <w:p>
            <w:pPr>
              <w:spacing w:after="0"/>
              <w:rPr>
                <w:sz w:val="18"/>
                <w:szCs w:val="18"/>
                <w:color w:val="auto"/>
              </w:rPr>
            </w:pPr>
          </w:p>
        </w:tc>
      </w:tr>
      <w:tr>
        <w:trPr>
          <w:trHeight w:val="216"/>
        </w:trPr>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271,943</w:t>
            </w:r>
          </w:p>
        </w:tc>
        <w:tc>
          <w:tcPr>
            <w:tcW w:w="60" w:type="dxa"/>
            <w:vAlign w:val="bottom"/>
            <w:shd w:val="clear" w:color="auto" w:fill="CCEEFF"/>
          </w:tcPr>
          <w:p>
            <w:pPr>
              <w:spacing w:after="0"/>
              <w:rPr>
                <w:sz w:val="18"/>
                <w:szCs w:val="18"/>
                <w:color w:val="auto"/>
              </w:rPr>
            </w:pPr>
          </w:p>
        </w:tc>
      </w:tr>
      <w:tr>
        <w:trPr>
          <w:trHeight w:val="216"/>
        </w:trPr>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112,500</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112,500</w:t>
            </w:r>
          </w:p>
        </w:tc>
        <w:tc>
          <w:tcPr>
            <w:tcW w:w="60" w:type="dxa"/>
            <w:vAlign w:val="bottom"/>
          </w:tcPr>
          <w:p>
            <w:pPr>
              <w:spacing w:after="0"/>
              <w:rPr>
                <w:sz w:val="18"/>
                <w:szCs w:val="18"/>
                <w:color w:val="auto"/>
              </w:rPr>
            </w:pPr>
          </w:p>
        </w:tc>
      </w:tr>
      <w:tr>
        <w:trPr>
          <w:trHeight w:val="250"/>
        </w:trPr>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128,500</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395,943</w:t>
            </w:r>
          </w:p>
        </w:tc>
        <w:tc>
          <w:tcPr>
            <w:tcW w:w="6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-24765</wp:posOffset>
            </wp:positionV>
            <wp:extent cx="4254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-7620</wp:posOffset>
            </wp:positionV>
            <wp:extent cx="4254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-24765</wp:posOffset>
            </wp:positionV>
            <wp:extent cx="431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-7620</wp:posOffset>
            </wp:positionV>
            <wp:extent cx="431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-24765</wp:posOffset>
            </wp:positionV>
            <wp:extent cx="342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342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-24765</wp:posOffset>
            </wp:positionV>
            <wp:extent cx="342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-7620</wp:posOffset>
            </wp:positionV>
            <wp:extent cx="342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0" w:lineRule="exact"/>
        <w:rPr>
          <w:sz w:val="20"/>
          <w:szCs w:val="20"/>
          <w:color w:val="auto"/>
        </w:rPr>
      </w:pPr>
    </w:p>
    <w:p>
      <w:pPr>
        <w:jc w:val="both"/>
        <w:ind w:left="360" w:right="20" w:hanging="339"/>
        <w:spacing w:after="0" w:line="242" w:lineRule="auto"/>
        <w:tabs>
          <w:tab w:leader="none" w:pos="3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table above presents scheduled maturities of the Company’s outstanding debt liabilities as of a point in time pursuant to the terms of those instruments. The timing of actual repayments of outstanding debt liabilities may not ultimately correspond with the scheduled maturity dates depending on the terms of the underlying instruments and the potential for earlier prepayments.</w:t>
      </w:r>
    </w:p>
    <w:p>
      <w:pPr>
        <w:spacing w:after="0" w:line="160" w:lineRule="exact"/>
        <w:rPr>
          <w:rFonts w:ascii="Times New Roman" w:cs="Times New Roman" w:eastAsia="Times New Roman" w:hAnsi="Times New Roman"/>
          <w:sz w:val="14"/>
          <w:szCs w:val="14"/>
          <w:color w:val="auto"/>
        </w:rPr>
      </w:pPr>
    </w:p>
    <w:p>
      <w:pPr>
        <w:ind w:left="360" w:hanging="339"/>
        <w:spacing w:after="0"/>
        <w:tabs>
          <w:tab w:leader="none" w:pos="3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Credit Facility matures on April 24, 2023.</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173" w:lineRule="exact"/>
        <w:rPr>
          <w:sz w:val="20"/>
          <w:szCs w:val="20"/>
          <w:color w:val="auto"/>
        </w:rPr>
      </w:pPr>
    </w:p>
    <w:p>
      <w:pPr>
        <w:jc w:val="both"/>
        <w:ind w:firstLine="47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Commitments: </w:t>
      </w:r>
      <w:r>
        <w:rPr>
          <w:rFonts w:ascii="Times New Roman" w:cs="Times New Roman" w:eastAsia="Times New Roman" w:hAnsi="Times New Roman"/>
          <w:sz w:val="18"/>
          <w:szCs w:val="18"/>
          <w:color w:val="auto"/>
        </w:rPr>
        <w:t>The Company had outstanding commitments to portfolio companies to fund various undrawn revolving loans, other debt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capital commitments totaling $17,177 and $8,170 as of March 31, 2022 and December 31, 2021, respectively. Such outstanding commitments are summarized in the following table:</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7"/>
              </w:rPr>
              <w:t>March 31, 2022</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December 31, 2021</w:t>
            </w:r>
          </w:p>
        </w:tc>
        <w:tc>
          <w:tcPr>
            <w:tcW w:w="200" w:type="dxa"/>
            <w:vAlign w:val="bottom"/>
          </w:tcPr>
          <w:p>
            <w:pPr>
              <w:spacing w:after="0"/>
              <w:rPr>
                <w:sz w:val="15"/>
                <w:szCs w:val="15"/>
                <w:color w:val="auto"/>
              </w:rPr>
            </w:pPr>
          </w:p>
        </w:tc>
      </w:tr>
      <w:tr>
        <w:trPr>
          <w:trHeight w:val="142"/>
        </w:trPr>
        <w:tc>
          <w:tcPr>
            <w:tcW w:w="5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377"/>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257"/>
              <w:spacing w:after="0" w:line="142" w:lineRule="exact"/>
              <w:rPr>
                <w:sz w:val="20"/>
                <w:szCs w:val="20"/>
                <w:color w:val="auto"/>
              </w:rPr>
            </w:pPr>
            <w:r>
              <w:rPr>
                <w:rFonts w:ascii="Times New Roman" w:cs="Times New Roman" w:eastAsia="Times New Roman" w:hAnsi="Times New Roman"/>
                <w:sz w:val="13"/>
                <w:szCs w:val="13"/>
                <w:b w:val="1"/>
                <w:bCs w:val="1"/>
                <w:color w:val="auto"/>
              </w:rPr>
              <w:t>Unfunded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357"/>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237"/>
              <w:spacing w:after="0" w:line="142" w:lineRule="exact"/>
              <w:rPr>
                <w:sz w:val="20"/>
                <w:szCs w:val="20"/>
                <w:color w:val="auto"/>
              </w:rPr>
            </w:pPr>
            <w:r>
              <w:rPr>
                <w:rFonts w:ascii="Times New Roman" w:cs="Times New Roman" w:eastAsia="Times New Roman" w:hAnsi="Times New Roman"/>
                <w:sz w:val="13"/>
                <w:szCs w:val="13"/>
                <w:b w:val="1"/>
                <w:bCs w:val="1"/>
                <w:color w:val="auto"/>
              </w:rPr>
              <w:t>Unfunded</w:t>
            </w:r>
          </w:p>
        </w:tc>
        <w:tc>
          <w:tcPr>
            <w:tcW w:w="200" w:type="dxa"/>
            <w:vAlign w:val="bottom"/>
          </w:tcPr>
          <w:p>
            <w:pPr>
              <w:spacing w:after="0"/>
              <w:rPr>
                <w:sz w:val="12"/>
                <w:szCs w:val="12"/>
                <w:color w:val="auto"/>
              </w:rPr>
            </w:pPr>
          </w:p>
        </w:tc>
      </w:tr>
      <w:tr>
        <w:trPr>
          <w:trHeight w:val="17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Company - Investment</w:t>
            </w:r>
          </w:p>
        </w:tc>
        <w:tc>
          <w:tcPr>
            <w:tcW w:w="140" w:type="dxa"/>
            <w:vAlign w:val="bottom"/>
          </w:tcPr>
          <w:p>
            <w:pPr>
              <w:spacing w:after="0"/>
              <w:rPr>
                <w:sz w:val="15"/>
                <w:szCs w:val="15"/>
                <w:color w:val="auto"/>
              </w:rPr>
            </w:pPr>
          </w:p>
        </w:tc>
        <w:tc>
          <w:tcPr>
            <w:tcW w:w="102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Commitment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Commitment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Commitment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Commitment</w:t>
            </w:r>
          </w:p>
        </w:tc>
        <w:tc>
          <w:tcPr>
            <w:tcW w:w="200" w:type="dxa"/>
            <w:vAlign w:val="bottom"/>
          </w:tcPr>
          <w:p>
            <w:pPr>
              <w:spacing w:after="0"/>
              <w:rPr>
                <w:sz w:val="15"/>
                <w:szCs w:val="15"/>
                <w:color w:val="auto"/>
              </w:rPr>
            </w:pPr>
          </w:p>
        </w:tc>
      </w:tr>
      <w:tr>
        <w:trPr>
          <w:trHeight w:val="162"/>
        </w:trPr>
        <w:tc>
          <w:tcPr>
            <w:tcW w:w="5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Acendre Midco, Inc. - Revolving Loan</w:t>
            </w:r>
          </w:p>
        </w:tc>
        <w:tc>
          <w:tcPr>
            <w:tcW w:w="180" w:type="dxa"/>
            <w:vAlign w:val="bottom"/>
          </w:tcPr>
          <w:p>
            <w:pPr>
              <w:spacing w:after="0"/>
              <w:rPr>
                <w:sz w:val="14"/>
                <w:szCs w:val="14"/>
                <w:color w:val="auto"/>
              </w:rPr>
            </w:pPr>
          </w:p>
        </w:tc>
        <w:tc>
          <w:tcPr>
            <w:tcW w:w="1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4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2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00" w:type="dxa"/>
            <w:vAlign w:val="bottom"/>
          </w:tcPr>
          <w:p>
            <w:pPr>
              <w:spacing w:after="0"/>
              <w:rPr>
                <w:sz w:val="14"/>
                <w:szCs w:val="14"/>
                <w:color w:val="auto"/>
              </w:rPr>
            </w:pP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00" w:type="dxa"/>
            <w:vAlign w:val="bottom"/>
          </w:tcPr>
          <w:p>
            <w:pPr>
              <w:spacing w:after="0"/>
              <w:rPr>
                <w:sz w:val="14"/>
                <w:szCs w:val="14"/>
                <w:color w:val="auto"/>
              </w:rPr>
            </w:pPr>
          </w:p>
        </w:tc>
      </w:tr>
      <w:tr>
        <w:trPr>
          <w:trHeight w:val="162"/>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Combined Systems, Inc. - Revolving Loan</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200" w:type="dxa"/>
            <w:vAlign w:val="bottom"/>
            <w:shd w:val="clear" w:color="auto" w:fill="CCEEFF"/>
          </w:tcPr>
          <w:p>
            <w:pPr>
              <w:spacing w:after="0"/>
              <w:rPr>
                <w:sz w:val="14"/>
                <w:szCs w:val="14"/>
                <w:color w:val="auto"/>
              </w:rPr>
            </w:pPr>
          </w:p>
        </w:tc>
      </w:tr>
      <w:tr>
        <w:trPr>
          <w:trHeight w:val="162"/>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Elements Brands, LLC - Revolving Loan</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838</w:t>
            </w:r>
          </w:p>
        </w:tc>
        <w:tc>
          <w:tcPr>
            <w:tcW w:w="200" w:type="dxa"/>
            <w:vAlign w:val="bottom"/>
          </w:tcPr>
          <w:p>
            <w:pPr>
              <w:spacing w:after="0"/>
              <w:rPr>
                <w:sz w:val="14"/>
                <w:szCs w:val="14"/>
                <w:color w:val="auto"/>
              </w:rPr>
            </w:pPr>
          </w:p>
        </w:tc>
      </w:tr>
      <w:tr>
        <w:trPr>
          <w:trHeight w:val="162"/>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Rhino Assembly Company, LLC - Delayed Draw Commitment</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w:t>
            </w:r>
          </w:p>
        </w:tc>
        <w:tc>
          <w:tcPr>
            <w:tcW w:w="200" w:type="dxa"/>
            <w:vAlign w:val="bottom"/>
            <w:shd w:val="clear" w:color="auto" w:fill="CCEEFF"/>
          </w:tcPr>
          <w:p>
            <w:pPr>
              <w:spacing w:after="0"/>
              <w:rPr>
                <w:sz w:val="14"/>
                <w:szCs w:val="14"/>
                <w:color w:val="auto"/>
              </w:rPr>
            </w:pPr>
          </w:p>
        </w:tc>
      </w:tr>
      <w:tr>
        <w:trPr>
          <w:trHeight w:val="162"/>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Safety Products Group, LLC - Common Equity (Units)</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2,852</w:t>
            </w:r>
          </w:p>
        </w:tc>
        <w:tc>
          <w:tcPr>
            <w:tcW w:w="2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(1)</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2,852</w:t>
            </w:r>
          </w:p>
        </w:tc>
        <w:tc>
          <w:tcPr>
            <w:tcW w:w="2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(1)</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2,852</w:t>
            </w:r>
          </w:p>
        </w:tc>
        <w:tc>
          <w:tcPr>
            <w:tcW w:w="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2,852</w:t>
            </w: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(1)</w:t>
            </w:r>
          </w:p>
        </w:tc>
      </w:tr>
      <w:tr>
        <w:trPr>
          <w:trHeight w:val="162"/>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Tedia Company, LLC - Revolving Loan</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r>
      <w:tr>
        <w:trPr>
          <w:trHeight w:val="162"/>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Tedia Company, LLC - Delayed Draw Term Loan</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r>
      <w:tr>
        <w:trPr>
          <w:trHeight w:val="162"/>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Wonderware Holdings, LLC (dba CORE Business Technologies) - Delayed Draw Term Loan</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200" w:type="dxa"/>
            <w:vAlign w:val="bottom"/>
            <w:shd w:val="clear" w:color="auto" w:fill="CCEEFF"/>
          </w:tcPr>
          <w:p>
            <w:pPr>
              <w:spacing w:after="0"/>
              <w:rPr>
                <w:sz w:val="14"/>
                <w:szCs w:val="14"/>
                <w:color w:val="auto"/>
              </w:rPr>
            </w:pPr>
          </w:p>
        </w:tc>
      </w:tr>
      <w:tr>
        <w:trPr>
          <w:trHeight w:val="162"/>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Zonkd, LLC - Delayed Draw Term Loan</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r>
      <w:tr>
        <w:trPr>
          <w:trHeight w:val="196"/>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20,852</w:t>
            </w: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17,177</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13,727</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8,170</w:t>
            </w:r>
          </w:p>
        </w:tc>
        <w:tc>
          <w:tcPr>
            <w:tcW w:w="200" w:type="dxa"/>
            <w:vAlign w:val="bottom"/>
            <w:tcBorders>
              <w:bottom w:val="single" w:sz="8" w:color="CCEEFF"/>
            </w:tcBorders>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-24765</wp:posOffset>
            </wp:positionV>
            <wp:extent cx="342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-8255</wp:posOffset>
            </wp:positionV>
            <wp:extent cx="342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342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-8255</wp:posOffset>
            </wp:positionV>
            <wp:extent cx="342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2540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-8255</wp:posOffset>
            </wp:positionV>
            <wp:extent cx="254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-24765</wp:posOffset>
            </wp:positionV>
            <wp:extent cx="260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-8255</wp:posOffset>
            </wp:positionV>
            <wp:extent cx="2603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160" w:lineRule="exact"/>
        <w:rPr>
          <w:sz w:val="20"/>
          <w:szCs w:val="20"/>
          <w:color w:val="auto"/>
        </w:rPr>
      </w:pPr>
    </w:p>
    <w:p>
      <w:pPr>
        <w:ind w:left="480" w:hanging="472"/>
        <w:spacing w:after="0" w:line="261" w:lineRule="auto"/>
        <w:tabs>
          <w:tab w:leader="none" w:pos="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company was no longer held at period end. The commitment represents the Company's maximum potential liability related to certain guaranteed obligations stemming from the prior sale of the portfolio company's underlying operations.</w:t>
      </w: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Additional detail for each of the commitments above is provided in the Company’s consolidated schedules of investments.</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commitments are generally subject to the borrowers meeting certain criteria such as compliance with financial and nonfinancial covenants.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commitments may expire without being drawn upon, the total commitment amount does not necessarily represent future cash requirements.</w:t>
      </w:r>
    </w:p>
    <w:p>
      <w:pPr>
        <w:spacing w:after="0" w:line="137" w:lineRule="exact"/>
        <w:rPr>
          <w:sz w:val="20"/>
          <w:szCs w:val="20"/>
          <w:color w:val="auto"/>
        </w:rPr>
      </w:pPr>
    </w:p>
    <w:p>
      <w:pPr>
        <w:jc w:val="both"/>
        <w:ind w:firstLine="478"/>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Indemnifications: </w:t>
      </w: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warranties that provide indemnifications under certain circumstances. In addition, in connection with the disposition of an investment in a portfolio company, the Company may be required to make representations about the business and financial affairs of such portfolio company typical of those made in connection with the sale of a business. The Company may also be required to indemnify the purchasers of such investment to the extent that any such representations are inaccurate. The Company’s maximum exposure under these arrangements is unknown, as this would involve future claims that may be made against the Company that have not yet occurred. The Company expects the risk of future obligation under these indemnifications to be remote.</w:t>
      </w:r>
    </w:p>
    <w:p>
      <w:pPr>
        <w:spacing w:after="0" w:line="141" w:lineRule="exact"/>
        <w:rPr>
          <w:sz w:val="20"/>
          <w:szCs w:val="20"/>
          <w:color w:val="auto"/>
        </w:rPr>
      </w:pPr>
    </w:p>
    <w:p>
      <w:pPr>
        <w:jc w:val="both"/>
        <w:ind w:firstLine="47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In the normal course of business, the Company may be subject to legal and regulatory proceedings that are generally incidental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its ongoing operations. While the outcome of any such legal proceedings cannot be predicted with certainty, the Company does not believe any such legal proceedings will have a material adverse effect on the Company’s consolidated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Offerings of Common Stock</w:t>
      </w:r>
    </w:p>
    <w:p>
      <w:pPr>
        <w:spacing w:after="0" w:line="160" w:lineRule="exact"/>
        <w:rPr>
          <w:sz w:val="20"/>
          <w:szCs w:val="20"/>
          <w:color w:val="auto"/>
        </w:rPr>
      </w:pPr>
    </w:p>
    <w:p>
      <w:pPr>
        <w:jc w:val="both"/>
        <w:ind w:firstLine="4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cumulative total shares issued, net proceeds received, and weighted average offering price in public offerings of the Company’s common stock since the IPO.</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Cumulative</w:t>
            </w:r>
          </w:p>
        </w:tc>
        <w:tc>
          <w:tcPr>
            <w:tcW w:w="280" w:type="dxa"/>
            <w:vAlign w:val="bottom"/>
          </w:tcPr>
          <w:p>
            <w:pPr>
              <w:spacing w:after="0"/>
              <w:rPr>
                <w:sz w:val="17"/>
                <w:szCs w:val="17"/>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Cumulative Gross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Cumulative Underwriting Fees</w:t>
            </w:r>
          </w:p>
        </w:tc>
        <w:tc>
          <w:tcPr>
            <w:tcW w:w="240" w:type="dxa"/>
            <w:vAlign w:val="bottom"/>
          </w:tcPr>
          <w:p>
            <w:pPr>
              <w:spacing w:after="0"/>
              <w:rPr>
                <w:sz w:val="17"/>
                <w:szCs w:val="17"/>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3100" w:type="dxa"/>
            <w:vAlign w:val="bottom"/>
            <w:vMerge w:val="restart"/>
          </w:tcPr>
          <w:p>
            <w:pPr>
              <w:ind w:left="1300"/>
              <w:spacing w:after="0" w:line="184" w:lineRule="exact"/>
              <w:rPr>
                <w:sz w:val="20"/>
                <w:szCs w:val="20"/>
                <w:color w:val="auto"/>
              </w:rPr>
            </w:pPr>
            <w:r>
              <w:rPr>
                <w:rFonts w:ascii="Times New Roman" w:cs="Times New Roman" w:eastAsia="Times New Roman" w:hAnsi="Times New Roman"/>
                <w:sz w:val="18"/>
                <w:szCs w:val="18"/>
                <w:b w:val="1"/>
                <w:bCs w:val="1"/>
                <w:color w:val="auto"/>
              </w:rPr>
              <w:t>Period</w:t>
            </w:r>
          </w:p>
        </w:tc>
        <w:tc>
          <w:tcPr>
            <w:tcW w:w="20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vMerge w:val="restart"/>
          </w:tcPr>
          <w:p>
            <w:pPr>
              <w:jc w:val="center"/>
              <w:ind w:right="70"/>
              <w:spacing w:after="0" w:line="184" w:lineRule="exact"/>
              <w:rPr>
                <w:sz w:val="20"/>
                <w:szCs w:val="20"/>
                <w:color w:val="auto"/>
              </w:rPr>
            </w:pPr>
            <w:r>
              <w:rPr>
                <w:rFonts w:ascii="Times New Roman" w:cs="Times New Roman" w:eastAsia="Times New Roman" w:hAnsi="Times New Roman"/>
                <w:sz w:val="18"/>
                <w:szCs w:val="18"/>
                <w:b w:val="1"/>
                <w:bCs w:val="1"/>
                <w:color w:val="auto"/>
              </w:rPr>
              <w:t>and Commissions and Offering</w:t>
            </w:r>
          </w:p>
        </w:tc>
        <w:tc>
          <w:tcPr>
            <w:tcW w:w="24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31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Proceeds</w:t>
            </w: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Offering Price</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Borders>
              <w:bottom w:val="single" w:sz="8" w:color="auto"/>
            </w:tcBorders>
            <w:vMerge w:val="continue"/>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tcPr>
          <w:p>
            <w:pPr>
              <w:jc w:val="center"/>
              <w:ind w:right="30"/>
              <w:spacing w:after="0" w:line="243" w:lineRule="exact"/>
              <w:rPr>
                <w:sz w:val="20"/>
                <w:szCs w:val="20"/>
                <w:color w:val="auto"/>
              </w:rPr>
            </w:pPr>
            <w:r>
              <w:rPr>
                <w:rFonts w:ascii="Times New Roman" w:cs="Times New Roman" w:eastAsia="Times New Roman" w:hAnsi="Times New Roman"/>
                <w:sz w:val="18"/>
                <w:szCs w:val="18"/>
                <w:b w:val="1"/>
                <w:bCs w:val="1"/>
                <w:color w:val="auto"/>
                <w:w w:val="92"/>
              </w:rPr>
              <w:t xml:space="preserve">Costs </w:t>
            </w:r>
            <w:r>
              <w:rPr>
                <w:rFonts w:ascii="Times New Roman" w:cs="Times New Roman" w:eastAsia="Times New Roman" w:hAnsi="Times New Roman"/>
                <w:sz w:val="24"/>
                <w:szCs w:val="24"/>
                <w:b w:val="1"/>
                <w:bCs w:val="1"/>
                <w:color w:val="auto"/>
                <w:w w:val="92"/>
                <w:vertAlign w:val="superscript"/>
              </w:rPr>
              <w:t>(1)</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since IPO</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14,388,414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236,597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firstLine="8"/>
        <w:spacing w:after="0" w:line="282" w:lineRule="auto"/>
        <w:tabs>
          <w:tab w:leader="none" w:pos="223"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Fidus Investment Advisors, LLC agreed to bear a cumulative of $1,925 of underwriting fees and commissions and offering costs associated with these offerings (such amounts are not included in the number reported above). All such payments made by Fidus Investment Advisors, LLC are not subject to reimbursement by the Company.</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 shares have been issued for the three months ended March 31, 2022 and 2021.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ATM Program</w:t>
      </w:r>
    </w:p>
    <w:p>
      <w:pPr>
        <w:spacing w:after="0" w:line="173"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On August 21, 2014, the Company entered into an equity distribution agreement with Raymond James &amp; Associates, Inc. and Robert W. Baird &amp; Co. Incorporated through which the Company could sell, by means of at-the-market offerings from time to time, shares of the Company’s common stock having an aggregate offering price of up to $50,000 (the “ATM Program”). There were no issuances of common stock under the ATM program during the last two fiscal years and for the three months ended March 31,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60" w:lineRule="exact"/>
        <w:rPr>
          <w:sz w:val="20"/>
          <w:szCs w:val="20"/>
          <w:color w:val="auto"/>
        </w:rPr>
      </w:pPr>
    </w:p>
    <w:p>
      <w:pPr>
        <w:jc w:val="both"/>
        <w:ind w:firstLine="478"/>
        <w:spacing w:after="0" w:line="282" w:lineRule="auto"/>
        <w:rPr>
          <w:sz w:val="20"/>
          <w:szCs w:val="20"/>
          <w:color w:val="auto"/>
        </w:rPr>
      </w:pPr>
      <w:r>
        <w:rPr>
          <w:rFonts w:ascii="Times New Roman" w:cs="Times New Roman" w:eastAsia="Times New Roman" w:hAnsi="Times New Roman"/>
          <w:sz w:val="18"/>
          <w:szCs w:val="18"/>
          <w:color w:val="auto"/>
        </w:rPr>
        <w:t>As described in Note 2, the Company has a Stock Repurchase Program under which the Company may acquire up to $5,000 of its outstanding common stock. The Company did not make any repurchases of common stock during the three months ended March 31, 2022 and 2021.</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Refer to Note 9 for additional information regarding the issuance of shares under the DRIP.</w:t>
      </w:r>
    </w:p>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had 24,437,400 shares of common stock outstanding as of March 31, 2022 and December 31, 2021.</w:t>
      </w:r>
    </w:p>
    <w:p>
      <w:pPr>
        <w:spacing w:after="0" w:line="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Dividends and Distributions</w:t>
      </w:r>
    </w:p>
    <w:p>
      <w:pPr>
        <w:spacing w:after="0" w:line="162" w:lineRule="exact"/>
        <w:rPr>
          <w:sz w:val="20"/>
          <w:szCs w:val="20"/>
          <w:color w:val="auto"/>
        </w:rPr>
      </w:pPr>
    </w:p>
    <w:p>
      <w:pPr>
        <w:ind w:firstLine="479"/>
        <w:spacing w:after="0" w:line="282" w:lineRule="auto"/>
        <w:rPr>
          <w:sz w:val="20"/>
          <w:szCs w:val="20"/>
          <w:color w:val="auto"/>
        </w:rPr>
      </w:pPr>
      <w:r>
        <w:rPr>
          <w:rFonts w:ascii="Times New Roman" w:cs="Times New Roman" w:eastAsia="Times New Roman" w:hAnsi="Times New Roman"/>
          <w:sz w:val="18"/>
          <w:szCs w:val="18"/>
          <w:color w:val="auto"/>
        </w:rPr>
        <w:t>The Company’s dividends and distributions are recorded on the record date. The following table summarizes the dividends paid during the last two fiscal years and for the three months ended March 31, 2022.</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6"/>
              </w:rPr>
              <w:t>DRIP</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DRIP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Date</w:t>
            </w:r>
          </w:p>
        </w:tc>
        <w:tc>
          <w:tcPr>
            <w:tcW w:w="120" w:type="dxa"/>
            <w:vAlign w:val="bottom"/>
          </w:tcPr>
          <w:p>
            <w:pPr>
              <w:spacing w:after="0"/>
              <w:rPr>
                <w:sz w:val="11"/>
                <w:szCs w:val="11"/>
                <w:color w:val="auto"/>
              </w:rPr>
            </w:pPr>
          </w:p>
        </w:tc>
        <w:tc>
          <w:tcPr>
            <w:tcW w:w="74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Record</w:t>
            </w:r>
          </w:p>
        </w:tc>
        <w:tc>
          <w:tcPr>
            <w:tcW w:w="120" w:type="dxa"/>
            <w:vAlign w:val="bottom"/>
          </w:tcPr>
          <w:p>
            <w:pPr>
              <w:spacing w:after="0"/>
              <w:rPr>
                <w:sz w:val="11"/>
                <w:szCs w:val="11"/>
                <w:color w:val="auto"/>
              </w:rPr>
            </w:pPr>
          </w:p>
        </w:tc>
        <w:tc>
          <w:tcPr>
            <w:tcW w:w="82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Payment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Cash</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320" w:type="dxa"/>
            <w:vAlign w:val="bottom"/>
          </w:tcPr>
          <w:p>
            <w:pPr>
              <w:spacing w:after="0"/>
              <w:rPr>
                <w:sz w:val="11"/>
                <w:szCs w:val="11"/>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1"/>
                <w:szCs w:val="11"/>
                <w:b w:val="1"/>
                <w:bCs w:val="1"/>
                <w:color w:val="auto"/>
              </w:rPr>
              <w:t>DRIP</w:t>
            </w:r>
          </w:p>
        </w:tc>
        <w:tc>
          <w:tcPr>
            <w:tcW w:w="320" w:type="dxa"/>
            <w:vAlign w:val="bottom"/>
          </w:tcPr>
          <w:p>
            <w:pPr>
              <w:spacing w:after="0"/>
              <w:rPr>
                <w:sz w:val="11"/>
                <w:szCs w:val="1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Declared</w:t>
            </w:r>
          </w:p>
        </w:tc>
        <w:tc>
          <w:tcPr>
            <w:tcW w:w="120" w:type="dxa"/>
            <w:vAlign w:val="bottom"/>
          </w:tcPr>
          <w:p>
            <w:pPr>
              <w:spacing w:after="0"/>
              <w:rPr>
                <w:sz w:val="12"/>
                <w:szCs w:val="12"/>
                <w:color w:val="auto"/>
              </w:rPr>
            </w:pPr>
          </w:p>
        </w:tc>
        <w:tc>
          <w:tcPr>
            <w:tcW w:w="74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Date</w:t>
            </w:r>
          </w:p>
        </w:tc>
        <w:tc>
          <w:tcPr>
            <w:tcW w:w="120" w:type="dxa"/>
            <w:vAlign w:val="bottom"/>
          </w:tcPr>
          <w:p>
            <w:pPr>
              <w:spacing w:after="0"/>
              <w:rPr>
                <w:sz w:val="12"/>
                <w:szCs w:val="12"/>
                <w:color w:val="auto"/>
              </w:rPr>
            </w:pPr>
          </w:p>
        </w:tc>
        <w:tc>
          <w:tcPr>
            <w:tcW w:w="82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Date</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Distribution</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Distribution</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320" w:type="dxa"/>
            <w:vAlign w:val="bottom"/>
          </w:tcPr>
          <w:p>
            <w:pPr>
              <w:spacing w:after="0"/>
              <w:rPr>
                <w:sz w:val="12"/>
                <w:szCs w:val="12"/>
                <w:color w:val="auto"/>
              </w:rPr>
            </w:pPr>
          </w:p>
        </w:tc>
        <w:tc>
          <w:tcPr>
            <w:tcW w:w="6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320" w:type="dxa"/>
            <w:vAlign w:val="bottom"/>
          </w:tcPr>
          <w:p>
            <w:pPr>
              <w:spacing w:after="0"/>
              <w:rPr>
                <w:sz w:val="12"/>
                <w:szCs w:val="12"/>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Issue Price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680" w:type="dxa"/>
            <w:vAlign w:val="bottom"/>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rPr>
              <w:t>Year Ended December 31, 2020:</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vMerge w:val="restart"/>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80" w:type="dxa"/>
            <w:vAlign w:val="bottom"/>
          </w:tcPr>
          <w:p>
            <w:pPr>
              <w:spacing w:after="0"/>
              <w:rPr>
                <w:sz w:val="10"/>
                <w:szCs w:val="10"/>
                <w:color w:val="auto"/>
              </w:rPr>
            </w:pPr>
          </w:p>
        </w:tc>
        <w:tc>
          <w:tcPr>
            <w:tcW w:w="320" w:type="dxa"/>
            <w:vAlign w:val="bottom"/>
            <w:vMerge w:val="restart"/>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6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2/14/2020</w:t>
            </w:r>
          </w:p>
        </w:tc>
        <w:tc>
          <w:tcPr>
            <w:tcW w:w="8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3/13/2020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3/27/2020</w:t>
            </w:r>
          </w:p>
        </w:tc>
        <w:tc>
          <w:tcPr>
            <w:tcW w:w="280" w:type="dxa"/>
            <w:vAlign w:val="bottom"/>
            <w:gridSpan w:val="2"/>
          </w:tcPr>
          <w:p>
            <w:pPr>
              <w:jc w:val="right"/>
              <w:ind w:right="26"/>
              <w:spacing w:after="0" w:line="117"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0.39</w:t>
            </w:r>
          </w:p>
        </w:tc>
        <w:tc>
          <w:tcPr>
            <w:tcW w:w="320" w:type="dxa"/>
            <w:vAlign w:val="bottom"/>
            <w:gridSpan w:val="2"/>
          </w:tcPr>
          <w:p>
            <w:pPr>
              <w:jc w:val="right"/>
              <w:ind w:right="26"/>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9,537</w:t>
            </w:r>
          </w:p>
        </w:tc>
        <w:tc>
          <w:tcPr>
            <w:tcW w:w="320" w:type="dxa"/>
            <w:vAlign w:val="bottom"/>
            <w:gridSpan w:val="2"/>
          </w:tcPr>
          <w:p>
            <w:pPr>
              <w:jc w:val="right"/>
              <w:ind w:right="46"/>
              <w:spacing w:after="0" w:line="117"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9,537</w:t>
            </w:r>
          </w:p>
        </w:tc>
        <w:tc>
          <w:tcPr>
            <w:tcW w:w="300" w:type="dxa"/>
            <w:vAlign w:val="bottom"/>
            <w:gridSpan w:val="2"/>
          </w:tcPr>
          <w:p>
            <w:pPr>
              <w:jc w:val="right"/>
              <w:ind w:right="26"/>
              <w:spacing w:after="0" w:line="117"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ind w:left="4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vMerge w:val="continue"/>
          </w:tcPr>
          <w:p>
            <w:pPr>
              <w:spacing w:after="0"/>
              <w:rPr>
                <w:sz w:val="10"/>
                <w:szCs w:val="10"/>
                <w:color w:val="auto"/>
              </w:rPr>
            </w:pPr>
          </w:p>
        </w:tc>
        <w:tc>
          <w:tcPr>
            <w:tcW w:w="680" w:type="dxa"/>
            <w:vAlign w:val="bottom"/>
          </w:tcPr>
          <w:p>
            <w:pPr>
              <w:ind w:left="56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vMerge w:val="continue"/>
          </w:tcPr>
          <w:p>
            <w:pPr>
              <w:spacing w:after="0"/>
              <w:rPr>
                <w:sz w:val="10"/>
                <w:szCs w:val="10"/>
                <w:color w:val="auto"/>
              </w:rPr>
            </w:pPr>
          </w:p>
        </w:tc>
        <w:tc>
          <w:tcPr>
            <w:tcW w:w="1040" w:type="dxa"/>
            <w:vAlign w:val="bottom"/>
          </w:tcPr>
          <w:p>
            <w:pPr>
              <w:ind w:left="9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4/29/2020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6/12/2020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6/26/2020</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80" w:type="dxa"/>
            <w:vAlign w:val="bottom"/>
          </w:tcPr>
          <w:p>
            <w:pPr>
              <w:ind w:left="56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40" w:type="dxa"/>
            <w:vAlign w:val="bottom"/>
          </w:tcPr>
          <w:p>
            <w:pPr>
              <w:ind w:left="92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8/03/2020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9/11/2020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9/25/2020</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80" w:type="dxa"/>
            <w:vAlign w:val="bottom"/>
          </w:tcPr>
          <w:p>
            <w:pPr>
              <w:ind w:left="56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40" w:type="dxa"/>
            <w:vAlign w:val="bottom"/>
          </w:tcPr>
          <w:p>
            <w:pPr>
              <w:ind w:left="92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10/26/2020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12/4/2020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12/18/2020</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80" w:type="dxa"/>
            <w:vAlign w:val="bottom"/>
          </w:tcPr>
          <w:p>
            <w:pPr>
              <w:ind w:left="56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40" w:type="dxa"/>
            <w:vAlign w:val="bottom"/>
          </w:tcPr>
          <w:p>
            <w:pPr>
              <w:ind w:left="92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10/26/2020 </w:t>
            </w:r>
            <w:r>
              <w:rPr>
                <w:rFonts w:ascii="Times New Roman" w:cs="Times New Roman" w:eastAsia="Times New Roman" w:hAnsi="Times New Roman"/>
                <w:sz w:val="14"/>
                <w:szCs w:val="14"/>
                <w:color w:val="auto"/>
                <w:vertAlign w:val="superscript"/>
              </w:rPr>
              <w:t>(2)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12/4/2020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12/18/2020</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0.04</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978</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978</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40" w:type="dxa"/>
            <w:vAlign w:val="bottom"/>
          </w:tcPr>
          <w:p>
            <w:pPr>
              <w:ind w:left="92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32,508</w:t>
            </w: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32,508</w:t>
            </w:r>
          </w:p>
        </w:tc>
        <w:tc>
          <w:tcPr>
            <w:tcW w:w="1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FF0FC"/>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ind w:left="56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680" w:type="dxa"/>
            <w:vAlign w:val="bottom"/>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Year Ended December 31, 2021:</w:t>
            </w: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vMerge w:val="restart"/>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80" w:type="dxa"/>
            <w:vAlign w:val="bottom"/>
          </w:tcPr>
          <w:p>
            <w:pPr>
              <w:spacing w:after="0"/>
              <w:rPr>
                <w:sz w:val="8"/>
                <w:szCs w:val="8"/>
                <w:color w:val="auto"/>
              </w:rPr>
            </w:pPr>
          </w:p>
        </w:tc>
        <w:tc>
          <w:tcPr>
            <w:tcW w:w="320" w:type="dxa"/>
            <w:vAlign w:val="bottom"/>
            <w:vMerge w:val="restart"/>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6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2/09/2021</w:t>
            </w:r>
          </w:p>
        </w:tc>
        <w:tc>
          <w:tcPr>
            <w:tcW w:w="8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3/12/2021</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3/26/2021</w:t>
            </w:r>
          </w:p>
        </w:tc>
        <w:tc>
          <w:tcPr>
            <w:tcW w:w="280" w:type="dxa"/>
            <w:vAlign w:val="bottom"/>
            <w:gridSpan w:val="2"/>
          </w:tcPr>
          <w:p>
            <w:pPr>
              <w:jc w:val="right"/>
              <w:ind w:right="26"/>
              <w:spacing w:after="0" w:line="117"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0.31</w:t>
            </w:r>
          </w:p>
        </w:tc>
        <w:tc>
          <w:tcPr>
            <w:tcW w:w="320" w:type="dxa"/>
            <w:vAlign w:val="bottom"/>
            <w:gridSpan w:val="2"/>
          </w:tcPr>
          <w:p>
            <w:pPr>
              <w:jc w:val="right"/>
              <w:ind w:right="26"/>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7,575</w:t>
            </w:r>
          </w:p>
        </w:tc>
        <w:tc>
          <w:tcPr>
            <w:tcW w:w="320" w:type="dxa"/>
            <w:vAlign w:val="bottom"/>
            <w:gridSpan w:val="2"/>
          </w:tcPr>
          <w:p>
            <w:pPr>
              <w:jc w:val="right"/>
              <w:ind w:right="46"/>
              <w:spacing w:after="0" w:line="117"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7,575</w:t>
            </w:r>
          </w:p>
        </w:tc>
        <w:tc>
          <w:tcPr>
            <w:tcW w:w="300" w:type="dxa"/>
            <w:vAlign w:val="bottom"/>
            <w:gridSpan w:val="2"/>
          </w:tcPr>
          <w:p>
            <w:pPr>
              <w:jc w:val="right"/>
              <w:ind w:right="26"/>
              <w:spacing w:after="0" w:line="117"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ind w:left="4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vMerge w:val="continue"/>
          </w:tcPr>
          <w:p>
            <w:pPr>
              <w:spacing w:after="0"/>
              <w:rPr>
                <w:sz w:val="10"/>
                <w:szCs w:val="10"/>
                <w:color w:val="auto"/>
              </w:rPr>
            </w:pPr>
          </w:p>
        </w:tc>
        <w:tc>
          <w:tcPr>
            <w:tcW w:w="680" w:type="dxa"/>
            <w:vAlign w:val="bottom"/>
          </w:tcPr>
          <w:p>
            <w:pPr>
              <w:ind w:left="56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vMerge w:val="continue"/>
          </w:tcPr>
          <w:p>
            <w:pPr>
              <w:spacing w:after="0"/>
              <w:rPr>
                <w:sz w:val="10"/>
                <w:szCs w:val="10"/>
                <w:color w:val="auto"/>
              </w:rPr>
            </w:pPr>
          </w:p>
        </w:tc>
        <w:tc>
          <w:tcPr>
            <w:tcW w:w="1040" w:type="dxa"/>
            <w:vAlign w:val="bottom"/>
          </w:tcPr>
          <w:p>
            <w:pPr>
              <w:ind w:left="9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2/09/2021 </w:t>
            </w:r>
            <w:r>
              <w:rPr>
                <w:rFonts w:ascii="Times New Roman" w:cs="Times New Roman" w:eastAsia="Times New Roman" w:hAnsi="Times New Roman"/>
                <w:sz w:val="14"/>
                <w:szCs w:val="14"/>
                <w:color w:val="auto"/>
                <w:vertAlign w:val="superscript"/>
              </w:rPr>
              <w:t>(2)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3/12/2021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3/26/2021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80" w:type="dxa"/>
            <w:vAlign w:val="bottom"/>
          </w:tcPr>
          <w:p>
            <w:pPr>
              <w:ind w:left="56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40" w:type="dxa"/>
            <w:vAlign w:val="bottom"/>
          </w:tcPr>
          <w:p>
            <w:pPr>
              <w:ind w:left="92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5/03/2021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6/14/2021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6/28/2021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7,576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7,576</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80" w:type="dxa"/>
            <w:vAlign w:val="bottom"/>
          </w:tcPr>
          <w:p>
            <w:pPr>
              <w:ind w:left="56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40" w:type="dxa"/>
            <w:vAlign w:val="bottom"/>
          </w:tcPr>
          <w:p>
            <w:pPr>
              <w:ind w:left="92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5/03/2021 </w:t>
            </w:r>
            <w:r>
              <w:rPr>
                <w:rFonts w:ascii="Times New Roman" w:cs="Times New Roman" w:eastAsia="Times New Roman" w:hAnsi="Times New Roman"/>
                <w:sz w:val="14"/>
                <w:szCs w:val="14"/>
                <w:color w:val="auto"/>
                <w:vertAlign w:val="superscript"/>
              </w:rPr>
              <w:t>(2)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6/14/2021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6/28/2021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80" w:type="dxa"/>
            <w:vAlign w:val="bottom"/>
          </w:tcPr>
          <w:p>
            <w:pPr>
              <w:ind w:left="56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40" w:type="dxa"/>
            <w:vAlign w:val="bottom"/>
          </w:tcPr>
          <w:p>
            <w:pPr>
              <w:ind w:left="92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8/02/2021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9/14/2021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9/28/2021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7,820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7,820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80" w:type="dxa"/>
            <w:vAlign w:val="bottom"/>
          </w:tcPr>
          <w:p>
            <w:pPr>
              <w:ind w:left="56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40" w:type="dxa"/>
            <w:vAlign w:val="bottom"/>
          </w:tcPr>
          <w:p>
            <w:pPr>
              <w:ind w:left="92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8/02/2021 </w:t>
            </w:r>
            <w:r>
              <w:rPr>
                <w:rFonts w:ascii="Times New Roman" w:cs="Times New Roman" w:eastAsia="Times New Roman" w:hAnsi="Times New Roman"/>
                <w:sz w:val="14"/>
                <w:szCs w:val="14"/>
                <w:color w:val="auto"/>
                <w:vertAlign w:val="superscript"/>
              </w:rPr>
              <w:t>(2)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9/14/2021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9/28/2021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1,466</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80" w:type="dxa"/>
            <w:vAlign w:val="bottom"/>
          </w:tcPr>
          <w:p>
            <w:pPr>
              <w:ind w:left="56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40" w:type="dxa"/>
            <w:vAlign w:val="bottom"/>
          </w:tcPr>
          <w:p>
            <w:pPr>
              <w:ind w:left="92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8/02/2021 </w:t>
            </w:r>
            <w:r>
              <w:rPr>
                <w:rFonts w:ascii="Times New Roman" w:cs="Times New Roman" w:eastAsia="Times New Roman" w:hAnsi="Times New Roman"/>
                <w:sz w:val="14"/>
                <w:szCs w:val="14"/>
                <w:color w:val="auto"/>
                <w:vertAlign w:val="superscript"/>
              </w:rPr>
              <w:t>(1)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9/14/2021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9/28/2021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977</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80" w:type="dxa"/>
            <w:vAlign w:val="bottom"/>
          </w:tcPr>
          <w:p>
            <w:pPr>
              <w:ind w:left="56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40" w:type="dxa"/>
            <w:vAlign w:val="bottom"/>
          </w:tcPr>
          <w:p>
            <w:pPr>
              <w:ind w:left="92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11/01/2021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12/3/2021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12/17/2021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7,820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7,820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80" w:type="dxa"/>
            <w:vAlign w:val="bottom"/>
          </w:tcPr>
          <w:p>
            <w:pPr>
              <w:ind w:left="56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40" w:type="dxa"/>
            <w:vAlign w:val="bottom"/>
          </w:tcPr>
          <w:p>
            <w:pPr>
              <w:ind w:left="92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11/01/2021 </w:t>
            </w:r>
            <w:r>
              <w:rPr>
                <w:rFonts w:ascii="Times New Roman" w:cs="Times New Roman" w:eastAsia="Times New Roman" w:hAnsi="Times New Roman"/>
                <w:sz w:val="14"/>
                <w:szCs w:val="14"/>
                <w:color w:val="auto"/>
                <w:vertAlign w:val="superscript"/>
              </w:rPr>
              <w:t>(2)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12/3/2021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12/17/2021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978</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80" w:type="dxa"/>
            <w:vAlign w:val="bottom"/>
          </w:tcPr>
          <w:p>
            <w:pPr>
              <w:ind w:left="56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40" w:type="dxa"/>
            <w:vAlign w:val="bottom"/>
          </w:tcPr>
          <w:p>
            <w:pPr>
              <w:ind w:left="92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11/01/2021 </w:t>
            </w:r>
            <w:r>
              <w:rPr>
                <w:rFonts w:ascii="Times New Roman" w:cs="Times New Roman" w:eastAsia="Times New Roman" w:hAnsi="Times New Roman"/>
                <w:sz w:val="14"/>
                <w:szCs w:val="14"/>
                <w:color w:val="auto"/>
                <w:vertAlign w:val="superscript"/>
              </w:rPr>
              <w:t>(1)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12/3/2021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12/17/2021</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1222</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1222</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40" w:type="dxa"/>
            <w:vAlign w:val="bottom"/>
          </w:tcPr>
          <w:p>
            <w:pPr>
              <w:ind w:left="92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60" w:type="dxa"/>
            <w:vAlign w:val="bottom"/>
          </w:tcPr>
          <w:p>
            <w:pPr>
              <w:spacing w:after="0"/>
              <w:rPr>
                <w:sz w:val="11"/>
                <w:szCs w:val="11"/>
                <w:color w:val="auto"/>
              </w:rPr>
            </w:pPr>
          </w:p>
        </w:tc>
        <w:tc>
          <w:tcPr>
            <w:tcW w:w="1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39,100</w:t>
            </w:r>
          </w:p>
        </w:tc>
        <w:tc>
          <w:tcPr>
            <w:tcW w:w="160" w:type="dxa"/>
            <w:vAlign w:val="bottom"/>
          </w:tcPr>
          <w:p>
            <w:pPr>
              <w:spacing w:after="0"/>
              <w:rPr>
                <w:sz w:val="11"/>
                <w:szCs w:val="11"/>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39,100</w:t>
            </w:r>
          </w:p>
        </w:tc>
        <w:tc>
          <w:tcPr>
            <w:tcW w:w="160" w:type="dxa"/>
            <w:vAlign w:val="bottom"/>
          </w:tcPr>
          <w:p>
            <w:pPr>
              <w:spacing w:after="0"/>
              <w:rPr>
                <w:sz w:val="11"/>
                <w:szCs w:val="11"/>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Pr>
          <w:p>
            <w:pPr>
              <w:spacing w:after="0"/>
              <w:rPr>
                <w:sz w:val="11"/>
                <w:szCs w:val="11"/>
                <w:color w:val="auto"/>
              </w:rPr>
            </w:pPr>
          </w:p>
        </w:tc>
        <w:tc>
          <w:tcPr>
            <w:tcW w:w="6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Three months ended March 31, 2022:</w:t>
            </w: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6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2/15/2022</w:t>
            </w:r>
          </w:p>
        </w:tc>
        <w:tc>
          <w:tcPr>
            <w:tcW w:w="8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3/11/2022</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3/25/2022</w:t>
            </w:r>
          </w:p>
        </w:tc>
        <w:tc>
          <w:tcPr>
            <w:tcW w:w="280" w:type="dxa"/>
            <w:vAlign w:val="bottom"/>
            <w:gridSpan w:val="2"/>
          </w:tcPr>
          <w:p>
            <w:pPr>
              <w:jc w:val="right"/>
              <w:ind w:right="26"/>
              <w:spacing w:after="0" w:line="117"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0.36</w:t>
            </w:r>
          </w:p>
        </w:tc>
        <w:tc>
          <w:tcPr>
            <w:tcW w:w="320" w:type="dxa"/>
            <w:vAlign w:val="bottom"/>
            <w:gridSpan w:val="2"/>
          </w:tcPr>
          <w:p>
            <w:pPr>
              <w:jc w:val="right"/>
              <w:ind w:right="26"/>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8,797</w:t>
            </w:r>
          </w:p>
        </w:tc>
        <w:tc>
          <w:tcPr>
            <w:tcW w:w="320" w:type="dxa"/>
            <w:vAlign w:val="bottom"/>
            <w:gridSpan w:val="2"/>
          </w:tcPr>
          <w:p>
            <w:pPr>
              <w:jc w:val="right"/>
              <w:ind w:right="46"/>
              <w:spacing w:after="0" w:line="117"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8,797</w:t>
            </w:r>
          </w:p>
        </w:tc>
        <w:tc>
          <w:tcPr>
            <w:tcW w:w="300" w:type="dxa"/>
            <w:vAlign w:val="bottom"/>
            <w:gridSpan w:val="2"/>
          </w:tcPr>
          <w:p>
            <w:pPr>
              <w:jc w:val="right"/>
              <w:ind w:right="26"/>
              <w:spacing w:after="0" w:line="117"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ind w:left="4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vMerge w:val="continue"/>
          </w:tcPr>
          <w:p>
            <w:pPr>
              <w:spacing w:after="0"/>
              <w:rPr>
                <w:sz w:val="10"/>
                <w:szCs w:val="10"/>
                <w:color w:val="auto"/>
              </w:rPr>
            </w:pPr>
          </w:p>
        </w:tc>
        <w:tc>
          <w:tcPr>
            <w:tcW w:w="680" w:type="dxa"/>
            <w:vAlign w:val="bottom"/>
          </w:tcPr>
          <w:p>
            <w:pPr>
              <w:ind w:left="56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vMerge w:val="continue"/>
          </w:tcPr>
          <w:p>
            <w:pPr>
              <w:spacing w:after="0"/>
              <w:rPr>
                <w:sz w:val="10"/>
                <w:szCs w:val="10"/>
                <w:color w:val="auto"/>
              </w:rPr>
            </w:pPr>
          </w:p>
        </w:tc>
        <w:tc>
          <w:tcPr>
            <w:tcW w:w="1040" w:type="dxa"/>
            <w:vAlign w:val="bottom"/>
          </w:tcPr>
          <w:p>
            <w:pPr>
              <w:ind w:left="9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2/15/2022 </w:t>
            </w:r>
            <w:r>
              <w:rPr>
                <w:rFonts w:ascii="Times New Roman" w:cs="Times New Roman" w:eastAsia="Times New Roman" w:hAnsi="Times New Roman"/>
                <w:sz w:val="14"/>
                <w:szCs w:val="14"/>
                <w:color w:val="auto"/>
                <w:vertAlign w:val="superscript"/>
              </w:rPr>
              <w:t>(2)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3/11/2022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3/25/2022</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0.17</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4,154</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4,154</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40" w:type="dxa"/>
            <w:vAlign w:val="bottom"/>
          </w:tcPr>
          <w:p>
            <w:pPr>
              <w:ind w:left="92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0.53</w:t>
            </w:r>
          </w:p>
        </w:tc>
        <w:tc>
          <w:tcPr>
            <w:tcW w:w="160" w:type="dxa"/>
            <w:vAlign w:val="bottom"/>
          </w:tcPr>
          <w:p>
            <w:pPr>
              <w:spacing w:after="0"/>
              <w:rPr>
                <w:sz w:val="11"/>
                <w:szCs w:val="11"/>
                <w:color w:val="auto"/>
              </w:rPr>
            </w:pPr>
          </w:p>
        </w:tc>
        <w:tc>
          <w:tcPr>
            <w:tcW w:w="1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12,951</w:t>
            </w:r>
          </w:p>
        </w:tc>
        <w:tc>
          <w:tcPr>
            <w:tcW w:w="160" w:type="dxa"/>
            <w:vAlign w:val="bottom"/>
          </w:tcPr>
          <w:p>
            <w:pPr>
              <w:spacing w:after="0"/>
              <w:rPr>
                <w:sz w:val="11"/>
                <w:szCs w:val="11"/>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12,951</w:t>
            </w:r>
          </w:p>
        </w:tc>
        <w:tc>
          <w:tcPr>
            <w:tcW w:w="160" w:type="dxa"/>
            <w:vAlign w:val="bottom"/>
          </w:tcPr>
          <w:p>
            <w:pPr>
              <w:spacing w:after="0"/>
              <w:rPr>
                <w:sz w:val="11"/>
                <w:szCs w:val="11"/>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Pr>
          <w:p>
            <w:pPr>
              <w:spacing w:after="0"/>
              <w:rPr>
                <w:sz w:val="11"/>
                <w:szCs w:val="11"/>
                <w:color w:val="auto"/>
              </w:rPr>
            </w:pPr>
          </w:p>
        </w:tc>
        <w:tc>
          <w:tcPr>
            <w:tcW w:w="6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-2073910</wp:posOffset>
            </wp:positionV>
            <wp:extent cx="7132320" cy="8572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-1902460</wp:posOffset>
            </wp:positionV>
            <wp:extent cx="7132320" cy="8572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-1731010</wp:posOffset>
            </wp:positionV>
            <wp:extent cx="7132320" cy="8572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-1464945</wp:posOffset>
            </wp:positionV>
            <wp:extent cx="3429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-1447800</wp:posOffset>
            </wp:positionV>
            <wp:extent cx="342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-1464945</wp:posOffset>
            </wp:positionV>
            <wp:extent cx="3429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-1447800</wp:posOffset>
            </wp:positionV>
            <wp:extent cx="342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-1464945</wp:posOffset>
            </wp:positionV>
            <wp:extent cx="3429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-1447800</wp:posOffset>
            </wp:positionV>
            <wp:extent cx="342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-1464945</wp:posOffset>
            </wp:positionV>
            <wp:extent cx="3429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-1447800</wp:posOffset>
            </wp:positionV>
            <wp:extent cx="342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-1464945</wp:posOffset>
            </wp:positionV>
            <wp:extent cx="342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-1447800</wp:posOffset>
            </wp:positionV>
            <wp:extent cx="342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-1353820</wp:posOffset>
            </wp:positionV>
            <wp:extent cx="7132320" cy="8572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-1182370</wp:posOffset>
            </wp:positionV>
            <wp:extent cx="7132320" cy="8572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-1010920</wp:posOffset>
            </wp:positionV>
            <wp:extent cx="7132320" cy="8572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7132320" cy="8572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132320" cy="8572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7132320" cy="8572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8572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73" w:lineRule="exact"/>
        <w:rPr>
          <w:sz w:val="20"/>
          <w:szCs w:val="20"/>
          <w:color w:val="auto"/>
        </w:rPr>
      </w:pPr>
    </w:p>
    <w:p>
      <w:pPr>
        <w:ind w:left="360" w:hanging="339"/>
        <w:spacing w:after="0"/>
        <w:tabs>
          <w:tab w:leader="none" w:pos="3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Special dividend</w:t>
      </w:r>
    </w:p>
    <w:p>
      <w:pPr>
        <w:spacing w:after="0" w:line="17" w:lineRule="exact"/>
        <w:rPr>
          <w:rFonts w:ascii="Times New Roman" w:cs="Times New Roman" w:eastAsia="Times New Roman" w:hAnsi="Times New Roman"/>
          <w:sz w:val="14"/>
          <w:szCs w:val="14"/>
          <w:color w:val="auto"/>
        </w:rPr>
      </w:pPr>
    </w:p>
    <w:p>
      <w:pPr>
        <w:ind w:left="360" w:hanging="339"/>
        <w:spacing w:after="0"/>
        <w:tabs>
          <w:tab w:leader="none" w:pos="3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Supplemental dividend</w:t>
      </w:r>
    </w:p>
    <w:p>
      <w:pPr>
        <w:spacing w:after="0" w:line="1" w:lineRule="exact"/>
        <w:rPr>
          <w:rFonts w:ascii="Times New Roman" w:cs="Times New Roman" w:eastAsia="Times New Roman" w:hAnsi="Times New Roman"/>
          <w:sz w:val="14"/>
          <w:szCs w:val="14"/>
          <w:color w:val="auto"/>
        </w:rPr>
      </w:pPr>
    </w:p>
    <w:p>
      <w:pPr>
        <w:ind w:left="360" w:right="40" w:hanging="339"/>
        <w:spacing w:after="0" w:line="233" w:lineRule="auto"/>
        <w:tabs>
          <w:tab w:leader="none" w:pos="3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March 31, 2022 and the years ended December 31, 2021 and 2020, the Company directed the DRIP plan administrator to repurchase shares on the open market in order to satisfy the DRIP obligation to deliver shares of common stock in lieu of issuing new shares. Accordingly, the Company purchased and reissued shares to satisfy the DRIP obligation as follows: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Fiscal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16510</wp:posOffset>
            </wp:positionV>
            <wp:extent cx="221996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1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January 1, 2020 through March 31, 2020</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April 1, 2020 through June 30, 2020</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July 1, 2020 through September 30, 2020</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October 1, 2020 through December 31, 2020</w:t>
      </w:r>
    </w:p>
    <w:p>
      <w:pPr>
        <w:spacing w:after="0" w:line="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7"/>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Reissued</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Amount Paid</w:t>
            </w:r>
          </w:p>
        </w:tc>
      </w:tr>
      <w:tr>
        <w:trPr>
          <w:trHeight w:val="160"/>
        </w:trPr>
        <w:tc>
          <w:tcPr>
            <w:tcW w:w="128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31,586</w:t>
            </w:r>
          </w:p>
        </w:tc>
        <w:tc>
          <w:tcPr>
            <w:tcW w:w="240" w:type="dxa"/>
            <w:vAlign w:val="bottom"/>
          </w:tcPr>
          <w:p>
            <w:pPr>
              <w:spacing w:after="0"/>
              <w:rPr>
                <w:sz w:val="13"/>
                <w:szCs w:val="13"/>
                <w:color w:val="auto"/>
              </w:rPr>
            </w:pPr>
          </w:p>
        </w:tc>
        <w:tc>
          <w:tcPr>
            <w:tcW w:w="180" w:type="dxa"/>
            <w:vAlign w:val="bottom"/>
          </w:tcPr>
          <w:p>
            <w:pPr>
              <w:jc w:val="right"/>
              <w:ind w:right="28"/>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7.58</w:t>
            </w:r>
          </w:p>
        </w:tc>
        <w:tc>
          <w:tcPr>
            <w:tcW w:w="200" w:type="dxa"/>
            <w:vAlign w:val="bottom"/>
          </w:tcPr>
          <w:p>
            <w:pPr>
              <w:spacing w:after="0"/>
              <w:rPr>
                <w:sz w:val="13"/>
                <w:szCs w:val="13"/>
                <w:color w:val="auto"/>
              </w:rPr>
            </w:pPr>
          </w:p>
        </w:tc>
        <w:tc>
          <w:tcPr>
            <w:tcW w:w="14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239</w:t>
            </w:r>
          </w:p>
        </w:tc>
      </w:tr>
      <w:tr>
        <w:trPr>
          <w:trHeight w:val="175"/>
        </w:trPr>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21,904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r>
      <w:tr>
        <w:trPr>
          <w:trHeight w:val="175"/>
        </w:trPr>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28,871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r>
      <w:tr>
        <w:trPr>
          <w:trHeight w:val="185"/>
        </w:trPr>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20,222</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12.91</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w:t>
            </w:r>
          </w:p>
        </w:tc>
      </w:tr>
      <w:tr>
        <w:trPr>
          <w:trHeight w:val="169"/>
        </w:trPr>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102,583</w:t>
            </w:r>
          </w:p>
        </w:tc>
        <w:tc>
          <w:tcPr>
            <w:tcW w:w="240" w:type="dxa"/>
            <w:vAlign w:val="bottom"/>
          </w:tcPr>
          <w:p>
            <w:pPr>
              <w:spacing w:after="0"/>
              <w:rPr>
                <w:sz w:val="14"/>
                <w:szCs w:val="14"/>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992</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-590550</wp:posOffset>
            </wp:positionV>
            <wp:extent cx="5700395" cy="11112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700395" cy="111125"/>
                    </a:xfrm>
                    <a:prstGeom prst="rect">
                      <a:avLst/>
                    </a:prstGeom>
                    <a:noFill/>
                  </pic:spPr>
                </pic:pic>
              </a:graphicData>
            </a:graphic>
          </wp:anchor>
        </w:drawing>
        <w:drawing>
          <wp:anchor simplePos="0" relativeHeight="251657728" behindDoc="1" locked="0" layoutInCell="0" allowOverlap="1">
            <wp:simplePos x="0" y="0"/>
            <wp:positionH relativeFrom="column">
              <wp:posOffset>-3033395</wp:posOffset>
            </wp:positionH>
            <wp:positionV relativeFrom="paragraph">
              <wp:posOffset>-367665</wp:posOffset>
            </wp:positionV>
            <wp:extent cx="5700395" cy="11112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700395" cy="111125"/>
                    </a:xfrm>
                    <a:prstGeom prst="rect">
                      <a:avLst/>
                    </a:prstGeom>
                    <a:noFill/>
                  </pic:spPr>
                </pic:pic>
              </a:graphicData>
            </a:graphic>
          </wp:anchor>
        </w:drawing>
        <w:drawing>
          <wp:anchor simplePos="0" relativeHeight="251657728" behindDoc="1" locked="0" layoutInCell="0" allowOverlap="1">
            <wp:simplePos x="0" y="0"/>
            <wp:positionH relativeFrom="column">
              <wp:posOffset>-3033395</wp:posOffset>
            </wp:positionH>
            <wp:positionV relativeFrom="paragraph">
              <wp:posOffset>-136525</wp:posOffset>
            </wp:positionV>
            <wp:extent cx="5700395" cy="1371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91" w:lineRule="exact"/>
        <w:rPr>
          <w:sz w:val="20"/>
          <w:szCs w:val="20"/>
          <w:color w:val="auto"/>
        </w:rPr>
      </w:pPr>
    </w:p>
    <w:p>
      <w:pPr>
        <w:sectPr>
          <w:pgSz w:w="11900" w:h="16838" w:orient="portrait"/>
          <w:cols w:equalWidth="0" w:num="2">
            <w:col w:w="5200" w:space="720"/>
            <w:col w:w="5320"/>
          </w:cols>
          <w:pgMar w:left="320" w:top="117" w:right="339" w:bottom="1440" w:gutter="0" w:footer="0" w:header="0"/>
          <w:type w:val="continuous"/>
        </w:sectPr>
      </w:pPr>
    </w:p>
    <w:p>
      <w:pPr>
        <w:spacing w:after="0" w:line="200" w:lineRule="exact"/>
        <w:rPr>
          <w:sz w:val="20"/>
          <w:szCs w:val="20"/>
          <w:color w:val="auto"/>
        </w:rPr>
      </w:pPr>
    </w:p>
    <w:p>
      <w:pPr>
        <w:spacing w:after="0" w:line="3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16510</wp:posOffset>
            </wp:positionV>
            <wp:extent cx="221996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January 1, 2021 through March 31, 2021</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April 1, 2021 through June 30, 2021</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July 1, 2021 through September 30, 2021</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October 1, 2021 through December 31, 2021</w:t>
      </w:r>
    </w:p>
    <w:p>
      <w:pPr>
        <w:spacing w:after="0" w:line="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7"/>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Reissued</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Amount Paid</w:t>
            </w:r>
          </w:p>
        </w:tc>
      </w:tr>
      <w:tr>
        <w:trPr>
          <w:trHeight w:val="160"/>
        </w:trPr>
        <w:tc>
          <w:tcPr>
            <w:tcW w:w="128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15,562</w:t>
            </w:r>
          </w:p>
        </w:tc>
        <w:tc>
          <w:tcPr>
            <w:tcW w:w="240" w:type="dxa"/>
            <w:vAlign w:val="bottom"/>
          </w:tcPr>
          <w:p>
            <w:pPr>
              <w:spacing w:after="0"/>
              <w:rPr>
                <w:sz w:val="13"/>
                <w:szCs w:val="13"/>
                <w:color w:val="auto"/>
              </w:rPr>
            </w:pPr>
          </w:p>
        </w:tc>
        <w:tc>
          <w:tcPr>
            <w:tcW w:w="180" w:type="dxa"/>
            <w:vAlign w:val="bottom"/>
          </w:tcPr>
          <w:p>
            <w:pPr>
              <w:jc w:val="right"/>
              <w:ind w:right="28"/>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15.62</w:t>
            </w:r>
          </w:p>
        </w:tc>
        <w:tc>
          <w:tcPr>
            <w:tcW w:w="200" w:type="dxa"/>
            <w:vAlign w:val="bottom"/>
          </w:tcPr>
          <w:p>
            <w:pPr>
              <w:spacing w:after="0"/>
              <w:rPr>
                <w:sz w:val="13"/>
                <w:szCs w:val="13"/>
                <w:color w:val="auto"/>
              </w:rPr>
            </w:pPr>
          </w:p>
        </w:tc>
        <w:tc>
          <w:tcPr>
            <w:tcW w:w="14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243</w:t>
            </w:r>
          </w:p>
        </w:tc>
      </w:tr>
      <w:tr>
        <w:trPr>
          <w:trHeight w:val="176"/>
        </w:trPr>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17,042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r>
      <w:tr>
        <w:trPr>
          <w:trHeight w:val="175"/>
        </w:trPr>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r>
      <w:tr>
        <w:trPr>
          <w:trHeight w:val="185"/>
        </w:trPr>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18,283</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17.42</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w:t>
            </w:r>
          </w:p>
        </w:tc>
      </w:tr>
      <w:tr>
        <w:trPr>
          <w:trHeight w:val="169"/>
        </w:trPr>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69,088</w:t>
            </w:r>
          </w:p>
        </w:tc>
        <w:tc>
          <w:tcPr>
            <w:tcW w:w="240" w:type="dxa"/>
            <w:vAlign w:val="bottom"/>
          </w:tcPr>
          <w:p>
            <w:pPr>
              <w:spacing w:after="0"/>
              <w:rPr>
                <w:sz w:val="14"/>
                <w:szCs w:val="14"/>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17.05</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1,178</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-591185</wp:posOffset>
            </wp:positionV>
            <wp:extent cx="5700395" cy="11112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700395" cy="111125"/>
                    </a:xfrm>
                    <a:prstGeom prst="rect">
                      <a:avLst/>
                    </a:prstGeom>
                    <a:noFill/>
                  </pic:spPr>
                </pic:pic>
              </a:graphicData>
            </a:graphic>
          </wp:anchor>
        </w:drawing>
        <w:drawing>
          <wp:anchor simplePos="0" relativeHeight="251657728" behindDoc="1" locked="0" layoutInCell="0" allowOverlap="1">
            <wp:simplePos x="0" y="0"/>
            <wp:positionH relativeFrom="column">
              <wp:posOffset>-3033395</wp:posOffset>
            </wp:positionH>
            <wp:positionV relativeFrom="paragraph">
              <wp:posOffset>-368300</wp:posOffset>
            </wp:positionV>
            <wp:extent cx="5700395" cy="1117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700395" cy="111760"/>
                    </a:xfrm>
                    <a:prstGeom prst="rect">
                      <a:avLst/>
                    </a:prstGeom>
                    <a:noFill/>
                  </pic:spPr>
                </pic:pic>
              </a:graphicData>
            </a:graphic>
          </wp:anchor>
        </w:drawing>
        <w:drawing>
          <wp:anchor simplePos="0" relativeHeight="251657728" behindDoc="1" locked="0" layoutInCell="0" allowOverlap="1">
            <wp:simplePos x="0" y="0"/>
            <wp:positionH relativeFrom="column">
              <wp:posOffset>-3033395</wp:posOffset>
            </wp:positionH>
            <wp:positionV relativeFrom="paragraph">
              <wp:posOffset>-136525</wp:posOffset>
            </wp:positionV>
            <wp:extent cx="5700395" cy="13716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91" w:lineRule="exact"/>
        <w:rPr>
          <w:sz w:val="20"/>
          <w:szCs w:val="20"/>
          <w:color w:val="auto"/>
        </w:rPr>
      </w:pPr>
    </w:p>
    <w:p>
      <w:pPr>
        <w:sectPr>
          <w:pgSz w:w="11900" w:h="16838" w:orient="portrait"/>
          <w:cols w:equalWidth="0" w:num="2">
            <w:col w:w="5200" w:space="720"/>
            <w:col w:w="5320"/>
          </w:cols>
          <w:pgMar w:left="320" w:top="117" w:right="339" w:bottom="1440" w:gutter="0" w:footer="0" w:header="0"/>
          <w:type w:val="continuous"/>
        </w:sectPr>
      </w:pPr>
    </w:p>
    <w:tbl>
      <w:tblPr>
        <w:tblLayout w:type="fixed"/>
        <w:tblInd w:w="1140" w:type="dxa"/>
        <w:tblCellMar>
          <w:top w:w="0" w:type="dxa"/>
          <w:left w:w="0" w:type="dxa"/>
          <w:bottom w:w="0" w:type="dxa"/>
          <w:right w:w="0" w:type="dxa"/>
        </w:tblCellMar>
      </w:tblPr>
      <w:tr>
        <w:trPr>
          <w:trHeight w:val="175"/>
        </w:trPr>
        <w:tc>
          <w:tcPr>
            <w:tcW w:w="3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3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3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5"/>
                <w:szCs w:val="15"/>
                <w:color w:val="auto"/>
              </w:rPr>
            </w:pPr>
          </w:p>
        </w:tc>
      </w:tr>
      <w:tr>
        <w:trPr>
          <w:trHeight w:val="187"/>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114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Reissued</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Amount Paid</w:t>
            </w:r>
          </w:p>
        </w:tc>
        <w:tc>
          <w:tcPr>
            <w:tcW w:w="60" w:type="dxa"/>
            <w:vAlign w:val="bottom"/>
          </w:tcPr>
          <w:p>
            <w:pPr>
              <w:spacing w:after="0"/>
              <w:rPr>
                <w:sz w:val="16"/>
                <w:szCs w:val="16"/>
                <w:color w:val="auto"/>
              </w:rPr>
            </w:pPr>
          </w:p>
        </w:tc>
      </w:tr>
      <w:tr>
        <w:trPr>
          <w:trHeight w:val="169"/>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January 1, 2022 through March 31, 2022</w:t>
            </w:r>
          </w:p>
        </w:tc>
        <w:tc>
          <w:tcPr>
            <w:tcW w:w="1140" w:type="dxa"/>
            <w:vAlign w:val="bottom"/>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20,380</w:t>
            </w:r>
          </w:p>
        </w:tc>
        <w:tc>
          <w:tcPr>
            <w:tcW w:w="14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20.51</w:t>
            </w:r>
          </w:p>
        </w:tc>
        <w:tc>
          <w:tcPr>
            <w:tcW w:w="12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60" w:type="dxa"/>
            <w:vAlign w:val="bottom"/>
            <w:shd w:val="clear" w:color="auto" w:fill="CFF0FC"/>
          </w:tcPr>
          <w:p>
            <w:pPr>
              <w:spacing w:after="0"/>
              <w:rPr>
                <w:sz w:val="14"/>
                <w:szCs w:val="14"/>
                <w:color w:val="auto"/>
              </w:rPr>
            </w:pPr>
          </w:p>
        </w:tc>
      </w:tr>
      <w:tr>
        <w:trPr>
          <w:trHeight w:val="169"/>
        </w:trPr>
        <w:tc>
          <w:tcPr>
            <w:tcW w:w="34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140" w:type="dxa"/>
            <w:vAlign w:val="bottom"/>
          </w:tcPr>
          <w:p>
            <w:pPr>
              <w:spacing w:after="0"/>
              <w:rPr>
                <w:sz w:val="14"/>
                <w:szCs w:val="14"/>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20,380</w:t>
            </w:r>
          </w:p>
        </w:tc>
        <w:tc>
          <w:tcPr>
            <w:tcW w:w="14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20.51</w:t>
            </w:r>
          </w:p>
        </w:tc>
        <w:tc>
          <w:tcPr>
            <w:tcW w:w="12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418</w:t>
            </w:r>
          </w:p>
        </w:tc>
        <w:tc>
          <w:tcPr>
            <w:tcW w:w="60" w:type="dxa"/>
            <w:vAlign w:val="bottom"/>
          </w:tcPr>
          <w:p>
            <w:pPr>
              <w:spacing w:after="0"/>
              <w:rPr>
                <w:sz w:val="14"/>
                <w:szCs w:val="14"/>
                <w:color w:val="auto"/>
              </w:rPr>
            </w:pPr>
          </w:p>
        </w:tc>
      </w:tr>
      <w:tr>
        <w:trPr>
          <w:trHeight w:val="20"/>
        </w:trPr>
        <w:tc>
          <w:tcPr>
            <w:tcW w:w="3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Financial Highlights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is a schedule of financial highlights for the three months ended March 31, 2022 and 2021: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80" w:type="dxa"/>
            <w:vAlign w:val="bottom"/>
            <w:gridSpan w:val="6"/>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7"/>
        </w:trPr>
        <w:tc>
          <w:tcPr>
            <w:tcW w:w="694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r>
      <w:tr>
        <w:trPr>
          <w:trHeight w:val="21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 value at beginning of period</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220" w:type="dxa"/>
            <w:vAlign w:val="bottom"/>
          </w:tcPr>
          <w:p>
            <w:pPr>
              <w:spacing w:after="0"/>
              <w:rPr>
                <w:sz w:val="18"/>
                <w:szCs w:val="18"/>
                <w:color w:val="auto"/>
              </w:rPr>
            </w:pPr>
          </w:p>
        </w:tc>
      </w:tr>
      <w:tr>
        <w:trPr>
          <w:trHeight w:val="216"/>
        </w:trPr>
        <w:tc>
          <w:tcPr>
            <w:tcW w:w="694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Net investment income </w:t>
            </w:r>
            <w:r>
              <w:rPr>
                <w:rFonts w:ascii="Times New Roman" w:cs="Times New Roman" w:eastAsia="Times New Roman" w:hAnsi="Times New Roman"/>
                <w:sz w:val="24"/>
                <w:szCs w:val="24"/>
                <w:color w:val="auto"/>
                <w:vertAlign w:val="superscript"/>
              </w:rPr>
              <w:t>(1)</w:t>
            </w: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20" w:type="dxa"/>
            <w:vAlign w:val="bottom"/>
            <w:shd w:val="clear" w:color="auto" w:fill="CFF0FC"/>
          </w:tcPr>
          <w:p>
            <w:pPr>
              <w:spacing w:after="0"/>
              <w:rPr>
                <w:sz w:val="18"/>
                <w:szCs w:val="18"/>
                <w:color w:val="auto"/>
              </w:rPr>
            </w:pPr>
          </w:p>
        </w:tc>
      </w:tr>
      <w:tr>
        <w:trPr>
          <w:trHeight w:val="216"/>
        </w:trPr>
        <w:tc>
          <w:tcPr>
            <w:tcW w:w="694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Net realized gain (loss) on investments, net of tax (provision) </w:t>
            </w:r>
            <w:r>
              <w:rPr>
                <w:rFonts w:ascii="Times New Roman" w:cs="Times New Roman" w:eastAsia="Times New Roman" w:hAnsi="Times New Roman"/>
                <w:sz w:val="24"/>
                <w:szCs w:val="24"/>
                <w:color w:val="auto"/>
                <w:vertAlign w:val="superscript"/>
              </w:rPr>
              <w:t>(1)</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20" w:type="dxa"/>
            <w:vAlign w:val="bottom"/>
          </w:tcPr>
          <w:p>
            <w:pPr>
              <w:spacing w:after="0"/>
              <w:rPr>
                <w:sz w:val="18"/>
                <w:szCs w:val="18"/>
                <w:color w:val="auto"/>
              </w:rPr>
            </w:pPr>
          </w:p>
        </w:tc>
      </w:tr>
      <w:tr>
        <w:trPr>
          <w:trHeight w:val="216"/>
        </w:trPr>
        <w:tc>
          <w:tcPr>
            <w:tcW w:w="694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Net unrealized appreciation (depreciation) on investments </w:t>
            </w:r>
            <w:r>
              <w:rPr>
                <w:rFonts w:ascii="Times New Roman" w:cs="Times New Roman" w:eastAsia="Times New Roman" w:hAnsi="Times New Roman"/>
                <w:sz w:val="24"/>
                <w:szCs w:val="24"/>
                <w:color w:val="auto"/>
                <w:vertAlign w:val="superscript"/>
              </w:rPr>
              <w:t>(1)</w:t>
            </w:r>
          </w:p>
        </w:tc>
        <w:tc>
          <w:tcPr>
            <w:tcW w:w="4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(0.22 )</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(0.02 )</w:t>
            </w:r>
          </w:p>
        </w:tc>
      </w:tr>
      <w:tr>
        <w:trPr>
          <w:trHeight w:val="216"/>
        </w:trPr>
        <w:tc>
          <w:tcPr>
            <w:tcW w:w="694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Realized losses on extinguishment of debt </w:t>
            </w:r>
            <w:r>
              <w:rPr>
                <w:rFonts w:ascii="Times New Roman" w:cs="Times New Roman" w:eastAsia="Times New Roman" w:hAnsi="Times New Roman"/>
                <w:sz w:val="24"/>
                <w:szCs w:val="24"/>
                <w:color w:val="auto"/>
                <w:vertAlign w:val="superscript"/>
              </w:rPr>
              <w:t>(1)</w:t>
            </w:r>
          </w:p>
        </w:tc>
        <w:tc>
          <w:tcPr>
            <w:tcW w:w="4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(0.01 )</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(0.09 )</w:t>
            </w:r>
          </w:p>
        </w:tc>
      </w:tr>
      <w:tr>
        <w:trPr>
          <w:trHeight w:val="209"/>
        </w:trPr>
        <w:tc>
          <w:tcPr>
            <w:tcW w:w="694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Total increase from investment operations </w:t>
            </w:r>
            <w:r>
              <w:rPr>
                <w:rFonts w:ascii="Times New Roman" w:cs="Times New Roman" w:eastAsia="Times New Roman" w:hAnsi="Times New Roman"/>
                <w:sz w:val="24"/>
                <w:szCs w:val="24"/>
                <w:color w:val="auto"/>
                <w:vertAlign w:val="superscript"/>
              </w:rPr>
              <w:t>(1)</w:t>
            </w:r>
          </w:p>
        </w:tc>
        <w:tc>
          <w:tcPr>
            <w:tcW w:w="4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20" w:type="dxa"/>
            <w:vAlign w:val="bottom"/>
            <w:shd w:val="clear" w:color="auto" w:fill="CFF0FC"/>
          </w:tcPr>
          <w:p>
            <w:pPr>
              <w:spacing w:after="0"/>
              <w:rPr>
                <w:sz w:val="18"/>
                <w:szCs w:val="18"/>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Accretive (dilutive) effect of share issuances and repurchases</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r>
      <w:tr>
        <w:trPr>
          <w:trHeight w:val="21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Dividends to stockholders</w:t>
            </w:r>
          </w:p>
        </w:tc>
        <w:tc>
          <w:tcPr>
            <w:tcW w:w="4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(0.53 )</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(0.38 )</w:t>
            </w: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from capital gains</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r>
      <w:tr>
        <w:trPr>
          <w:trHeight w:val="21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Taxes paid on deemed distributions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r>
      <w:tr>
        <w:trPr>
          <w:trHeight w:val="216"/>
        </w:trPr>
        <w:tc>
          <w:tcPr>
            <w:tcW w:w="694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(11)</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r>
      <w:tr>
        <w:trPr>
          <w:trHeight w:val="249"/>
        </w:trPr>
        <w:tc>
          <w:tcPr>
            <w:tcW w:w="6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asset value at end of period</w:t>
            </w: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220" w:type="dxa"/>
            <w:vAlign w:val="bottom"/>
            <w:tcBorders>
              <w:bottom w:val="single" w:sz="8" w:color="CFF0FC"/>
            </w:tcBorders>
            <w:shd w:val="clear" w:color="auto" w:fill="CFF0FC"/>
          </w:tcPr>
          <w:p>
            <w:pPr>
              <w:spacing w:after="0"/>
              <w:rPr>
                <w:sz w:val="21"/>
                <w:szCs w:val="21"/>
                <w:color w:val="auto"/>
              </w:rPr>
            </w:pPr>
          </w:p>
        </w:tc>
      </w:tr>
      <w:tr>
        <w:trPr>
          <w:trHeight w:val="197"/>
        </w:trPr>
        <w:tc>
          <w:tcPr>
            <w:tcW w:w="69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Market value at end of period</w:t>
            </w:r>
          </w:p>
        </w:tc>
        <w:tc>
          <w:tcPr>
            <w:tcW w:w="42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20.18</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15.55</w:t>
            </w:r>
          </w:p>
        </w:tc>
        <w:tc>
          <w:tcPr>
            <w:tcW w:w="220" w:type="dxa"/>
            <w:vAlign w:val="bottom"/>
          </w:tcPr>
          <w:p>
            <w:pPr>
              <w:spacing w:after="0"/>
              <w:rPr>
                <w:sz w:val="17"/>
                <w:szCs w:val="17"/>
                <w:color w:val="auto"/>
              </w:rPr>
            </w:pPr>
          </w:p>
        </w:tc>
      </w:tr>
      <w:tr>
        <w:trPr>
          <w:trHeight w:val="20"/>
        </w:trPr>
        <w:tc>
          <w:tcPr>
            <w:tcW w:w="6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69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Shares outstanding at end of period</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24,437,400</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24,437,400</w:t>
            </w:r>
          </w:p>
        </w:tc>
        <w:tc>
          <w:tcPr>
            <w:tcW w:w="220" w:type="dxa"/>
            <w:vAlign w:val="bottom"/>
            <w:shd w:val="clear" w:color="auto" w:fill="CFF0FC"/>
          </w:tcPr>
          <w:p>
            <w:pPr>
              <w:spacing w:after="0"/>
              <w:rPr>
                <w:sz w:val="17"/>
                <w:szCs w:val="17"/>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during the period</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24,437,400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24,437,400</w:t>
            </w:r>
          </w:p>
        </w:tc>
        <w:tc>
          <w:tcPr>
            <w:tcW w:w="220" w:type="dxa"/>
            <w:vAlign w:val="bottom"/>
          </w:tcPr>
          <w:p>
            <w:pPr>
              <w:spacing w:after="0"/>
              <w:rPr>
                <w:sz w:val="18"/>
                <w:szCs w:val="18"/>
                <w:color w:val="auto"/>
              </w:rPr>
            </w:pPr>
          </w:p>
        </w:tc>
      </w:tr>
      <w:tr>
        <w:trPr>
          <w:trHeight w:val="21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assets at end of period</w:t>
            </w: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486,502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413,012</w:t>
            </w:r>
          </w:p>
        </w:tc>
        <w:tc>
          <w:tcPr>
            <w:tcW w:w="220" w:type="dxa"/>
            <w:vAlign w:val="bottom"/>
            <w:shd w:val="clear" w:color="auto" w:fill="CFF0FC"/>
          </w:tcPr>
          <w:p>
            <w:pPr>
              <w:spacing w:after="0"/>
              <w:rPr>
                <w:sz w:val="18"/>
                <w:szCs w:val="18"/>
                <w:color w:val="auto"/>
              </w:rPr>
            </w:pPr>
          </w:p>
        </w:tc>
      </w:tr>
      <w:tr>
        <w:trPr>
          <w:trHeight w:val="216"/>
        </w:trPr>
        <w:tc>
          <w:tcPr>
            <w:tcW w:w="694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Average net assets </w:t>
            </w:r>
            <w:r>
              <w:rPr>
                <w:rFonts w:ascii="Times New Roman" w:cs="Times New Roman" w:eastAsia="Times New Roman" w:hAnsi="Times New Roman"/>
                <w:sz w:val="24"/>
                <w:szCs w:val="24"/>
                <w:color w:val="auto"/>
                <w:vertAlign w:val="superscript"/>
              </w:rPr>
              <w:t>(6)</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487,133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411,886</w:t>
            </w:r>
          </w:p>
        </w:tc>
        <w:tc>
          <w:tcPr>
            <w:tcW w:w="220" w:type="dxa"/>
            <w:vAlign w:val="bottom"/>
          </w:tcPr>
          <w:p>
            <w:pPr>
              <w:spacing w:after="0"/>
              <w:rPr>
                <w:sz w:val="18"/>
                <w:szCs w:val="18"/>
                <w:color w:val="auto"/>
              </w:rPr>
            </w:pPr>
          </w:p>
        </w:tc>
      </w:tr>
      <w:tr>
        <w:trPr>
          <w:trHeight w:val="21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Ratios to average net assets:</w:t>
            </w: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694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Total expenses </w:t>
            </w:r>
            <w:r>
              <w:rPr>
                <w:rFonts w:ascii="Times New Roman" w:cs="Times New Roman" w:eastAsia="Times New Roman" w:hAnsi="Times New Roman"/>
                <w:sz w:val="24"/>
                <w:szCs w:val="24"/>
                <w:color w:val="auto"/>
                <w:vertAlign w:val="superscript"/>
              </w:rPr>
              <w:t>(2)(4)(10)</w:t>
            </w:r>
          </w:p>
        </w:tc>
        <w:tc>
          <w:tcPr>
            <w:tcW w:w="420" w:type="dxa"/>
            <w:vAlign w:val="bottom"/>
          </w:tcPr>
          <w:p>
            <w:pPr>
              <w:spacing w:after="0"/>
              <w:rPr>
                <w:sz w:val="18"/>
                <w:szCs w:val="18"/>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8.4 %</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11.9 %</w:t>
            </w:r>
          </w:p>
        </w:tc>
      </w:tr>
      <w:tr>
        <w:trPr>
          <w:trHeight w:val="216"/>
        </w:trPr>
        <w:tc>
          <w:tcPr>
            <w:tcW w:w="694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Net investment income </w:t>
            </w:r>
            <w:r>
              <w:rPr>
                <w:rFonts w:ascii="Times New Roman" w:cs="Times New Roman" w:eastAsia="Times New Roman" w:hAnsi="Times New Roman"/>
                <w:sz w:val="24"/>
                <w:szCs w:val="24"/>
                <w:color w:val="auto"/>
                <w:vertAlign w:val="superscript"/>
              </w:rPr>
              <w:t>(5)</w:t>
            </w:r>
          </w:p>
        </w:tc>
        <w:tc>
          <w:tcPr>
            <w:tcW w:w="4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8.5 %</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10.8 %</w:t>
            </w:r>
          </w:p>
        </w:tc>
      </w:tr>
      <w:tr>
        <w:trPr>
          <w:trHeight w:val="216"/>
        </w:trPr>
        <w:tc>
          <w:tcPr>
            <w:tcW w:w="694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Total return based on market value </w:t>
            </w:r>
            <w:r>
              <w:rPr>
                <w:rFonts w:ascii="Times New Roman" w:cs="Times New Roman" w:eastAsia="Times New Roman" w:hAnsi="Times New Roman"/>
                <w:sz w:val="24"/>
                <w:szCs w:val="24"/>
                <w:color w:val="auto"/>
                <w:vertAlign w:val="superscript"/>
              </w:rPr>
              <w:t>(3)</w:t>
            </w:r>
          </w:p>
        </w:tc>
        <w:tc>
          <w:tcPr>
            <w:tcW w:w="420" w:type="dxa"/>
            <w:vAlign w:val="bottom"/>
          </w:tcPr>
          <w:p>
            <w:pPr>
              <w:spacing w:after="0"/>
              <w:rPr>
                <w:sz w:val="18"/>
                <w:szCs w:val="18"/>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15.7 %</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24.6 %</w:t>
            </w:r>
          </w:p>
        </w:tc>
      </w:tr>
      <w:tr>
        <w:trPr>
          <w:trHeight w:val="216"/>
        </w:trPr>
        <w:tc>
          <w:tcPr>
            <w:tcW w:w="694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Total return based on net asset value </w:t>
            </w:r>
            <w:r>
              <w:rPr>
                <w:rFonts w:ascii="Times New Roman" w:cs="Times New Roman" w:eastAsia="Times New Roman" w:hAnsi="Times New Roman"/>
                <w:sz w:val="24"/>
                <w:szCs w:val="24"/>
                <w:color w:val="auto"/>
                <w:vertAlign w:val="superscript"/>
              </w:rPr>
              <w:t>(8)</w:t>
            </w:r>
          </w:p>
        </w:tc>
        <w:tc>
          <w:tcPr>
            <w:tcW w:w="4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2.4 %</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2.8 %</w:t>
            </w:r>
          </w:p>
        </w:tc>
      </w:tr>
      <w:tr>
        <w:trPr>
          <w:trHeight w:val="216"/>
        </w:trPr>
        <w:tc>
          <w:tcPr>
            <w:tcW w:w="694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Portfolio turnover ratio </w:t>
            </w:r>
            <w:r>
              <w:rPr>
                <w:rFonts w:ascii="Times New Roman" w:cs="Times New Roman" w:eastAsia="Times New Roman" w:hAnsi="Times New Roman"/>
                <w:sz w:val="24"/>
                <w:szCs w:val="24"/>
                <w:color w:val="auto"/>
                <w:vertAlign w:val="superscript"/>
              </w:rPr>
              <w:t>(9)</w:t>
            </w:r>
          </w:p>
        </w:tc>
        <w:tc>
          <w:tcPr>
            <w:tcW w:w="420" w:type="dxa"/>
            <w:vAlign w:val="bottom"/>
          </w:tcPr>
          <w:p>
            <w:pPr>
              <w:spacing w:after="0"/>
              <w:rPr>
                <w:sz w:val="18"/>
                <w:szCs w:val="18"/>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12.0 %</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34.8 %</w:t>
            </w:r>
          </w:p>
        </w:tc>
      </w:tr>
      <w:tr>
        <w:trPr>
          <w:trHeight w:val="21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Data:</w:t>
            </w: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694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Average debt outstanding </w:t>
            </w:r>
            <w:r>
              <w:rPr>
                <w:rFonts w:ascii="Times New Roman" w:cs="Times New Roman" w:eastAsia="Times New Roman" w:hAnsi="Times New Roman"/>
                <w:sz w:val="24"/>
                <w:szCs w:val="24"/>
                <w:color w:val="auto"/>
                <w:vertAlign w:val="superscript"/>
              </w:rPr>
              <w:t>(7)</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385,290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405,150</w:t>
            </w:r>
          </w:p>
        </w:tc>
        <w:tc>
          <w:tcPr>
            <w:tcW w:w="220" w:type="dxa"/>
            <w:vAlign w:val="bottom"/>
          </w:tcPr>
          <w:p>
            <w:pPr>
              <w:spacing w:after="0"/>
              <w:rPr>
                <w:sz w:val="18"/>
                <w:szCs w:val="18"/>
                <w:color w:val="auto"/>
              </w:rPr>
            </w:pPr>
          </w:p>
        </w:tc>
      </w:tr>
      <w:tr>
        <w:trPr>
          <w:trHeight w:val="216"/>
        </w:trPr>
        <w:tc>
          <w:tcPr>
            <w:tcW w:w="694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Average debt per share </w:t>
            </w:r>
            <w:r>
              <w:rPr>
                <w:rFonts w:ascii="Times New Roman" w:cs="Times New Roman" w:eastAsia="Times New Roman" w:hAnsi="Times New Roman"/>
                <w:sz w:val="24"/>
                <w:szCs w:val="24"/>
                <w:color w:val="auto"/>
                <w:vertAlign w:val="superscript"/>
              </w:rPr>
              <w:t>(1)</w:t>
            </w: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2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-1971040</wp:posOffset>
            </wp:positionV>
            <wp:extent cx="15430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-1953895</wp:posOffset>
            </wp:positionV>
            <wp:extent cx="15430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-1971040</wp:posOffset>
            </wp:positionV>
            <wp:extent cx="14541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-1953895</wp:posOffset>
            </wp:positionV>
            <wp:extent cx="14541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73" w:lineRule="exact"/>
        <w:rPr>
          <w:sz w:val="20"/>
          <w:szCs w:val="20"/>
          <w:color w:val="auto"/>
        </w:rPr>
      </w:pPr>
    </w:p>
    <w:p>
      <w:pPr>
        <w:ind w:left="520" w:hanging="499"/>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per share data.</w:t>
      </w:r>
    </w:p>
    <w:p>
      <w:pPr>
        <w:spacing w:after="0" w:line="27" w:lineRule="exact"/>
        <w:rPr>
          <w:rFonts w:ascii="Times New Roman" w:cs="Times New Roman" w:eastAsia="Times New Roman" w:hAnsi="Times New Roman"/>
          <w:sz w:val="14"/>
          <w:szCs w:val="14"/>
          <w:color w:val="auto"/>
        </w:rPr>
      </w:pPr>
    </w:p>
    <w:p>
      <w:pPr>
        <w:ind w:left="520" w:hanging="499"/>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Annualized with the exception of income tax (provision) benefit from realized gains on investments.</w:t>
      </w:r>
    </w:p>
    <w:p>
      <w:pPr>
        <w:spacing w:after="0" w:line="14" w:lineRule="exact"/>
        <w:rPr>
          <w:rFonts w:ascii="Times New Roman" w:cs="Times New Roman" w:eastAsia="Times New Roman" w:hAnsi="Times New Roman"/>
          <w:sz w:val="14"/>
          <w:szCs w:val="14"/>
          <w:color w:val="auto"/>
        </w:rPr>
      </w:pPr>
    </w:p>
    <w:p>
      <w:pPr>
        <w:jc w:val="both"/>
        <w:ind w:left="520" w:right="40" w:hanging="499"/>
        <w:spacing w:after="0" w:line="241" w:lineRule="auto"/>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based on market value equals the change in the market value of the Company’s common stock per share during the period divided by the market value per share at the beginning of the period, and assumes reinvestment of dividends at prices obtained by our dividend reinvestment plan during the period. The return does not reflect any sales load that may be paid by an investor.</w:t>
      </w:r>
    </w:p>
    <w:p>
      <w:pPr>
        <w:spacing w:after="0" w:line="1" w:lineRule="exact"/>
        <w:rPr>
          <w:rFonts w:ascii="Times New Roman" w:cs="Times New Roman" w:eastAsia="Times New Roman" w:hAnsi="Times New Roman"/>
          <w:sz w:val="14"/>
          <w:szCs w:val="14"/>
          <w:color w:val="auto"/>
        </w:rPr>
      </w:pPr>
    </w:p>
    <w:p>
      <w:pPr>
        <w:ind w:left="520" w:right="20" w:hanging="499"/>
        <w:spacing w:after="0" w:line="241" w:lineRule="auto"/>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expenses to average net assets ratio is calculated using (i) the “total expenses, net of base management waiver”, (ii) the “income tax provision (benefit)”, and (iii) the “income tax (provision) benefit from realized gains on investments” captions, as presented on the consolidated statements of operations.</w:t>
      </w:r>
    </w:p>
    <w:p>
      <w:pPr>
        <w:ind w:left="520" w:right="40" w:hanging="499"/>
        <w:spacing w:after="0" w:line="241" w:lineRule="auto"/>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investment income to average net assets ratio is calculated using the net investment income caption as presented on the consolidated statements of operations, which includes incentive fee.</w:t>
      </w:r>
    </w:p>
    <w:p>
      <w:pPr>
        <w:ind w:left="520" w:hanging="499"/>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net assets is calculated as the average of the net asset balances as of each quarter end during the fiscal year and the prior year end.</w:t>
      </w:r>
    </w:p>
    <w:p>
      <w:pPr>
        <w:spacing w:after="0" w:line="14" w:lineRule="exact"/>
        <w:rPr>
          <w:rFonts w:ascii="Times New Roman" w:cs="Times New Roman" w:eastAsia="Times New Roman" w:hAnsi="Times New Roman"/>
          <w:sz w:val="14"/>
          <w:szCs w:val="14"/>
          <w:color w:val="auto"/>
        </w:rPr>
      </w:pPr>
    </w:p>
    <w:p>
      <w:pPr>
        <w:ind w:left="520" w:hanging="499"/>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debt outstanding is calculated as the average of the outstanding debt balances, including secured borrowings, as of each quarter end during the fiscal year and the prior year end.</w:t>
      </w:r>
    </w:p>
    <w:p>
      <w:pPr>
        <w:spacing w:after="0" w:line="109" w:lineRule="exact"/>
        <w:rPr>
          <w:rFonts w:ascii="Times New Roman" w:cs="Times New Roman" w:eastAsia="Times New Roman" w:hAnsi="Times New Roman"/>
          <w:sz w:val="14"/>
          <w:szCs w:val="14"/>
          <w:color w:val="auto"/>
        </w:rPr>
      </w:pPr>
    </w:p>
    <w:p>
      <w:pPr>
        <w:jc w:val="both"/>
        <w:ind w:left="520" w:right="20" w:hanging="499"/>
        <w:spacing w:after="0" w:line="251" w:lineRule="auto"/>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based on net asset value per share equals the change in net asset value per share during the period, plus dividends paid per share during the period, less other non-operating changes during the period, and divided by beginning net asset value per share for the period. Non-operating changes include any items that affect net asset value per share other than increase from investment operations, such as the effects of share issuances and repurchases and other miscellaneous items.</w:t>
      </w:r>
    </w:p>
    <w:p>
      <w:pPr>
        <w:spacing w:after="0" w:line="156" w:lineRule="exact"/>
        <w:rPr>
          <w:rFonts w:ascii="Times New Roman" w:cs="Times New Roman" w:eastAsia="Times New Roman" w:hAnsi="Times New Roman"/>
          <w:sz w:val="14"/>
          <w:szCs w:val="14"/>
          <w:color w:val="auto"/>
        </w:rPr>
      </w:pPr>
    </w:p>
    <w:p>
      <w:pPr>
        <w:ind w:left="520" w:hanging="499"/>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Annualized.</w:t>
      </w:r>
    </w:p>
    <w:p>
      <w:pPr>
        <w:spacing w:after="0" w:line="27" w:lineRule="exact"/>
        <w:rPr>
          <w:rFonts w:ascii="Times New Roman" w:cs="Times New Roman" w:eastAsia="Times New Roman" w:hAnsi="Times New Roman"/>
          <w:sz w:val="14"/>
          <w:szCs w:val="14"/>
          <w:color w:val="auto"/>
        </w:rPr>
      </w:pPr>
    </w:p>
    <w:p>
      <w:pPr>
        <w:ind w:left="520" w:hanging="499"/>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are schedules of supplemental expense ratios to average net assets: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08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6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3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Ratio to average net assets:</w:t>
            </w: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tcBorders>
          </w:tcPr>
          <w:p>
            <w:pPr>
              <w:spacing w:after="0"/>
              <w:rPr>
                <w:sz w:val="20"/>
                <w:szCs w:val="20"/>
                <w:color w:val="auto"/>
              </w:rPr>
            </w:pPr>
          </w:p>
        </w:tc>
        <w:tc>
          <w:tcPr>
            <w:tcW w:w="18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4080" w:type="dxa"/>
            <w:vAlign w:val="bottom"/>
          </w:tcPr>
          <w:p>
            <w:pPr>
              <w:ind w:left="20"/>
              <w:spacing w:after="0" w:line="164" w:lineRule="exact"/>
              <w:rPr>
                <w:sz w:val="20"/>
                <w:szCs w:val="20"/>
                <w:color w:val="auto"/>
              </w:rPr>
            </w:pPr>
            <w:r>
              <w:rPr>
                <w:rFonts w:ascii="Times New Roman" w:cs="Times New Roman" w:eastAsia="Times New Roman" w:hAnsi="Times New Roman"/>
                <w:sz w:val="15"/>
                <w:szCs w:val="15"/>
                <w:color w:val="auto"/>
              </w:rPr>
              <w:t xml:space="preserve">Expenses other than incentive fee </w:t>
            </w:r>
            <w:r>
              <w:rPr>
                <w:rFonts w:ascii="Times New Roman" w:cs="Times New Roman" w:eastAsia="Times New Roman" w:hAnsi="Times New Roman"/>
                <w:sz w:val="19"/>
                <w:szCs w:val="19"/>
                <w:color w:val="auto"/>
                <w:vertAlign w:val="superscript"/>
              </w:rPr>
              <w:t>(2)</w:t>
            </w:r>
          </w:p>
        </w:tc>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7.3</w:t>
            </w:r>
          </w:p>
        </w:tc>
        <w:tc>
          <w:tcPr>
            <w:tcW w:w="440" w:type="dxa"/>
            <w:vAlign w:val="bottom"/>
          </w:tcPr>
          <w:p>
            <w:pPr>
              <w:jc w:val="right"/>
              <w:ind w:right="190"/>
              <w:spacing w:after="0" w:line="164" w:lineRule="exact"/>
              <w:rPr>
                <w:sz w:val="20"/>
                <w:szCs w:val="20"/>
                <w:color w:val="auto"/>
              </w:rPr>
            </w:pPr>
            <w:r>
              <w:rPr>
                <w:rFonts w:ascii="Times New Roman" w:cs="Times New Roman" w:eastAsia="Times New Roman" w:hAnsi="Times New Roman"/>
                <w:sz w:val="18"/>
                <w:szCs w:val="18"/>
                <w:color w:val="auto"/>
                <w:w w:val="93"/>
              </w:rPr>
              <w:t>%</w:t>
            </w:r>
          </w:p>
        </w:tc>
        <w:tc>
          <w:tcPr>
            <w:tcW w:w="180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9.2</w:t>
            </w:r>
          </w:p>
        </w:tc>
        <w:tc>
          <w:tcPr>
            <w:tcW w:w="2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Incentive fee </w:t>
            </w:r>
            <w:r>
              <w:rPr>
                <w:rFonts w:ascii="Times New Roman" w:cs="Times New Roman" w:eastAsia="Times New Roman" w:hAnsi="Times New Roman"/>
                <w:sz w:val="24"/>
                <w:szCs w:val="24"/>
                <w:color w:val="auto"/>
                <w:vertAlign w:val="superscript"/>
              </w:rPr>
              <w:t>(9)</w:t>
            </w:r>
          </w:p>
        </w:tc>
        <w:tc>
          <w:tcPr>
            <w:tcW w:w="51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1.1 %</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38"/>
        </w:trPr>
        <w:tc>
          <w:tcPr>
            <w:tcW w:w="4080" w:type="dxa"/>
            <w:vAlign w:val="bottom"/>
            <w:vMerge w:val="restart"/>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Total expenses </w:t>
            </w:r>
            <w:r>
              <w:rPr>
                <w:rFonts w:ascii="Times New Roman" w:cs="Times New Roman" w:eastAsia="Times New Roman" w:hAnsi="Times New Roman"/>
                <w:sz w:val="24"/>
                <w:szCs w:val="24"/>
                <w:color w:val="auto"/>
                <w:vertAlign w:val="superscript"/>
              </w:rPr>
              <w:t>(2)(4)</w:t>
            </w:r>
          </w:p>
        </w:tc>
        <w:tc>
          <w:tcPr>
            <w:tcW w:w="2900" w:type="dxa"/>
            <w:vAlign w:val="bottom"/>
            <w:gridSpan w:val="2"/>
            <w:vMerge w:val="restart"/>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4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highlight w:val="white"/>
                <w:w w:val="93"/>
              </w:rPr>
              <w:t>%</w:t>
            </w:r>
          </w:p>
        </w:tc>
        <w:tc>
          <w:tcPr>
            <w:tcW w:w="1800" w:type="dxa"/>
            <w:vAlign w:val="bottom"/>
            <w:tcBorders>
              <w:bottom w:val="single" w:sz="8" w:color="auto"/>
            </w:tcBorders>
          </w:tcPr>
          <w:p>
            <w:pPr>
              <w:spacing w:after="0"/>
              <w:rPr>
                <w:sz w:val="3"/>
                <w:szCs w:val="3"/>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highlight w:val="white"/>
                <w:w w:val="93"/>
              </w:rPr>
              <w:t>%</w:t>
            </w:r>
          </w:p>
        </w:tc>
        <w:tc>
          <w:tcPr>
            <w:tcW w:w="0" w:type="dxa"/>
            <w:vAlign w:val="bottom"/>
          </w:tcPr>
          <w:p>
            <w:pPr>
              <w:spacing w:after="0"/>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2900" w:type="dxa"/>
            <w:vAlign w:val="bottom"/>
            <w:gridSpan w:val="2"/>
            <w:vMerge w:val="continue"/>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40" w:type="dxa"/>
            <w:vAlign w:val="bottom"/>
            <w:vMerge w:val="continue"/>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4080" w:type="dxa"/>
            <w:vAlign w:val="bottom"/>
          </w:tcPr>
          <w:p>
            <w:pPr>
              <w:spacing w:after="0"/>
              <w:rPr>
                <w:sz w:val="24"/>
                <w:szCs w:val="24"/>
                <w:color w:val="auto"/>
              </w:rPr>
            </w:pPr>
          </w:p>
        </w:tc>
        <w:tc>
          <w:tcPr>
            <w:tcW w:w="26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080" w:type="dxa"/>
            <w:vAlign w:val="bottom"/>
            <w:tcBorders>
              <w:bottom w:val="single" w:sz="8" w:color="9A9A9A"/>
            </w:tcBorders>
          </w:tcPr>
          <w:p>
            <w:pPr>
              <w:spacing w:after="0"/>
              <w:rPr>
                <w:sz w:val="8"/>
                <w:szCs w:val="8"/>
                <w:color w:val="auto"/>
              </w:rPr>
            </w:pPr>
          </w:p>
        </w:tc>
        <w:tc>
          <w:tcPr>
            <w:tcW w:w="26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-796290</wp:posOffset>
            </wp:positionV>
            <wp:extent cx="4286250" cy="260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28625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1454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tbl>
      <w:tblPr>
        <w:tblLayout w:type="fixed"/>
        <w:tblInd w:w="0" w:type="dxa"/>
        <w:tblCellMar>
          <w:top w:w="0" w:type="dxa"/>
          <w:left w:w="0" w:type="dxa"/>
          <w:bottom w:w="0" w:type="dxa"/>
          <w:right w:w="0" w:type="dxa"/>
        </w:tblCellMar>
      </w:tblPr>
      <w:tr>
        <w:trPr>
          <w:trHeight w:val="235"/>
        </w:trPr>
        <w:tc>
          <w:tcPr>
            <w:tcW w:w="6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80" w:type="dxa"/>
            <w:vAlign w:val="bottom"/>
            <w:gridSpan w:val="4"/>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7"/>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Ratio to average net assets:</w:t>
            </w:r>
          </w:p>
        </w:tc>
        <w:tc>
          <w:tcPr>
            <w:tcW w:w="186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r>
      <w:tr>
        <w:trPr>
          <w:trHeight w:val="216"/>
        </w:trPr>
        <w:tc>
          <w:tcPr>
            <w:tcW w:w="6720" w:type="dxa"/>
            <w:vAlign w:val="bottom"/>
            <w:tcBorders>
              <w:top w:val="single" w:sz="8" w:color="auto"/>
            </w:tcBorders>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Total expenses, before base management fee waiver </w:t>
            </w:r>
            <w:r>
              <w:rPr>
                <w:rFonts w:ascii="Times New Roman" w:cs="Times New Roman" w:eastAsia="Times New Roman" w:hAnsi="Times New Roman"/>
                <w:sz w:val="24"/>
                <w:szCs w:val="24"/>
                <w:color w:val="auto"/>
                <w:vertAlign w:val="superscript"/>
              </w:rPr>
              <w:t>(2)</w:t>
            </w:r>
          </w:p>
        </w:tc>
        <w:tc>
          <w:tcPr>
            <w:tcW w:w="140" w:type="dxa"/>
            <w:vAlign w:val="bottom"/>
          </w:tcPr>
          <w:p>
            <w:pPr>
              <w:spacing w:after="0"/>
              <w:rPr>
                <w:sz w:val="18"/>
                <w:szCs w:val="18"/>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8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Base management fee waiver </w:t>
            </w:r>
            <w:r>
              <w:rPr>
                <w:rFonts w:ascii="Times New Roman" w:cs="Times New Roman" w:eastAsia="Times New Roman" w:hAnsi="Times New Roman"/>
                <w:sz w:val="24"/>
                <w:szCs w:val="24"/>
                <w:color w:val="auto"/>
                <w:vertAlign w:val="superscript"/>
              </w:rPr>
              <w:t>(9)</w:t>
            </w:r>
          </w:p>
        </w:tc>
        <w:tc>
          <w:tcPr>
            <w:tcW w:w="2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(0.1 %)</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0"/>
        </w:trPr>
        <w:tc>
          <w:tcPr>
            <w:tcW w:w="67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6860" w:type="dxa"/>
            <w:vAlign w:val="bottom"/>
            <w:gridSpan w:val="2"/>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Total expenses </w:t>
            </w:r>
            <w:r>
              <w:rPr>
                <w:rFonts w:ascii="Times New Roman" w:cs="Times New Roman" w:eastAsia="Times New Roman" w:hAnsi="Times New Roman"/>
                <w:sz w:val="24"/>
                <w:szCs w:val="24"/>
                <w:color w:val="auto"/>
                <w:vertAlign w:val="superscript"/>
              </w:rPr>
              <w:t>(2)(4)</w:t>
            </w:r>
          </w:p>
        </w:tc>
        <w:tc>
          <w:tcPr>
            <w:tcW w:w="23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8.4 %</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color w:val="auto"/>
                <w:highlight w:val="white"/>
              </w:rPr>
              <w:t>%</w:t>
            </w:r>
          </w:p>
        </w:tc>
      </w:tr>
      <w:tr>
        <w:trPr>
          <w:trHeight w:val="20"/>
        </w:trPr>
        <w:tc>
          <w:tcPr>
            <w:tcW w:w="6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-153670</wp:posOffset>
            </wp:positionV>
            <wp:extent cx="196850" cy="15430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96850" cy="154305"/>
                    </a:xfrm>
                    <a:prstGeom prst="rect">
                      <a:avLst/>
                    </a:prstGeom>
                    <a:noFill/>
                  </pic:spPr>
                </pic:pic>
              </a:graphicData>
            </a:graphic>
          </wp:anchor>
        </w:drawing>
      </w:r>
    </w:p>
    <w:p>
      <w:pPr>
        <w:spacing w:after="0" w:line="160" w:lineRule="exact"/>
        <w:rPr>
          <w:sz w:val="20"/>
          <w:szCs w:val="20"/>
          <w:color w:val="auto"/>
        </w:rPr>
      </w:pPr>
    </w:p>
    <w:p>
      <w:pPr>
        <w:ind w:left="480" w:right="200" w:hanging="459"/>
        <w:spacing w:after="0" w:line="261" w:lineRule="auto"/>
        <w:tabs>
          <w:tab w:leader="none" w:pos="4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impact of different share amounts used in calculating per share data as a result of calculating certain per share data based on weighted average shares outstanding during the period and certain per share data based on the shares outstanding as of a period end or transaction date, or other rounding.</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162" w:lineRule="exact"/>
        <w:rPr>
          <w:sz w:val="20"/>
          <w:szCs w:val="20"/>
          <w:color w:val="auto"/>
        </w:rPr>
      </w:pPr>
    </w:p>
    <w:p>
      <w:pPr>
        <w:ind w:firstLine="469"/>
        <w:spacing w:after="0" w:line="266" w:lineRule="auto"/>
        <w:rPr>
          <w:sz w:val="20"/>
          <w:szCs w:val="20"/>
          <w:color w:val="auto"/>
        </w:rPr>
      </w:pPr>
      <w:r>
        <w:rPr>
          <w:rFonts w:ascii="Times New Roman" w:cs="Times New Roman" w:eastAsia="Times New Roman" w:hAnsi="Times New Roman"/>
          <w:sz w:val="18"/>
          <w:szCs w:val="18"/>
          <w:color w:val="auto"/>
        </w:rPr>
        <w:t>On April 1, 2022, the Company invested $8,500 in first lien debt and made a commitment up to $1,000 of additional first lien debt of Choice Technology Solutions, LLC (dba Choice Merchant Solutions, LLC), a leading omnichannel global payments platform.</w:t>
      </w:r>
    </w:p>
    <w:p>
      <w:pPr>
        <w:spacing w:after="0" w:line="122" w:lineRule="exact"/>
        <w:rPr>
          <w:sz w:val="20"/>
          <w:szCs w:val="20"/>
          <w:color w:val="auto"/>
        </w:rPr>
      </w:pPr>
    </w:p>
    <w:p>
      <w:pPr>
        <w:ind w:firstLine="469"/>
        <w:spacing w:after="0" w:line="266" w:lineRule="auto"/>
        <w:rPr>
          <w:sz w:val="20"/>
          <w:szCs w:val="20"/>
          <w:color w:val="auto"/>
        </w:rPr>
      </w:pPr>
      <w:r>
        <w:rPr>
          <w:rFonts w:ascii="Times New Roman" w:cs="Times New Roman" w:eastAsia="Times New Roman" w:hAnsi="Times New Roman"/>
          <w:sz w:val="18"/>
          <w:szCs w:val="18"/>
          <w:color w:val="auto"/>
        </w:rPr>
        <w:t>On April 13, 2022, the Company invested $11,002 in second lien debt of Virtex Enterprises, LP, a leading vertically integrated electronic manufacturing services provider.</w:t>
      </w:r>
    </w:p>
    <w:p>
      <w:pPr>
        <w:spacing w:after="0" w:line="108" w:lineRule="exact"/>
        <w:rPr>
          <w:sz w:val="20"/>
          <w:szCs w:val="20"/>
          <w:color w:val="auto"/>
        </w:rPr>
      </w:pPr>
    </w:p>
    <w:p>
      <w:pPr>
        <w:ind w:right="20" w:firstLine="469"/>
        <w:spacing w:after="0" w:line="266" w:lineRule="auto"/>
        <w:rPr>
          <w:sz w:val="20"/>
          <w:szCs w:val="20"/>
          <w:color w:val="auto"/>
        </w:rPr>
      </w:pPr>
      <w:r>
        <w:rPr>
          <w:rFonts w:ascii="Times New Roman" w:cs="Times New Roman" w:eastAsia="Times New Roman" w:hAnsi="Times New Roman"/>
          <w:sz w:val="18"/>
          <w:szCs w:val="18"/>
          <w:color w:val="auto"/>
        </w:rPr>
        <w:t>On April 19, 2022, the Company exited its debt investment in Comply365, LLC. The Company received payment in full of $8,760 on its first lien debt, which includes a prepayment fee.</w:t>
      </w:r>
    </w:p>
    <w:p>
      <w:pPr>
        <w:spacing w:after="0" w:line="122" w:lineRule="exact"/>
        <w:rPr>
          <w:sz w:val="20"/>
          <w:szCs w:val="20"/>
          <w:color w:val="auto"/>
        </w:rPr>
      </w:pPr>
    </w:p>
    <w:p>
      <w:pPr>
        <w:ind w:right="20" w:firstLine="469"/>
        <w:spacing w:after="0" w:line="266" w:lineRule="auto"/>
        <w:rPr>
          <w:sz w:val="20"/>
          <w:szCs w:val="20"/>
          <w:color w:val="auto"/>
        </w:rPr>
      </w:pPr>
      <w:r>
        <w:rPr>
          <w:rFonts w:ascii="Times New Roman" w:cs="Times New Roman" w:eastAsia="Times New Roman" w:hAnsi="Times New Roman"/>
          <w:sz w:val="18"/>
          <w:szCs w:val="18"/>
          <w:color w:val="auto"/>
        </w:rPr>
        <w:t>On April 21, 2022, the Company exited its equity investment in TransGo, LLC. The Company received a distribution on its common equity investment for a realized gain of approximately $1,923.</w:t>
      </w:r>
    </w:p>
    <w:p>
      <w:pPr>
        <w:spacing w:after="0" w:line="108" w:lineRule="exact"/>
        <w:rPr>
          <w:sz w:val="20"/>
          <w:szCs w:val="20"/>
          <w:color w:val="auto"/>
        </w:rPr>
      </w:pPr>
    </w:p>
    <w:p>
      <w:pPr>
        <w:ind w:firstLine="469"/>
        <w:spacing w:after="0" w:line="282" w:lineRule="auto"/>
        <w:rPr>
          <w:sz w:val="20"/>
          <w:szCs w:val="20"/>
          <w:color w:val="auto"/>
        </w:rPr>
      </w:pPr>
      <w:r>
        <w:rPr>
          <w:rFonts w:ascii="Times New Roman" w:cs="Times New Roman" w:eastAsia="Times New Roman" w:hAnsi="Times New Roman"/>
          <w:sz w:val="18"/>
          <w:szCs w:val="18"/>
          <w:color w:val="auto"/>
        </w:rPr>
        <w:t>On May 2, 2022, the Board declared a regular quarterly dividend of $0.36 per share and a supplemental dividend of $0.07 per share payable on June 24, 2022, to stockholders of record as of June 10, 2022.</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Fidus Investment Corporation’s consolidated financial statements and related notes appearing in our annual report on Form 10-K for the year ended December 31, 2021, filed with the SEC on March 3, 2022. The information contained in this section should also be read in conjunction with our unaudited consolidated financial statements and related notes thereto appearing elsewhere in this quarterly report on Form 10-Q.</w:t>
      </w:r>
    </w:p>
    <w:p>
      <w:pPr>
        <w:spacing w:after="0" w:line="160" w:lineRule="exact"/>
        <w:rPr>
          <w:sz w:val="20"/>
          <w:szCs w:val="20"/>
          <w:color w:val="auto"/>
        </w:rPr>
      </w:pPr>
    </w:p>
    <w:p>
      <w:pPr>
        <w:jc w:val="both"/>
        <w:ind w:firstLine="281"/>
        <w:spacing w:after="0" w:line="284" w:lineRule="auto"/>
        <w:rPr>
          <w:sz w:val="20"/>
          <w:szCs w:val="20"/>
          <w:color w:val="auto"/>
        </w:rPr>
      </w:pPr>
      <w:r>
        <w:rPr>
          <w:rFonts w:ascii="Times New Roman" w:cs="Times New Roman" w:eastAsia="Times New Roman" w:hAnsi="Times New Roman"/>
          <w:sz w:val="18"/>
          <w:szCs w:val="18"/>
          <w:i w:val="1"/>
          <w:iCs w:val="1"/>
          <w:color w:val="auto"/>
        </w:rPr>
        <w:t>Except as otherwise specified, references to “we,” “us,” “our,” “Fidus” and “FIC” refer to Fidus Investment Corporation and its consolidated subsidiaries.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62"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Fidus Investment Corporation,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Quarterly Report on Form 10-Q involve risks and uncertainties, including statements as to:</w:t>
      </w:r>
    </w:p>
    <w:p>
      <w:pPr>
        <w:spacing w:after="0" w:line="126"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 and the uncertainties associated with the continued impact of the COVID-19 pandemic thereon;</w:t>
      </w:r>
    </w:p>
    <w:p>
      <w:pPr>
        <w:spacing w:after="0" w:line="1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and lending markets;</w:t>
      </w:r>
    </w:p>
    <w:p>
      <w:pPr>
        <w:spacing w:after="0" w:line="7" w:lineRule="exact"/>
        <w:rPr>
          <w:rFonts w:ascii="Times New Roman" w:cs="Times New Roman" w:eastAsia="Times New Roman" w:hAnsi="Times New Roman"/>
          <w:sz w:val="18"/>
          <w:szCs w:val="18"/>
          <w:color w:val="auto"/>
        </w:rPr>
      </w:pPr>
    </w:p>
    <w:p>
      <w:pPr>
        <w:ind w:left="1020" w:right="160" w:hanging="503"/>
        <w:spacing w:after="0" w:line="235"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portfolio companies, including our and their ability to achieve our respective objectives as a result of the current COVID-19 pandemic;</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7" w:lineRule="exact"/>
        <w:rPr>
          <w:rFonts w:ascii="Times New Roman" w:cs="Times New Roman" w:eastAsia="Times New Roman" w:hAnsi="Times New Roman"/>
          <w:sz w:val="18"/>
          <w:szCs w:val="18"/>
          <w:color w:val="auto"/>
        </w:rPr>
      </w:pPr>
    </w:p>
    <w:p>
      <w:pPr>
        <w:ind w:left="1020" w:hanging="503"/>
        <w:spacing w:after="0" w:line="23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ind w:left="1020" w:right="540" w:hanging="503"/>
        <w:spacing w:after="0" w:line="24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 and the impact of the COVID-19 pandemic thereon;</w:t>
      </w:r>
    </w:p>
    <w:p>
      <w:pPr>
        <w:spacing w:after="0" w:line="1" w:lineRule="exact"/>
        <w:rPr>
          <w:rFonts w:ascii="Times New Roman" w:cs="Times New Roman" w:eastAsia="Times New Roman" w:hAnsi="Times New Roman"/>
          <w:sz w:val="18"/>
          <w:szCs w:val="18"/>
          <w:color w:val="auto"/>
        </w:rPr>
      </w:pPr>
    </w:p>
    <w:p>
      <w:pPr>
        <w:ind w:left="1020" w:hanging="503"/>
        <w:spacing w:after="0" w:line="23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to achieve their objectives;</w:t>
      </w:r>
    </w:p>
    <w:p>
      <w:pPr>
        <w:ind w:left="1020" w:hanging="503"/>
        <w:spacing w:after="0" w:line="234"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 and investments;</w:t>
      </w:r>
    </w:p>
    <w:p>
      <w:pPr>
        <w:ind w:left="1020" w:hanging="503"/>
        <w:spacing w:after="0" w:line="234"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portfolio companies and the impact of the COVID-19 pandemic thereon;</w:t>
      </w:r>
    </w:p>
    <w:p>
      <w:pPr>
        <w:spacing w:after="0" w:line="7" w:lineRule="exact"/>
        <w:rPr>
          <w:rFonts w:ascii="Times New Roman" w:cs="Times New Roman" w:eastAsia="Times New Roman" w:hAnsi="Times New Roman"/>
          <w:sz w:val="18"/>
          <w:szCs w:val="18"/>
          <w:color w:val="auto"/>
        </w:rPr>
      </w:pPr>
    </w:p>
    <w:p>
      <w:pPr>
        <w:ind w:left="1020" w:right="160" w:hanging="503"/>
        <w:spacing w:after="0" w:line="235"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Investment Advisor to locate suitable investments for us and to monitor and administer our investments and the impacts of the COVID-19 pandemic thereon;</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investment advisor to attract and retain highly talented professionals;</w:t>
      </w:r>
    </w:p>
    <w:p>
      <w:pPr>
        <w:spacing w:after="0" w:line="7" w:lineRule="exact"/>
        <w:rPr>
          <w:rFonts w:ascii="Times New Roman" w:cs="Times New Roman" w:eastAsia="Times New Roman" w:hAnsi="Times New Roman"/>
          <w:sz w:val="18"/>
          <w:szCs w:val="18"/>
          <w:color w:val="auto"/>
        </w:rPr>
      </w:pPr>
    </w:p>
    <w:p>
      <w:pPr>
        <w:ind w:left="1020" w:hanging="503"/>
        <w:spacing w:after="0" w:line="23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regulatory structure and tax treatment;</w:t>
      </w:r>
    </w:p>
    <w:p>
      <w:pPr>
        <w:ind w:left="1020" w:hanging="503"/>
        <w:spacing w:after="0" w:line="234"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as a BDC and a RIC and each of the Funds to operate as an SBIC;</w:t>
      </w: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form and amount of any dividend distributions;</w:t>
      </w:r>
    </w:p>
    <w:p>
      <w:pPr>
        <w:spacing w:after="0" w:line="7" w:lineRule="exact"/>
        <w:rPr>
          <w:rFonts w:ascii="Times New Roman" w:cs="Times New Roman" w:eastAsia="Times New Roman" w:hAnsi="Times New Roman"/>
          <w:sz w:val="18"/>
          <w:szCs w:val="18"/>
          <w:color w:val="auto"/>
        </w:rPr>
      </w:pPr>
    </w:p>
    <w:p>
      <w:pPr>
        <w:ind w:left="1020" w:hanging="503"/>
        <w:spacing w:after="0" w:line="23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rate volatility, including the decommissioning of LIBOR, and inflation on our business;</w:t>
      </w:r>
    </w:p>
    <w:p>
      <w:pPr>
        <w:ind w:left="1020" w:hanging="503"/>
        <w:spacing w:after="0" w:line="234"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any investments in portfolio companies, particularly those having no liquid trading market; and</w:t>
      </w: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recover unrealized losses.</w:t>
      </w:r>
    </w:p>
    <w:p>
      <w:pPr>
        <w:spacing w:after="0" w:line="15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50" w:lineRule="exact"/>
        <w:rPr>
          <w:sz w:val="20"/>
          <w:szCs w:val="20"/>
          <w:color w:val="auto"/>
        </w:rPr>
      </w:pPr>
    </w:p>
    <w:p>
      <w:pPr>
        <w:ind w:left="1020" w:right="20" w:hanging="503"/>
        <w:spacing w:after="0" w:line="247"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including as a result of the current COVID-19 pandemic, and significant disruptions to our portfolio companies, including supply chain disruptions and labor shortages, could impair our portfolio companies’ ability to continue to operate, which could lead to the loss of some or all of our investments in such portfolio companies;</w:t>
      </w:r>
    </w:p>
    <w:p>
      <w:pPr>
        <w:spacing w:after="0" w:line="1" w:lineRule="exact"/>
        <w:rPr>
          <w:rFonts w:ascii="Times New Roman" w:cs="Times New Roman" w:eastAsia="Times New Roman" w:hAnsi="Times New Roman"/>
          <w:sz w:val="18"/>
          <w:szCs w:val="18"/>
          <w:color w:val="auto"/>
        </w:rPr>
      </w:pPr>
    </w:p>
    <w:p>
      <w:pPr>
        <w:ind w:left="1020" w:right="420" w:hanging="503"/>
        <w:spacing w:after="0" w:line="24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contraction of available credit and/or an inability to access the equity markets, including as a result of the COVID-19 pandemic, could impair our lending and investment activities;</w:t>
      </w:r>
    </w:p>
    <w:p>
      <w:pPr>
        <w:spacing w:after="0" w:line="1" w:lineRule="exact"/>
        <w:rPr>
          <w:rFonts w:ascii="Times New Roman" w:cs="Times New Roman" w:eastAsia="Times New Roman" w:hAnsi="Times New Roman"/>
          <w:sz w:val="18"/>
          <w:szCs w:val="18"/>
          <w:color w:val="auto"/>
        </w:rPr>
      </w:pPr>
    </w:p>
    <w:p>
      <w:pPr>
        <w:ind w:left="1020" w:right="160" w:hanging="503"/>
        <w:spacing w:after="0" w:line="234"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vo</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atility, including the decommissioning of LIBOR, could adversely affect our results, particularly because we use leverage as part of our investment strategy;</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could adversely affect our business, results of operations and financial condition of our portfolio companies, which may, in turn,</w:t>
      </w:r>
    </w:p>
    <w:p>
      <w:pPr>
        <w:spacing w:after="0" w:line="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impact the valuation of such portfolio companies; and</w:t>
      </w: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6" w:name="page37"/>
    <w:bookmarkEnd w:id="36"/>
    <w:p>
      <w:pPr>
        <w:ind w:left="1020" w:right="26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Item 1A. – Risk Factors contained in our Annual Report on Form 10-K for the year ended December 31, 2021, elsewhere in this Quarterly Report on Form 10-Q and in our other filings with the SEC.</w:t>
      </w:r>
    </w:p>
    <w:p>
      <w:pPr>
        <w:spacing w:after="0" w:line="94" w:lineRule="exact"/>
        <w:rPr>
          <w:sz w:val="20"/>
          <w:szCs w:val="20"/>
          <w:color w:val="auto"/>
        </w:rPr>
      </w:pPr>
    </w:p>
    <w:p>
      <w:pPr>
        <w:jc w:val="both"/>
        <w:ind w:firstLine="829"/>
        <w:spacing w:after="0" w:line="245" w:lineRule="auto"/>
        <w:rPr>
          <w:sz w:val="20"/>
          <w:szCs w:val="20"/>
          <w:color w:val="auto"/>
        </w:rPr>
      </w:pPr>
      <w:r>
        <w:rPr>
          <w:rFonts w:ascii="Times New Roman" w:cs="Times New Roman" w:eastAsia="Times New Roman" w:hAnsi="Times New Roman"/>
          <w:sz w:val="18"/>
          <w:szCs w:val="18"/>
          <w:color w:val="auto"/>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debt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w:t>
      </w:r>
      <w:r>
        <w:rPr>
          <w:rFonts w:ascii="Times New Roman" w:cs="Times New Roman" w:eastAsia="Times New Roman" w:hAnsi="Times New Roman"/>
          <w:sz w:val="18"/>
          <w:szCs w:val="18"/>
          <w:i w:val="1"/>
          <w:iCs w:val="1"/>
          <w:color w:val="auto"/>
        </w:rPr>
        <w:t>Item 1.A – Risk Factors</w:t>
      </w:r>
      <w:r>
        <w:rPr>
          <w:rFonts w:ascii="Times New Roman" w:cs="Times New Roman" w:eastAsia="Times New Roman" w:hAnsi="Times New Roman"/>
          <w:sz w:val="18"/>
          <w:szCs w:val="18"/>
          <w:color w:val="auto"/>
        </w:rPr>
        <w:t xml:space="preserve"> contained in our Annual Report on Form 10-K for the year ended December 31, 2021, filed with the SEC on March 3, 2022. You should not place undue reliance on these forward-looking statements, which apply only as of the date of this Quarterly Report on Form 10-Q.</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General and Corporate Structure</w:t>
      </w:r>
    </w:p>
    <w:p>
      <w:pPr>
        <w:spacing w:after="0" w:line="160" w:lineRule="exact"/>
        <w:rPr>
          <w:sz w:val="20"/>
          <w:szCs w:val="20"/>
          <w:color w:val="auto"/>
        </w:rPr>
      </w:pPr>
    </w:p>
    <w:p>
      <w:pPr>
        <w:jc w:val="both"/>
        <w:ind w:firstLine="478"/>
        <w:spacing w:after="0" w:line="247" w:lineRule="auto"/>
        <w:rPr>
          <w:sz w:val="20"/>
          <w:szCs w:val="20"/>
          <w:color w:val="auto"/>
        </w:rPr>
      </w:pPr>
      <w:r>
        <w:rPr>
          <w:rFonts w:ascii="Times New Roman" w:cs="Times New Roman" w:eastAsia="Times New Roman" w:hAnsi="Times New Roman"/>
          <w:sz w:val="18"/>
          <w:szCs w:val="18"/>
          <w:color w:val="auto"/>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w:t>
      </w:r>
    </w:p>
    <w:p>
      <w:pPr>
        <w:spacing w:after="0" w:line="126" w:lineRule="exact"/>
        <w:rPr>
          <w:sz w:val="20"/>
          <w:szCs w:val="20"/>
          <w:color w:val="auto"/>
        </w:rPr>
      </w:pPr>
    </w:p>
    <w:p>
      <w:pPr>
        <w:jc w:val="both"/>
        <w:ind w:firstLine="478"/>
        <w:spacing w:after="0" w:line="244" w:lineRule="auto"/>
        <w:rPr>
          <w:sz w:val="20"/>
          <w:szCs w:val="20"/>
          <w:color w:val="auto"/>
        </w:rPr>
      </w:pPr>
      <w:r>
        <w:rPr>
          <w:rFonts w:ascii="Times New Roman" w:cs="Times New Roman" w:eastAsia="Times New Roman" w:hAnsi="Times New Roman"/>
          <w:sz w:val="18"/>
          <w:szCs w:val="18"/>
          <w:color w:val="auto"/>
        </w:rPr>
        <w:t>FIC was formed as a Maryland corporation on February 14, 2011. We completed our initial public offering, or IPO, in June 2011. On June 20, 2011, FIC acquired all of the limited partnership interests of Fund I and membership interests of Fidus Mezzanine Capital GP, LLC, its general partner, resulting in Fund I becoming our wholly-owned SBIC subsidiary. Immediately following the acquisition, we and Fund I elected to be treated as business development companies, or BDCs, under the 1940 Act and our investment activities have been managed by Fidus Investment Advisors, LLC, our investment advisor, and supervised by our board of directors, a majority of whom are independent of us. On March 29, 2013, we commenced operations of a second wholly-owned subsidiary, Fund II. On April 18, 2018, we commenced operations of a third wholly-owned subsidiary, Fund III.</w:t>
      </w:r>
    </w:p>
    <w:p>
      <w:pPr>
        <w:spacing w:after="0" w:line="141" w:lineRule="exact"/>
        <w:rPr>
          <w:sz w:val="20"/>
          <w:szCs w:val="20"/>
          <w:color w:val="auto"/>
        </w:rPr>
      </w:pPr>
    </w:p>
    <w:p>
      <w:pPr>
        <w:jc w:val="both"/>
        <w:ind w:firstLine="478"/>
        <w:spacing w:after="0" w:line="246" w:lineRule="auto"/>
        <w:rPr>
          <w:sz w:val="20"/>
          <w:szCs w:val="20"/>
          <w:color w:val="auto"/>
        </w:rPr>
      </w:pPr>
      <w:r>
        <w:rPr>
          <w:rFonts w:ascii="Times New Roman" w:cs="Times New Roman" w:eastAsia="Times New Roman" w:hAnsi="Times New Roman"/>
          <w:sz w:val="18"/>
          <w:szCs w:val="18"/>
          <w:color w:val="auto"/>
        </w:rPr>
        <w:t>Fund II and Fund III received their SBIC licenses on May 28, 2013, and March 21, 2019, respectively. We plan to continue to operate the Funds as SBICs, subject to SBA approval, and to utilize the proceeds of the sale of SBA-guaranteed debentures to enhance returns to our stockholders. As of September 9, 2019, Fund I completed a wind-down plan, relinquished its SBIC license, and can no longer issue additional SBA debentures. We have also made, and continue to make, investments directly through FIC. We believe that utilizing FIC and the Funds as investment vehicles provides us with access to a broader array of investment opportunities</w:t>
      </w:r>
    </w:p>
    <w:p>
      <w:pPr>
        <w:spacing w:after="0" w:line="127" w:lineRule="exact"/>
        <w:rPr>
          <w:sz w:val="20"/>
          <w:szCs w:val="20"/>
          <w:color w:val="auto"/>
        </w:rPr>
      </w:pPr>
    </w:p>
    <w:p>
      <w:pPr>
        <w:jc w:val="both"/>
        <w:ind w:firstLine="478"/>
        <w:spacing w:after="0" w:line="243" w:lineRule="auto"/>
        <w:rPr>
          <w:sz w:val="20"/>
          <w:szCs w:val="20"/>
          <w:color w:val="auto"/>
        </w:rPr>
      </w:pPr>
      <w:r>
        <w:rPr>
          <w:rFonts w:ascii="Times New Roman" w:cs="Times New Roman" w:eastAsia="Times New Roman" w:hAnsi="Times New Roman"/>
          <w:sz w:val="18"/>
          <w:szCs w:val="18"/>
          <w:color w:val="auto"/>
        </w:rPr>
        <w:t>We have certain wholly-owned taxable subsidiaries (the “Taxable Subsidiaries”), each of which generally holds one or more of our portfolio investments listed on the consolidated schedules of investments. The Taxable Subsidiaries are consolidated for financial reporting purposes, such that our consolidated financial statements reflect our investment in the portfolio company investments owned by the Taxable Subsidiaries. The purpose of the Taxable Subsidiaries is to permit us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us for U.S. federal corporate income tax purposes, and each Taxable Subsidiary will be subject to U.S. federal corporate income tax on its taxable income. Any such income or expense is reflected in the consolidated statements of operations.</w:t>
      </w:r>
    </w:p>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COVID-19 Update</w:t>
      </w:r>
    </w:p>
    <w:p>
      <w:pPr>
        <w:spacing w:after="0" w:line="106"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On March 11, 2020, the World Health Organization declared the novel coronavirus, or COVID-19, as a pandemic, and on March 13, 2020 the United States declared a national emergency with respect to COVID-19. The outbreak of COVID-19 has severely impacted global economic activity and caused significant volatility and negative pressure in financial markets. We have been closely monitoring, and will continue to monitor, the impact of the COVID-19 pandemic, including the Delta and Omicron and other variants, and its impact on all aspects of our business, including how it will impact our portfolio companies, employees, due diligence and underwriting processes, and financial markets. Given the fluidity of the pandemic, we cannot estimate the long-term impact of COVID-19 on our business, future results of operations, financial position or cash flows at this time. Further, the operational and financial performance of the portfolio companies in which we make investments may be significantly impacted by COVID-19, which may in turn impact the valuation of our investments. We believe our portfolio companies have taken, and continue to take, immediate actions to effectively and efficiently respond to the challenges posed by COVID-19 and related orders imposed by state and local governments, including developing liquidity plans supported by internal cash reserves, and shareholder support. The COVID-19 pandemic and preventative measures taken to contain or mitigate its spread have caused, and are continuing to cause, business shutdowns and cancellations of events, restrictions on travel, significant reduction in demand for certain goods and services, reductions in business activity and financial transactions, supply chain disruptions, labor difficulties and shortages, commodity inflation and elements of economic and financial market instability in the United States and globally. Such effects will likely continue for the duration of the pandemic, which is uncertain, and for some period thereafter.</w:t>
      </w:r>
    </w:p>
    <w:p>
      <w:pPr>
        <w:spacing w:after="0" w:line="1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73" w:lineRule="exact"/>
        <w:rPr>
          <w:sz w:val="20"/>
          <w:szCs w:val="20"/>
          <w:color w:val="auto"/>
        </w:rPr>
      </w:pPr>
    </w:p>
    <w:p>
      <w:pPr>
        <w:jc w:val="both"/>
        <w:ind w:firstLine="656"/>
        <w:spacing w:after="0" w:line="250" w:lineRule="auto"/>
        <w:rPr>
          <w:sz w:val="20"/>
          <w:szCs w:val="20"/>
          <w:color w:val="auto"/>
        </w:rPr>
      </w:pPr>
      <w:r>
        <w:rPr>
          <w:rFonts w:ascii="Times New Roman" w:cs="Times New Roman" w:eastAsia="Times New Roman" w:hAnsi="Times New Roman"/>
          <w:sz w:val="18"/>
          <w:szCs w:val="18"/>
          <w:color w:val="auto"/>
        </w:rPr>
        <w:t>We seek to create a diversified investment portfolio that primarily includes debt investments and, to a lesser extent, equity securities. Our investments typically range between $5.0 million to $35.0 million per portfolio company, although this investment size may vary proportionately with the size of our capital base. Our investment objective is to provide attractive risk-adjusted returns by generating both current income from our debt investments and capital appreciation from our equity related investments. We may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8" w:name="page39"/>
    <w:bookmarkEnd w:id="38"/>
    <w:p>
      <w:pPr>
        <w:jc w:val="both"/>
        <w:spacing w:after="0" w:line="282" w:lineRule="auto"/>
        <w:rPr>
          <w:sz w:val="20"/>
          <w:szCs w:val="20"/>
          <w:color w:val="auto"/>
        </w:rPr>
      </w:pPr>
      <w:r>
        <w:rPr>
          <w:rFonts w:ascii="Times New Roman" w:cs="Times New Roman" w:eastAsia="Times New Roman" w:hAnsi="Times New Roman"/>
          <w:sz w:val="18"/>
          <w:szCs w:val="18"/>
          <w:color w:val="auto"/>
        </w:rPr>
        <w:t>invest in the equity securities of our portfolio companies, such as preferred stock, common stock, warrants and other equity interests, either directly or in conjunction with our debt investments.</w:t>
      </w:r>
    </w:p>
    <w:p>
      <w:pPr>
        <w:spacing w:after="0" w:line="92" w:lineRule="exact"/>
        <w:rPr>
          <w:sz w:val="20"/>
          <w:szCs w:val="20"/>
          <w:color w:val="auto"/>
        </w:rPr>
      </w:pPr>
    </w:p>
    <w:p>
      <w:pPr>
        <w:jc w:val="both"/>
        <w:ind w:firstLine="656"/>
        <w:spacing w:after="0" w:line="242" w:lineRule="auto"/>
        <w:rPr>
          <w:sz w:val="20"/>
          <w:szCs w:val="20"/>
          <w:color w:val="auto"/>
        </w:rPr>
      </w:pPr>
      <w:r>
        <w:rPr>
          <w:rFonts w:ascii="Times New Roman" w:cs="Times New Roman" w:eastAsia="Times New Roman" w:hAnsi="Times New Roman"/>
          <w:sz w:val="18"/>
          <w:szCs w:val="18"/>
          <w:i w:val="1"/>
          <w:iCs w:val="1"/>
          <w:color w:val="auto"/>
        </w:rPr>
        <w:t>First Lien Debt</w:t>
      </w:r>
      <w:r>
        <w:rPr>
          <w:rFonts w:ascii="Times New Roman" w:cs="Times New Roman" w:eastAsia="Times New Roman" w:hAnsi="Times New Roman"/>
          <w:sz w:val="18"/>
          <w:szCs w:val="18"/>
          <w:color w:val="auto"/>
        </w:rPr>
        <w:t>. We structure some of our investments as senior secured or first lien debt investments. First lien debt investments are secured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priority lien on existing and future assets of the borrower and may take the form of term loans or revolving lines of credit. First lien debt is typically senior on a lien basis to other liabilities in the issuer’s capital structure and has the benefit of a first-priority security interest in assets of the issuer. The security interest ranks above the security interest of any second lien lenders in those assets. Our first lien debt may include stand-alone first lien loans, “last out” first lien loans, or “unitranche” loans. Stand-alone first lien loans are traditional first lien loans. All lenders in the facility have equal rights to the collateral that is subject to the first-priority security interest. “Last out” first lien loans have a secondary priority behind super-senior “first out” first lien loans in the collateral securing the loans in certain circumstances. The arrangements for a “last out” first 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 lien loans. Agreements among lenders also typically provide greater voting rights to the “last out” lenders than the intercreditor agreements to which second lien lenders often are subject.</w:t>
      </w:r>
    </w:p>
    <w:p>
      <w:pPr>
        <w:spacing w:after="0" w:line="184" w:lineRule="exact"/>
        <w:rPr>
          <w:sz w:val="20"/>
          <w:szCs w:val="20"/>
          <w:color w:val="auto"/>
        </w:rPr>
      </w:pPr>
    </w:p>
    <w:p>
      <w:pPr>
        <w:jc w:val="both"/>
        <w:ind w:firstLine="656"/>
        <w:spacing w:after="0" w:line="258" w:lineRule="auto"/>
        <w:rPr>
          <w:sz w:val="20"/>
          <w:szCs w:val="20"/>
          <w:color w:val="auto"/>
        </w:rPr>
      </w:pPr>
      <w:r>
        <w:rPr>
          <w:rFonts w:ascii="Times New Roman" w:cs="Times New Roman" w:eastAsia="Times New Roman" w:hAnsi="Times New Roman"/>
          <w:sz w:val="18"/>
          <w:szCs w:val="18"/>
          <w:color w:val="auto"/>
        </w:rPr>
        <w:t>Many of our debt investments also include excess cash flow sweep features, whereby principal repayment may be required before maturity if the portfolio company achieves certain defined operating targets. Additionally, our debt investments typically have principal prepayment penalties in the early years of the debt investment. The majority of our debt investments provide for a variable interest rate, generally with a LIBOR floor.</w:t>
      </w:r>
    </w:p>
    <w:p>
      <w:pPr>
        <w:spacing w:after="0" w:line="113" w:lineRule="exact"/>
        <w:rPr>
          <w:sz w:val="20"/>
          <w:szCs w:val="20"/>
          <w:color w:val="auto"/>
        </w:rPr>
      </w:pPr>
    </w:p>
    <w:p>
      <w:pPr>
        <w:jc w:val="both"/>
        <w:ind w:firstLine="656"/>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Second Lien Debt. </w:t>
      </w:r>
      <w:r>
        <w:rPr>
          <w:rFonts w:ascii="Times New Roman" w:cs="Times New Roman" w:eastAsia="Times New Roman" w:hAnsi="Times New Roman"/>
          <w:sz w:val="18"/>
          <w:szCs w:val="18"/>
          <w:color w:val="auto"/>
        </w:rPr>
        <w:t>Some of our debt investments take the form of second lien debt, which includes senior subordinated notes. Second lien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obtain security interests in the assets of the portfolio company as collateral in support of the repayment of such loans. Second lien debt typically is senior on a lien basis to other liabilities in the issuer’s capital structure and has the benefit of a security interest over assets of the issuer, though ranking junior to first lien debt secured by those assets. First lien lenders and second lien lenders typically have separate liens on the collateral, and an intercreditor agreement provides the first lien lenders with priority over the second lien lenders’ liens on the collateral. These loans typically provide for no contractual loan amortization, with all amortization deferred until loan maturity, and may include payment-in-kind (“PIK”) interest, which increases the principal balance over the term and, coupled with the deferred principal payment provision, increases credit risk exposure over the life of the loan.</w:t>
      </w:r>
    </w:p>
    <w:p>
      <w:pPr>
        <w:spacing w:after="0" w:line="127" w:lineRule="exact"/>
        <w:rPr>
          <w:sz w:val="20"/>
          <w:szCs w:val="20"/>
          <w:color w:val="auto"/>
        </w:rPr>
      </w:pPr>
    </w:p>
    <w:p>
      <w:pPr>
        <w:jc w:val="both"/>
        <w:ind w:firstLine="656"/>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Subordinated Debt. </w:t>
      </w:r>
      <w:r>
        <w:rPr>
          <w:rFonts w:ascii="Times New Roman" w:cs="Times New Roman" w:eastAsia="Times New Roman" w:hAnsi="Times New Roman"/>
          <w:sz w:val="18"/>
          <w:szCs w:val="18"/>
          <w:color w:val="auto"/>
        </w:rPr>
        <w:t>These investments are typically structured as unsecured, subordinated notes. Structurally, subordinated debt usually ranks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subordinate in priority of payment to first lien and second lien debt and may not have the benefit of financial covenants common in first lien and second lien debt. Subordinated debt may rank junior as it relates to proceeds in certain liquidations where it does not have the benefit of a lien in specific collateral held by creditors (typically first lien and/or second lien) who have a perfected security interest in such collateral. However, subordinated debt ranks senior to common and preferred equity in an issuer’s capital structure. These loans typically have relatively higher fixed interest rates (often representing a combination of cash pay and PIK interest) and amortization of principal deferred to maturity. The PIK feature (meaning a feature allowing for the payment of interest in the form of additional principal amount of the loan instead of in cash), which effectively operates as negative amortization of loan principal, coupled with the deferred principal payment provision, increases credit risk exposure over the life of the loan.</w:t>
      </w:r>
    </w:p>
    <w:p>
      <w:pPr>
        <w:spacing w:after="0" w:line="193" w:lineRule="exact"/>
        <w:rPr>
          <w:sz w:val="20"/>
          <w:szCs w:val="20"/>
          <w:color w:val="auto"/>
        </w:rPr>
      </w:pPr>
    </w:p>
    <w:p>
      <w:pPr>
        <w:jc w:val="both"/>
        <w:ind w:firstLine="656"/>
        <w:spacing w:after="0" w:line="242" w:lineRule="auto"/>
        <w:rPr>
          <w:sz w:val="20"/>
          <w:szCs w:val="20"/>
          <w:color w:val="auto"/>
        </w:rPr>
      </w:pPr>
      <w:r>
        <w:rPr>
          <w:rFonts w:ascii="Times New Roman" w:cs="Times New Roman" w:eastAsia="Times New Roman" w:hAnsi="Times New Roman"/>
          <w:sz w:val="18"/>
          <w:szCs w:val="18"/>
          <w:i w:val="1"/>
          <w:iCs w:val="1"/>
          <w:color w:val="auto"/>
        </w:rPr>
        <w:t>Equity Securities</w:t>
      </w:r>
      <w:r>
        <w:rPr>
          <w:rFonts w:ascii="Times New Roman" w:cs="Times New Roman" w:eastAsia="Times New Roman" w:hAnsi="Times New Roman"/>
          <w:sz w:val="18"/>
          <w:szCs w:val="18"/>
          <w:color w:val="auto"/>
        </w:rPr>
        <w:t>. Our equity securities typically consist of either a direct minority equity investment in common or preferred stock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membership/partnership interests of a portfolio company, or we may receive warrants to buy a minority equity interest in a portfolio company in connection with a debt investment. Warrants we receive with our debt investments typically require only a nominal cost to exercise, and thus, as a portfolio company appreciates in value, we may achieve additional investment return from this equity interest. Our equity investments are typically not control-oriented investments, and in many cases, we acquire equity securities as part of a group of private equity investors in which we are not the lead investor. We may structure such equity investments to include provisions protecting our rights as a minority-interest holder, as well as a “put,” or right to sell such securities back to the issuer, upon the occurrence of specified events. In many cases, we may also seek to obtain registration rights in connection with these equity interests, which may include demand and “piggyback” registration rights. Our equity investments typically are made in connection with debt investments to the same portfolio companies.</w:t>
      </w:r>
    </w:p>
    <w:p>
      <w:pPr>
        <w:spacing w:after="0" w:line="133" w:lineRule="exact"/>
        <w:rPr>
          <w:sz w:val="20"/>
          <w:szCs w:val="20"/>
          <w:color w:val="auto"/>
        </w:rPr>
      </w:pPr>
    </w:p>
    <w:p>
      <w:pPr>
        <w:jc w:val="both"/>
        <w:ind w:firstLine="478"/>
        <w:spacing w:after="0" w:line="244"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We generate revenue in the form of interest and fee income on debt investments and dividends, if any, on equity investments. Our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whether in the form of second lien, subordinated or first lien loans, typically have terms of five to seven years and most bear interest at fixed or variable rates. In some instances, we receive payments on our debt investments based on scheduled amortization of the outstanding balances. In addition, we may receive repayments of some of our debt investments prior to their scheduled maturity dates, which may include prepayment penalties. The frequency or volume of these repayments fluctuates significantly from period to period. Our portfolio activity may reflect the proceeds of sales of securities. In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39" w:name="page40"/>
    <w:bookmarkEnd w:id="39"/>
    <w:p>
      <w:pPr>
        <w:jc w:val="both"/>
        <w:spacing w:after="0" w:line="242" w:lineRule="auto"/>
        <w:rPr>
          <w:sz w:val="20"/>
          <w:szCs w:val="20"/>
          <w:color w:val="auto"/>
        </w:rPr>
      </w:pPr>
      <w:r>
        <w:rPr>
          <w:rFonts w:ascii="Times New Roman" w:cs="Times New Roman" w:eastAsia="Times New Roman" w:hAnsi="Times New Roman"/>
          <w:sz w:val="18"/>
          <w:szCs w:val="18"/>
          <w:color w:val="auto"/>
        </w:rPr>
        <w:t>some cases, our investments provide for deferred interest payments or PIK interest. The principal amount of debt investments and any accrued but unpaid interest generally become due at the maturity date. In addition, we may generate revenue in the form of commitment, origination, amendment, or structuring fees and fees for providing managerial assistance. Debt investment origination fees, OID and market discount or premium, if any, are capitalized, and we accrete or amortize such amounts into interest income. We record prepayment penalties on debt investments as fee income when earned. Interest and dividend income is recorded on the accrual basis to the extent that we expect to collect such amounts. Interest is accrued daily based on the outstanding principal amount and the contractual terms of the debt investment. Dividend income is recorded as dividends are declared or at the point an obligation exists for the portfolio company to make a distribution, and is generally recognized when received. Distributions of earnings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 Debt investments or preferred equity investments (for which we are accruing PIK dividends) are placed on non-accrual status when principal, interest or dividend payments become materially past due, or when there is reasonable doubt that principal, interest or dividends will be collected.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 See “Critical Accounting Policies and Use of Estimates – Revenue Recognition.”</w:t>
      </w:r>
    </w:p>
    <w:p>
      <w:pPr>
        <w:spacing w:after="0" w:line="136" w:lineRule="exact"/>
        <w:rPr>
          <w:sz w:val="20"/>
          <w:szCs w:val="20"/>
          <w:color w:val="auto"/>
        </w:rPr>
      </w:pPr>
    </w:p>
    <w:p>
      <w:pPr>
        <w:jc w:val="both"/>
        <w:ind w:firstLine="478"/>
        <w:spacing w:after="0" w:line="250" w:lineRule="auto"/>
        <w:rPr>
          <w:sz w:val="20"/>
          <w:szCs w:val="20"/>
          <w:color w:val="auto"/>
        </w:rPr>
      </w:pPr>
      <w:r>
        <w:rPr>
          <w:rFonts w:ascii="Times New Roman" w:cs="Times New Roman" w:eastAsia="Times New Roman" w:hAnsi="Times New Roman"/>
          <w:sz w:val="18"/>
          <w:szCs w:val="18"/>
          <w:color w:val="auto"/>
        </w:rPr>
        <w:t>We recognize realized gains or losses on investments based on the difference between the net proceeds from the disposition and the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121" w:lineRule="exact"/>
        <w:rPr>
          <w:sz w:val="20"/>
          <w:szCs w:val="20"/>
          <w:color w:val="auto"/>
        </w:rPr>
      </w:pPr>
    </w:p>
    <w:p>
      <w:pPr>
        <w:jc w:val="both"/>
        <w:ind w:firstLine="478"/>
        <w:spacing w:after="0" w:line="261"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All investment professionals of the Investment Advisor and/or its affiliates, when and to the extent engaged in providing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advisory and management services to us, and the compensation and routine overhead expenses allocable to personnel who provide these services to us, are provided and paid for by the Investment Advisor and not by us. We bear all other out-of-pocket costs and expenses of our operations and transactions, including, without limitation, those relating to:</w:t>
      </w:r>
    </w:p>
    <w:p>
      <w:pPr>
        <w:spacing w:after="0" w:line="182"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w:t>
      </w:r>
    </w:p>
    <w:p>
      <w:pPr>
        <w:spacing w:after="0" w:line="1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our net asset value (including the cost and expenses of any independent valuation firm);</w:t>
      </w:r>
    </w:p>
    <w:p>
      <w:pPr>
        <w:spacing w:after="0" w:line="7" w:lineRule="exact"/>
        <w:rPr>
          <w:rFonts w:ascii="Times New Roman" w:cs="Times New Roman" w:eastAsia="Times New Roman" w:hAnsi="Times New Roman"/>
          <w:sz w:val="18"/>
          <w:szCs w:val="18"/>
          <w:color w:val="auto"/>
        </w:rPr>
      </w:pPr>
    </w:p>
    <w:p>
      <w:pPr>
        <w:ind w:left="1020" w:right="180" w:hanging="503"/>
        <w:spacing w:after="0" w:line="238"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by the Investment Advisor under the Investment Advisory Agreement or payable to third parties, including agents, consultants or other advisors, in monitoring financial and legal affairs for us and in monitoring our investments and performing due diligence on our prospective portfolio companies or otherwise relating to, or associated with, evaluating and making investments, including “dead deal” costs;</w:t>
      </w:r>
    </w:p>
    <w:p>
      <w:pPr>
        <w:spacing w:after="0" w:line="2" w:lineRule="exact"/>
        <w:rPr>
          <w:rFonts w:ascii="Times New Roman" w:cs="Times New Roman" w:eastAsia="Times New Roman" w:hAnsi="Times New Roman"/>
          <w:sz w:val="18"/>
          <w:szCs w:val="18"/>
          <w:color w:val="auto"/>
        </w:rPr>
      </w:pPr>
    </w:p>
    <w:p>
      <w:pPr>
        <w:ind w:left="1020" w:hanging="503"/>
        <w:spacing w:after="0" w:line="23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on debt, if any, incurred to finance our investments;</w:t>
      </w:r>
    </w:p>
    <w:p>
      <w:pPr>
        <w:ind w:left="1020" w:hanging="503"/>
        <w:spacing w:after="0" w:line="234"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offerings of our common stock and other securities;</w:t>
      </w: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advisory fees and management fees;</w:t>
      </w:r>
    </w:p>
    <w:p>
      <w:pPr>
        <w:spacing w:after="0" w:line="7" w:lineRule="exact"/>
        <w:rPr>
          <w:rFonts w:ascii="Times New Roman" w:cs="Times New Roman" w:eastAsia="Times New Roman" w:hAnsi="Times New Roman"/>
          <w:sz w:val="18"/>
          <w:szCs w:val="18"/>
          <w:color w:val="auto"/>
        </w:rPr>
      </w:pPr>
    </w:p>
    <w:p>
      <w:pPr>
        <w:ind w:left="1020" w:right="100" w:hanging="503"/>
        <w:spacing w:after="0" w:line="239"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and expenses, if any, payable under the Administration Agreement (including payments under the Administration Agreement between us and the Investment Advisor based upon our allocable portion of the Investment Advisor’s overhead in performing its obligations under the Administration Agreement, including rent and the allocable portion of the cost of our officers, including our chief compliance officer, our chief financial officer, and their respective staffs);</w:t>
      </w:r>
    </w:p>
    <w:p>
      <w:pPr>
        <w:ind w:left="1020" w:hanging="503"/>
        <w:spacing w:after="0" w:line="234"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dividend agent and custodial fees and expenses;</w:t>
      </w: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registration fees;</w:t>
      </w:r>
    </w:p>
    <w:p>
      <w:pPr>
        <w:spacing w:after="0" w:line="7" w:lineRule="exact"/>
        <w:rPr>
          <w:rFonts w:ascii="Times New Roman" w:cs="Times New Roman" w:eastAsia="Times New Roman" w:hAnsi="Times New Roman"/>
          <w:sz w:val="18"/>
          <w:szCs w:val="18"/>
          <w:color w:val="auto"/>
        </w:rPr>
      </w:pPr>
    </w:p>
    <w:p>
      <w:pPr>
        <w:ind w:left="1020" w:hanging="503"/>
        <w:spacing w:after="0" w:line="23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of registration and listing our shares on any securities exchange;</w:t>
      </w:r>
    </w:p>
    <w:p>
      <w:pPr>
        <w:ind w:left="1020" w:hanging="503"/>
        <w:spacing w:after="0" w:line="234"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state and local taxes;</w:t>
      </w: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fees and expenses;</w:t>
      </w:r>
    </w:p>
    <w:p>
      <w:pPr>
        <w:spacing w:after="0" w:line="7" w:lineRule="exact"/>
        <w:rPr>
          <w:rFonts w:ascii="Times New Roman" w:cs="Times New Roman" w:eastAsia="Times New Roman" w:hAnsi="Times New Roman"/>
          <w:sz w:val="18"/>
          <w:szCs w:val="18"/>
          <w:color w:val="auto"/>
        </w:rPr>
      </w:pPr>
    </w:p>
    <w:p>
      <w:pPr>
        <w:ind w:left="1020" w:hanging="503"/>
        <w:spacing w:after="0" w:line="23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and filing reports or other documents required by the SEC or other regulators including printing costs;</w:t>
      </w:r>
    </w:p>
    <w:p>
      <w:pPr>
        <w:ind w:left="1020" w:hanging="503"/>
        <w:spacing w:after="0" w:line="234"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any reports, proxy statements or other notices to stockholders, including printing and mailing costs;</w:t>
      </w:r>
    </w:p>
    <w:p>
      <w:pPr>
        <w:ind w:left="1020" w:hanging="503"/>
        <w:spacing w:after="0" w:line="234"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allocable portion of any fidelity bond, directors and officers/errors and omissions liability insurance, and any other insurance premiums;</w:t>
      </w:r>
    </w:p>
    <w:p>
      <w:pPr>
        <w:ind w:left="1020" w:right="680" w:hanging="503"/>
        <w:spacing w:after="0" w:line="24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printing, mailing, long distance telephone, copying, secretarial and other staff, independent auditors and outside legal costs;</w:t>
      </w:r>
    </w:p>
    <w:p>
      <w:pPr>
        <w:spacing w:after="0" w:line="1" w:lineRule="exact"/>
        <w:rPr>
          <w:rFonts w:ascii="Times New Roman" w:cs="Times New Roman" w:eastAsia="Times New Roman" w:hAnsi="Times New Roman"/>
          <w:sz w:val="18"/>
          <w:szCs w:val="18"/>
          <w:color w:val="auto"/>
        </w:rPr>
      </w:pPr>
    </w:p>
    <w:p>
      <w:pPr>
        <w:ind w:left="1020" w:hanging="503"/>
        <w:spacing w:after="0" w:line="234"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proxy voting expenses; and</w:t>
      </w: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us or the Investment Advisor in connection with administering our business.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Portfolio Composition, Investment Activity and Yield</w:t>
      </w:r>
    </w:p>
    <w:p>
      <w:pPr>
        <w:spacing w:after="0" w:line="175" w:lineRule="exact"/>
        <w:rPr>
          <w:sz w:val="20"/>
          <w:szCs w:val="20"/>
          <w:color w:val="auto"/>
        </w:rPr>
      </w:pPr>
    </w:p>
    <w:p>
      <w:pPr>
        <w:jc w:val="both"/>
        <w:ind w:firstLine="479"/>
        <w:spacing w:after="0" w:line="243" w:lineRule="auto"/>
        <w:rPr>
          <w:sz w:val="20"/>
          <w:szCs w:val="20"/>
          <w:color w:val="auto"/>
        </w:rPr>
      </w:pPr>
      <w:r>
        <w:rPr>
          <w:rFonts w:ascii="Times New Roman" w:cs="Times New Roman" w:eastAsia="Times New Roman" w:hAnsi="Times New Roman"/>
          <w:sz w:val="18"/>
          <w:szCs w:val="18"/>
          <w:color w:val="auto"/>
        </w:rPr>
        <w:t>During the three months ended March 31, 2022 and 2021, we invested $114.4 million and $63.1 million, respectively, in debt and equity investments including seven and four new portfolio companies, respectively. During the three months ended March 31, 2022 and 2021, we received proceeds from sales or repayments, including principal, return of capital dividends and net realized gains (losses), of $23.2 million and $98.6 million, respectively, including exits of one and three portfolio companies, respectively. The following table summarizes investment purchases and sales and repayments of investments by type for the three months ended March 31, 2022 and 2021 (dollars in millions).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6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Purchases of Investments</w:t>
            </w: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Sales and Repayments of Investments</w:t>
            </w: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69"/>
        </w:trPr>
        <w:tc>
          <w:tcPr>
            <w:tcW w:w="16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69"/>
        </w:trPr>
        <w:tc>
          <w:tcPr>
            <w:tcW w:w="16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4"/>
                <w:szCs w:val="14"/>
                <w:color w:val="auto"/>
              </w:rPr>
              <w:t>First Lien Debt</w:t>
            </w:r>
            <w:r>
              <w:rPr>
                <w:rFonts w:ascii="Times New Roman" w:cs="Times New Roman" w:eastAsia="Times New Roman" w:hAnsi="Times New Roman"/>
                <w:sz w:val="19"/>
                <w:szCs w:val="19"/>
                <w:color w:val="auto"/>
                <w:vertAlign w:val="superscript"/>
              </w:rPr>
              <w:t>(1)</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4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4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 Debt</w:t>
            </w:r>
          </w:p>
        </w:tc>
        <w:tc>
          <w:tcPr>
            <w:tcW w:w="3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240" w:type="dxa"/>
            <w:vAlign w:val="bottom"/>
          </w:tcPr>
          <w:p>
            <w:pPr>
              <w:spacing w:after="0"/>
              <w:rPr>
                <w:sz w:val="15"/>
                <w:szCs w:val="15"/>
                <w:color w:val="auto"/>
              </w:rPr>
            </w:pPr>
          </w:p>
        </w:tc>
      </w:tr>
      <w:tr>
        <w:trPr>
          <w:trHeight w:val="176"/>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4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(0.2 )</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240" w:type="dxa"/>
            <w:vAlign w:val="bottom"/>
            <w:shd w:val="clear" w:color="auto" w:fill="CCEEFF"/>
          </w:tcPr>
          <w:p>
            <w:pPr>
              <w:spacing w:after="0"/>
              <w:rPr>
                <w:sz w:val="15"/>
                <w:szCs w:val="15"/>
                <w:color w:val="auto"/>
              </w:rPr>
            </w:pPr>
          </w:p>
        </w:tc>
      </w:tr>
      <w:tr>
        <w:trPr>
          <w:trHeight w:val="175"/>
        </w:trPr>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3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40" w:type="dxa"/>
            <w:vAlign w:val="bottom"/>
          </w:tcPr>
          <w:p>
            <w:pPr>
              <w:spacing w:after="0"/>
              <w:rPr>
                <w:sz w:val="15"/>
                <w:szCs w:val="15"/>
                <w:color w:val="auto"/>
              </w:rPr>
            </w:pPr>
          </w:p>
        </w:tc>
      </w:tr>
      <w:tr>
        <w:trPr>
          <w:trHeight w:val="176"/>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3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r>
      <w:tr>
        <w:trPr>
          <w:trHeight w:val="169"/>
        </w:trPr>
        <w:tc>
          <w:tcPr>
            <w:tcW w:w="16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360" w:type="dxa"/>
            <w:vAlign w:val="bottom"/>
            <w:tcBorders>
              <w:bottom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114.4</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460" w:type="dxa"/>
            <w:vAlign w:val="bottom"/>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ind w:right="4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63.1</w:t>
            </w:r>
          </w:p>
        </w:tc>
        <w:tc>
          <w:tcPr>
            <w:tcW w:w="220" w:type="dxa"/>
            <w:vAlign w:val="bottom"/>
          </w:tcPr>
          <w:p>
            <w:pPr>
              <w:spacing w:after="0"/>
              <w:rPr>
                <w:sz w:val="14"/>
                <w:szCs w:val="14"/>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40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60" w:type="dxa"/>
            <w:vAlign w:val="bottom"/>
          </w:tcPr>
          <w:p>
            <w:pPr>
              <w:spacing w:after="0"/>
              <w:rPr>
                <w:sz w:val="14"/>
                <w:szCs w:val="14"/>
                <w:color w:val="auto"/>
              </w:rPr>
            </w:pPr>
          </w:p>
        </w:tc>
        <w:tc>
          <w:tcPr>
            <w:tcW w:w="34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4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98.6</w:t>
            </w:r>
          </w:p>
        </w:tc>
        <w:tc>
          <w:tcPr>
            <w:tcW w:w="200" w:type="dxa"/>
            <w:vAlign w:val="bottom"/>
          </w:tcPr>
          <w:p>
            <w:pPr>
              <w:spacing w:after="0"/>
              <w:rPr>
                <w:sz w:val="14"/>
                <w:szCs w:val="14"/>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2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-128270</wp:posOffset>
            </wp:positionV>
            <wp:extent cx="43180" cy="1454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3180" cy="14541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-128270</wp:posOffset>
            </wp:positionV>
            <wp:extent cx="43180" cy="1454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3180" cy="14541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-128270</wp:posOffset>
            </wp:positionV>
            <wp:extent cx="43180" cy="1454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3180" cy="14541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-128270</wp:posOffset>
            </wp:positionV>
            <wp:extent cx="34290" cy="1454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4290" cy="14541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-128270</wp:posOffset>
            </wp:positionV>
            <wp:extent cx="43180" cy="1454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3180" cy="14541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-128270</wp:posOffset>
            </wp:positionV>
            <wp:extent cx="43180" cy="1454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3180" cy="14541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-128270</wp:posOffset>
            </wp:positionV>
            <wp:extent cx="34290" cy="1454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4290" cy="1454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-128270</wp:posOffset>
            </wp:positionV>
            <wp:extent cx="34290" cy="1454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4290" cy="145415"/>
                    </a:xfrm>
                    <a:prstGeom prst="rect">
                      <a:avLst/>
                    </a:prstGeom>
                    <a:noFill/>
                  </pic:spPr>
                </pic:pic>
              </a:graphicData>
            </a:graphic>
          </wp:anchor>
        </w:drawing>
      </w:r>
    </w:p>
    <w:p>
      <w:pPr>
        <w:ind w:firstLine="8"/>
        <w:spacing w:after="0" w:line="282" w:lineRule="auto"/>
        <w:tabs>
          <w:tab w:leader="none" w:pos="21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March 31, 2022 and 2021, includes unitranche securities, which account for 49.2% and 43.6% of purchases, respectively. For the three months ended March 31, 2022 and 2021, includes unitranche securities, which account for 7.1% and 22.1% of repayments,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-233680</wp:posOffset>
            </wp:positionV>
            <wp:extent cx="593217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932170" cy="8255"/>
                    </a:xfrm>
                    <a:prstGeom prst="rect">
                      <a:avLst/>
                    </a:prstGeom>
                    <a:noFill/>
                  </pic:spPr>
                </pic:pic>
              </a:graphicData>
            </a:graphic>
          </wp:anchor>
        </w:drawing>
      </w:r>
    </w:p>
    <w:p>
      <w:pPr>
        <w:spacing w:after="0" w:line="106" w:lineRule="exact"/>
        <w:rPr>
          <w:sz w:val="20"/>
          <w:szCs w:val="20"/>
          <w:color w:val="auto"/>
        </w:rPr>
      </w:pPr>
    </w:p>
    <w:p>
      <w:pPr>
        <w:jc w:val="both"/>
        <w:ind w:firstLine="478"/>
        <w:spacing w:after="0" w:line="244" w:lineRule="auto"/>
        <w:rPr>
          <w:sz w:val="20"/>
          <w:szCs w:val="20"/>
          <w:color w:val="auto"/>
        </w:rPr>
      </w:pPr>
      <w:r>
        <w:rPr>
          <w:rFonts w:ascii="Times New Roman" w:cs="Times New Roman" w:eastAsia="Times New Roman" w:hAnsi="Times New Roman"/>
          <w:sz w:val="18"/>
          <w:szCs w:val="18"/>
          <w:color w:val="auto"/>
        </w:rPr>
        <w:t>As of March 31, 2022, the fair value of our investment portfolio totaled $812.0 million and consisted of 74 active portfolio companies and ten portfolio companies that have sold their underlying operations. As of March 31, 2022, 37 portfolio companies’ debt investments bore interest at a variable rate, which represented $460.1 million, or 70.7%, of our debt investment portfolio on a fair value basis, and the remainder of our debt investment portfolio was comprised of fixed rate investments. Overall, the portfolio had net unrealized appreciation of $92.0 million as of March 31, 2022. As of March 31, 2022, our average active portfolio company investment at amortized cost was $9.7 million, which excludes investments in the ten portfolio companies that have sold their underlying operations.</w:t>
      </w:r>
    </w:p>
    <w:p>
      <w:pPr>
        <w:spacing w:after="0" w:line="141" w:lineRule="exact"/>
        <w:rPr>
          <w:sz w:val="20"/>
          <w:szCs w:val="20"/>
          <w:color w:val="auto"/>
        </w:rPr>
      </w:pPr>
    </w:p>
    <w:p>
      <w:pPr>
        <w:jc w:val="both"/>
        <w:ind w:firstLine="478"/>
        <w:spacing w:after="0" w:line="244" w:lineRule="auto"/>
        <w:rPr>
          <w:sz w:val="20"/>
          <w:szCs w:val="20"/>
          <w:color w:val="auto"/>
        </w:rPr>
      </w:pPr>
      <w:r>
        <w:rPr>
          <w:rFonts w:ascii="Times New Roman" w:cs="Times New Roman" w:eastAsia="Times New Roman" w:hAnsi="Times New Roman"/>
          <w:sz w:val="18"/>
          <w:szCs w:val="18"/>
          <w:color w:val="auto"/>
        </w:rPr>
        <w:t>As of December 31, 2021, the fair value of our investment portfolio totaled $719.1 million and consisted of 70 active portfolio companies and eight portfolio companies that have sold their underlying operations. As of December 31, 2021, 32 portfolio companies’ debt investments bore interest at a variable rate, which represented $376.0 million, or 68.4%, of our debt investment portfolio on a fair value basis, and the remainder of our debt investment portfolio was comprised of fixed rate investments. Overall, the portfolio had net unrealized appreciation of $97.3 million as of December 31, 2021. As of December 31, 2021, our average active portfolio company investment at amortized cost was $8.8 million, which excludes investments in the eight portfolio companies that have sold their underlying operations.</w:t>
      </w:r>
    </w:p>
    <w:p>
      <w:pPr>
        <w:spacing w:after="0" w:line="128" w:lineRule="exact"/>
        <w:rPr>
          <w:sz w:val="20"/>
          <w:szCs w:val="20"/>
          <w:color w:val="auto"/>
        </w:rPr>
      </w:pPr>
    </w:p>
    <w:p>
      <w:pPr>
        <w:jc w:val="both"/>
        <w:ind w:firstLine="532"/>
        <w:spacing w:after="0" w:line="250" w:lineRule="auto"/>
        <w:rPr>
          <w:sz w:val="20"/>
          <w:szCs w:val="20"/>
          <w:color w:val="auto"/>
        </w:rPr>
      </w:pPr>
      <w:r>
        <w:rPr>
          <w:rFonts w:ascii="Times New Roman" w:cs="Times New Roman" w:eastAsia="Times New Roman" w:hAnsi="Times New Roman"/>
          <w:sz w:val="18"/>
          <w:szCs w:val="18"/>
          <w:color w:val="auto"/>
        </w:rPr>
        <w:t>The weighted average yield on debt investments as of March 31, 2022 and December 31, 2021 was 11.9% and 12.3%, respectively. The weighted average yield of our debt investments is not the same as a return on investment for our stockholders but, rather, relates to a portion of our investment portfolio and is calculated before the payment of all of our and our subsidiaries’ fees and expenses. The weighted average yields were computed using the effective interest rates for debt investments at cost including the accretion of OID and debt investment origination fees, but excluding investments on non-accrual status, if any.</w:t>
      </w:r>
    </w:p>
    <w:p>
      <w:pPr>
        <w:spacing w:after="0" w:line="123"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The following table shows the portfolio composition by investment type at fair value and cost and as a percentage of total investments (dollars in millions):</w:t>
      </w:r>
    </w:p>
    <w:tbl>
      <w:tblPr>
        <w:tblLayout w:type="fixed"/>
        <w:tblInd w:w="0" w:type="dxa"/>
        <w:tblCellMar>
          <w:top w:w="0" w:type="dxa"/>
          <w:left w:w="0" w:type="dxa"/>
          <w:bottom w:w="0" w:type="dxa"/>
          <w:right w:w="0" w:type="dxa"/>
        </w:tblCellMar>
      </w:tblPr>
      <w:tr>
        <w:trPr>
          <w:trHeight w:val="175"/>
        </w:trPr>
        <w:tc>
          <w:tcPr>
            <w:tcW w:w="17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r>
      <w:tr>
        <w:trPr>
          <w:trHeight w:val="158"/>
        </w:trPr>
        <w:tc>
          <w:tcPr>
            <w:tcW w:w="1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gridSpan w:val="3"/>
          </w:tcPr>
          <w:p>
            <w:pPr>
              <w:jc w:val="center"/>
              <w:ind w:left="88"/>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gridSpan w:val="3"/>
          </w:tcPr>
          <w:p>
            <w:pPr>
              <w:jc w:val="center"/>
              <w:ind w:left="4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2"/>
          </w:tcPr>
          <w:p>
            <w:pPr>
              <w:jc w:val="center"/>
              <w:ind w:left="168"/>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3"/>
          </w:tcPr>
          <w:p>
            <w:pPr>
              <w:jc w:val="center"/>
              <w:ind w:left="4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87"/>
        </w:trPr>
        <w:tc>
          <w:tcPr>
            <w:tcW w:w="17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169"/>
        </w:trPr>
        <w:tc>
          <w:tcPr>
            <w:tcW w:w="176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4"/>
                <w:szCs w:val="14"/>
                <w:color w:val="auto"/>
              </w:rPr>
              <w:t>First Lien Debt</w:t>
            </w:r>
            <w:r>
              <w:rPr>
                <w:rFonts w:ascii="Times New Roman" w:cs="Times New Roman" w:eastAsia="Times New Roman" w:hAnsi="Times New Roman"/>
                <w:sz w:val="19"/>
                <w:szCs w:val="19"/>
                <w:color w:val="auto"/>
                <w:vertAlign w:val="superscript"/>
              </w:rPr>
              <w:t>(1)</w:t>
            </w:r>
          </w:p>
        </w:tc>
        <w:tc>
          <w:tcPr>
            <w:tcW w:w="38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428.3</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52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354.9</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52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425.9</w:t>
            </w:r>
          </w:p>
        </w:tc>
        <w:tc>
          <w:tcPr>
            <w:tcW w:w="2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353.3</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3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 Debt</w:t>
            </w: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w:t>
            </w: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320" w:type="dxa"/>
            <w:vAlign w:val="bottom"/>
          </w:tcPr>
          <w:p>
            <w:pPr>
              <w:spacing w:after="0"/>
              <w:rPr>
                <w:sz w:val="15"/>
                <w:szCs w:val="15"/>
                <w:color w:val="auto"/>
              </w:rPr>
            </w:pPr>
          </w:p>
        </w:tc>
      </w:tr>
      <w:tr>
        <w:trPr>
          <w:trHeight w:val="175"/>
        </w:trPr>
        <w:tc>
          <w:tcPr>
            <w:tcW w:w="1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3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5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5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2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4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320" w:type="dxa"/>
            <w:vAlign w:val="bottom"/>
            <w:shd w:val="clear" w:color="auto" w:fill="CFF0FC"/>
          </w:tcPr>
          <w:p>
            <w:pPr>
              <w:spacing w:after="0"/>
              <w:rPr>
                <w:sz w:val="15"/>
                <w:szCs w:val="15"/>
                <w:color w:val="auto"/>
              </w:rPr>
            </w:pPr>
          </w:p>
        </w:tc>
      </w:tr>
      <w:tr>
        <w:trPr>
          <w:trHeight w:val="175"/>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157.8</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166.1</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320" w:type="dxa"/>
            <w:vAlign w:val="bottom"/>
          </w:tcPr>
          <w:p>
            <w:pPr>
              <w:spacing w:after="0"/>
              <w:rPr>
                <w:sz w:val="15"/>
                <w:szCs w:val="15"/>
                <w:color w:val="auto"/>
              </w:rPr>
            </w:pPr>
          </w:p>
        </w:tc>
      </w:tr>
      <w:tr>
        <w:trPr>
          <w:trHeight w:val="175"/>
        </w:trPr>
        <w:tc>
          <w:tcPr>
            <w:tcW w:w="1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38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5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5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4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4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320" w:type="dxa"/>
            <w:vAlign w:val="bottom"/>
            <w:tcBorders>
              <w:bottom w:val="single" w:sz="8" w:color="CFF0FC"/>
            </w:tcBorders>
            <w:shd w:val="clear" w:color="auto" w:fill="CFF0FC"/>
          </w:tcPr>
          <w:p>
            <w:pPr>
              <w:spacing w:after="0"/>
              <w:rPr>
                <w:sz w:val="15"/>
                <w:szCs w:val="15"/>
                <w:color w:val="auto"/>
              </w:rPr>
            </w:pPr>
          </w:p>
        </w:tc>
      </w:tr>
      <w:tr>
        <w:trPr>
          <w:trHeight w:val="169"/>
        </w:trPr>
        <w:tc>
          <w:tcPr>
            <w:tcW w:w="17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380" w:type="dxa"/>
            <w:vAlign w:val="bottom"/>
            <w:tcBorders>
              <w:bottom w:val="single" w:sz="8" w:color="auto"/>
            </w:tcBorders>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812.0</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520" w:type="dxa"/>
            <w:vAlign w:val="bottom"/>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719.1</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520" w:type="dxa"/>
            <w:vAlign w:val="bottom"/>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720.0</w:t>
            </w:r>
          </w:p>
        </w:tc>
        <w:tc>
          <w:tcPr>
            <w:tcW w:w="240" w:type="dxa"/>
            <w:vAlign w:val="bottom"/>
          </w:tcPr>
          <w:p>
            <w:pPr>
              <w:spacing w:after="0"/>
              <w:rPr>
                <w:sz w:val="14"/>
                <w:szCs w:val="14"/>
                <w:color w:val="auto"/>
              </w:rPr>
            </w:pPr>
          </w:p>
        </w:tc>
        <w:tc>
          <w:tcPr>
            <w:tcW w:w="5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480" w:type="dxa"/>
            <w:vAlign w:val="bottom"/>
          </w:tcPr>
          <w:p>
            <w:pPr>
              <w:ind w:left="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621.8</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32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1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-145415</wp:posOffset>
            </wp:positionV>
            <wp:extent cx="5143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-145415</wp:posOffset>
            </wp:positionV>
            <wp:extent cx="5143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-145415</wp:posOffset>
            </wp:positionV>
            <wp:extent cx="5143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-145415</wp:posOffset>
            </wp:positionV>
            <wp:extent cx="5143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-145415</wp:posOffset>
            </wp:positionV>
            <wp:extent cx="4318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-145415</wp:posOffset>
            </wp:positionV>
            <wp:extent cx="431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-145415</wp:posOffset>
            </wp:positionV>
            <wp:extent cx="4318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-145415</wp:posOffset>
            </wp:positionV>
            <wp:extent cx="431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19" w:lineRule="exact"/>
        <w:rPr>
          <w:sz w:val="20"/>
          <w:szCs w:val="20"/>
          <w:color w:val="auto"/>
        </w:rPr>
      </w:pPr>
    </w:p>
    <w:p>
      <w:pPr>
        <w:ind w:firstLine="8"/>
        <w:spacing w:after="0" w:line="282" w:lineRule="auto"/>
        <w:tabs>
          <w:tab w:leader="none" w:pos="204"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unitranche investments, which account for 42.4% and 47.6% of our portfolio on a fair value and cost basis as of March 31, 2022, respectively. Includes unitranche investments, which account for 40.2% and 46.3% of our portfolio on a fair value and cost basis as of December 31, 2021, respectively.</w:t>
      </w:r>
    </w:p>
    <w:p>
      <w:pPr>
        <w:spacing w:after="0" w:line="112" w:lineRule="exact"/>
        <w:rPr>
          <w:sz w:val="20"/>
          <w:szCs w:val="20"/>
          <w:color w:val="auto"/>
        </w:rPr>
      </w:pPr>
    </w:p>
    <w:p>
      <w:pPr>
        <w:jc w:val="both"/>
        <w:ind w:right="20" w:firstLine="478"/>
        <w:spacing w:after="0" w:line="250" w:lineRule="auto"/>
        <w:rPr>
          <w:sz w:val="20"/>
          <w:szCs w:val="20"/>
          <w:color w:val="auto"/>
        </w:rPr>
      </w:pPr>
      <w:r>
        <w:rPr>
          <w:rFonts w:ascii="Times New Roman" w:cs="Times New Roman" w:eastAsia="Times New Roman" w:hAnsi="Times New Roman"/>
          <w:sz w:val="18"/>
          <w:szCs w:val="18"/>
          <w:color w:val="auto"/>
        </w:rPr>
        <w:t>All investments made by us as of March 31, 2022 and December 31, 2021 were made in portfolio companies headquartered in the U.S. The following table shows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87"/>
        </w:trPr>
        <w:tc>
          <w:tcPr>
            <w:tcW w:w="17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158"/>
        </w:trPr>
        <w:tc>
          <w:tcPr>
            <w:tcW w:w="1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gridSpan w:val="3"/>
          </w:tcPr>
          <w:p>
            <w:pPr>
              <w:jc w:val="center"/>
              <w:ind w:left="88"/>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gridSpan w:val="3"/>
          </w:tcPr>
          <w:p>
            <w:pPr>
              <w:jc w:val="center"/>
              <w:ind w:left="4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2"/>
          </w:tcPr>
          <w:p>
            <w:pPr>
              <w:jc w:val="center"/>
              <w:ind w:left="168"/>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3"/>
          </w:tcPr>
          <w:p>
            <w:pPr>
              <w:jc w:val="center"/>
              <w:ind w:left="4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87"/>
        </w:trPr>
        <w:tc>
          <w:tcPr>
            <w:tcW w:w="17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169"/>
        </w:trPr>
        <w:tc>
          <w:tcPr>
            <w:tcW w:w="1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Midwest</w:t>
            </w:r>
          </w:p>
        </w:tc>
        <w:tc>
          <w:tcPr>
            <w:tcW w:w="38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195.7</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52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157.2</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52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2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3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Southeast</w:t>
            </w: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239.6</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223.3</w:t>
            </w: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320" w:type="dxa"/>
            <w:vAlign w:val="bottom"/>
          </w:tcPr>
          <w:p>
            <w:pPr>
              <w:spacing w:after="0"/>
              <w:rPr>
                <w:sz w:val="15"/>
                <w:szCs w:val="15"/>
                <w:color w:val="auto"/>
              </w:rPr>
            </w:pPr>
          </w:p>
        </w:tc>
      </w:tr>
      <w:tr>
        <w:trPr>
          <w:trHeight w:val="175"/>
        </w:trPr>
        <w:tc>
          <w:tcPr>
            <w:tcW w:w="1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Northeast</w:t>
            </w:r>
          </w:p>
        </w:tc>
        <w:tc>
          <w:tcPr>
            <w:tcW w:w="3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5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5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134.8</w:t>
            </w:r>
          </w:p>
        </w:tc>
        <w:tc>
          <w:tcPr>
            <w:tcW w:w="2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4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320" w:type="dxa"/>
            <w:vAlign w:val="bottom"/>
            <w:shd w:val="clear" w:color="auto" w:fill="CFF0FC"/>
          </w:tcPr>
          <w:p>
            <w:pPr>
              <w:spacing w:after="0"/>
              <w:rPr>
                <w:sz w:val="15"/>
                <w:szCs w:val="15"/>
                <w:color w:val="auto"/>
              </w:rPr>
            </w:pPr>
          </w:p>
        </w:tc>
      </w:tr>
      <w:tr>
        <w:trPr>
          <w:trHeight w:val="176"/>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West</w:t>
            </w: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320" w:type="dxa"/>
            <w:vAlign w:val="bottom"/>
          </w:tcPr>
          <w:p>
            <w:pPr>
              <w:spacing w:after="0"/>
              <w:rPr>
                <w:sz w:val="15"/>
                <w:szCs w:val="15"/>
                <w:color w:val="auto"/>
              </w:rPr>
            </w:pPr>
          </w:p>
        </w:tc>
      </w:tr>
      <w:tr>
        <w:trPr>
          <w:trHeight w:val="175"/>
        </w:trPr>
        <w:tc>
          <w:tcPr>
            <w:tcW w:w="1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Southwest</w:t>
            </w:r>
          </w:p>
        </w:tc>
        <w:tc>
          <w:tcPr>
            <w:tcW w:w="38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5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2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5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24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4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320" w:type="dxa"/>
            <w:vAlign w:val="bottom"/>
            <w:tcBorders>
              <w:bottom w:val="single" w:sz="8" w:color="CFF0FC"/>
            </w:tcBorders>
            <w:shd w:val="clear" w:color="auto" w:fill="CFF0FC"/>
          </w:tcPr>
          <w:p>
            <w:pPr>
              <w:spacing w:after="0"/>
              <w:rPr>
                <w:sz w:val="15"/>
                <w:szCs w:val="15"/>
                <w:color w:val="auto"/>
              </w:rPr>
            </w:pPr>
          </w:p>
        </w:tc>
      </w:tr>
      <w:tr>
        <w:trPr>
          <w:trHeight w:val="169"/>
        </w:trPr>
        <w:tc>
          <w:tcPr>
            <w:tcW w:w="17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380" w:type="dxa"/>
            <w:vAlign w:val="bottom"/>
            <w:tcBorders>
              <w:bottom w:val="single" w:sz="8" w:color="auto"/>
            </w:tcBorders>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812.0</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520" w:type="dxa"/>
            <w:vAlign w:val="bottom"/>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719.1</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520" w:type="dxa"/>
            <w:vAlign w:val="bottom"/>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720.0</w:t>
            </w:r>
          </w:p>
        </w:tc>
        <w:tc>
          <w:tcPr>
            <w:tcW w:w="240" w:type="dxa"/>
            <w:vAlign w:val="bottom"/>
          </w:tcPr>
          <w:p>
            <w:pPr>
              <w:spacing w:after="0"/>
              <w:rPr>
                <w:sz w:val="14"/>
                <w:szCs w:val="14"/>
                <w:color w:val="auto"/>
              </w:rPr>
            </w:pPr>
          </w:p>
        </w:tc>
        <w:tc>
          <w:tcPr>
            <w:tcW w:w="5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480" w:type="dxa"/>
            <w:vAlign w:val="bottom"/>
          </w:tcPr>
          <w:p>
            <w:pPr>
              <w:ind w:left="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621.8</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32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1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-145415</wp:posOffset>
            </wp:positionV>
            <wp:extent cx="5143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-145415</wp:posOffset>
            </wp:positionV>
            <wp:extent cx="5143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-145415</wp:posOffset>
            </wp:positionV>
            <wp:extent cx="5143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-145415</wp:posOffset>
            </wp:positionV>
            <wp:extent cx="5143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-145415</wp:posOffset>
            </wp:positionV>
            <wp:extent cx="4318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-145415</wp:posOffset>
            </wp:positionV>
            <wp:extent cx="4318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-145415</wp:posOffset>
            </wp:positionV>
            <wp:extent cx="431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-145415</wp:posOffset>
            </wp:positionV>
            <wp:extent cx="431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the detailed industry composition of our portfolio at fair value and cost as a percentage of total investments: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00" w:type="dxa"/>
            <w:vAlign w:val="bottom"/>
          </w:tcPr>
          <w:p>
            <w:pPr>
              <w:spacing w:after="0"/>
              <w:rPr>
                <w:sz w:val="16"/>
                <w:szCs w:val="16"/>
                <w:color w:val="auto"/>
              </w:rPr>
            </w:pPr>
          </w:p>
        </w:tc>
        <w:tc>
          <w:tcPr>
            <w:tcW w:w="214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Cost</w:t>
            </w:r>
          </w:p>
        </w:tc>
        <w:tc>
          <w:tcPr>
            <w:tcW w:w="13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58"/>
        </w:trPr>
        <w:tc>
          <w:tcPr>
            <w:tcW w:w="3900" w:type="dxa"/>
            <w:vAlign w:val="bottom"/>
          </w:tcPr>
          <w:p>
            <w:pPr>
              <w:spacing w:after="0"/>
              <w:rPr>
                <w:sz w:val="13"/>
                <w:szCs w:val="13"/>
                <w:color w:val="auto"/>
              </w:rPr>
            </w:pPr>
          </w:p>
        </w:tc>
        <w:tc>
          <w:tcPr>
            <w:tcW w:w="1560" w:type="dxa"/>
            <w:vAlign w:val="bottom"/>
          </w:tcPr>
          <w:p>
            <w:pPr>
              <w:jc w:val="right"/>
              <w:ind w:right="388"/>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right"/>
              <w:ind w:right="28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1540" w:type="dxa"/>
            <w:vAlign w:val="bottom"/>
          </w:tcPr>
          <w:p>
            <w:pPr>
              <w:jc w:val="right"/>
              <w:ind w:right="388"/>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jc w:val="right"/>
              <w:ind w:right="28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r>
      <w:tr>
        <w:trPr>
          <w:trHeight w:val="187"/>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6"/>
                <w:szCs w:val="16"/>
                <w:color w:val="auto"/>
              </w:rPr>
            </w:pPr>
          </w:p>
        </w:tc>
        <w:tc>
          <w:tcPr>
            <w:tcW w:w="154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6"/>
                <w:szCs w:val="16"/>
                <w:color w:val="auto"/>
              </w:rPr>
            </w:pPr>
          </w:p>
        </w:tc>
      </w:tr>
      <w:tr>
        <w:trPr>
          <w:trHeight w:val="16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Information Technology Services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Business Services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2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280" w:type="dxa"/>
            <w:vAlign w:val="bottom"/>
          </w:tcPr>
          <w:p>
            <w:pPr>
              <w:spacing w:after="0"/>
              <w:rPr>
                <w:sz w:val="15"/>
                <w:szCs w:val="15"/>
                <w:color w:val="auto"/>
              </w:rPr>
            </w:pPr>
          </w:p>
        </w:tc>
      </w:tr>
      <w:tr>
        <w:trPr>
          <w:trHeight w:val="17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Healthcare Products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80" w:type="dxa"/>
            <w:vAlign w:val="bottom"/>
            <w:shd w:val="clear" w:color="auto" w:fill="CCEEFF"/>
          </w:tcPr>
          <w:p>
            <w:pPr>
              <w:spacing w:after="0"/>
              <w:rPr>
                <w:sz w:val="15"/>
                <w:szCs w:val="15"/>
                <w:color w:val="auto"/>
              </w:rPr>
            </w:pPr>
          </w:p>
        </w:tc>
      </w:tr>
      <w:tr>
        <w:trPr>
          <w:trHeight w:val="17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Component Manufacturing</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80" w:type="dxa"/>
            <w:vAlign w:val="bottom"/>
          </w:tcPr>
          <w:p>
            <w:pPr>
              <w:spacing w:after="0"/>
              <w:rPr>
                <w:sz w:val="15"/>
                <w:szCs w:val="15"/>
                <w:color w:val="auto"/>
              </w:rPr>
            </w:pPr>
          </w:p>
        </w:tc>
      </w:tr>
      <w:tr>
        <w:trPr>
          <w:trHeight w:val="17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Specialty Distribution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80" w:type="dxa"/>
            <w:vAlign w:val="bottom"/>
            <w:shd w:val="clear" w:color="auto" w:fill="CCEEFF"/>
          </w:tcPr>
          <w:p>
            <w:pPr>
              <w:spacing w:after="0"/>
              <w:rPr>
                <w:sz w:val="15"/>
                <w:szCs w:val="15"/>
                <w:color w:val="auto"/>
              </w:rPr>
            </w:pPr>
          </w:p>
        </w:tc>
      </w:tr>
      <w:tr>
        <w:trPr>
          <w:trHeight w:val="17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Aerospace &amp; Defense Manufacturing</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80" w:type="dxa"/>
            <w:vAlign w:val="bottom"/>
          </w:tcPr>
          <w:p>
            <w:pPr>
              <w:spacing w:after="0"/>
              <w:rPr>
                <w:sz w:val="15"/>
                <w:szCs w:val="15"/>
                <w:color w:val="auto"/>
              </w:rPr>
            </w:pPr>
          </w:p>
        </w:tc>
      </w:tr>
      <w:tr>
        <w:trPr>
          <w:trHeight w:val="17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Building Products Manufacturing</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80" w:type="dxa"/>
            <w:vAlign w:val="bottom"/>
            <w:shd w:val="clear" w:color="auto" w:fill="CCEEFF"/>
          </w:tcPr>
          <w:p>
            <w:pPr>
              <w:spacing w:after="0"/>
              <w:rPr>
                <w:sz w:val="15"/>
                <w:szCs w:val="15"/>
                <w:color w:val="auto"/>
              </w:rPr>
            </w:pPr>
          </w:p>
        </w:tc>
      </w:tr>
      <w:tr>
        <w:trPr>
          <w:trHeight w:val="176"/>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Healthcare Services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80" w:type="dxa"/>
            <w:vAlign w:val="bottom"/>
          </w:tcPr>
          <w:p>
            <w:pPr>
              <w:spacing w:after="0"/>
              <w:rPr>
                <w:sz w:val="15"/>
                <w:szCs w:val="15"/>
                <w:color w:val="auto"/>
              </w:rPr>
            </w:pPr>
          </w:p>
        </w:tc>
      </w:tr>
      <w:tr>
        <w:trPr>
          <w:trHeight w:val="175"/>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Promotional Products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80" w:type="dxa"/>
            <w:vAlign w:val="bottom"/>
            <w:shd w:val="clear" w:color="auto" w:fill="CCEEFF"/>
          </w:tcPr>
          <w:p>
            <w:pPr>
              <w:spacing w:after="0"/>
              <w:rPr>
                <w:sz w:val="15"/>
                <w:szCs w:val="15"/>
                <w:color w:val="auto"/>
              </w:rPr>
            </w:pPr>
          </w:p>
        </w:tc>
      </w:tr>
      <w:tr>
        <w:trPr>
          <w:trHeight w:val="176"/>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Environmental Industries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80" w:type="dxa"/>
            <w:vAlign w:val="bottom"/>
          </w:tcPr>
          <w:p>
            <w:pPr>
              <w:spacing w:after="0"/>
              <w:rPr>
                <w:sz w:val="15"/>
                <w:szCs w:val="15"/>
                <w:color w:val="auto"/>
              </w:rPr>
            </w:pPr>
          </w:p>
        </w:tc>
      </w:tr>
      <w:tr>
        <w:trPr>
          <w:trHeight w:val="175"/>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Transportation Services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80" w:type="dxa"/>
            <w:vAlign w:val="bottom"/>
            <w:shd w:val="clear" w:color="auto" w:fill="CCEEFF"/>
          </w:tcPr>
          <w:p>
            <w:pPr>
              <w:spacing w:after="0"/>
              <w:rPr>
                <w:sz w:val="15"/>
                <w:szCs w:val="15"/>
                <w:color w:val="auto"/>
              </w:rPr>
            </w:pPr>
          </w:p>
        </w:tc>
      </w:tr>
      <w:tr>
        <w:trPr>
          <w:trHeight w:val="176"/>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Oil &amp; Gas Services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80" w:type="dxa"/>
            <w:vAlign w:val="bottom"/>
          </w:tcPr>
          <w:p>
            <w:pPr>
              <w:spacing w:after="0"/>
              <w:rPr>
                <w:sz w:val="15"/>
                <w:szCs w:val="15"/>
                <w:color w:val="auto"/>
              </w:rPr>
            </w:pPr>
          </w:p>
        </w:tc>
      </w:tr>
      <w:tr>
        <w:trPr>
          <w:trHeight w:val="17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 Products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80" w:type="dxa"/>
            <w:vAlign w:val="bottom"/>
            <w:shd w:val="clear" w:color="auto" w:fill="CCEEFF"/>
          </w:tcPr>
          <w:p>
            <w:pPr>
              <w:spacing w:after="0"/>
              <w:rPr>
                <w:sz w:val="15"/>
                <w:szCs w:val="15"/>
                <w:color w:val="auto"/>
              </w:rPr>
            </w:pPr>
          </w:p>
        </w:tc>
      </w:tr>
      <w:tr>
        <w:trPr>
          <w:trHeight w:val="17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Utilities: Services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80" w:type="dxa"/>
            <w:vAlign w:val="bottom"/>
          </w:tcPr>
          <w:p>
            <w:pPr>
              <w:spacing w:after="0"/>
              <w:rPr>
                <w:sz w:val="15"/>
                <w:szCs w:val="15"/>
                <w:color w:val="auto"/>
              </w:rPr>
            </w:pPr>
          </w:p>
        </w:tc>
      </w:tr>
      <w:tr>
        <w:trPr>
          <w:trHeight w:val="17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80" w:type="dxa"/>
            <w:vAlign w:val="bottom"/>
            <w:shd w:val="clear" w:color="auto" w:fill="CCEEFF"/>
          </w:tcPr>
          <w:p>
            <w:pPr>
              <w:spacing w:after="0"/>
              <w:rPr>
                <w:sz w:val="15"/>
                <w:szCs w:val="15"/>
                <w:color w:val="auto"/>
              </w:rPr>
            </w:pPr>
          </w:p>
        </w:tc>
      </w:tr>
      <w:tr>
        <w:trPr>
          <w:trHeight w:val="17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Industrial Cleaning &amp; Coatings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80" w:type="dxa"/>
            <w:vAlign w:val="bottom"/>
          </w:tcPr>
          <w:p>
            <w:pPr>
              <w:spacing w:after="0"/>
              <w:rPr>
                <w:sz w:val="15"/>
                <w:szCs w:val="15"/>
                <w:color w:val="auto"/>
              </w:rPr>
            </w:pPr>
          </w:p>
        </w:tc>
      </w:tr>
      <w:tr>
        <w:trPr>
          <w:trHeight w:val="17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Restaurants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(1)</w:t>
            </w: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(1)</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80" w:type="dxa"/>
            <w:vAlign w:val="bottom"/>
            <w:shd w:val="clear" w:color="auto" w:fill="CCEEFF"/>
          </w:tcPr>
          <w:p>
            <w:pPr>
              <w:spacing w:after="0"/>
              <w:rPr>
                <w:sz w:val="15"/>
                <w:szCs w:val="15"/>
                <w:color w:val="auto"/>
              </w:rPr>
            </w:pPr>
          </w:p>
        </w:tc>
      </w:tr>
      <w:tr>
        <w:trPr>
          <w:trHeight w:val="17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Specialty Chemicals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2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(1)</w:t>
            </w: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2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(1)</w:t>
            </w:r>
          </w:p>
        </w:tc>
      </w:tr>
      <w:tr>
        <w:trPr>
          <w:trHeight w:val="17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Utility Equipment Manufacturing</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80" w:type="dxa"/>
            <w:vAlign w:val="bottom"/>
            <w:shd w:val="clear" w:color="auto" w:fill="CCEEFF"/>
          </w:tcPr>
          <w:p>
            <w:pPr>
              <w:spacing w:after="0"/>
              <w:rPr>
                <w:sz w:val="15"/>
                <w:szCs w:val="15"/>
                <w:color w:val="auto"/>
              </w:rPr>
            </w:pPr>
          </w:p>
        </w:tc>
      </w:tr>
      <w:tr>
        <w:trPr>
          <w:trHeight w:val="17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Vending Equipment Manufacturing</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80" w:type="dxa"/>
            <w:vAlign w:val="bottom"/>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80" w:type="dxa"/>
            <w:vAlign w:val="bottom"/>
          </w:tcPr>
          <w:p>
            <w:pPr>
              <w:spacing w:after="0"/>
              <w:rPr>
                <w:sz w:val="15"/>
                <w:szCs w:val="15"/>
                <w:color w:val="auto"/>
              </w:rPr>
            </w:pPr>
          </w:p>
        </w:tc>
      </w:tr>
      <w:tr>
        <w:trPr>
          <w:trHeight w:val="209"/>
        </w:trPr>
        <w:tc>
          <w:tcPr>
            <w:tcW w:w="390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5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320" w:type="dxa"/>
            <w:vAlign w:val="bottom"/>
            <w:tcBorders>
              <w:bottom w:val="single" w:sz="8" w:color="CCEEFF"/>
            </w:tcBorders>
            <w:shd w:val="clear" w:color="auto" w:fill="CCEEFF"/>
          </w:tcPr>
          <w:p>
            <w:pPr>
              <w:ind w:left="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280" w:type="dxa"/>
            <w:vAlign w:val="bottom"/>
            <w:tcBorders>
              <w:bottom w:val="single" w:sz="8" w:color="CCEEFF"/>
            </w:tcBorders>
            <w:shd w:val="clear" w:color="auto" w:fill="CCEEFF"/>
          </w:tcPr>
          <w:p>
            <w:pPr>
              <w:ind w:left="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280" w:type="dxa"/>
            <w:vAlign w:val="bottom"/>
            <w:tcBorders>
              <w:bottom w:val="single" w:sz="8" w:color="CCEEFF"/>
            </w:tcBorders>
            <w:shd w:val="clear" w:color="auto" w:fill="CCEEFF"/>
          </w:tcPr>
          <w:p>
            <w:pPr>
              <w:ind w:left="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280" w:type="dxa"/>
            <w:vAlign w:val="bottom"/>
            <w:tcBorders>
              <w:bottom w:val="single" w:sz="8" w:color="CCEEFF"/>
            </w:tcBorders>
            <w:shd w:val="clear" w:color="auto" w:fill="CCEEFF"/>
          </w:tcPr>
          <w:p>
            <w:pPr>
              <w:ind w:left="60"/>
              <w:spacing w:after="0" w:line="155" w:lineRule="exact"/>
              <w:rPr>
                <w:sz w:val="20"/>
                <w:szCs w:val="20"/>
                <w:color w:val="auto"/>
              </w:rPr>
            </w:pPr>
            <w:r>
              <w:rPr>
                <w:rFonts w:ascii="Times New Roman" w:cs="Times New Roman" w:eastAsia="Times New Roman" w:hAnsi="Times New Roman"/>
                <w:sz w:val="14"/>
                <w:szCs w:val="14"/>
                <w:color w:val="auto"/>
              </w:rPr>
              <w:t>%</w:t>
            </w:r>
          </w:p>
        </w:tc>
      </w:tr>
      <w:tr>
        <w:trPr>
          <w:trHeight w:val="169"/>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(1) Percentage is less than 0.1% of respective total.</w:t>
            </w:r>
          </w:p>
        </w:tc>
        <w:tc>
          <w:tcPr>
            <w:tcW w:w="1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-144780</wp:posOffset>
            </wp:positionV>
            <wp:extent cx="431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-127635</wp:posOffset>
            </wp:positionV>
            <wp:extent cx="431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-144780</wp:posOffset>
            </wp:positionV>
            <wp:extent cx="342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-127635</wp:posOffset>
            </wp:positionV>
            <wp:extent cx="342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-144780</wp:posOffset>
            </wp:positionV>
            <wp:extent cx="342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-127635</wp:posOffset>
            </wp:positionV>
            <wp:extent cx="342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-144780</wp:posOffset>
            </wp:positionV>
            <wp:extent cx="342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-127635</wp:posOffset>
            </wp:positionV>
            <wp:extent cx="342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Asset Quality</w:t>
      </w:r>
    </w:p>
    <w:p>
      <w:pPr>
        <w:spacing w:after="0" w:line="16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addition to various risk management and monitoring tools, the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w:t>
      </w:r>
    </w:p>
    <w:p>
      <w:pPr>
        <w:spacing w:after="0" w:line="115" w:lineRule="exact"/>
        <w:rPr>
          <w:sz w:val="20"/>
          <w:szCs w:val="20"/>
          <w:color w:val="auto"/>
        </w:rPr>
      </w:pPr>
    </w:p>
    <w:p>
      <w:pPr>
        <w:ind w:left="1020" w:right="40" w:hanging="503"/>
        <w:spacing w:after="0" w:line="247"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 on the equity investment.</w:t>
      </w:r>
    </w:p>
    <w:p>
      <w:pPr>
        <w:spacing w:after="0" w:line="1" w:lineRule="exact"/>
        <w:rPr>
          <w:rFonts w:ascii="Times New Roman" w:cs="Times New Roman" w:eastAsia="Times New Roman" w:hAnsi="Times New Roman"/>
          <w:sz w:val="18"/>
          <w:szCs w:val="18"/>
          <w:color w:val="auto"/>
        </w:rPr>
      </w:pPr>
    </w:p>
    <w:p>
      <w:pPr>
        <w:ind w:left="1020" w:right="6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Rating 2 is used for investments that involve a level of risk similar to the risk at the time of origination. The portfolio company is performing substantially within our expectations and the risk factors are neutral or favorable. Each new portfolio investment enters our portfolio with Investment Rating 2.</w:t>
      </w:r>
    </w:p>
    <w:p>
      <w:pPr>
        <w:ind w:left="1020" w:right="6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p>
      <w:pPr>
        <w:ind w:left="1020" w:right="40" w:hanging="503"/>
        <w:spacing w:after="0" w:line="24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Rating 4 is used for investments performing materially below expectations and the risk has increased materially since origination. The investment has the potential for some loss of investment return, but we expect no loss of principal.</w:t>
      </w:r>
    </w:p>
    <w:p>
      <w:pPr>
        <w:spacing w:after="0" w:line="1" w:lineRule="exact"/>
        <w:rPr>
          <w:rFonts w:ascii="Times New Roman" w:cs="Times New Roman" w:eastAsia="Times New Roman" w:hAnsi="Times New Roman"/>
          <w:sz w:val="18"/>
          <w:szCs w:val="18"/>
          <w:color w:val="auto"/>
        </w:rPr>
      </w:pPr>
    </w:p>
    <w:p>
      <w:pPr>
        <w:ind w:left="1020" w:right="100" w:hanging="503"/>
        <w:spacing w:after="0" w:line="245"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Rating 5 is used for investments performing substantially below our expectations and the risks have increased substantially since origination. We expect some loss of principal.</w:t>
      </w:r>
    </w:p>
    <w:p>
      <w:pPr>
        <w:spacing w:after="0" w:line="126" w:lineRule="exact"/>
        <w:rPr>
          <w:sz w:val="20"/>
          <w:szCs w:val="20"/>
          <w:color w:val="auto"/>
        </w:rPr>
      </w:pPr>
    </w:p>
    <w:p>
      <w:pPr>
        <w:jc w:val="both"/>
        <w:ind w:firstLine="479"/>
        <w:spacing w:after="0" w:line="258" w:lineRule="auto"/>
        <w:rPr>
          <w:sz w:val="20"/>
          <w:szCs w:val="20"/>
          <w:color w:val="auto"/>
        </w:rPr>
      </w:pPr>
      <w:r>
        <w:rPr>
          <w:rFonts w:ascii="Times New Roman" w:cs="Times New Roman" w:eastAsia="Times New Roman" w:hAnsi="Times New Roman"/>
          <w:sz w:val="18"/>
          <w:szCs w:val="18"/>
          <w:color w:val="auto"/>
        </w:rPr>
        <w:t>As the COVID-19 pandemic continues to evolve, we are maintaining close communications with our portfolio companies to proactively assess and manage risks across our investment portfolio. We have also increased oversight and analysis of credits in vulnerable industries in an attempt to improve performance and reduce credit risk.</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the distribution of our investments on the 1 to 5 investment rating scale at fair value and cost as of March 31, 2022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(dollars in millions):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7"/>
        </w:trPr>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158"/>
        </w:trPr>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gridSpan w:val="3"/>
          </w:tcPr>
          <w:p>
            <w:pPr>
              <w:jc w:val="center"/>
              <w:ind w:left="88"/>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gridSpan w:val="3"/>
          </w:tcPr>
          <w:p>
            <w:pPr>
              <w:jc w:val="center"/>
              <w:ind w:left="4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2"/>
          </w:tcPr>
          <w:p>
            <w:pPr>
              <w:jc w:val="center"/>
              <w:ind w:left="168"/>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3"/>
          </w:tcPr>
          <w:p>
            <w:pPr>
              <w:jc w:val="center"/>
              <w:ind w:left="4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87"/>
        </w:trPr>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Rating</w:t>
            </w:r>
          </w:p>
        </w:tc>
        <w:tc>
          <w:tcPr>
            <w:tcW w:w="38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169"/>
        </w:trPr>
        <w:tc>
          <w:tcPr>
            <w:tcW w:w="15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26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52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26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52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24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2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3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646.1</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566.7</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637.3</w:t>
            </w: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320" w:type="dxa"/>
            <w:vAlign w:val="bottom"/>
          </w:tcPr>
          <w:p>
            <w:pPr>
              <w:spacing w:after="0"/>
              <w:rPr>
                <w:sz w:val="15"/>
                <w:szCs w:val="15"/>
                <w:color w:val="auto"/>
              </w:rPr>
            </w:pPr>
          </w:p>
        </w:tc>
      </w:tr>
      <w:tr>
        <w:trPr>
          <w:trHeight w:val="175"/>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5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5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2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4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320" w:type="dxa"/>
            <w:vAlign w:val="bottom"/>
            <w:shd w:val="clear" w:color="auto" w:fill="CFF0FC"/>
          </w:tcPr>
          <w:p>
            <w:pPr>
              <w:spacing w:after="0"/>
              <w:rPr>
                <w:sz w:val="15"/>
                <w:szCs w:val="15"/>
                <w:color w:val="auto"/>
              </w:rPr>
            </w:pPr>
          </w:p>
        </w:tc>
      </w:tr>
      <w:tr>
        <w:trPr>
          <w:trHeight w:val="176"/>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320" w:type="dxa"/>
            <w:vAlign w:val="bottom"/>
          </w:tcPr>
          <w:p>
            <w:pPr>
              <w:spacing w:after="0"/>
              <w:rPr>
                <w:sz w:val="15"/>
                <w:szCs w:val="15"/>
                <w:color w:val="auto"/>
              </w:rPr>
            </w:pPr>
          </w:p>
        </w:tc>
      </w:tr>
      <w:tr>
        <w:trPr>
          <w:trHeight w:val="175"/>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ind w:right="6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320" w:type="dxa"/>
            <w:vAlign w:val="bottom"/>
            <w:shd w:val="clear" w:color="auto" w:fill="CFF0FC"/>
          </w:tcPr>
          <w:p>
            <w:pPr>
              <w:spacing w:after="0"/>
              <w:rPr>
                <w:sz w:val="15"/>
                <w:szCs w:val="15"/>
                <w:color w:val="auto"/>
              </w:rPr>
            </w:pPr>
          </w:p>
        </w:tc>
      </w:tr>
      <w:tr>
        <w:trPr>
          <w:trHeight w:val="169"/>
        </w:trPr>
        <w:tc>
          <w:tcPr>
            <w:tcW w:w="1760" w:type="dxa"/>
            <w:vAlign w:val="bottom"/>
            <w:tcBorders>
              <w:top w:val="single" w:sz="8" w:color="CFF0FC"/>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38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812.0</w:t>
            </w:r>
          </w:p>
        </w:tc>
        <w:tc>
          <w:tcPr>
            <w:tcW w:w="260" w:type="dxa"/>
            <w:vAlign w:val="bottom"/>
            <w:tcBorders>
              <w:top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520" w:type="dxa"/>
            <w:vAlign w:val="bottom"/>
            <w:tcBorders>
              <w:top w:val="single" w:sz="8" w:color="CFF0FC"/>
            </w:tcBorders>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719.1</w:t>
            </w:r>
          </w:p>
        </w:tc>
        <w:tc>
          <w:tcPr>
            <w:tcW w:w="260" w:type="dxa"/>
            <w:vAlign w:val="bottom"/>
            <w:tcBorders>
              <w:top w:val="single" w:sz="8" w:color="CFF0FC"/>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520" w:type="dxa"/>
            <w:vAlign w:val="bottom"/>
            <w:tcBorders>
              <w:top w:val="single" w:sz="8" w:color="CFF0FC"/>
            </w:tcBorders>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720.0</w:t>
            </w:r>
          </w:p>
        </w:tc>
        <w:tc>
          <w:tcPr>
            <w:tcW w:w="240" w:type="dxa"/>
            <w:vAlign w:val="bottom"/>
            <w:tcBorders>
              <w:top w:val="single" w:sz="8" w:color="CFF0FC"/>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480" w:type="dxa"/>
            <w:vAlign w:val="bottom"/>
            <w:tcBorders>
              <w:top w:val="single" w:sz="8" w:color="CFF0FC"/>
            </w:tcBorders>
          </w:tcPr>
          <w:p>
            <w:pPr>
              <w:ind w:left="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621.8</w:t>
            </w:r>
          </w:p>
        </w:tc>
        <w:tc>
          <w:tcPr>
            <w:tcW w:w="22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320" w:type="dxa"/>
            <w:vAlign w:val="bottom"/>
            <w:tcBorders>
              <w:top w:val="single" w:sz="8" w:color="CFF0FC"/>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-145415</wp:posOffset>
            </wp:positionV>
            <wp:extent cx="5143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-145415</wp:posOffset>
            </wp:positionV>
            <wp:extent cx="5143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-145415</wp:posOffset>
            </wp:positionV>
            <wp:extent cx="5143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-145415</wp:posOffset>
            </wp:positionV>
            <wp:extent cx="5143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-145415</wp:posOffset>
            </wp:positionV>
            <wp:extent cx="5143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-145415</wp:posOffset>
            </wp:positionV>
            <wp:extent cx="431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-145415</wp:posOffset>
            </wp:positionV>
            <wp:extent cx="4318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-145415</wp:posOffset>
            </wp:positionV>
            <wp:extent cx="431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Based on our investment rating system, the weighted average rating of our portfolio as of March 31, 2022 and December 31, 2021 was 1.9 and 1.9, respectively, on a fair value basis and 2.0 and 2.1, respectively, on a cost basis.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Non-Accrual</w:t>
      </w:r>
    </w:p>
    <w:p>
      <w:pPr>
        <w:spacing w:after="0" w:line="173"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8"/>
          <w:szCs w:val="18"/>
          <w:color w:val="auto"/>
        </w:rPr>
        <w:t>As of March 31, 2022, we had debt investments in two portfolio companies on non-accrual status. As of December 31, 2021, we had a debt investment in one portfolio company on non-accrual status (dollars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40" w:type="dxa"/>
            <w:vAlign w:val="bottom"/>
          </w:tcPr>
          <w:p>
            <w:pPr>
              <w:spacing w:after="0"/>
              <w:rPr>
                <w:sz w:val="14"/>
                <w:szCs w:val="14"/>
                <w:color w:val="auto"/>
              </w:rPr>
            </w:pPr>
          </w:p>
        </w:tc>
      </w:tr>
      <w:tr>
        <w:trPr>
          <w:trHeight w:val="158"/>
        </w:trPr>
        <w:tc>
          <w:tcPr>
            <w:tcW w:w="5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08"/>
              <w:spacing w:after="0" w:line="158" w:lineRule="exact"/>
              <w:rPr>
                <w:sz w:val="20"/>
                <w:szCs w:val="20"/>
                <w:color w:val="auto"/>
              </w:rPr>
            </w:pPr>
            <w:r>
              <w:rPr>
                <w:rFonts w:ascii="Times New Roman" w:cs="Times New Roman" w:eastAsia="Times New Roman" w:hAnsi="Times New Roman"/>
                <w:sz w:val="14"/>
                <w:szCs w:val="14"/>
                <w:b w:val="1"/>
                <w:bCs w:val="1"/>
                <w:color w:val="auto"/>
              </w:rPr>
              <w:t>Fair</w:t>
            </w: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jc w:val="center"/>
              <w:ind w:right="472"/>
              <w:spacing w:after="0" w:line="158" w:lineRule="exact"/>
              <w:rPr>
                <w:sz w:val="20"/>
                <w:szCs w:val="20"/>
                <w:color w:val="auto"/>
              </w:rPr>
            </w:pPr>
            <w:r>
              <w:rPr>
                <w:rFonts w:ascii="Times New Roman" w:cs="Times New Roman" w:eastAsia="Times New Roman" w:hAnsi="Times New Roman"/>
                <w:sz w:val="14"/>
                <w:szCs w:val="14"/>
                <w:b w:val="1"/>
                <w:bCs w:val="1"/>
                <w:color w:val="auto"/>
              </w:rPr>
              <w:t>Fair</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80"/>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220" w:type="dxa"/>
            <w:vAlign w:val="bottom"/>
          </w:tcPr>
          <w:p>
            <w:pPr>
              <w:spacing w:after="0"/>
              <w:rPr>
                <w:sz w:val="15"/>
                <w:szCs w:val="15"/>
                <w:color w:val="auto"/>
              </w:rPr>
            </w:pPr>
          </w:p>
        </w:tc>
        <w:tc>
          <w:tcPr>
            <w:tcW w:w="8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center"/>
              <w:ind w:right="47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5"/>
                <w:szCs w:val="15"/>
                <w:color w:val="auto"/>
              </w:rPr>
            </w:pP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340" w:type="dxa"/>
            <w:vAlign w:val="bottom"/>
          </w:tcPr>
          <w:p>
            <w:pPr>
              <w:spacing w:after="0"/>
              <w:rPr>
                <w:sz w:val="15"/>
                <w:szCs w:val="15"/>
                <w:color w:val="auto"/>
              </w:rPr>
            </w:pPr>
          </w:p>
        </w:tc>
      </w:tr>
      <w:tr>
        <w:trPr>
          <w:trHeight w:val="175"/>
        </w:trPr>
        <w:tc>
          <w:tcPr>
            <w:tcW w:w="5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GreenFiber, LLC</w:t>
            </w:r>
          </w:p>
        </w:tc>
        <w:tc>
          <w:tcPr>
            <w:tcW w:w="16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4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00" w:type="dxa"/>
            <w:vAlign w:val="bottom"/>
          </w:tcPr>
          <w:p>
            <w:pPr>
              <w:spacing w:after="0"/>
              <w:rPr>
                <w:sz w:val="15"/>
                <w:szCs w:val="15"/>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Pr>
          <w:p>
            <w:pPr>
              <w:jc w:val="right"/>
              <w:ind w:right="52"/>
              <w:spacing w:after="0" w:line="96" w:lineRule="exact"/>
              <w:rPr>
                <w:sz w:val="20"/>
                <w:szCs w:val="20"/>
                <w:color w:val="auto"/>
              </w:rPr>
            </w:pPr>
            <w:r>
              <w:rPr>
                <w:rFonts w:ascii="Times New Roman" w:cs="Times New Roman" w:eastAsia="Times New Roman" w:hAnsi="Times New Roman"/>
                <w:sz w:val="10"/>
                <w:szCs w:val="10"/>
                <w:color w:val="auto"/>
              </w:rPr>
              <w:t>(2)</w:t>
            </w: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340" w:type="dxa"/>
            <w:vAlign w:val="bottom"/>
          </w:tcPr>
          <w:p>
            <w:pPr>
              <w:jc w:val="right"/>
              <w:ind w:right="52"/>
              <w:spacing w:after="0" w:line="96" w:lineRule="exact"/>
              <w:rPr>
                <w:sz w:val="20"/>
                <w:szCs w:val="20"/>
                <w:color w:val="auto"/>
              </w:rPr>
            </w:pPr>
            <w:r>
              <w:rPr>
                <w:rFonts w:ascii="Times New Roman" w:cs="Times New Roman" w:eastAsia="Times New Roman" w:hAnsi="Times New Roman"/>
                <w:sz w:val="10"/>
                <w:szCs w:val="10"/>
                <w:color w:val="auto"/>
              </w:rPr>
              <w:t>(2)</w:t>
            </w:r>
          </w:p>
        </w:tc>
      </w:tr>
      <w:tr>
        <w:trPr>
          <w:trHeight w:val="176"/>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K2 Merger Agreement Agent, LLC (fka K2 Industrial Services, Inc.)</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740"/>
              <w:spacing w:after="0" w:line="176"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8"/>
                <w:szCs w:val="8"/>
                <w:color w:val="auto"/>
              </w:rPr>
              <w:t xml:space="preserve"> (1)</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r>
      <w:tr>
        <w:trPr>
          <w:trHeight w:val="169"/>
        </w:trPr>
        <w:tc>
          <w:tcPr>
            <w:tcW w:w="5820" w:type="dxa"/>
            <w:vAlign w:val="bottom"/>
            <w:tcBorders>
              <w:top w:val="single" w:sz="8" w:color="CCEEFF"/>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w:t>
            </w:r>
          </w:p>
        </w:tc>
        <w:tc>
          <w:tcPr>
            <w:tcW w:w="360" w:type="dxa"/>
            <w:vAlign w:val="bottom"/>
            <w:tcBorders>
              <w:top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7.6</w:t>
            </w:r>
          </w:p>
        </w:tc>
        <w:tc>
          <w:tcPr>
            <w:tcW w:w="200" w:type="dxa"/>
            <w:vAlign w:val="bottom"/>
            <w:tcBorders>
              <w:top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ind w:left="74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Borders>
              <w:top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5.2</w:t>
            </w:r>
          </w:p>
        </w:tc>
        <w:tc>
          <w:tcPr>
            <w:tcW w:w="340" w:type="dxa"/>
            <w:vAlign w:val="bottom"/>
            <w:tcBorders>
              <w:top w:val="single" w:sz="8" w:color="CCEEFF"/>
            </w:tcBorders>
          </w:tcPr>
          <w:p>
            <w:pPr>
              <w:spacing w:after="0"/>
              <w:rPr>
                <w:sz w:val="14"/>
                <w:szCs w:val="14"/>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-144780</wp:posOffset>
            </wp:positionV>
            <wp:extent cx="128905" cy="1454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8905" cy="1454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-144780</wp:posOffset>
            </wp:positionV>
            <wp:extent cx="34290" cy="1454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4290" cy="1454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-144780</wp:posOffset>
            </wp:positionV>
            <wp:extent cx="34290" cy="1454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4290" cy="14541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-144780</wp:posOffset>
            </wp:positionV>
            <wp:extent cx="68580" cy="1454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281" w:lineRule="exact"/>
        <w:rPr>
          <w:sz w:val="20"/>
          <w:szCs w:val="20"/>
          <w:color w:val="auto"/>
        </w:rPr>
      </w:pPr>
    </w:p>
    <w:p>
      <w:pPr>
        <w:ind w:left="220" w:hanging="212"/>
        <w:spacing w:after="0"/>
        <w:tabs>
          <w:tab w:leader="none" w:pos="2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company debt investment was not on non-accrual status at December 31, 2021.</w:t>
      </w:r>
    </w:p>
    <w:p>
      <w:pPr>
        <w:spacing w:after="0" w:line="1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company was on PIK-only non-accrual status at December 31, 2021, meaning we ceased recognizing PIK interest income on the investment.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and Analysis of Results of Operations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2022 and 2021</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160"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Below is a summary of the changes in total investment income for the three months ended March 31, 2022 as compared to the same period in 2021 (dollars in millions, percent change calculated based on underlying dollar amounts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2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Borders>
              <w:bottom w:val="single" w:sz="8" w:color="auto"/>
            </w:tcBorders>
          </w:tcPr>
          <w:p>
            <w:pPr>
              <w:spacing w:after="0"/>
              <w:rPr>
                <w:sz w:val="16"/>
                <w:szCs w:val="16"/>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700" w:type="dxa"/>
            <w:vAlign w:val="bottom"/>
            <w:gridSpan w:val="2"/>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 xml:space="preserve">% Change </w:t>
            </w:r>
            <w:r>
              <w:rPr>
                <w:rFonts w:ascii="Times New Roman" w:cs="Times New Roman" w:eastAsia="Times New Roman" w:hAnsi="Times New Roman"/>
                <w:sz w:val="19"/>
                <w:szCs w:val="19"/>
                <w:b w:val="1"/>
                <w:bCs w:val="1"/>
                <w:color w:val="auto"/>
                <w:vertAlign w:val="superscript"/>
              </w:rPr>
              <w:t>(1)(2)</w:t>
            </w: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4"/>
                <w:szCs w:val="14"/>
                <w:color w:val="auto"/>
              </w:rPr>
            </w:pPr>
          </w:p>
        </w:tc>
        <w:tc>
          <w:tcPr>
            <w:tcW w:w="11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860" w:type="dxa"/>
            <w:vAlign w:val="bottom"/>
            <w:tcBorders>
              <w:top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220" w:type="dxa"/>
            <w:vAlign w:val="bottom"/>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20" w:type="dxa"/>
            <w:vAlign w:val="bottom"/>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3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Payment-in-kind interest income</w:t>
            </w:r>
          </w:p>
        </w:tc>
        <w:tc>
          <w:tcPr>
            <w:tcW w:w="8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(0.5 )</w:t>
            </w:r>
          </w:p>
        </w:tc>
        <w:tc>
          <w:tcPr>
            <w:tcW w:w="17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(43.5 %)</w:t>
            </w:r>
          </w:p>
        </w:tc>
        <w:tc>
          <w:tcPr>
            <w:tcW w:w="0" w:type="dxa"/>
            <w:vAlign w:val="bottom"/>
          </w:tcPr>
          <w:p>
            <w:pPr>
              <w:spacing w:after="0"/>
              <w:rPr>
                <w:sz w:val="1"/>
                <w:szCs w:val="1"/>
                <w:color w:val="auto"/>
              </w:rPr>
            </w:pPr>
          </w:p>
        </w:tc>
      </w:tr>
      <w:tr>
        <w:trPr>
          <w:trHeight w:val="17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income</w:t>
            </w:r>
          </w:p>
        </w:tc>
        <w:tc>
          <w:tcPr>
            <w:tcW w:w="8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2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640.9 %</w:t>
            </w:r>
          </w:p>
        </w:tc>
        <w:tc>
          <w:tcPr>
            <w:tcW w:w="0" w:type="dxa"/>
            <w:vAlign w:val="bottom"/>
          </w:tcPr>
          <w:p>
            <w:pPr>
              <w:spacing w:after="0"/>
              <w:rPr>
                <w:sz w:val="1"/>
                <w:szCs w:val="1"/>
                <w:color w:val="auto"/>
              </w:rPr>
            </w:pPr>
          </w:p>
        </w:tc>
      </w:tr>
      <w:tr>
        <w:trPr>
          <w:trHeight w:val="175"/>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Fee income</w:t>
            </w:r>
          </w:p>
        </w:tc>
        <w:tc>
          <w:tcPr>
            <w:tcW w:w="8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(0.9 )</w:t>
            </w:r>
          </w:p>
        </w:tc>
        <w:tc>
          <w:tcPr>
            <w:tcW w:w="17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(28.9 %)</w:t>
            </w:r>
          </w:p>
        </w:tc>
        <w:tc>
          <w:tcPr>
            <w:tcW w:w="0" w:type="dxa"/>
            <w:vAlign w:val="bottom"/>
          </w:tcPr>
          <w:p>
            <w:pPr>
              <w:spacing w:after="0"/>
              <w:rPr>
                <w:sz w:val="1"/>
                <w:szCs w:val="1"/>
                <w:color w:val="auto"/>
              </w:rPr>
            </w:pPr>
          </w:p>
        </w:tc>
      </w:tr>
      <w:tr>
        <w:trPr>
          <w:trHeight w:val="175"/>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on idle funds and other income</w:t>
            </w:r>
          </w:p>
        </w:tc>
        <w:tc>
          <w:tcPr>
            <w:tcW w:w="8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3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investment income</w:t>
            </w:r>
          </w:p>
        </w:tc>
        <w:tc>
          <w:tcPr>
            <w:tcW w:w="86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140" w:type="dxa"/>
            <w:vAlign w:val="bottom"/>
            <w:gridSpan w:val="2"/>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62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(2.8 )</w:t>
            </w:r>
          </w:p>
        </w:tc>
        <w:tc>
          <w:tcPr>
            <w:tcW w:w="17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(11.9 %)</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-145415</wp:posOffset>
            </wp:positionV>
            <wp:extent cx="51435" cy="1460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1435" cy="14605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-145415</wp:posOffset>
            </wp:positionV>
            <wp:extent cx="51435" cy="1460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1435" cy="1460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-145415</wp:posOffset>
            </wp:positionV>
            <wp:extent cx="51435" cy="1460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1435" cy="14605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-145415</wp:posOffset>
            </wp:positionV>
            <wp:extent cx="197485" cy="1460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97485" cy="146050"/>
                    </a:xfrm>
                    <a:prstGeom prst="rect">
                      <a:avLst/>
                    </a:prstGeom>
                    <a:noFill/>
                  </pic:spPr>
                </pic:pic>
              </a:graphicData>
            </a:graphic>
          </wp:anchor>
        </w:drawing>
      </w:r>
    </w:p>
    <w:p>
      <w:pPr>
        <w:spacing w:after="0" w:line="160" w:lineRule="exact"/>
        <w:rPr>
          <w:sz w:val="20"/>
          <w:szCs w:val="20"/>
          <w:color w:val="auto"/>
        </w:rPr>
      </w:pPr>
    </w:p>
    <w:p>
      <w:pPr>
        <w:ind w:left="220" w:hanging="212"/>
        <w:spacing w:after="0"/>
        <w:tabs>
          <w:tab w:leader="none" w:pos="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 = Not meaningful</w:t>
      </w:r>
    </w:p>
    <w:p>
      <w:pPr>
        <w:spacing w:after="0" w:line="4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 change calculated based on underlying dollar amounts in thousands as presented on the consolidated statements of operations.</w:t>
      </w:r>
    </w:p>
    <w:p>
      <w:pPr>
        <w:spacing w:after="0" w:line="16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2022, total investment income was $20.5 million, a decrease of $2.8 million or (11.9%), from the $23.3 million of total investment income for the three months ended March 31, 2021. As reflected in the table above, the decrease is primarily attributable to the following:</w:t>
      </w:r>
    </w:p>
    <w:p>
      <w:pPr>
        <w:spacing w:after="0" w:line="115" w:lineRule="exact"/>
        <w:rPr>
          <w:sz w:val="20"/>
          <w:szCs w:val="20"/>
          <w:color w:val="auto"/>
        </w:rPr>
      </w:pPr>
    </w:p>
    <w:p>
      <w:pPr>
        <w:ind w:left="1140" w:hanging="383"/>
        <w:spacing w:after="0" w:line="282"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decrease in total interest income (which includes payment-in-kind interest income) resulting from a decrease in average debt investment balances and lower weighted average yield on debt investment balances outstanding, during 2022 as compared to 2021.</w:t>
      </w:r>
    </w:p>
    <w:p>
      <w:pPr>
        <w:spacing w:after="0" w:line="9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increase in dividend income due to an increase in distributions received from equity investments.</w:t>
      </w:r>
    </w:p>
    <w:p>
      <w:pPr>
        <w:spacing w:after="0" w:line="157"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$0.9 million decrease in fee income resulting from a decrease in prepayment and amendment fees partially offset by an increase in origination fees during 2022 as compared to 2021.</w:t>
      </w:r>
    </w:p>
    <w:p>
      <w:pPr>
        <w:spacing w:after="0" w:line="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3" w:name="page44"/>
    <w:bookmarkEnd w:id="43"/>
    <w:p>
      <w:pPr>
        <w:ind w:right="20" w:firstLine="478"/>
        <w:spacing w:after="0" w:line="257" w:lineRule="auto"/>
        <w:rPr>
          <w:sz w:val="20"/>
          <w:szCs w:val="20"/>
          <w:color w:val="auto"/>
        </w:rPr>
      </w:pPr>
      <w:r>
        <w:rPr>
          <w:rFonts w:ascii="Times New Roman" w:cs="Times New Roman" w:eastAsia="Times New Roman" w:hAnsi="Times New Roman"/>
          <w:sz w:val="18"/>
          <w:szCs w:val="18"/>
          <w:color w:val="auto"/>
        </w:rPr>
        <w:t>Below is a summary of the changes in total expenses, including income tax provision, for the three months ended March 31, 2022 as compared to the same period in 2021 (dollars in millions, percent change calculated based on underlying dollar amounts in thousands):</w:t>
      </w:r>
    </w:p>
    <w:tbl>
      <w:tblPr>
        <w:tblLayout w:type="fixed"/>
        <w:tblInd w:w="0" w:type="dxa"/>
        <w:tblCellMar>
          <w:top w:w="0" w:type="dxa"/>
          <w:left w:w="0" w:type="dxa"/>
          <w:bottom w:w="0" w:type="dxa"/>
          <w:right w:w="0" w:type="dxa"/>
        </w:tblCellMar>
      </w:tblPr>
      <w:tr>
        <w:trPr>
          <w:trHeight w:val="169"/>
        </w:trPr>
        <w:tc>
          <w:tcPr>
            <w:tcW w:w="5200" w:type="dxa"/>
            <w:vAlign w:val="bottom"/>
          </w:tcPr>
          <w:p>
            <w:pPr>
              <w:spacing w:after="0"/>
              <w:rPr>
                <w:sz w:val="14"/>
                <w:szCs w:val="14"/>
                <w:color w:val="auto"/>
              </w:rPr>
            </w:pPr>
          </w:p>
        </w:tc>
        <w:tc>
          <w:tcPr>
            <w:tcW w:w="2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Borders>
              <w:bottom w:val="single" w:sz="8" w:color="auto"/>
            </w:tcBorders>
          </w:tcPr>
          <w:p>
            <w:pPr>
              <w:spacing w:after="0"/>
              <w:rPr>
                <w:sz w:val="14"/>
                <w:szCs w:val="14"/>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700" w:type="dxa"/>
            <w:vAlign w:val="bottom"/>
            <w:gridSpan w:val="2"/>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 xml:space="preserve">% Change </w:t>
            </w:r>
            <w:r>
              <w:rPr>
                <w:rFonts w:ascii="Times New Roman" w:cs="Times New Roman" w:eastAsia="Times New Roman" w:hAnsi="Times New Roman"/>
                <w:sz w:val="19"/>
                <w:szCs w:val="19"/>
                <w:b w:val="1"/>
                <w:bCs w:val="1"/>
                <w:color w:val="auto"/>
                <w:vertAlign w:val="superscript"/>
              </w:rPr>
              <w:t>(1)(2)</w:t>
            </w: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financing expenses</w:t>
            </w:r>
          </w:p>
        </w:tc>
        <w:tc>
          <w:tcPr>
            <w:tcW w:w="860" w:type="dxa"/>
            <w:vAlign w:val="bottom"/>
            <w:tcBorders>
              <w:top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20" w:type="dxa"/>
            <w:vAlign w:val="bottom"/>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20" w:type="dxa"/>
            <w:vAlign w:val="bottom"/>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3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Base management fee</w:t>
            </w:r>
          </w:p>
        </w:tc>
        <w:tc>
          <w:tcPr>
            <w:tcW w:w="8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20" w:type="dxa"/>
            <w:vAlign w:val="bottom"/>
          </w:tcPr>
          <w:p>
            <w:pPr>
              <w:spacing w:after="0"/>
              <w:rPr>
                <w:sz w:val="15"/>
                <w:szCs w:val="15"/>
                <w:color w:val="auto"/>
              </w:rPr>
            </w:pPr>
          </w:p>
        </w:tc>
        <w:tc>
          <w:tcPr>
            <w:tcW w:w="17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5.3 %</w:t>
            </w:r>
          </w:p>
        </w:tc>
        <w:tc>
          <w:tcPr>
            <w:tcW w:w="0" w:type="dxa"/>
            <w:vAlign w:val="bottom"/>
          </w:tcPr>
          <w:p>
            <w:pPr>
              <w:spacing w:after="0"/>
              <w:rPr>
                <w:sz w:val="1"/>
                <w:szCs w:val="1"/>
                <w:color w:val="auto"/>
              </w:rPr>
            </w:pPr>
          </w:p>
        </w:tc>
      </w:tr>
      <w:tr>
        <w:trPr>
          <w:trHeight w:val="17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Incentive fee - income</w:t>
            </w:r>
          </w:p>
        </w:tc>
        <w:tc>
          <w:tcPr>
            <w:tcW w:w="8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(1.6 )</w:t>
            </w:r>
          </w:p>
        </w:tc>
        <w:tc>
          <w:tcPr>
            <w:tcW w:w="17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(60.5 %)</w:t>
            </w:r>
          </w:p>
        </w:tc>
        <w:tc>
          <w:tcPr>
            <w:tcW w:w="0" w:type="dxa"/>
            <w:vAlign w:val="bottom"/>
          </w:tcPr>
          <w:p>
            <w:pPr>
              <w:spacing w:after="0"/>
              <w:rPr>
                <w:sz w:val="1"/>
                <w:szCs w:val="1"/>
                <w:color w:val="auto"/>
              </w:rPr>
            </w:pPr>
          </w:p>
        </w:tc>
      </w:tr>
      <w:tr>
        <w:trPr>
          <w:trHeight w:val="176"/>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Incentive fee (reversal) - capital gains</w:t>
            </w:r>
          </w:p>
        </w:tc>
        <w:tc>
          <w:tcPr>
            <w:tcW w:w="8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20" w:type="dxa"/>
            <w:vAlign w:val="bottom"/>
          </w:tcPr>
          <w:p>
            <w:pPr>
              <w:spacing w:after="0"/>
              <w:rPr>
                <w:sz w:val="15"/>
                <w:szCs w:val="15"/>
                <w:color w:val="auto"/>
              </w:rPr>
            </w:pPr>
          </w:p>
        </w:tc>
        <w:tc>
          <w:tcPr>
            <w:tcW w:w="17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196.7 %</w:t>
            </w:r>
          </w:p>
        </w:tc>
        <w:tc>
          <w:tcPr>
            <w:tcW w:w="0" w:type="dxa"/>
            <w:vAlign w:val="bottom"/>
          </w:tcPr>
          <w:p>
            <w:pPr>
              <w:spacing w:after="0"/>
              <w:rPr>
                <w:sz w:val="1"/>
                <w:szCs w:val="1"/>
                <w:color w:val="auto"/>
              </w:rPr>
            </w:pPr>
          </w:p>
        </w:tc>
      </w:tr>
      <w:tr>
        <w:trPr>
          <w:trHeight w:val="17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Administrative service expenses</w:t>
            </w:r>
          </w:p>
        </w:tc>
        <w:tc>
          <w:tcPr>
            <w:tcW w:w="8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76"/>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8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tcPr>
          <w:p>
            <w:pPr>
              <w:spacing w:after="0"/>
              <w:rPr>
                <w:sz w:val="15"/>
                <w:szCs w:val="15"/>
                <w:color w:val="auto"/>
              </w:rPr>
            </w:pPr>
          </w:p>
        </w:tc>
        <w:tc>
          <w:tcPr>
            <w:tcW w:w="17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59.4 %</w:t>
            </w:r>
          </w:p>
        </w:tc>
        <w:tc>
          <w:tcPr>
            <w:tcW w:w="0" w:type="dxa"/>
            <w:vAlign w:val="bottom"/>
          </w:tcPr>
          <w:p>
            <w:pPr>
              <w:spacing w:after="0"/>
              <w:rPr>
                <w:sz w:val="1"/>
                <w:szCs w:val="1"/>
                <w:color w:val="auto"/>
              </w:rPr>
            </w:pPr>
          </w:p>
        </w:tc>
      </w:tr>
      <w:tr>
        <w:trPr>
          <w:trHeight w:val="176"/>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8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3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expenses, before base management and income incentive fee waivers</w:t>
            </w:r>
          </w:p>
        </w:tc>
        <w:tc>
          <w:tcPr>
            <w:tcW w:w="8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(1.9 )</w:t>
            </w:r>
          </w:p>
        </w:tc>
        <w:tc>
          <w:tcPr>
            <w:tcW w:w="17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(15.6 %)</w:t>
            </w: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Base management and income incentive fee waivers</w:t>
            </w:r>
          </w:p>
        </w:tc>
        <w:tc>
          <w:tcPr>
            <w:tcW w:w="8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(0.1 )</w:t>
            </w:r>
          </w:p>
        </w:tc>
        <w:tc>
          <w:tcPr>
            <w:tcW w:w="9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(0.1 )</w:t>
            </w:r>
          </w:p>
        </w:tc>
        <w:tc>
          <w:tcPr>
            <w:tcW w:w="170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
        </w:trPr>
        <w:tc>
          <w:tcPr>
            <w:tcW w:w="52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expenses, before income tax provision</w:t>
            </w:r>
          </w:p>
        </w:tc>
        <w:tc>
          <w:tcPr>
            <w:tcW w:w="8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(2.0 )</w:t>
            </w:r>
          </w:p>
        </w:tc>
        <w:tc>
          <w:tcPr>
            <w:tcW w:w="17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(16.3 %)</w:t>
            </w:r>
          </w:p>
        </w:tc>
        <w:tc>
          <w:tcPr>
            <w:tcW w:w="0" w:type="dxa"/>
            <w:vAlign w:val="bottom"/>
          </w:tcPr>
          <w:p>
            <w:pPr>
              <w:spacing w:after="0"/>
              <w:rPr>
                <w:sz w:val="1"/>
                <w:szCs w:val="1"/>
                <w:color w:val="auto"/>
              </w:rPr>
            </w:pPr>
          </w:p>
        </w:tc>
      </w:tr>
      <w:tr>
        <w:trPr>
          <w:trHeight w:val="175"/>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8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3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0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 expenses, including income tax provision</w:t>
            </w:r>
          </w:p>
        </w:tc>
        <w:tc>
          <w:tcPr>
            <w:tcW w:w="860" w:type="dxa"/>
            <w:vAlign w:val="bottom"/>
          </w:tcPr>
          <w:p>
            <w:pPr>
              <w:jc w:val="right"/>
              <w:ind w:right="7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10.2</w:t>
            </w:r>
          </w:p>
        </w:tc>
        <w:tc>
          <w:tcPr>
            <w:tcW w:w="220" w:type="dxa"/>
            <w:vAlign w:val="bottom"/>
          </w:tcPr>
          <w:p>
            <w:pPr>
              <w:spacing w:after="0"/>
              <w:rPr>
                <w:sz w:val="14"/>
                <w:szCs w:val="14"/>
                <w:color w:val="auto"/>
              </w:rPr>
            </w:pPr>
          </w:p>
        </w:tc>
        <w:tc>
          <w:tcPr>
            <w:tcW w:w="920" w:type="dxa"/>
            <w:vAlign w:val="bottom"/>
          </w:tcPr>
          <w:p>
            <w:pPr>
              <w:jc w:val="right"/>
              <w:ind w:right="7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12.2</w:t>
            </w:r>
          </w:p>
        </w:tc>
        <w:tc>
          <w:tcPr>
            <w:tcW w:w="220" w:type="dxa"/>
            <w:vAlign w:val="bottom"/>
          </w:tcPr>
          <w:p>
            <w:pPr>
              <w:spacing w:after="0"/>
              <w:rPr>
                <w:sz w:val="14"/>
                <w:szCs w:val="14"/>
                <w:color w:val="auto"/>
              </w:rPr>
            </w:pPr>
          </w:p>
        </w:tc>
        <w:tc>
          <w:tcPr>
            <w:tcW w:w="400" w:type="dxa"/>
            <w:vAlign w:val="bottom"/>
          </w:tcPr>
          <w:p>
            <w:pPr>
              <w:jc w:val="right"/>
              <w:ind w:right="2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(2.0 )</w:t>
            </w:r>
          </w:p>
        </w:tc>
        <w:tc>
          <w:tcPr>
            <w:tcW w:w="1700" w:type="dxa"/>
            <w:vAlign w:val="bottom"/>
            <w:gridSpan w:val="2"/>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(16.6 %)</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-590550</wp:posOffset>
            </wp:positionV>
            <wp:extent cx="51435" cy="1200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1435" cy="1200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-590550</wp:posOffset>
            </wp:positionV>
            <wp:extent cx="51435" cy="1200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1435" cy="1200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-590550</wp:posOffset>
            </wp:positionV>
            <wp:extent cx="51435" cy="1200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1435" cy="1200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-590550</wp:posOffset>
            </wp:positionV>
            <wp:extent cx="197485" cy="1200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97485" cy="12001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-359410</wp:posOffset>
            </wp:positionV>
            <wp:extent cx="51435" cy="1200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1435" cy="1200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-359410</wp:posOffset>
            </wp:positionV>
            <wp:extent cx="51435" cy="1200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1435" cy="1200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-359410</wp:posOffset>
            </wp:positionV>
            <wp:extent cx="51435" cy="1200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1435" cy="1200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-359410</wp:posOffset>
            </wp:positionV>
            <wp:extent cx="197485" cy="1200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97485" cy="12001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-128270</wp:posOffset>
            </wp:positionV>
            <wp:extent cx="51435" cy="1460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1435" cy="14605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-128270</wp:posOffset>
            </wp:positionV>
            <wp:extent cx="51435" cy="1460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1435" cy="1460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-128270</wp:posOffset>
            </wp:positionV>
            <wp:extent cx="51435" cy="1460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1435" cy="14605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-128270</wp:posOffset>
            </wp:positionV>
            <wp:extent cx="197485" cy="1460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97485" cy="146050"/>
                    </a:xfrm>
                    <a:prstGeom prst="rect">
                      <a:avLst/>
                    </a:prstGeom>
                    <a:noFill/>
                  </pic:spPr>
                </pic:pic>
              </a:graphicData>
            </a:graphic>
          </wp:anchor>
        </w:drawing>
      </w:r>
    </w:p>
    <w:p>
      <w:pPr>
        <w:ind w:left="220" w:hanging="212"/>
        <w:spacing w:after="0"/>
        <w:tabs>
          <w:tab w:leader="none" w:pos="2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 = Not meaningful</w:t>
      </w:r>
    </w:p>
    <w:p>
      <w:pPr>
        <w:spacing w:after="0" w:line="4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 change calculated based on underlying dollar amounts in thousands as presented on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-224155</wp:posOffset>
            </wp:positionV>
            <wp:extent cx="364299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61" w:lineRule="exact"/>
        <w:rPr>
          <w:sz w:val="20"/>
          <w:szCs w:val="20"/>
          <w:color w:val="auto"/>
        </w:rPr>
      </w:pPr>
    </w:p>
    <w:p>
      <w:pPr>
        <w:jc w:val="both"/>
        <w:ind w:firstLine="478"/>
        <w:spacing w:after="0" w:line="250" w:lineRule="auto"/>
        <w:rPr>
          <w:sz w:val="20"/>
          <w:szCs w:val="20"/>
          <w:color w:val="auto"/>
        </w:rPr>
      </w:pPr>
      <w:r>
        <w:rPr>
          <w:rFonts w:ascii="Times New Roman" w:cs="Times New Roman" w:eastAsia="Times New Roman" w:hAnsi="Times New Roman"/>
          <w:sz w:val="18"/>
          <w:szCs w:val="18"/>
          <w:color w:val="auto"/>
        </w:rPr>
        <w:t>For the three months ended March 31, 2022, total expenses, including income tax provision, were $10.2 million, a decrease of $2.0 million or (16.6%), from the $12.2 million of total expenses for the three months ended March 31, 2021. As reflected in the table above, changes across periods were primarily attributable to the following:</w:t>
      </w:r>
    </w:p>
    <w:p>
      <w:pPr>
        <w:spacing w:after="0" w:line="123" w:lineRule="exact"/>
        <w:rPr>
          <w:sz w:val="20"/>
          <w:szCs w:val="20"/>
          <w:color w:val="auto"/>
        </w:rPr>
      </w:pPr>
    </w:p>
    <w:p>
      <w:pPr>
        <w:ind w:left="1220" w:hanging="381"/>
        <w:spacing w:after="0" w:line="282" w:lineRule="auto"/>
        <w:tabs>
          <w:tab w:leader="none" w:pos="1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decrease in interest and financing expenses due to a decrease in average borrowings outstanding and the weighted average interest rate during 2022 as compared to 2021.</w:t>
      </w:r>
    </w:p>
    <w:p>
      <w:pPr>
        <w:spacing w:after="0" w:line="94" w:lineRule="exact"/>
        <w:rPr>
          <w:rFonts w:ascii="Times New Roman" w:cs="Times New Roman" w:eastAsia="Times New Roman" w:hAnsi="Times New Roman"/>
          <w:sz w:val="18"/>
          <w:szCs w:val="18"/>
          <w:color w:val="auto"/>
        </w:rPr>
      </w:pPr>
    </w:p>
    <w:p>
      <w:pPr>
        <w:ind w:left="1220" w:hanging="381"/>
        <w:spacing w:after="0" w:line="266" w:lineRule="auto"/>
        <w:tabs>
          <w:tab w:leader="none" w:pos="1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net increase in base management fee, including the base management fee waiver, due to higher average total assets during 2022 as compared to 2021.</w:t>
      </w:r>
    </w:p>
    <w:p>
      <w:pPr>
        <w:spacing w:after="0" w:line="121" w:lineRule="exact"/>
        <w:rPr>
          <w:rFonts w:ascii="Times New Roman" w:cs="Times New Roman" w:eastAsia="Times New Roman" w:hAnsi="Times New Roman"/>
          <w:sz w:val="18"/>
          <w:szCs w:val="18"/>
          <w:color w:val="auto"/>
        </w:rPr>
      </w:pPr>
    </w:p>
    <w:p>
      <w:pPr>
        <w:ind w:left="1220" w:right="20" w:hanging="381"/>
        <w:spacing w:after="0" w:line="266" w:lineRule="auto"/>
        <w:tabs>
          <w:tab w:leader="none" w:pos="1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million net decrease in the income incentive fee due to a $2.2 million decrease in pre-incentive fee net investment income during 2022 as compared to 2021.</w:t>
      </w:r>
    </w:p>
    <w:p>
      <w:pPr>
        <w:spacing w:after="0" w:line="108" w:lineRule="exact"/>
        <w:rPr>
          <w:rFonts w:ascii="Times New Roman" w:cs="Times New Roman" w:eastAsia="Times New Roman" w:hAnsi="Times New Roman"/>
          <w:sz w:val="18"/>
          <w:szCs w:val="18"/>
          <w:color w:val="auto"/>
        </w:rPr>
      </w:pPr>
    </w:p>
    <w:p>
      <w:pPr>
        <w:jc w:val="both"/>
        <w:ind w:left="1220" w:hanging="381"/>
        <w:spacing w:after="0" w:line="258" w:lineRule="auto"/>
        <w:tabs>
          <w:tab w:leader="none" w:pos="1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increase in the accrued capital gains incentive fee due to a $1.1 million decrease in net gain on investments (net realized gains (losses), plus net change in unrealized appreciation (depreciation) on investments), plus a $2.0 million decrease in realized losses on extinguishment of debt during 2022 as compared to the same period in 2021.</w:t>
      </w:r>
    </w:p>
    <w:p>
      <w:pPr>
        <w:spacing w:after="0" w:line="115" w:lineRule="exact"/>
        <w:rPr>
          <w:rFonts w:ascii="Times New Roman" w:cs="Times New Roman" w:eastAsia="Times New Roman" w:hAnsi="Times New Roman"/>
          <w:sz w:val="18"/>
          <w:szCs w:val="18"/>
          <w:color w:val="auto"/>
        </w:rPr>
      </w:pPr>
    </w:p>
    <w:p>
      <w:pPr>
        <w:ind w:left="1220" w:hanging="381"/>
        <w:spacing w:after="0"/>
        <w:tabs>
          <w:tab w:leader="none" w:pos="1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increase in professional fees due to increased legal, audit and tax compliance costs during 2022 as compared to 2021.</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Net Investment Income</w:t>
      </w:r>
    </w:p>
    <w:p>
      <w:pPr>
        <w:spacing w:after="0" w:line="160" w:lineRule="exact"/>
        <w:rPr>
          <w:sz w:val="20"/>
          <w:szCs w:val="20"/>
          <w:color w:val="auto"/>
        </w:rPr>
      </w:pPr>
    </w:p>
    <w:p>
      <w:pPr>
        <w:jc w:val="both"/>
        <w:ind w:right="20" w:firstLine="478"/>
        <w:spacing w:after="0" w:line="258" w:lineRule="auto"/>
        <w:rPr>
          <w:sz w:val="20"/>
          <w:szCs w:val="20"/>
          <w:color w:val="auto"/>
        </w:rPr>
      </w:pPr>
      <w:r>
        <w:rPr>
          <w:rFonts w:ascii="Times New Roman" w:cs="Times New Roman" w:eastAsia="Times New Roman" w:hAnsi="Times New Roman"/>
          <w:sz w:val="18"/>
          <w:szCs w:val="18"/>
          <w:color w:val="auto"/>
        </w:rPr>
        <w:t>Net investment income decreased by $0.8 million, or (6.7%), to $10.3 million during the three months ended March 31, 2022 as compared to the same period in 2021, as a result of the $2.8 decrease in total investment income, partially offset by the $2.0 million decrease in total expenses, including base management fee waivers and income tax provision.</w:t>
      </w:r>
    </w:p>
    <w:p>
      <w:pPr>
        <w:spacing w:after="0" w:line="1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Net Gain (Loss) on Investments</w:t>
      </w:r>
    </w:p>
    <w:p>
      <w:pPr>
        <w:spacing w:after="0" w:line="160"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For the three months ended March 31, 2022, the total net realized gain/(loss) on investments, before income tax (provision)/benefit, was $6.9 million. There was no income tax (provision) benefit from realized gains on investments for the three months ended March 31, 2022. We realize a gain/(loss) on our equity investments primarily when we either sell our equity investment or the underlying portfolio company is sold. Significant realized gains (losses) for the three months ended March 31, 2022 are summarized below (dollars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80" w:type="dxa"/>
            <w:vAlign w:val="bottom"/>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 xml:space="preserve">Realization Event </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Net Realized</w:t>
            </w:r>
          </w:p>
        </w:tc>
        <w:tc>
          <w:tcPr>
            <w:tcW w:w="0" w:type="dxa"/>
            <w:vAlign w:val="bottom"/>
          </w:tcPr>
          <w:p>
            <w:pPr>
              <w:spacing w:after="0"/>
              <w:rPr>
                <w:sz w:val="1"/>
                <w:szCs w:val="1"/>
                <w:color w:val="auto"/>
              </w:rPr>
            </w:pPr>
          </w:p>
        </w:tc>
      </w:tr>
      <w:tr>
        <w:trPr>
          <w:trHeight w:val="187"/>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tcPr>
          <w:p>
            <w:pPr>
              <w:spacing w:after="0"/>
              <w:rPr>
                <w:sz w:val="16"/>
                <w:szCs w:val="16"/>
                <w:color w:val="auto"/>
              </w:rPr>
            </w:pPr>
          </w:p>
        </w:tc>
        <w:tc>
          <w:tcPr>
            <w:tcW w:w="3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0" w:type="dxa"/>
            <w:vAlign w:val="bottom"/>
          </w:tcPr>
          <w:p>
            <w:pPr>
              <w:spacing w:after="0"/>
              <w:rPr>
                <w:sz w:val="1"/>
                <w:szCs w:val="1"/>
                <w:color w:val="auto"/>
              </w:rPr>
            </w:pPr>
          </w:p>
        </w:tc>
      </w:tr>
      <w:tr>
        <w:trPr>
          <w:trHeight w:val="169"/>
        </w:trPr>
        <w:tc>
          <w:tcPr>
            <w:tcW w:w="57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Software Technology, LLC</w:t>
            </w:r>
          </w:p>
        </w:tc>
        <w:tc>
          <w:tcPr>
            <w:tcW w:w="120" w:type="dxa"/>
            <w:vAlign w:val="bottom"/>
            <w:shd w:val="clear" w:color="auto" w:fill="CFF0FC"/>
          </w:tcPr>
          <w:p>
            <w:pPr>
              <w:spacing w:after="0"/>
              <w:rPr>
                <w:sz w:val="14"/>
                <w:szCs w:val="14"/>
                <w:color w:val="auto"/>
              </w:rPr>
            </w:pPr>
          </w:p>
        </w:tc>
        <w:tc>
          <w:tcPr>
            <w:tcW w:w="3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Escrow distribution</w:t>
            </w:r>
          </w:p>
        </w:tc>
        <w:tc>
          <w:tcPr>
            <w:tcW w:w="12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74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Frontline Food Services, LLC</w:t>
            </w:r>
          </w:p>
        </w:tc>
        <w:tc>
          <w:tcPr>
            <w:tcW w:w="120" w:type="dxa"/>
            <w:vAlign w:val="bottom"/>
          </w:tcPr>
          <w:p>
            <w:pPr>
              <w:spacing w:after="0"/>
              <w:rPr>
                <w:sz w:val="13"/>
                <w:szCs w:val="13"/>
                <w:color w:val="auto"/>
              </w:rPr>
            </w:pPr>
          </w:p>
        </w:tc>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Sale of portfolio company</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(f/k/a Accent Food Services, LLC)</w:t>
            </w:r>
          </w:p>
        </w:tc>
        <w:tc>
          <w:tcPr>
            <w:tcW w:w="120" w:type="dxa"/>
            <w:vAlign w:val="bottom"/>
          </w:tcPr>
          <w:p>
            <w:pPr>
              <w:spacing w:after="0"/>
              <w:rPr>
                <w:sz w:val="14"/>
                <w:szCs w:val="14"/>
                <w:color w:val="auto"/>
              </w:rPr>
            </w:pPr>
          </w:p>
        </w:tc>
        <w:tc>
          <w:tcPr>
            <w:tcW w:w="3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 Management Solutions, LLC</w:t>
            </w:r>
          </w:p>
        </w:tc>
        <w:tc>
          <w:tcPr>
            <w:tcW w:w="120" w:type="dxa"/>
            <w:vAlign w:val="bottom"/>
            <w:shd w:val="clear" w:color="auto" w:fill="CFF0FC"/>
          </w:tcPr>
          <w:p>
            <w:pPr>
              <w:spacing w:after="0"/>
              <w:rPr>
                <w:sz w:val="15"/>
                <w:szCs w:val="15"/>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Escrow distribution</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SpendMend LLC</w:t>
            </w:r>
          </w:p>
        </w:tc>
        <w:tc>
          <w:tcPr>
            <w:tcW w:w="120" w:type="dxa"/>
            <w:vAlign w:val="bottom"/>
          </w:tcPr>
          <w:p>
            <w:pPr>
              <w:spacing w:after="0"/>
              <w:rPr>
                <w:sz w:val="15"/>
                <w:szCs w:val="15"/>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Exit of portfolio company</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FDS Avionics Corp.</w:t>
            </w:r>
          </w:p>
        </w:tc>
        <w:tc>
          <w:tcPr>
            <w:tcW w:w="120" w:type="dxa"/>
            <w:vAlign w:val="bottom"/>
            <w:shd w:val="clear" w:color="auto" w:fill="CFF0FC"/>
          </w:tcPr>
          <w:p>
            <w:pPr>
              <w:spacing w:after="0"/>
              <w:rPr>
                <w:sz w:val="15"/>
                <w:szCs w:val="15"/>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Escrow distribution</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0" w:type="dxa"/>
            <w:vAlign w:val="bottom"/>
          </w:tcPr>
          <w:p>
            <w:pPr>
              <w:spacing w:after="0"/>
              <w:rPr>
                <w:sz w:val="1"/>
                <w:szCs w:val="1"/>
                <w:color w:val="auto"/>
              </w:rPr>
            </w:pPr>
          </w:p>
        </w:tc>
      </w:tr>
      <w:tr>
        <w:trPr>
          <w:trHeight w:val="175"/>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Mesa Line Services, LLC</w:t>
            </w:r>
          </w:p>
        </w:tc>
        <w:tc>
          <w:tcPr>
            <w:tcW w:w="120" w:type="dxa"/>
            <w:vAlign w:val="bottom"/>
          </w:tcPr>
          <w:p>
            <w:pPr>
              <w:spacing w:after="0"/>
              <w:rPr>
                <w:sz w:val="15"/>
                <w:szCs w:val="15"/>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Escrow liability release</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Mirage Trailers LLC</w:t>
            </w:r>
          </w:p>
        </w:tc>
        <w:tc>
          <w:tcPr>
            <w:tcW w:w="120" w:type="dxa"/>
            <w:vAlign w:val="bottom"/>
            <w:shd w:val="clear" w:color="auto" w:fill="CFF0FC"/>
          </w:tcPr>
          <w:p>
            <w:pPr>
              <w:spacing w:after="0"/>
              <w:rPr>
                <w:sz w:val="15"/>
                <w:szCs w:val="15"/>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Sale of portfolio company</w:t>
            </w:r>
          </w:p>
        </w:tc>
        <w:tc>
          <w:tcPr>
            <w:tcW w:w="12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1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 (provision) benefit from realized gains on investments</w:t>
            </w:r>
          </w:p>
        </w:tc>
        <w:tc>
          <w:tcPr>
            <w:tcW w:w="120" w:type="dxa"/>
            <w:vAlign w:val="bottom"/>
            <w:tcBorders>
              <w:bottom w:val="single" w:sz="8" w:color="CFF0FC"/>
            </w:tcBorders>
            <w:shd w:val="clear" w:color="auto" w:fill="CFF0FC"/>
          </w:tcPr>
          <w:p>
            <w:pPr>
              <w:spacing w:after="0"/>
              <w:rPr>
                <w:sz w:val="15"/>
                <w:szCs w:val="15"/>
                <w:color w:val="auto"/>
              </w:rPr>
            </w:pPr>
          </w:p>
        </w:tc>
        <w:tc>
          <w:tcPr>
            <w:tcW w:w="34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Net realized gain (loss), net of income tax provision, on investments</w:t>
            </w:r>
          </w:p>
        </w:tc>
        <w:tc>
          <w:tcPr>
            <w:tcW w:w="1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60" w:type="dxa"/>
            <w:vAlign w:val="bottom"/>
            <w:gridSpan w:val="2"/>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-145415</wp:posOffset>
            </wp:positionV>
            <wp:extent cx="4318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44" w:name="page45"/>
    <w:bookmarkEnd w:id="44"/>
    <w:p>
      <w:pPr>
        <w:jc w:val="both"/>
        <w:ind w:firstLine="8"/>
        <w:spacing w:after="0" w:line="261" w:lineRule="auto"/>
        <w:tabs>
          <w:tab w:leader="none" w:pos="215"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it relates to realization events, we define an 'exit' of a portfolio company as situations where we have completely exited our position in all of the portfolio company's securities and no longer carry the portfolio company on our consolidated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pacing w:after="0" w:line="303"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For the three months ended March 31, 2021, the total net realized gain/(loss) on investments, before income tax (provision)/benefit, was $3.2 million. There was no income tax (provision) benefit from realized gains on investments for the three months ended March 31, 2021. We realize a gain/(loss) on our equity investments primarily when we either sell our equity investment or the underlying portfolio company is sold. Significant realized gains (losses) for the three months ended March 31, 2021 are summarized below (dollars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Net Realized</w:t>
            </w:r>
          </w:p>
        </w:tc>
      </w:tr>
      <w:tr>
        <w:trPr>
          <w:trHeight w:val="187"/>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360" w:type="dxa"/>
            <w:vAlign w:val="bottom"/>
          </w:tcPr>
          <w:p>
            <w:pPr>
              <w:spacing w:after="0"/>
              <w:rPr>
                <w:sz w:val="16"/>
                <w:szCs w:val="16"/>
                <w:color w:val="auto"/>
              </w:rPr>
            </w:pPr>
          </w:p>
        </w:tc>
        <w:tc>
          <w:tcPr>
            <w:tcW w:w="284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Realization Event (1)</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Gains (Losses)</w:t>
            </w:r>
          </w:p>
        </w:tc>
      </w:tr>
      <w:tr>
        <w:trPr>
          <w:trHeight w:val="169"/>
        </w:trPr>
        <w:tc>
          <w:tcPr>
            <w:tcW w:w="6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Software Technology, LLC</w:t>
            </w:r>
          </w:p>
        </w:tc>
        <w:tc>
          <w:tcPr>
            <w:tcW w:w="360" w:type="dxa"/>
            <w:vAlign w:val="bottom"/>
            <w:shd w:val="clear" w:color="auto" w:fill="CCEEFF"/>
          </w:tcPr>
          <w:p>
            <w:pPr>
              <w:spacing w:after="0"/>
              <w:rPr>
                <w:sz w:val="14"/>
                <w:szCs w:val="14"/>
                <w:color w:val="auto"/>
              </w:rPr>
            </w:pPr>
          </w:p>
        </w:tc>
        <w:tc>
          <w:tcPr>
            <w:tcW w:w="2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Exit of portfolio company</w:t>
            </w:r>
          </w:p>
        </w:tc>
        <w:tc>
          <w:tcPr>
            <w:tcW w:w="2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60" w:type="dxa"/>
            <w:vAlign w:val="bottom"/>
            <w:shd w:val="clear" w:color="auto" w:fill="CCEEFF"/>
          </w:tcPr>
          <w:p>
            <w:pPr>
              <w:spacing w:after="0"/>
              <w:rPr>
                <w:sz w:val="14"/>
                <w:szCs w:val="14"/>
                <w:color w:val="auto"/>
              </w:rPr>
            </w:pPr>
          </w:p>
        </w:tc>
      </w:tr>
      <w:tr>
        <w:trPr>
          <w:trHeight w:val="175"/>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Rohrer Corporation</w:t>
            </w:r>
          </w:p>
        </w:tc>
        <w:tc>
          <w:tcPr>
            <w:tcW w:w="360" w:type="dxa"/>
            <w:vAlign w:val="bottom"/>
          </w:tcPr>
          <w:p>
            <w:pPr>
              <w:spacing w:after="0"/>
              <w:rPr>
                <w:sz w:val="15"/>
                <w:szCs w:val="15"/>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Exit of portfolio company</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60" w:type="dxa"/>
            <w:vAlign w:val="bottom"/>
          </w:tcPr>
          <w:p>
            <w:pPr>
              <w:spacing w:after="0"/>
              <w:rPr>
                <w:sz w:val="15"/>
                <w:szCs w:val="15"/>
                <w:color w:val="auto"/>
              </w:rPr>
            </w:pPr>
          </w:p>
        </w:tc>
      </w:tr>
      <w:tr>
        <w:trPr>
          <w:trHeight w:val="17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Spectra A&amp;D Acquisition, Inc. (fka FDS Avionics Corp.)</w:t>
            </w:r>
          </w:p>
        </w:tc>
        <w:tc>
          <w:tcPr>
            <w:tcW w:w="36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 of portfolio company</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60" w:type="dxa"/>
            <w:vAlign w:val="bottom"/>
            <w:shd w:val="clear" w:color="auto" w:fill="CCEEFF"/>
          </w:tcPr>
          <w:p>
            <w:pPr>
              <w:spacing w:after="0"/>
              <w:rPr>
                <w:sz w:val="15"/>
                <w:szCs w:val="15"/>
                <w:color w:val="auto"/>
              </w:rPr>
            </w:pPr>
          </w:p>
        </w:tc>
      </w:tr>
      <w:tr>
        <w:trPr>
          <w:trHeight w:val="175"/>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(0.1 )</w:t>
            </w:r>
          </w:p>
        </w:tc>
      </w:tr>
      <w:tr>
        <w:trPr>
          <w:trHeight w:val="16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360" w:type="dxa"/>
            <w:vAlign w:val="bottom"/>
            <w:shd w:val="clear" w:color="auto" w:fill="CCEEFF"/>
          </w:tcPr>
          <w:p>
            <w:pPr>
              <w:spacing w:after="0"/>
              <w:rPr>
                <w:sz w:val="14"/>
                <w:szCs w:val="14"/>
                <w:color w:val="auto"/>
              </w:rPr>
            </w:pPr>
          </w:p>
        </w:tc>
        <w:tc>
          <w:tcPr>
            <w:tcW w:w="2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60" w:type="dxa"/>
            <w:vAlign w:val="bottom"/>
            <w:shd w:val="clear" w:color="auto" w:fill="CCEEFF"/>
          </w:tcPr>
          <w:p>
            <w:pPr>
              <w:spacing w:after="0"/>
              <w:rPr>
                <w:sz w:val="14"/>
                <w:szCs w:val="14"/>
                <w:color w:val="auto"/>
              </w:rPr>
            </w:pPr>
          </w:p>
        </w:tc>
      </w:tr>
      <w:tr>
        <w:trPr>
          <w:trHeight w:val="176"/>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provision from realized gains on investments</w:t>
            </w:r>
          </w:p>
        </w:tc>
        <w:tc>
          <w:tcPr>
            <w:tcW w:w="3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620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Net realized gain (loss), net of income tax provision, on investments</w:t>
            </w:r>
          </w:p>
        </w:tc>
        <w:tc>
          <w:tcPr>
            <w:tcW w:w="3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w:t>
            </w:r>
          </w:p>
        </w:tc>
        <w:tc>
          <w:tcPr>
            <w:tcW w:w="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both"/>
        <w:ind w:firstLine="8"/>
        <w:spacing w:after="0" w:line="261" w:lineRule="auto"/>
        <w:tabs>
          <w:tab w:leader="none" w:pos="215"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pacing w:after="0" w:line="29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and 2021, we recorded a net change in unrealized appreciation (depreciation) on investments attributable to the following (dollars in millions):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Appreciation (Depreciation)</w:t>
            </w:r>
          </w:p>
        </w:tc>
        <w:tc>
          <w:tcPr>
            <w:tcW w:w="5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3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60" w:type="dxa"/>
            <w:vAlign w:val="bottom"/>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Exit, sale or restructuring of investments</w:t>
            </w:r>
          </w:p>
        </w:tc>
        <w:tc>
          <w:tcPr>
            <w:tcW w:w="80" w:type="dxa"/>
            <w:vAlign w:val="bottom"/>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36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w w:val="84"/>
              </w:rPr>
              <w:t>)</w:t>
            </w:r>
          </w:p>
        </w:tc>
        <w:tc>
          <w:tcPr>
            <w:tcW w:w="880" w:type="dxa"/>
            <w:vAlign w:val="bottom"/>
            <w:tcBorders>
              <w:top w:val="single" w:sz="8" w:color="auto"/>
            </w:tcBorders>
            <w:shd w:val="clear" w:color="auto" w:fill="CFF0FC"/>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76"/>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Fair value adjustments to debt investments</w:t>
            </w:r>
          </w:p>
        </w:tc>
        <w:tc>
          <w:tcPr>
            <w:tcW w:w="5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0" w:type="dxa"/>
            <w:vAlign w:val="bottom"/>
          </w:tcPr>
          <w:p>
            <w:pPr>
              <w:spacing w:after="0"/>
              <w:rPr>
                <w:sz w:val="1"/>
                <w:szCs w:val="1"/>
                <w:color w:val="auto"/>
              </w:rPr>
            </w:pPr>
          </w:p>
        </w:tc>
      </w:tr>
      <w:tr>
        <w:trPr>
          <w:trHeight w:val="175"/>
        </w:trPr>
        <w:tc>
          <w:tcPr>
            <w:tcW w:w="6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Fair value adjustments to equity investments</w:t>
            </w:r>
          </w:p>
        </w:tc>
        <w:tc>
          <w:tcPr>
            <w:tcW w:w="540" w:type="dxa"/>
            <w:vAlign w:val="bottom"/>
            <w:shd w:val="clear" w:color="auto" w:fill="CFF0FC"/>
          </w:tcPr>
          <w:p>
            <w:pPr>
              <w:spacing w:after="0"/>
              <w:rPr>
                <w:sz w:val="15"/>
                <w:szCs w:val="15"/>
                <w:color w:val="auto"/>
              </w:rPr>
            </w:pPr>
          </w:p>
        </w:tc>
        <w:tc>
          <w:tcPr>
            <w:tcW w:w="208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(0.9 )</w:t>
            </w:r>
          </w:p>
        </w:tc>
        <w:tc>
          <w:tcPr>
            <w:tcW w:w="88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change in unrealized appreciation (depreciation)</w:t>
            </w:r>
          </w:p>
        </w:tc>
        <w:tc>
          <w:tcPr>
            <w:tcW w:w="5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(5.3 )</w:t>
            </w:r>
          </w:p>
        </w:tc>
        <w:tc>
          <w:tcPr>
            <w:tcW w:w="88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-145415</wp:posOffset>
            </wp:positionV>
            <wp:extent cx="431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-145415</wp:posOffset>
            </wp:positionV>
            <wp:extent cx="431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Net Increase in Net Assets Resulting From Operations</w:t>
      </w:r>
    </w:p>
    <w:p>
      <w:pPr>
        <w:spacing w:after="0" w:line="173"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Net increase (decrease) in net assets resulting from operations during the three months ended March 31, 2022 and 2021 was $11.7 million and $11.5 million, respectively, as a result of the events described above.</w:t>
      </w:r>
    </w:p>
    <w:p>
      <w:pPr>
        <w:spacing w:after="0" w:line="1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5" w:lineRule="exact"/>
        <w:rPr>
          <w:sz w:val="20"/>
          <w:szCs w:val="20"/>
          <w:color w:val="auto"/>
        </w:rPr>
      </w:pPr>
    </w:p>
    <w:p>
      <w:pPr>
        <w:jc w:val="both"/>
        <w:ind w:firstLine="478"/>
        <w:spacing w:after="0" w:line="242" w:lineRule="auto"/>
        <w:rPr>
          <w:sz w:val="20"/>
          <w:szCs w:val="20"/>
          <w:color w:val="auto"/>
        </w:rPr>
      </w:pPr>
      <w:r>
        <w:rPr>
          <w:rFonts w:ascii="Times New Roman" w:cs="Times New Roman" w:eastAsia="Times New Roman" w:hAnsi="Times New Roman"/>
          <w:sz w:val="18"/>
          <w:szCs w:val="18"/>
          <w:color w:val="auto"/>
        </w:rPr>
        <w:t>As of March 31, 2022, we had $86.1 million in cash and cash equivalents and our net assets totaled $486.5 million. We believe that our current cash and cash equivalents on hand, our Credit Facility, our continued access to SBA-guaranteed debentures, and our anticipated cash flows from investments will provide adequate capital resources with which to operate and finance our investment business and make distributions to our stockholders for at least the next 12 months. We intend to generate additional cash primarily from the future offerings of securities (including the “at-the-market” program) and future borrowings, as well as cash flows from operations, including income earned from investments in our portfolio companies. On both a short-term and long-term basis, our primary use of funds will be investments in portfolio companies and cash distributions to our stockholders. During the three months ended March 31, 2022, we repaid $20.0 million of SBA debentures which would have matured during the period March 1, 2025 through March 1, 2028. Our remaining outstanding SBA debentures continue to mature in 2025 and subsequent years through 2032, which will require repayment on or before the respective maturity dates. This “Liquidity and Capital Resources” section should be read in conjunction with the “COVID-19 Updates” section above.</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27" w:lineRule="exact"/>
        <w:rPr>
          <w:sz w:val="20"/>
          <w:szCs w:val="20"/>
          <w:color w:val="auto"/>
        </w:rPr>
      </w:pPr>
    </w:p>
    <w:p>
      <w:pPr>
        <w:jc w:val="both"/>
        <w:ind w:firstLine="479"/>
        <w:spacing w:after="0" w:line="243" w:lineRule="auto"/>
        <w:rPr>
          <w:sz w:val="20"/>
          <w:szCs w:val="20"/>
          <w:color w:val="auto"/>
        </w:rPr>
      </w:pPr>
      <w:r>
        <w:rPr>
          <w:rFonts w:ascii="Times New Roman" w:cs="Times New Roman" w:eastAsia="Times New Roman" w:hAnsi="Times New Roman"/>
          <w:sz w:val="18"/>
          <w:szCs w:val="18"/>
          <w:color w:val="auto"/>
        </w:rPr>
        <w:t>For the three months ended March 31, 2022, we experienced a net decrease in cash and cash equivalents in the amount of $83.3 million. During that period, we made payments of $90.6 million of cash for operating activities, which included the funding of $114.4 million of investments which was partially offset by proceeds received from sales and repayments of investments of $23.2 million. During the same period, we received repayments of $0.2 million on our secured borrowings, made repayments of SBA debentures of $20.0 million; which were offset by proceeds from the issuances of SBA debentures of $41.5 million, paid cash dividends paid to stockholders of $13.0 million, and made payment of deferred financing costs related to our debt financings of $1.0 million.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5" w:name="page46"/>
    <w:bookmarkEnd w:id="45"/>
    <w:p>
      <w:pPr>
        <w:ind w:left="380"/>
        <w:spacing w:after="0"/>
        <w:rPr>
          <w:sz w:val="20"/>
          <w:szCs w:val="20"/>
          <w:color w:val="auto"/>
        </w:rPr>
      </w:pPr>
      <w:r>
        <w:rPr>
          <w:rFonts w:ascii="Times New Roman" w:cs="Times New Roman" w:eastAsia="Times New Roman" w:hAnsi="Times New Roman"/>
          <w:sz w:val="18"/>
          <w:szCs w:val="18"/>
          <w:i w:val="1"/>
          <w:iCs w:val="1"/>
          <w:color w:val="auto"/>
        </w:rPr>
        <w:t>Capital Resources</w:t>
      </w:r>
    </w:p>
    <w:p>
      <w:pPr>
        <w:spacing w:after="0" w:line="173"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We anticipate that we will continue to fund our investment activities on a long-term basis through a combination of additional debt and equity capital.</w:t>
      </w:r>
    </w:p>
    <w:p>
      <w:pPr>
        <w:spacing w:after="0" w:line="1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SBA debentures</w:t>
      </w:r>
    </w:p>
    <w:p>
      <w:pPr>
        <w:spacing w:after="0" w:line="173" w:lineRule="exact"/>
        <w:rPr>
          <w:sz w:val="20"/>
          <w:szCs w:val="20"/>
          <w:color w:val="auto"/>
        </w:rPr>
      </w:pPr>
    </w:p>
    <w:p>
      <w:pPr>
        <w:jc w:val="both"/>
        <w:ind w:firstLine="469"/>
        <w:spacing w:after="0" w:line="242" w:lineRule="auto"/>
        <w:rPr>
          <w:sz w:val="20"/>
          <w:szCs w:val="20"/>
          <w:color w:val="auto"/>
        </w:rPr>
      </w:pPr>
      <w:r>
        <w:rPr>
          <w:rFonts w:ascii="Times New Roman" w:cs="Times New Roman" w:eastAsia="Times New Roman" w:hAnsi="Times New Roman"/>
          <w:sz w:val="18"/>
          <w:szCs w:val="18"/>
          <w:color w:val="auto"/>
        </w:rPr>
        <w:t>The Funds are licensed SBICs, and have the ability to issue debentures guaranteed by the SBA at favorable interest rates. Under the Small Business Investment Act and the SBA rules applicable to SBICs, an SBIC can have outstanding at any time debentures guaranteed by the SBA in an amount up to twice its regulatory capital. The SBA regulations currently limit the amount that is available to be borrowed by any SBIC and guaranteed by the SBA to 300.0% of an SBIC’s regulatory capital or $175.0 million, whichever is less. For two or more SBICs under common control, the maximum amount of outstanding SBA debentures cannot exceed $350.0 million. SBA debentures have fixed interest rates that approximate prevailing 10-year Treasury Note rates plus a spread and have a maturity of ten years with interest payable semi-annually. The principal amount of the SBA debentures is not required to be paid before maturity but may be pre-paid at any time. As of March 31, 2022, Fund II and Fund III had $50.0 million and $78.5 million of outstanding SBA debentures, respectively. Subject to SBA regulatory requirements and approval, Fund III may access up to $96.5 million of additional SBA debentures under the SBIC debenture program. For more information on the SBA debentures, please refer to Note 6 to our consolidated financial statements.</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73" w:lineRule="exact"/>
        <w:rPr>
          <w:sz w:val="20"/>
          <w:szCs w:val="20"/>
          <w:color w:val="auto"/>
        </w:rPr>
      </w:pPr>
    </w:p>
    <w:p>
      <w:pPr>
        <w:jc w:val="both"/>
        <w:ind w:firstLine="469"/>
        <w:spacing w:after="0" w:line="245" w:lineRule="auto"/>
        <w:rPr>
          <w:sz w:val="20"/>
          <w:szCs w:val="20"/>
          <w:color w:val="auto"/>
        </w:rPr>
      </w:pPr>
      <w:r>
        <w:rPr>
          <w:rFonts w:ascii="Times New Roman" w:cs="Times New Roman" w:eastAsia="Times New Roman" w:hAnsi="Times New Roman"/>
          <w:sz w:val="18"/>
          <w:szCs w:val="18"/>
          <w:color w:val="auto"/>
        </w:rPr>
        <w:t>In June 2014, we entered into a senior secured revolving credit agreement (the "Credit Agreement") and the senior secured revolving credit facility (the "Credit Facility") to provide additional funding for our investment and operational activities. On April 24, 2019, we entered into the Amended Credit Agreement, which amends, restates, and replaces the Credit Agreement. On June 26, 2020, the Company amended the Amended Credit Agreement, but the material terms were unchanged. Among other revisions, the amendment to the Amended Credit Agreement modifies certain covenants therein, including to amend the minimum consolidated interest coverage ratio to be 2.25 to 1.00 for the four quarter period ending on June 30, 2020, 2.00 to 1.00 for the four quarter periods ending on each of September 30, 2020 and December 31, 2020, and 1.75 to 1.00 for each four quarter period ending at the end of each quarter thereafter. The Credit Facility is secured by substantially all of our assets, excluding the assets of the Funds.</w:t>
      </w:r>
    </w:p>
    <w:p>
      <w:pPr>
        <w:spacing w:after="0" w:line="127" w:lineRule="exact"/>
        <w:rPr>
          <w:sz w:val="20"/>
          <w:szCs w:val="20"/>
          <w:color w:val="auto"/>
        </w:rPr>
      </w:pPr>
    </w:p>
    <w:p>
      <w:pPr>
        <w:jc w:val="both"/>
        <w:ind w:firstLine="469"/>
        <w:spacing w:after="0" w:line="242" w:lineRule="auto"/>
        <w:rPr>
          <w:sz w:val="20"/>
          <w:szCs w:val="20"/>
          <w:color w:val="auto"/>
        </w:rPr>
      </w:pPr>
      <w:r>
        <w:rPr>
          <w:rFonts w:ascii="Times New Roman" w:cs="Times New Roman" w:eastAsia="Times New Roman" w:hAnsi="Times New Roman"/>
          <w:sz w:val="18"/>
          <w:szCs w:val="18"/>
          <w:color w:val="auto"/>
        </w:rPr>
        <w:t>Under the Amended Credit Agreement, (i) revolving commitments by lenders were increased from $90.0 million to $100.0 million, with an accordion feature that allows for an increase in total commitments up to $250.0 million, subject to satisfaction of certain conditions at the time of any such future increase, (ii) the maturity date of the Credit Facility was extended from June 16, 2019 to April 24, 2023, and (iii) borrowings under the Credit Facility bear interest, at our election, at a rate per annum equal to (a) 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 (A) a prime rate, (B) the Federal Funds rate plus 0.5%, (C) three month LIBOR plus 1.0%, and (D) zero. We pay a commitment fee that varies depending on the size of the unused portion of the Credit Facility: 3.00% per annum on the unused portion of the Credit Facility at or below 35% of the commitments and 0.50% per annum on any remaining unused portion of the Credit Facility between the total commitments and the 35% minimum utilization. The Amended Credit Agreement also modifies certain covenants in the Credit Facility, including to provide for a minimum asset coverage ratio of 2.00 to 1 (on a regulatory basis). The Credit Facility is secured by a first priority security interest in all of our assets, excluding the assets of our SBIC subsidiaries.</w:t>
      </w:r>
    </w:p>
    <w:p>
      <w:pPr>
        <w:spacing w:after="0" w:line="135" w:lineRule="exact"/>
        <w:rPr>
          <w:sz w:val="20"/>
          <w:szCs w:val="20"/>
          <w:color w:val="auto"/>
        </w:rPr>
      </w:pPr>
    </w:p>
    <w:p>
      <w:pPr>
        <w:jc w:val="both"/>
        <w:ind w:firstLine="469"/>
        <w:spacing w:after="0" w:line="250" w:lineRule="auto"/>
        <w:rPr>
          <w:sz w:val="20"/>
          <w:szCs w:val="20"/>
          <w:color w:val="auto"/>
        </w:rPr>
      </w:pPr>
      <w:r>
        <w:rPr>
          <w:rFonts w:ascii="Times New Roman" w:cs="Times New Roman" w:eastAsia="Times New Roman" w:hAnsi="Times New Roman"/>
          <w:sz w:val="18"/>
          <w:szCs w:val="18"/>
          <w:color w:val="auto"/>
        </w:rPr>
        <w:t>Amounts available to borrow under the Credit Facility are subject to a minimum borrowing/collateral base that applies an advance rate to certain investments held by us, excluding investments held by the Funds. We are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23" w:lineRule="exact"/>
        <w:rPr>
          <w:sz w:val="20"/>
          <w:szCs w:val="20"/>
          <w:color w:val="auto"/>
        </w:rPr>
      </w:pPr>
    </w:p>
    <w:p>
      <w:pPr>
        <w:jc w:val="both"/>
        <w:ind w:firstLine="469"/>
        <w:spacing w:after="0" w:line="250" w:lineRule="auto"/>
        <w:rPr>
          <w:sz w:val="20"/>
          <w:szCs w:val="20"/>
          <w:color w:val="auto"/>
        </w:rPr>
      </w:pPr>
      <w:r>
        <w:rPr>
          <w:rFonts w:ascii="Times New Roman" w:cs="Times New Roman" w:eastAsia="Times New Roman" w:hAnsi="Times New Roman"/>
          <w:sz w:val="18"/>
          <w:szCs w:val="18"/>
          <w:color w:val="auto"/>
        </w:rPr>
        <w:t>We have made customary representations and warranties and we are required to comply with various covenants, reporting requirements and other customary requirements for similar credit facilities. These covenants are subject to important limitations and exceptions that are described in the documents governing the Credit Facility. As of March 31, 2022, we were in compliance with all covenants of the Credit Facility and there were no borrowings outstanding under the Credit Facility.</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173" w:lineRule="exact"/>
        <w:rPr>
          <w:sz w:val="20"/>
          <w:szCs w:val="20"/>
          <w:color w:val="auto"/>
        </w:rPr>
      </w:pPr>
    </w:p>
    <w:p>
      <w:pPr>
        <w:jc w:val="both"/>
        <w:ind w:firstLine="469"/>
        <w:spacing w:after="0" w:line="247" w:lineRule="auto"/>
        <w:rPr>
          <w:sz w:val="20"/>
          <w:szCs w:val="20"/>
          <w:color w:val="auto"/>
        </w:rPr>
      </w:pPr>
      <w:r>
        <w:rPr>
          <w:rFonts w:ascii="Times New Roman" w:cs="Times New Roman" w:eastAsia="Times New Roman" w:hAnsi="Times New Roman"/>
          <w:sz w:val="18"/>
          <w:szCs w:val="18"/>
          <w:color w:val="auto"/>
        </w:rPr>
        <w:t>On February 2, 2018, we closed the public offering of approximately $43.5 million in aggregate principal amount of our 5.875% notes due 2023, or the “2023 Notes.” On February 22, 2018, the underwriters exercised their option to purchase an additional $6.5 million in aggregate principal of the 2023 Notes. The total net proceeds to us from the 2023 Notes, including the exercise of the</w:t>
      </w: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46" w:name="page47"/>
    <w:bookmarkEnd w:id="46"/>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underwriters’ option, after deducting underwriting discounts of approximately $1.5 million and offering expenses of $0.4 million, were approximately $48.1 million. On January 19, 2021, we redeemed $50.0 million in the aggregate principal amount on the issued and outstanding 2023 Notes, resulting in a realized loss on extinguishment of debt of approximately $0.8 million.</w:t>
      </w:r>
    </w:p>
    <w:p>
      <w:pPr>
        <w:spacing w:after="0" w:line="115" w:lineRule="exact"/>
        <w:rPr>
          <w:sz w:val="20"/>
          <w:szCs w:val="20"/>
          <w:color w:val="auto"/>
        </w:rPr>
      </w:pPr>
    </w:p>
    <w:p>
      <w:pPr>
        <w:jc w:val="both"/>
        <w:ind w:firstLine="469"/>
        <w:spacing w:after="0" w:line="245" w:lineRule="auto"/>
        <w:rPr>
          <w:sz w:val="20"/>
          <w:szCs w:val="20"/>
          <w:color w:val="auto"/>
        </w:rPr>
      </w:pPr>
      <w:r>
        <w:rPr>
          <w:rFonts w:ascii="Times New Roman" w:cs="Times New Roman" w:eastAsia="Times New Roman" w:hAnsi="Times New Roman"/>
          <w:sz w:val="18"/>
          <w:szCs w:val="18"/>
          <w:color w:val="auto"/>
        </w:rPr>
        <w:t>On February 8, 2019, we closed the public offering of approximately $60.0 million in aggregate principal amount of our 6.000% notes due 2024, or the “February 2024 Notes”. On February 19, 2019, the underwriters exercised their option to purchase an additional $9.0 million in aggregate principal of the February 2024 Notes. The total net proceeds to us from the February 2024 Notes, including the exercise of the underwriters’ option, after deducting underwriting discounts of approximately $2.1 million and estimated offering expenses of $0.4 million, were approximately $66.5 million. On February 16, 2021, we redeemed $50.0 million of the $69.0 million in aggregate principal amount on the February 2024 Notes, resulting in a realized loss on extinguishment of debt of approximately $1.1 million. On November 2, 2021, we fully redeemed the remaining $19.0 million in aggregate principal amount on the issued and outstanding February 2024 Notes, resulting in a realized loss on extinguishment of debt of approximately $0.3 million.</w:t>
      </w:r>
    </w:p>
    <w:p>
      <w:pPr>
        <w:spacing w:after="0" w:line="127" w:lineRule="exact"/>
        <w:rPr>
          <w:sz w:val="20"/>
          <w:szCs w:val="20"/>
          <w:color w:val="auto"/>
        </w:rPr>
      </w:pPr>
    </w:p>
    <w:p>
      <w:pPr>
        <w:jc w:val="both"/>
        <w:ind w:firstLine="469"/>
        <w:spacing w:after="0" w:line="245" w:lineRule="auto"/>
        <w:rPr>
          <w:sz w:val="20"/>
          <w:szCs w:val="20"/>
          <w:color w:val="auto"/>
        </w:rPr>
      </w:pPr>
      <w:r>
        <w:rPr>
          <w:rFonts w:ascii="Times New Roman" w:cs="Times New Roman" w:eastAsia="Times New Roman" w:hAnsi="Times New Roman"/>
          <w:sz w:val="18"/>
          <w:szCs w:val="18"/>
          <w:color w:val="auto"/>
        </w:rPr>
        <w:t>On October 16, 2019, we closed the public offering of approximately $55.0 million in aggregate principal amount of our 5.375% notes due 2024, or the “November 2024 Notes” (and collectively with the 2023 Notes and the February 2024 Notes, the “Public Notes”). On October 23, 2019, the underwriters exercised their option to purchase an additional $8.3 million in aggregate principal of the November 2024 Notes. The total net proceeds to us from the November 2024 Notes, including the exercise of the underwriters’ option, after deducting underwriting discounts of approximately $1.9 million and estimated offering expenses of $0.3 million, were approximately $61.1 million. On November 2, 2021, we fully redeemed the $63.3 million in aggregate principal amount on the issued and outstanding November 2024 Notes, resulting in a realized loss on extinguishment of debt of approximately $1.3 million.</w:t>
      </w:r>
    </w:p>
    <w:p>
      <w:pPr>
        <w:spacing w:after="0" w:line="195"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On December 23, 2020, we closed the offering of $125.0 million in aggregate principal amount of our 4.75% notes due 2026, or the “January 2026 Notes”. The total net proceeds to us from the January 2026 Notes after deducting underwriting discounts of $2.5 million and estimated offering expenses of approximately $0.4 million, were approximately $122.1 million. The January 2026 Notes will mature on January 31, 2026 and bear interest at a rate of 4.75%. The January 2026 Notes may be redeemed in whole or in part at any time or from time to time at our option subject to a make whole provision if redeemed more than three months prior to maturity and at par thereafter. Interest on the January 2026 Notes is payable on January 31 and July 31 of each year. We do not intend to list the January 2026 Notes on any securities exchange or automated dealer quotation system. As of March 31, 2022, the outstanding principal balance of the January 2026 Notes was approximately $125.0 million.</w:t>
      </w:r>
    </w:p>
    <w:p>
      <w:pPr>
        <w:spacing w:after="0" w:line="181"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On October 8, 2021, we closed the offering of $125.0 million in aggregate principal amount of our 3.50% notes due 2026, or the “November 2026 Notes” (collectively with the Public Notes and the January 2026 Notes, the “Notes”). The total net proceeds to us from the November 2026 Notes, based on a public offering price of 99.996% of par, after deducting underwriting discounts of $2.5 million and estimated offering expenses of approximately $0.3 million, were approximately $122.2 million. The November 2026 Notes will mature on November 15, 2026 and bear interest at a rate of 3.50%. The November 2026 Notes may be redeemed in whole or in part at any time or from time to time at our option subject to a make whole provision if redeemed more than three months prior to maturity and at par thereafter. Interest on the November 2026 Notes is payable on May 15 and November 15 of each year, beginning May 15, 2022. We do not intend to list the November 2026 Notes on any securities exchange or automated dealer quotation system. As of March 31, 2022, the outstanding principal balance of the November 2026 Notes was approximately $125.0 million.</w:t>
      </w:r>
    </w:p>
    <w:p>
      <w:pPr>
        <w:spacing w:after="0" w:line="132" w:lineRule="exact"/>
        <w:rPr>
          <w:sz w:val="20"/>
          <w:szCs w:val="20"/>
          <w:color w:val="auto"/>
        </w:rPr>
      </w:pPr>
    </w:p>
    <w:p>
      <w:pPr>
        <w:jc w:val="both"/>
        <w:ind w:firstLine="469"/>
        <w:spacing w:after="0" w:line="250" w:lineRule="auto"/>
        <w:rPr>
          <w:sz w:val="20"/>
          <w:szCs w:val="20"/>
          <w:color w:val="auto"/>
        </w:rPr>
      </w:pPr>
      <w:r>
        <w:rPr>
          <w:rFonts w:ascii="Times New Roman" w:cs="Times New Roman" w:eastAsia="Times New Roman" w:hAnsi="Times New Roman"/>
          <w:sz w:val="18"/>
          <w:szCs w:val="18"/>
          <w:color w:val="auto"/>
        </w:rPr>
        <w:t>Each of the Notes are unsecured obligations and rank pari passu with our existing and future unsecured indebtedness; effectively subordinated to all of our existing and future secured indebtedness; and structurally subordinated to all existing and future indebtedness and other obligations of any of our subsidiaries, financing vehicles, or similar facilities we may form in the future, with respect to claims on the assets of any such subsidiaries, financing vehicles, or similar facilities.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Borrowing</w:t>
      </w:r>
    </w:p>
    <w:p>
      <w:pPr>
        <w:spacing w:after="0" w:line="160" w:lineRule="exact"/>
        <w:rPr>
          <w:sz w:val="20"/>
          <w:szCs w:val="20"/>
          <w:color w:val="auto"/>
        </w:rPr>
      </w:pPr>
    </w:p>
    <w:p>
      <w:pPr>
        <w:jc w:val="both"/>
        <w:ind w:left="20" w:firstLine="461"/>
        <w:spacing w:after="0" w:line="244" w:lineRule="auto"/>
        <w:rPr>
          <w:sz w:val="20"/>
          <w:szCs w:val="20"/>
          <w:color w:val="auto"/>
        </w:rPr>
      </w:pPr>
      <w:r>
        <w:rPr>
          <w:rFonts w:ascii="Times New Roman" w:cs="Times New Roman" w:eastAsia="Times New Roman" w:hAnsi="Times New Roman"/>
          <w:sz w:val="18"/>
          <w:szCs w:val="18"/>
          <w:color w:val="auto"/>
        </w:rPr>
        <w:t>As of March 31, 2022, the carrying value of secured borrowings totaled $17.4 million and the fair value of the associated loans included in investments was $17.4 million. As of December 31, 2021, carrying value of secured borrowings totaled $17.6 million and the fair value of the associated loans included in investments was $17.5 million. These secured borrowings were created as a result of our completion of partial loan sales of certain unitranche loan assets that did not meet the definition of a “participating interest.” As a result, sale treatment was not permitted and these partial loan sales were treated as secured borrowings. The weighted average interest rate on our secured borrowings was approximately 4.497% and 4.392% as of March 31, 2022 and December 31, 2021, respectively.</w:t>
      </w:r>
    </w:p>
    <w:p>
      <w:pPr>
        <w:spacing w:after="0" w:line="141" w:lineRule="exact"/>
        <w:rPr>
          <w:sz w:val="20"/>
          <w:szCs w:val="20"/>
          <w:color w:val="auto"/>
        </w:rPr>
      </w:pPr>
    </w:p>
    <w:p>
      <w:pPr>
        <w:jc w:val="both"/>
        <w:ind w:firstLine="469"/>
        <w:spacing w:after="0" w:line="247" w:lineRule="auto"/>
        <w:rPr>
          <w:sz w:val="20"/>
          <w:szCs w:val="20"/>
          <w:color w:val="auto"/>
        </w:rPr>
      </w:pPr>
      <w:r>
        <w:rPr>
          <w:rFonts w:ascii="Times New Roman" w:cs="Times New Roman" w:eastAsia="Times New Roman" w:hAnsi="Times New Roman"/>
          <w:sz w:val="18"/>
          <w:szCs w:val="18"/>
          <w:color w:val="auto"/>
        </w:rPr>
        <w:t>As of March 31, 2022, the weighted average stated interest rates for our SBA debentures and Notes were 2.846% and 4.125%, respectively. As of March 31, 2022, we had $100.0 million of unutilized commitment under our Credit Facility, and we were subject to a 1.375% fee on such amount. As of March 31, 2022, the weighted average stated interest rate on total debt outstanding was 3.726%.</w:t>
      </w: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47" w:name="page48"/>
    <w:bookmarkEnd w:id="47"/>
    <w:p>
      <w:pPr>
        <w:jc w:val="both"/>
        <w:ind w:firstLine="469"/>
        <w:spacing w:after="0" w:line="246" w:lineRule="auto"/>
        <w:rPr>
          <w:sz w:val="20"/>
          <w:szCs w:val="20"/>
          <w:color w:val="auto"/>
        </w:rPr>
      </w:pPr>
      <w:r>
        <w:rPr>
          <w:rFonts w:ascii="Times New Roman" w:cs="Times New Roman" w:eastAsia="Times New Roman" w:hAnsi="Times New Roman"/>
          <w:sz w:val="18"/>
          <w:szCs w:val="18"/>
          <w:color w:val="auto"/>
        </w:rPr>
        <w:t>As a BDC, we are generally required to meet an asset coverage ratio of at least 150.0% (defined as the ratio which the value of our consolidated total assets, less all consolidated liabilities and indebtedness not represented by senior securities, bears to the aggregate amount of senior securities representing indebtedness), which includes borrowings and any preferred stock we may issue in the future. This requirement limits the amount that we may borrow. On April 29, 2019, our Board, including a majority of the non-interested directors, approved a minimum asset coverage ratio of 150% under Sections 18(a)(1) and 18(a)(2) of the 1940 Act. As a result, we are subject to the 150% asset coverage ratio effective as of April 29, 2020. We have received exemptive relief from the U.S. Securities and Exchange Commission (“SEC”) to allow us to exclude the senior securities issued by the Funds from the definition of senior securities in the 150% asset coverage requirement applicable to the Company under the 1940 Act, which, in turn, will enable us to fund more investments with debt capital.</w:t>
      </w:r>
    </w:p>
    <w:p>
      <w:pPr>
        <w:spacing w:after="0" w:line="125" w:lineRule="exact"/>
        <w:rPr>
          <w:sz w:val="20"/>
          <w:szCs w:val="20"/>
          <w:color w:val="auto"/>
        </w:rPr>
      </w:pPr>
    </w:p>
    <w:p>
      <w:pPr>
        <w:jc w:val="both"/>
        <w:ind w:firstLine="478"/>
        <w:spacing w:after="0" w:line="243" w:lineRule="auto"/>
        <w:rPr>
          <w:sz w:val="20"/>
          <w:szCs w:val="20"/>
          <w:color w:val="auto"/>
        </w:rPr>
      </w:pPr>
      <w:r>
        <w:rPr>
          <w:rFonts w:ascii="Times New Roman" w:cs="Times New Roman" w:eastAsia="Times New Roman" w:hAnsi="Times New Roman"/>
          <w:sz w:val="18"/>
          <w:szCs w:val="18"/>
          <w:color w:val="auto"/>
        </w:rPr>
        <w:t>As a BDC, we are generally not permitted to issue and sell our common stock at a price below net asset value per share. We may, however, sell our common stock, or warrants, options or rights to acquire our common stock, at a price below the then-current net asset value per share of our common stock if the Board, including the Independent Directors, determines that such sale is in the best interests of us and our stockholders, and if our stockholders approve such sale. On July 14, 2021, our stockholders voted to allow us to sell or otherwise issue common stock at a price below net asset value per share for a period of one year ending on the earlier of June 14, 2022 or the date of our 2022 Annual Meeting of Stockholders. We are asking our stockholders to approve a similar proposal at our 2022 Annual Meeting of Stockholders on June 9, 2022. Our stockholders specified that the cumulative number of shares sold in each offering during the one-year period ending on the earlier of June 14, 2022 or the date of our 2022 Annual Meeting of Stockholders may not exceed 25.0% of our outstanding common stock immediately prior to each such sale.</w:t>
      </w:r>
    </w:p>
    <w:p>
      <w:pPr>
        <w:spacing w:after="0" w:line="13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73" w:lineRule="exact"/>
        <w:rPr>
          <w:sz w:val="20"/>
          <w:szCs w:val="20"/>
          <w:color w:val="auto"/>
        </w:rPr>
      </w:pPr>
    </w:p>
    <w:p>
      <w:pPr>
        <w:jc w:val="both"/>
        <w:ind w:firstLine="478"/>
        <w:spacing w:after="0" w:line="242" w:lineRule="auto"/>
        <w:rPr>
          <w:sz w:val="20"/>
          <w:szCs w:val="20"/>
          <w:color w:val="auto"/>
        </w:rPr>
      </w:pPr>
      <w:r>
        <w:rPr>
          <w:rFonts w:ascii="Times New Roman" w:cs="Times New Roman" w:eastAsia="Times New Roman" w:hAnsi="Times New Roman"/>
          <w:sz w:val="18"/>
          <w:szCs w:val="18"/>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November 1, 2021, the Board extended the Stock Repurchase Program through December 31, 2022,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 We did not make any repurchases of common stock during the three months ended March 31, 2022 and 2021. Refer to Note 8 to our consolidated financial statements for additional information concerning stock repurchases.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62" w:lineRule="exact"/>
        <w:rPr>
          <w:sz w:val="20"/>
          <w:szCs w:val="20"/>
          <w:color w:val="auto"/>
        </w:rPr>
      </w:pPr>
    </w:p>
    <w:p>
      <w:pPr>
        <w:jc w:val="both"/>
        <w:ind w:firstLine="478"/>
        <w:spacing w:after="0" w:line="247"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certain estimates and assumptions affecting amounts reported in the financial statements. We have identified investment valuation, revenue recognition and transfers of financial assets as our most critical accounting policies and estimates. We continuously evaluate our policies and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Portfolio Investments</w:t>
      </w:r>
    </w:p>
    <w:p>
      <w:pPr>
        <w:spacing w:after="0" w:line="162" w:lineRule="exact"/>
        <w:rPr>
          <w:sz w:val="20"/>
          <w:szCs w:val="20"/>
          <w:color w:val="auto"/>
        </w:rPr>
      </w:pPr>
    </w:p>
    <w:p>
      <w:pPr>
        <w:jc w:val="both"/>
        <w:ind w:right="20" w:firstLine="478"/>
        <w:spacing w:after="0" w:line="282" w:lineRule="auto"/>
        <w:rPr>
          <w:sz w:val="20"/>
          <w:szCs w:val="20"/>
          <w:color w:val="auto"/>
        </w:rPr>
      </w:pPr>
      <w:r>
        <w:rPr>
          <w:rFonts w:ascii="Times New Roman" w:cs="Times New Roman" w:eastAsia="Times New Roman" w:hAnsi="Times New Roman"/>
          <w:sz w:val="18"/>
          <w:szCs w:val="18"/>
          <w:color w:val="auto"/>
        </w:rPr>
        <w:t>As a BDC, we report our assets and liabilities at fair value at all times consistent with GAAP and the 1940 Act. Accordingly, we are required to periodically determine the fair value of all of our portfolio investments.</w:t>
      </w:r>
    </w:p>
    <w:p>
      <w:pPr>
        <w:spacing w:after="0" w:line="94" w:lineRule="exact"/>
        <w:rPr>
          <w:sz w:val="20"/>
          <w:szCs w:val="20"/>
          <w:color w:val="auto"/>
        </w:rPr>
      </w:pPr>
    </w:p>
    <w:p>
      <w:pPr>
        <w:jc w:val="both"/>
        <w:ind w:firstLine="478"/>
        <w:spacing w:after="0" w:line="244" w:lineRule="auto"/>
        <w:rPr>
          <w:sz w:val="20"/>
          <w:szCs w:val="20"/>
          <w:color w:val="auto"/>
        </w:rPr>
      </w:pPr>
      <w:r>
        <w:rPr>
          <w:rFonts w:ascii="Times New Roman" w:cs="Times New Roman" w:eastAsia="Times New Roman" w:hAnsi="Times New Roman"/>
          <w:sz w:val="18"/>
          <w:szCs w:val="18"/>
          <w:color w:val="auto"/>
        </w:rPr>
        <w:t>Our investments generally consist of illiquid securities including debt and equity investments in lower middle-market companies. Investments for which market quotations are readily available are valued at such market quotations. Because we expect that there will not be a readily available market for substantially all of the investments in our portfolio, we value substantially all of our portfolio investments at fair value as determined in good faith by our board of directors using a documented valuation policy and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 could be material.</w:t>
      </w:r>
    </w:p>
    <w:p>
      <w:pPr>
        <w:spacing w:after="0" w:line="141" w:lineRule="exact"/>
        <w:rPr>
          <w:sz w:val="20"/>
          <w:szCs w:val="20"/>
          <w:color w:val="auto"/>
        </w:rPr>
      </w:pPr>
    </w:p>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With respect to investments for which market quotations are not readily available, our board of directors undertakes a multi-step valuation process each quarter, as described below:</w:t>
      </w:r>
    </w:p>
    <w:p>
      <w:pPr>
        <w:spacing w:after="0" w:line="108"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valuation process begins with each portfolio company or investment being initially evaluated and rated by the investment</w:t>
      </w:r>
    </w:p>
    <w:p>
      <w:pPr>
        <w:spacing w:after="0" w:line="27" w:lineRule="exact"/>
        <w:rPr>
          <w:sz w:val="20"/>
          <w:szCs w:val="20"/>
          <w:color w:val="auto"/>
        </w:rPr>
      </w:pPr>
    </w:p>
    <w:p>
      <w:pPr>
        <w:ind w:left="5540" w:right="4400" w:hanging="4507"/>
        <w:spacing w:after="0" w:line="245" w:lineRule="auto"/>
        <w:rPr>
          <w:sz w:val="20"/>
          <w:szCs w:val="20"/>
          <w:color w:val="auto"/>
        </w:rPr>
      </w:pPr>
      <w:r>
        <w:rPr>
          <w:rFonts w:ascii="Times New Roman" w:cs="Times New Roman" w:eastAsia="Times New Roman" w:hAnsi="Times New Roman"/>
          <w:sz w:val="18"/>
          <w:szCs w:val="18"/>
          <w:color w:val="auto"/>
        </w:rPr>
        <w:t>professionals of the Investment Advisor responsible for the portfolio investment;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48" w:name="page49"/>
    <w:bookmarkEnd w:id="48"/>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the investment committee of the Investment Advisor;</w:t>
      </w:r>
    </w:p>
    <w:p>
      <w:pPr>
        <w:spacing w:after="0" w:line="27" w:lineRule="exact"/>
        <w:rPr>
          <w:rFonts w:ascii="Times New Roman" w:cs="Times New Roman" w:eastAsia="Times New Roman" w:hAnsi="Times New Roman"/>
          <w:sz w:val="18"/>
          <w:szCs w:val="18"/>
          <w:color w:val="auto"/>
        </w:rPr>
      </w:pPr>
    </w:p>
    <w:p>
      <w:pPr>
        <w:ind w:left="1020" w:hanging="503"/>
        <w:spacing w:after="0" w:line="239"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cost-effective, and as a result it is not in our stockholders’ best interest, to request the independent appraisal of certain portfolio company investments. Such instances include, but are not limited to, situations where we determine that the fair value of the portfolio company investment is relatively insignificant to the fair value of the total portfolio. Our board of directors consulted with the independent valuation firm(s) in arriving at our determination of fair value for 18 and 17 of our portfolio company investments representing 21.4% and 21.8% of the total portfolio investments at fair value (exclusive of new portfolio company investments made during the three months ended March 31, 2022 and December 31, 2021, respectively) as of March 31, 2022 and December 31, 2021, respectively;</w:t>
      </w:r>
    </w:p>
    <w:p>
      <w:pPr>
        <w:spacing w:after="0" w:line="4" w:lineRule="exact"/>
        <w:rPr>
          <w:rFonts w:ascii="Times New Roman" w:cs="Times New Roman" w:eastAsia="Times New Roman" w:hAnsi="Times New Roman"/>
          <w:sz w:val="18"/>
          <w:szCs w:val="18"/>
          <w:color w:val="auto"/>
        </w:rPr>
      </w:pPr>
    </w:p>
    <w:p>
      <w:pPr>
        <w:ind w:left="1020" w:right="120" w:hanging="503"/>
        <w:spacing w:after="0" w:line="235"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of our board of directors reviews the preliminary valuations of the Investment Advisor and of the independent valuation firm(s) and responds and supplements the valuation recommendations to reflect any comments; and</w:t>
      </w:r>
    </w:p>
    <w:p>
      <w:pPr>
        <w:spacing w:after="0" w:line="1" w:lineRule="exact"/>
        <w:rPr>
          <w:rFonts w:ascii="Times New Roman" w:cs="Times New Roman" w:eastAsia="Times New Roman" w:hAnsi="Times New Roman"/>
          <w:sz w:val="18"/>
          <w:szCs w:val="18"/>
          <w:color w:val="auto"/>
        </w:rPr>
      </w:pPr>
    </w:p>
    <w:p>
      <w:pPr>
        <w:ind w:left="1020" w:right="260" w:hanging="503"/>
        <w:spacing w:after="0" w:line="258"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discusses the valuations and determines the fair value of each investment in our portfolio in good faith, based on the input of the Investment Advisor, the independent valuation firm(s) and the audit committee.</w:t>
      </w:r>
    </w:p>
    <w:p>
      <w:pPr>
        <w:spacing w:after="0" w:line="115"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In making the good faith determination of the value of portfolio investments, we start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15" w:lineRule="exact"/>
        <w:rPr>
          <w:sz w:val="20"/>
          <w:szCs w:val="20"/>
          <w:color w:val="auto"/>
        </w:rPr>
      </w:pPr>
    </w:p>
    <w:p>
      <w:pPr>
        <w:jc w:val="both"/>
        <w:ind w:firstLine="478"/>
        <w:spacing w:after="0" w:line="247" w:lineRule="auto"/>
        <w:rPr>
          <w:sz w:val="20"/>
          <w:szCs w:val="20"/>
          <w:color w:val="auto"/>
        </w:rPr>
      </w:pPr>
      <w:r>
        <w:rPr>
          <w:rFonts w:ascii="Times New Roman" w:cs="Times New Roman" w:eastAsia="Times New Roman" w:hAnsi="Times New Roman"/>
          <w:sz w:val="18"/>
          <w:szCs w:val="18"/>
          <w:color w:val="auto"/>
        </w:rPr>
        <w:t>Consistent with the policies and methodologies adopted by the Board, we perform detailed valuations of our debt and equity investments, including an analysis on the Company’s unfunded debt investment commitments, using both the market and income approaches as appropriate. Under the market approach, we typically use the enterprise value methodology to determine the fair value of an investment. There is no one methodology to estimate enterprise value and, in fact, for any one portfolio company, enterprise value is generally best expressed as a range of values, from which we derive a single estimate of enterprise value. Under the income approach, we typically prepare and analyze discounted cash flow models to estimate the present value of future cash flows of either an individual debt investment or of the underlying portfolio company itself.</w:t>
      </w:r>
    </w:p>
    <w:p>
      <w:pPr>
        <w:spacing w:after="0" w:line="126" w:lineRule="exact"/>
        <w:rPr>
          <w:sz w:val="20"/>
          <w:szCs w:val="20"/>
          <w:color w:val="auto"/>
        </w:rPr>
      </w:pPr>
    </w:p>
    <w:p>
      <w:pPr>
        <w:jc w:val="both"/>
        <w:ind w:firstLine="478"/>
        <w:spacing w:after="0" w:line="250" w:lineRule="auto"/>
        <w:rPr>
          <w:sz w:val="20"/>
          <w:szCs w:val="20"/>
          <w:color w:val="auto"/>
        </w:rPr>
      </w:pPr>
      <w:r>
        <w:rPr>
          <w:rFonts w:ascii="Times New Roman" w:cs="Times New Roman" w:eastAsia="Times New Roman" w:hAnsi="Times New Roman"/>
          <w:sz w:val="18"/>
          <w:szCs w:val="18"/>
          <w:color w:val="auto"/>
        </w:rPr>
        <w:t>We evaluate investments in portfolio companies using the most recent portfolio company financial statements and forecasts. We also consult with the portfolio company’s senior management to obtain further updates on the portfolio company’s performance, including information such as industry trends, new product development and other operational issues.</w:t>
      </w:r>
    </w:p>
    <w:p>
      <w:pPr>
        <w:spacing w:after="0" w:line="136" w:lineRule="exact"/>
        <w:rPr>
          <w:sz w:val="20"/>
          <w:szCs w:val="20"/>
          <w:color w:val="auto"/>
        </w:rPr>
      </w:pPr>
    </w:p>
    <w:p>
      <w:pPr>
        <w:jc w:val="both"/>
        <w:ind w:firstLine="478"/>
        <w:spacing w:after="0" w:line="242" w:lineRule="auto"/>
        <w:rPr>
          <w:sz w:val="20"/>
          <w:szCs w:val="20"/>
          <w:color w:val="auto"/>
        </w:rPr>
      </w:pPr>
      <w:r>
        <w:rPr>
          <w:rFonts w:ascii="Times New Roman" w:cs="Times New Roman" w:eastAsia="Times New Roman" w:hAnsi="Times New Roman"/>
          <w:sz w:val="18"/>
          <w:szCs w:val="18"/>
          <w:color w:val="auto"/>
        </w:rPr>
        <w:t>For our debt investments the primary valuation technique used to estimate the fair value is the discounted cash flow method. However, if there is deterioration in credit quality or a debt investment is in workout status, we may consider other methods in determining the fair value, including the value attributable to the debt investment from the enterprise value of the portfolio company or the proceeds that would be received in a liquidation analysis. Our discounted cash flow models estimate a range of fair values by applying an appropriate discount rate to the future cash flow streams of our debt investments, based on future interest and principal payments as set forth in the associated debt investment agreements. We prepare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We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We estimate the remaining life of our debt investments to generally be the legal maturity date of the instrument, as we generally intend to hold debt investments to maturity. However, if we have information available to us that the debt investment is expected to be repaid in the near term, we would use an estimated remaining life based on the expected repayment date.</w:t>
      </w:r>
    </w:p>
    <w:p>
      <w:pPr>
        <w:spacing w:after="0" w:line="129" w:lineRule="exact"/>
        <w:rPr>
          <w:sz w:val="20"/>
          <w:szCs w:val="20"/>
          <w:color w:val="auto"/>
        </w:rPr>
      </w:pPr>
    </w:p>
    <w:p>
      <w:pPr>
        <w:jc w:val="both"/>
        <w:ind w:firstLine="478"/>
        <w:spacing w:after="0" w:line="243" w:lineRule="auto"/>
        <w:rPr>
          <w:sz w:val="20"/>
          <w:szCs w:val="20"/>
          <w:color w:val="auto"/>
        </w:rPr>
      </w:pPr>
      <w:r>
        <w:rPr>
          <w:rFonts w:ascii="Times New Roman" w:cs="Times New Roman" w:eastAsia="Times New Roman" w:hAnsi="Times New Roman"/>
          <w:sz w:val="18"/>
          <w:szCs w:val="18"/>
          <w:color w:val="auto"/>
        </w:rPr>
        <w:t>For our equity investments, including equity securities and warrants, we generally use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we analyze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9" w:name="page50"/>
    <w:bookmarkEnd w:id="49"/>
    <w:p>
      <w:pPr>
        <w:jc w:val="both"/>
        <w:ind w:firstLine="478"/>
        <w:spacing w:after="0" w:line="247" w:lineRule="auto"/>
        <w:rPr>
          <w:sz w:val="20"/>
          <w:szCs w:val="20"/>
          <w:color w:val="auto"/>
        </w:rPr>
      </w:pPr>
      <w:r>
        <w:rPr>
          <w:rFonts w:ascii="Times New Roman" w:cs="Times New Roman" w:eastAsia="Times New Roman" w:hAnsi="Times New Roman"/>
          <w:sz w:val="18"/>
          <w:szCs w:val="18"/>
          <w:color w:val="auto"/>
        </w:rPr>
        <w:t>We may also utilize an income approach when estimating the fair value of our equity securities, either as a primary methodology if consistent with industry practice or if the market approach is otherwise not applicable, or as a supporting methodology to corroborate the fair value ranges determined by the market approach. We typically prepare and analyze discounted cash flow models based on projections of the future free cash flows (or earnings) of the portfolio company. We consider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26" w:lineRule="exact"/>
        <w:rPr>
          <w:sz w:val="20"/>
          <w:szCs w:val="20"/>
          <w:color w:val="auto"/>
        </w:rPr>
      </w:pPr>
    </w:p>
    <w:p>
      <w:pPr>
        <w:jc w:val="both"/>
        <w:ind w:firstLine="478"/>
        <w:spacing w:after="0" w:line="282" w:lineRule="auto"/>
        <w:rPr>
          <w:sz w:val="20"/>
          <w:szCs w:val="20"/>
          <w:color w:val="auto"/>
        </w:rPr>
      </w:pPr>
      <w:r>
        <w:rPr>
          <w:rFonts w:ascii="Times New Roman" w:cs="Times New Roman" w:eastAsia="Times New Roman" w:hAnsi="Times New Roman"/>
          <w:sz w:val="18"/>
          <w:szCs w:val="18"/>
          <w:color w:val="auto"/>
        </w:rPr>
        <w:t>Determination of fair value involves subjective judgments and estimates. Accordingly, the notes to our consolidated financial statements express the uncertainties with respect to the possible effect of such valuations, and any changes in such valuations, on the consolidated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0" w:lineRule="exact"/>
        <w:rPr>
          <w:sz w:val="20"/>
          <w:szCs w:val="20"/>
          <w:color w:val="auto"/>
        </w:rPr>
      </w:pPr>
    </w:p>
    <w:p>
      <w:pPr>
        <w:jc w:val="both"/>
        <w:ind w:firstLine="478"/>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Investments and related investment income. </w:t>
      </w:r>
      <w:r>
        <w:rPr>
          <w:rFonts w:ascii="Times New Roman" w:cs="Times New Roman" w:eastAsia="Times New Roman" w:hAnsi="Times New Roman"/>
          <w:sz w:val="18"/>
          <w:szCs w:val="18"/>
          <w:color w:val="auto"/>
        </w:rPr>
        <w:t>Realized gains or losses on investments are recorded upon the sale or disposition of a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by the Board through the application of our valuation policy, as well as reclassifications of any prior period unrealized appreciation or depreciation on exited investments to realized gains or losses on investments.</w:t>
      </w:r>
    </w:p>
    <w:p>
      <w:pPr>
        <w:spacing w:after="0" w:line="126" w:lineRule="exact"/>
        <w:rPr>
          <w:sz w:val="20"/>
          <w:szCs w:val="20"/>
          <w:color w:val="auto"/>
        </w:rPr>
      </w:pPr>
    </w:p>
    <w:p>
      <w:pPr>
        <w:jc w:val="both"/>
        <w:ind w:firstLine="478"/>
        <w:spacing w:after="0" w:line="247" w:lineRule="auto"/>
        <w:rPr>
          <w:sz w:val="20"/>
          <w:szCs w:val="20"/>
          <w:color w:val="auto"/>
        </w:rPr>
      </w:pPr>
      <w:r>
        <w:rPr>
          <w:rFonts w:ascii="Times New Roman" w:cs="Times New Roman" w:eastAsia="Times New Roman" w:hAnsi="Times New Roman"/>
          <w:sz w:val="18"/>
          <w:szCs w:val="18"/>
          <w:i w:val="1"/>
          <w:iCs w:val="1"/>
          <w:color w:val="auto"/>
        </w:rPr>
        <w:t>Interest and dividend income</w:t>
      </w:r>
      <w:r>
        <w:rPr>
          <w:rFonts w:ascii="Times New Roman" w:cs="Times New Roman" w:eastAsia="Times New Roman" w:hAnsi="Times New Roman"/>
          <w:sz w:val="18"/>
          <w:szCs w:val="18"/>
          <w:color w:val="auto"/>
        </w:rPr>
        <w:t>. Interest and dividend income are recorded on the accrual basis to the extent that we expect to collect such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126" w:lineRule="exact"/>
        <w:rPr>
          <w:sz w:val="20"/>
          <w:szCs w:val="20"/>
          <w:color w:val="auto"/>
        </w:rPr>
      </w:pPr>
    </w:p>
    <w:p>
      <w:pPr>
        <w:jc w:val="both"/>
        <w:ind w:firstLine="478"/>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PIK income. </w:t>
      </w:r>
      <w:r>
        <w:rPr>
          <w:rFonts w:ascii="Times New Roman" w:cs="Times New Roman" w:eastAsia="Times New Roman" w:hAnsi="Times New Roman"/>
          <w:sz w:val="18"/>
          <w:szCs w:val="18"/>
          <w:color w:val="auto"/>
        </w:rPr>
        <w:t>Certain of our investments contain a PIK income provision. The PIK income, computed at the contractual rate specified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investment agreement, is added to the principal balance of the investment, rather than being paid in cash, and recorded as interest or dividend income, as applicable, on the consolidated statements of operations. Generally, PIK can be paid-in-kind or all in cash. We stop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our taxable income and, therefore, affects the amount we are required to pay to our stockholders in the form of dividends in order to maintain our tax treatment as a RIC and to avoid paying corporate-level U.S. federal income tax, even though we have not yet collected the cash.</w:t>
      </w:r>
    </w:p>
    <w:p>
      <w:pPr>
        <w:spacing w:after="0" w:line="126" w:lineRule="exact"/>
        <w:rPr>
          <w:sz w:val="20"/>
          <w:szCs w:val="20"/>
          <w:color w:val="auto"/>
        </w:rPr>
      </w:pPr>
    </w:p>
    <w:p>
      <w:pPr>
        <w:jc w:val="both"/>
        <w:ind w:firstLine="478"/>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Non-accrual. </w:t>
      </w:r>
      <w:r>
        <w:rPr>
          <w:rFonts w:ascii="Times New Roman" w:cs="Times New Roman" w:eastAsia="Times New Roman" w:hAnsi="Times New Roman"/>
          <w:sz w:val="18"/>
          <w:szCs w:val="18"/>
          <w:color w:val="auto"/>
        </w:rPr>
        <w:t>Debt investments or preferred equity investments (for which we are accruing PIK dividends) are placed on non-accrual status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applied to the investment principal balance based on management’s judgment. Non-accrual investments are restored to accrual status when past due principal, interest or dividends are paid and, in management’s judgment, are likely to remain current.</w:t>
      </w:r>
    </w:p>
    <w:p>
      <w:pPr>
        <w:spacing w:after="0" w:line="126" w:lineRule="exact"/>
        <w:rPr>
          <w:sz w:val="20"/>
          <w:szCs w:val="20"/>
          <w:color w:val="auto"/>
        </w:rPr>
      </w:pPr>
    </w:p>
    <w:p>
      <w:pPr>
        <w:jc w:val="both"/>
        <w:ind w:firstLine="47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In connection with our debt investments, we will sometimes receive warrants or other equity-related securities (Warrants). We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OID and accreted into interest income using the effective interest method over the term of the debt investment. Upon the prepayment of a debt investment, any unaccreted OID is accelerated into interest income.</w:t>
      </w:r>
    </w:p>
    <w:p>
      <w:pPr>
        <w:spacing w:after="0" w:line="119" w:lineRule="exact"/>
        <w:rPr>
          <w:sz w:val="20"/>
          <w:szCs w:val="20"/>
          <w:color w:val="auto"/>
        </w:rPr>
      </w:pPr>
    </w:p>
    <w:p>
      <w:pPr>
        <w:jc w:val="both"/>
        <w:ind w:firstLine="47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Fee income. </w:t>
      </w:r>
      <w:r>
        <w:rPr>
          <w:rFonts w:ascii="Times New Roman" w:cs="Times New Roman" w:eastAsia="Times New Roman" w:hAnsi="Times New Roman"/>
          <w:sz w:val="18"/>
          <w:szCs w:val="18"/>
          <w:color w:val="auto"/>
        </w:rPr>
        <w:t>All transaction fees earned in connection with our investments are recognized as fee income and are generally non-recurring. Such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include fees for services, including structuring and advisory services, provided to portfolio companies. We recognize income from fees for providing such structuring and advisory services when the services are rendered or the transactions are completed. Upon the prepayment of a debt investment, any prepayment penalties are recorded as fee income when earned.</w:t>
      </w:r>
    </w:p>
    <w:p>
      <w:pPr>
        <w:spacing w:after="0" w:line="122" w:lineRule="exact"/>
        <w:rPr>
          <w:sz w:val="20"/>
          <w:szCs w:val="20"/>
          <w:color w:val="auto"/>
        </w:rPr>
      </w:pPr>
    </w:p>
    <w:p>
      <w:pPr>
        <w:jc w:val="both"/>
        <w:ind w:firstLine="478"/>
        <w:spacing w:after="0" w:line="253" w:lineRule="auto"/>
        <w:rPr>
          <w:sz w:val="20"/>
          <w:szCs w:val="20"/>
          <w:color w:val="auto"/>
        </w:rPr>
      </w:pPr>
      <w:r>
        <w:rPr>
          <w:rFonts w:ascii="Times New Roman" w:cs="Times New Roman" w:eastAsia="Times New Roman" w:hAnsi="Times New Roman"/>
          <w:sz w:val="18"/>
          <w:szCs w:val="18"/>
          <w:color w:val="auto"/>
        </w:rPr>
        <w:t>We also typically receive debt investment origination or closing fees in connection with investments. Such debt investment origination and closing fees are capitalized as unearned income and offset against investment cost basis on our consolidated</w:t>
      </w: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50" w:name="page51"/>
    <w:bookmarkEnd w:id="5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statements of assets and liabilities and accreted into interest income over the term of the investment. Upon the prepayment of a debt investment, any unaccreted debt investment origination and closing fees are accelerated into interest income.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Transfers of Financial Assets</w:t>
      </w:r>
    </w:p>
    <w:p>
      <w:pPr>
        <w:spacing w:after="0" w:line="160" w:lineRule="exact"/>
        <w:rPr>
          <w:sz w:val="20"/>
          <w:szCs w:val="20"/>
          <w:color w:val="auto"/>
        </w:rPr>
      </w:pPr>
    </w:p>
    <w:p>
      <w:pPr>
        <w:jc w:val="both"/>
        <w:ind w:firstLine="46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Partial loan and equity sales. </w:t>
      </w:r>
      <w:r>
        <w:rPr>
          <w:rFonts w:ascii="Times New Roman" w:cs="Times New Roman" w:eastAsia="Times New Roman" w:hAnsi="Times New Roman"/>
          <w:sz w:val="18"/>
          <w:szCs w:val="18"/>
          <w:color w:val="auto"/>
        </w:rPr>
        <w:t>The Company follows the guidance in ASC 860,</w:t>
      </w:r>
      <w:r>
        <w:rPr>
          <w:rFonts w:ascii="Times New Roman" w:cs="Times New Roman" w:eastAsia="Times New Roman" w:hAnsi="Times New Roman"/>
          <w:sz w:val="18"/>
          <w:szCs w:val="18"/>
          <w:i w:val="1"/>
          <w:iCs w:val="1"/>
          <w:color w:val="auto"/>
        </w:rPr>
        <w:t xml:space="preserve"> Transfers and Servicing, </w:t>
      </w:r>
      <w:r>
        <w:rPr>
          <w:rFonts w:ascii="Times New Roman" w:cs="Times New Roman" w:eastAsia="Times New Roman" w:hAnsi="Times New Roman"/>
          <w:sz w:val="18"/>
          <w:szCs w:val="18"/>
          <w:color w:val="auto"/>
        </w:rPr>
        <w:t>when accounting for loan (debt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participations, equity 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the Company’s consolidated statements of assets and liabilities and the proceeds recorded as a secured borrowing until the definition is met.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 Regulation S-K Update</w:t>
      </w:r>
    </w:p>
    <w:p>
      <w:pPr>
        <w:spacing w:after="0" w:line="108"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In November 2020, the SEC issued a final rule that modernized and simplifies Management’s Discussion and Analysis of Financial Condition and Results of Operations and certain financial disclosure requirements in Regulation S-K (the “Amendments”). Specifically, the Amendments: (i) eliminate Item 301 of Regulation S-K (Selected Financial Data); (ii) simplify Item 302 of Regulation S-K (Supplementary Financial Information); and (iii) amend certain aspects of Item 303 of Regulation S-K (Management's Discussion and Analysis of Financial Condition and Results of Operations). The Amendments became effective on February 10, 2021 and compliance will be required for the registrant’s fiscal year ending on or after August 9, 2021. Early adoption of the Amendments is permitted on an item-by-item basis after the effective date; however, a registrant must fully comply with each adopted item in its entirety. The Company adopted the Amendments on the effective date which did not have a material impact on the Company’s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We have entered into a number of business relationships with affiliated or related parties, including the following:</w:t>
      </w:r>
    </w:p>
    <w:p>
      <w:pPr>
        <w:spacing w:after="0" w:line="171" w:lineRule="exact"/>
        <w:rPr>
          <w:sz w:val="20"/>
          <w:szCs w:val="20"/>
          <w:color w:val="auto"/>
        </w:rPr>
      </w:pPr>
    </w:p>
    <w:p>
      <w:pPr>
        <w:ind w:left="1020" w:hanging="503"/>
        <w:spacing w:after="0" w:line="244"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the Investment Advisory Agreement with Fidus Investment Advisors as our investment advisor. Pursuant to the agreement, the Investment Advisor manages our day-to-day operating and investing activities. We pay the Investment Advisor a fee for its services under the Investment Advisory Agreement consisting of two components — a base management fee and an incentive fee. See Note 5 to our consolidated financial statements.</w:t>
      </w:r>
    </w:p>
    <w:p>
      <w:pPr>
        <w:spacing w:after="0" w:line="1" w:lineRule="exact"/>
        <w:rPr>
          <w:rFonts w:ascii="Times New Roman" w:cs="Times New Roman" w:eastAsia="Times New Roman" w:hAnsi="Times New Roman"/>
          <w:sz w:val="18"/>
          <w:szCs w:val="18"/>
          <w:color w:val="auto"/>
        </w:rPr>
      </w:pPr>
    </w:p>
    <w:p>
      <w:pPr>
        <w:ind w:left="1020" w:right="80" w:hanging="503"/>
        <w:spacing w:after="0" w:line="251" w:lineRule="auto"/>
        <w:tabs>
          <w:tab w:leader="none" w:pos="10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Edward H. Ross, our Chairman and Chief Executive Officer, and Thomas C. Lauer, our President, are managers of Fidus Investment Advisors. In May 2015, Fidus Investment Advisors entered into a combination with Fidus Partners, LLC (the “Combination”), by which members of Fidus Investment Advisors and Fidus Partners, LLC (“Partners”) contributed all of their respective membership interest in Fidus Investment Advisors and Partners to a newly formed limited liability company, Fidus Group Holdings, LLC (“Holdings”). As a result, Fidus Investment Advisors is a wholly-owned subsidiary of Holdings, which is a limited liability company organized under the laws of Delaware.</w:t>
      </w:r>
    </w:p>
    <w:p>
      <w:pPr>
        <w:spacing w:after="0" w:line="3" w:lineRule="exact"/>
        <w:rPr>
          <w:rFonts w:ascii="Times New Roman" w:cs="Times New Roman" w:eastAsia="Times New Roman" w:hAnsi="Times New Roman"/>
          <w:sz w:val="17"/>
          <w:szCs w:val="17"/>
          <w:color w:val="auto"/>
        </w:rPr>
      </w:pPr>
    </w:p>
    <w:p>
      <w:pPr>
        <w:ind w:left="1020" w:right="360" w:hanging="503"/>
        <w:spacing w:after="0" w:line="24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the Administration Agreement with Fidus Investment Advisors to provide us with the office facilities and administrative services necessary to conduct day-to-day operations. See Note 5 to our consolidated financial statements.</w:t>
      </w:r>
    </w:p>
    <w:p>
      <w:pPr>
        <w:spacing w:after="0" w:line="1" w:lineRule="exact"/>
        <w:rPr>
          <w:rFonts w:ascii="Times New Roman" w:cs="Times New Roman" w:eastAsia="Times New Roman" w:hAnsi="Times New Roman"/>
          <w:sz w:val="18"/>
          <w:szCs w:val="18"/>
          <w:color w:val="auto"/>
        </w:rPr>
      </w:pPr>
    </w:p>
    <w:p>
      <w:pPr>
        <w:ind w:left="1020" w:right="560" w:hanging="503"/>
        <w:spacing w:after="0" w:line="241"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a license agreement with Fidus Partners, LLC, pursuant to which Fidus Partners, LLC has granted us a non-exclusive, royalty-free license to use the name “Fidus.”</w:t>
      </w:r>
    </w:p>
    <w:p>
      <w:pPr>
        <w:spacing w:after="0" w:line="1" w:lineRule="exact"/>
        <w:rPr>
          <w:rFonts w:ascii="Times New Roman" w:cs="Times New Roman" w:eastAsia="Times New Roman" w:hAnsi="Times New Roman"/>
          <w:sz w:val="18"/>
          <w:szCs w:val="18"/>
          <w:color w:val="auto"/>
        </w:rPr>
      </w:pPr>
    </w:p>
    <w:p>
      <w:pPr>
        <w:ind w:left="1020" w:hanging="503"/>
        <w:spacing w:after="0" w:line="239"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25, 2020, the Company entered into a Limited Partnership Agreement (the “Agreement”) with Fidus Equity Fund I, L.P. (“FEF I”). Pursuant to the Agreement, we will serve as the General Partner of FEF I. Owned by third-party investors, FEF I was formed to purchase 50% of select equity investments from us. We will not receive any fees from FEF I for any services provided in our capacity as the General Partner of FEF I.</w:t>
      </w:r>
    </w:p>
    <w:p>
      <w:pPr>
        <w:jc w:val="both"/>
        <w:ind w:left="1020" w:right="60" w:hanging="503"/>
        <w:spacing w:after="0" w:line="24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Advisor, in consultation with the Board, agreed to voluntarily waive $0.1 million of the base management fees on any assets accounted for as secured borrowings as defined under GAAP for the three months ended March 31, 2022. There were no secured borrowings included in total assets for the three months ended March 31, 2021.</w:t>
      </w:r>
    </w:p>
    <w:p>
      <w:pPr>
        <w:spacing w:after="0" w:line="127"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18"/>
          <w:szCs w:val="18"/>
          <w:color w:val="auto"/>
        </w:rPr>
        <w:t>In connection with the IPO and our election to be regulated as a BDC, we applied for and received exemptive relief from the SEC on March 27, 2012 to allow us to take certain actions that would otherwise be prohibited by the 1940 Act, as applicable to BDCs. Effective June 30, 2014, pursuant to exemptive relief from the SEC, we are permitted to exclude the senior securities issued by Fund II and Fund III from the definition of senior securities in the asset coverage requirement applicable to the Company under the 1940 Act.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51" w:name="page52"/>
    <w:bookmarkEnd w:id="51"/>
    <w:p>
      <w:pPr>
        <w:jc w:val="both"/>
        <w:ind w:firstLine="374"/>
        <w:spacing w:after="0" w:line="243" w:lineRule="auto"/>
        <w:rPr>
          <w:sz w:val="20"/>
          <w:szCs w:val="20"/>
          <w:color w:val="auto"/>
        </w:rPr>
      </w:pPr>
      <w:r>
        <w:rPr>
          <w:rFonts w:ascii="Times New Roman" w:cs="Times New Roman" w:eastAsia="Times New Roman" w:hAnsi="Times New Roman"/>
          <w:sz w:val="18"/>
          <w:szCs w:val="18"/>
          <w:color w:val="auto"/>
        </w:rPr>
        <w:t>While we may co-invest with investment entities managed by the Investment Advisor or its affiliates, to the extent permitted by the 1940 Act and the rules and regulations thereunder, the 1940 Act imposes significant limits on co-investment. On January 4, 2017, the SEC staff has granted us relief sought in an exemptive order that expands our ability to co-invest in portfolio companies with other funds managed by the Investment Advisor or its affiliates ("Affiliated Funds") in a manner consistent with our investment objective, positions, policies, strategies and restrictions as well as regulatory requirements and other pertinent factors, subject to compliance with certain conditions (the “Order”). Pursuant to the Order, we are permitted to co-invest with our affiliates if a “required majority” (as defined in Section 57(o) of the 1940 Act) or the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 However, neither we nor our affiliates are obligated to invest or co-invest when investment opportunities are referred to us or them.</w:t>
      </w:r>
    </w:p>
    <w:p>
      <w:pPr>
        <w:spacing w:after="0" w:line="132" w:lineRule="exact"/>
        <w:rPr>
          <w:sz w:val="20"/>
          <w:szCs w:val="20"/>
          <w:color w:val="auto"/>
        </w:rPr>
      </w:pPr>
    </w:p>
    <w:p>
      <w:pPr>
        <w:jc w:val="both"/>
        <w:ind w:firstLine="281"/>
        <w:spacing w:after="0" w:line="250" w:lineRule="auto"/>
        <w:rPr>
          <w:sz w:val="20"/>
          <w:szCs w:val="20"/>
          <w:color w:val="auto"/>
        </w:rPr>
      </w:pPr>
      <w:r>
        <w:rPr>
          <w:rFonts w:ascii="Times New Roman" w:cs="Times New Roman" w:eastAsia="Times New Roman" w:hAnsi="Times New Roman"/>
          <w:sz w:val="18"/>
          <w:szCs w:val="18"/>
          <w:color w:val="auto"/>
        </w:rPr>
        <w:t>In addition, we and our Investment Advisor have each adopted a joint code of ethics pursuant to Rule 17j-1 under the 1940 Act that governs the conduct of our and the Investment Advisor’s officers, directors and employees. Additionally, the Investment Advisor has adopted a code of ethics pursuant to Rule 204A-1 under the Advisers Act of 1940, as amended, and in accordance with Rule 17j-1(c) under the 1940 Act. We have also adopted a code of business conduct that is applicable to all officers, directors and employees of Fidus and our Investment Advisor. Our officers and directors also remain subject to the duties imposed by both the 1940 Act and the Maryland General Corporation Law.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5"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On April 1, 2022, we invested $8.5 million in first lien debt and made a commitment up to $1.0 million of additional first lien debt of Choice Technology Solutions, LLC (dba Choice Merchant Solutions, LLC), a leading omnichannel global payments platform.</w:t>
      </w:r>
    </w:p>
    <w:p>
      <w:pPr>
        <w:spacing w:after="0" w:line="108" w:lineRule="exact"/>
        <w:rPr>
          <w:sz w:val="20"/>
          <w:szCs w:val="20"/>
          <w:color w:val="auto"/>
        </w:rPr>
      </w:pPr>
    </w:p>
    <w:p>
      <w:pPr>
        <w:jc w:val="both"/>
        <w:ind w:right="20" w:firstLine="469"/>
        <w:spacing w:after="0" w:line="282" w:lineRule="auto"/>
        <w:rPr>
          <w:sz w:val="20"/>
          <w:szCs w:val="20"/>
          <w:color w:val="auto"/>
        </w:rPr>
      </w:pPr>
      <w:r>
        <w:rPr>
          <w:rFonts w:ascii="Times New Roman" w:cs="Times New Roman" w:eastAsia="Times New Roman" w:hAnsi="Times New Roman"/>
          <w:sz w:val="18"/>
          <w:szCs w:val="18"/>
          <w:color w:val="auto"/>
        </w:rPr>
        <w:t>On April 13, 2022, we invested $11.0 million in second lien debt of Virtex Enterprises, LP, a leading vertically integrated electronic manufacturing services provider.</w:t>
      </w:r>
    </w:p>
    <w:p>
      <w:pPr>
        <w:spacing w:after="0" w:line="94" w:lineRule="exact"/>
        <w:rPr>
          <w:sz w:val="20"/>
          <w:szCs w:val="20"/>
          <w:color w:val="auto"/>
        </w:rPr>
      </w:pPr>
    </w:p>
    <w:p>
      <w:pPr>
        <w:jc w:val="both"/>
        <w:ind w:right="20" w:firstLine="469"/>
        <w:spacing w:after="0" w:line="266" w:lineRule="auto"/>
        <w:rPr>
          <w:sz w:val="20"/>
          <w:szCs w:val="20"/>
          <w:color w:val="auto"/>
        </w:rPr>
      </w:pPr>
      <w:r>
        <w:rPr>
          <w:rFonts w:ascii="Times New Roman" w:cs="Times New Roman" w:eastAsia="Times New Roman" w:hAnsi="Times New Roman"/>
          <w:sz w:val="18"/>
          <w:szCs w:val="18"/>
          <w:color w:val="auto"/>
        </w:rPr>
        <w:t>On April 19, 2022, we exited our debt investment in Comply365, LLC. We received payment in full of $8.8 million on our first lien debt, which includes a prepayment fee.</w:t>
      </w:r>
    </w:p>
    <w:p>
      <w:pPr>
        <w:spacing w:after="0" w:line="122"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On April 21, 2022, we exited our equity investment in TransGo, LLC. We received a distribution on our common equity investment for a realized gain of approximately $1.9 million.</w:t>
      </w:r>
    </w:p>
    <w:p>
      <w:pPr>
        <w:spacing w:after="0" w:line="108" w:lineRule="exact"/>
        <w:rPr>
          <w:sz w:val="20"/>
          <w:szCs w:val="20"/>
          <w:color w:val="auto"/>
        </w:rPr>
      </w:pPr>
    </w:p>
    <w:p>
      <w:pPr>
        <w:jc w:val="both"/>
        <w:ind w:right="20" w:firstLine="469"/>
        <w:spacing w:after="0" w:line="266" w:lineRule="auto"/>
        <w:rPr>
          <w:sz w:val="20"/>
          <w:szCs w:val="20"/>
          <w:color w:val="auto"/>
        </w:rPr>
      </w:pPr>
      <w:r>
        <w:rPr>
          <w:rFonts w:ascii="Times New Roman" w:cs="Times New Roman" w:eastAsia="Times New Roman" w:hAnsi="Times New Roman"/>
          <w:sz w:val="18"/>
          <w:szCs w:val="18"/>
          <w:color w:val="auto"/>
        </w:rPr>
        <w:t>On May 2, 2022, our Board declared a regular quarterly dividend of $0.36 per share and a supplemental dividend of $0.07 per share payable on June 24, 2022, to stockholders of record as of June 10,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We are subject to financial market risks, including changes in interest rates. Changes in interest rates affect both our cost of funding and the valuation of our investment portfolio. Our risk management systems and procedures are designed to identify and analyze our risk, to set appropriate policies and limits and to continually monitor these risks and limits by means of reliable administrative and information systems and other policies and programs. In addition, U.S. and global capital markets and credit markets have experienced a higher level of stress due to the global COVID-19 pandemic, which has resulted in an increase in the level of volatility across such markets and a general decline in value of the securities held by us.</w:t>
      </w:r>
    </w:p>
    <w:p>
      <w:pPr>
        <w:spacing w:after="0" w:line="12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7"/>
          <w:szCs w:val="17"/>
          <w:color w:val="auto"/>
        </w:rPr>
        <w:t>In the future, our investment income may also be affected by changes in various interest rates, including the decommissioning of LIBOR and changes in alternate rates and prime rates, to the extent of any debt investments that include floating interest rates. In connection with the COVID-19 pandemic, the U.S. Federal Reserve and other central banks have reduced certain interest rates and LIBOR has decreased. A prolonged reduction in interest rates will reduce our gross investment income and could result in a decrease in our net investment income if such decreases in LIBOR are not offset by a corresponding increase in the spread over LIBOR that we earn on any portfolio investments, a decrease in in our operating expenses, including with respect to our income incentive fee, or a decrease in the interest rate of our floating interest rate liabilities tied to LIBOR. Most recently, in March 2022, the Federal Reserve raised interest rates by 0.25%, the first increase since December 2018, and in March 2022 in response to an increase in inflation, and indicated that it would raise interest rates at each of the remaining six meetings in 2022 . See Risk Factors contained in our Annual Report on Form 10-K for the year ended December 31, 2021, such as "Changes in interest rates will affect our cost of capital and net investment income”, “Inflation may adversely affect the business, results of operations and financial condition of our portfolio companies, which may, in turn, impact the valuation of such portfolio companies”, and “Changes relating to the discontinuation LIBOR may adversely affect the value of our portfolio of LIBOR-indexed, floating-rate debt securities”.</w:t>
      </w:r>
    </w:p>
    <w:p>
      <w:pPr>
        <w:spacing w:after="0" w:line="118"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18"/>
          <w:szCs w:val="18"/>
          <w:color w:val="auto"/>
        </w:rPr>
        <w:t>As of March 31, 2022 and December 31, 2021, 37 and 32 portfolio company’s debt investments, respectively, bore interest at a variable rate, which represented $460.1 million and $376.0 million of our portfolio on a fair value basis, respectively, and the remainder of our debt portfolio was comprised entirely of fixed rate investments. Our pooled SBA debentures and our Notes bear</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52" w:name="page53"/>
    <w:bookmarkEnd w:id="52"/>
    <w:p>
      <w:pPr>
        <w:jc w:val="both"/>
        <w:spacing w:after="0" w:line="247" w:lineRule="auto"/>
        <w:rPr>
          <w:sz w:val="20"/>
          <w:szCs w:val="20"/>
          <w:color w:val="auto"/>
        </w:rPr>
      </w:pPr>
      <w:r>
        <w:rPr>
          <w:rFonts w:ascii="Times New Roman" w:cs="Times New Roman" w:eastAsia="Times New Roman" w:hAnsi="Times New Roman"/>
          <w:sz w:val="18"/>
          <w:szCs w:val="18"/>
          <w:color w:val="auto"/>
        </w:rPr>
        <w:t>interest at fixed rates. Our Credit Facility bears interest, at our election, at a rate per annum equal to (a) 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 (A) a prime rate, (B) the Federal Funds rate plus 0.5%, (C) three month LIBOR plus 1.0%, and (D) zero.</w:t>
      </w:r>
    </w:p>
    <w:p>
      <w:pPr>
        <w:spacing w:after="0" w:line="180"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18"/>
          <w:szCs w:val="18"/>
          <w:color w:val="auto"/>
        </w:rPr>
        <w:t>Because we currently borrow, and plan to borrow in the future, money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68"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shows the approximate annualized increase or decrease in the components of net investment income due to hypothetical base rate changes in interest rates, assuming no changes in our investments and borrowings as of March 31, 2022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3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jc w:val="center"/>
              <w:ind w:left="248"/>
              <w:spacing w:after="0" w:line="15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jc w:val="center"/>
              <w:ind w:left="188"/>
              <w:spacing w:after="0" w:line="15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gridSpan w:val="3"/>
          </w:tcPr>
          <w:p>
            <w:pPr>
              <w:jc w:val="center"/>
              <w:ind w:right="628"/>
              <w:spacing w:after="0" w:line="157" w:lineRule="exact"/>
              <w:rPr>
                <w:sz w:val="20"/>
                <w:szCs w:val="20"/>
                <w:color w:val="auto"/>
              </w:rPr>
            </w:pPr>
            <w:r>
              <w:rPr>
                <w:rFonts w:ascii="Times New Roman" w:cs="Times New Roman" w:eastAsia="Times New Roman" w:hAnsi="Times New Roman"/>
                <w:sz w:val="14"/>
                <w:szCs w:val="14"/>
                <w:b w:val="1"/>
                <w:bCs w:val="1"/>
                <w:color w:val="auto"/>
              </w:rPr>
              <w:t>Net Increase</w:t>
            </w:r>
          </w:p>
        </w:tc>
        <w:tc>
          <w:tcPr>
            <w:tcW w:w="1460" w:type="dxa"/>
            <w:vAlign w:val="bottom"/>
            <w:gridSpan w:val="2"/>
          </w:tcPr>
          <w:p>
            <w:pPr>
              <w:jc w:val="right"/>
              <w:ind w:right="328"/>
              <w:spacing w:after="0" w:line="157" w:lineRule="exact"/>
              <w:rPr>
                <w:sz w:val="20"/>
                <w:szCs w:val="20"/>
                <w:color w:val="auto"/>
              </w:rPr>
            </w:pPr>
            <w:r>
              <w:rPr>
                <w:rFonts w:ascii="Times New Roman" w:cs="Times New Roman" w:eastAsia="Times New Roman" w:hAnsi="Times New Roman"/>
                <w:sz w:val="14"/>
                <w:szCs w:val="14"/>
                <w:b w:val="1"/>
                <w:bCs w:val="1"/>
                <w:color w:val="auto"/>
              </w:rPr>
              <w:t>Net Investment</w:t>
            </w:r>
          </w:p>
        </w:tc>
      </w:tr>
      <w:tr>
        <w:trPr>
          <w:trHeight w:val="206"/>
        </w:trPr>
        <w:tc>
          <w:tcPr>
            <w:tcW w:w="4000" w:type="dxa"/>
            <w:vAlign w:val="bottom"/>
            <w:gridSpan w:val="2"/>
          </w:tcPr>
          <w:p>
            <w:pPr>
              <w:jc w:val="right"/>
              <w:ind w:right="1988"/>
              <w:spacing w:after="0"/>
              <w:rPr>
                <w:sz w:val="20"/>
                <w:szCs w:val="20"/>
                <w:color w:val="auto"/>
              </w:rPr>
            </w:pPr>
            <w:r>
              <w:rPr>
                <w:rFonts w:ascii="Times New Roman" w:cs="Times New Roman" w:eastAsia="Times New Roman" w:hAnsi="Times New Roman"/>
                <w:sz w:val="14"/>
                <w:szCs w:val="14"/>
                <w:b w:val="1"/>
                <w:bCs w:val="1"/>
                <w:color w:val="auto"/>
              </w:rPr>
              <w:t>Basis Point Increase (Decrease)</w:t>
            </w:r>
          </w:p>
        </w:tc>
        <w:tc>
          <w:tcPr>
            <w:tcW w:w="1320" w:type="dxa"/>
            <w:vAlign w:val="bottom"/>
          </w:tcPr>
          <w:p>
            <w:pPr>
              <w:jc w:val="center"/>
              <w:ind w:left="228"/>
              <w:spacing w:after="0" w:line="206" w:lineRule="exact"/>
              <w:rPr>
                <w:sz w:val="20"/>
                <w:szCs w:val="20"/>
                <w:color w:val="auto"/>
              </w:rPr>
            </w:pPr>
            <w:r>
              <w:rPr>
                <w:rFonts w:ascii="Times New Roman" w:cs="Times New Roman" w:eastAsia="Times New Roman" w:hAnsi="Times New Roman"/>
                <w:sz w:val="14"/>
                <w:szCs w:val="14"/>
                <w:b w:val="1"/>
                <w:bCs w:val="1"/>
                <w:color w:val="auto"/>
                <w:w w:val="94"/>
              </w:rPr>
              <w:t xml:space="preserve">(Decrease) </w:t>
            </w:r>
            <w:r>
              <w:rPr>
                <w:rFonts w:ascii="Times New Roman" w:cs="Times New Roman" w:eastAsia="Times New Roman" w:hAnsi="Times New Roman"/>
                <w:sz w:val="19"/>
                <w:szCs w:val="19"/>
                <w:b w:val="1"/>
                <w:bCs w:val="1"/>
                <w:color w:val="auto"/>
                <w:w w:val="94"/>
                <w:vertAlign w:val="superscript"/>
              </w:rPr>
              <w:t>(1) (2)</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center"/>
              <w:ind w:left="188"/>
              <w:spacing w:after="0" w:line="206" w:lineRule="exact"/>
              <w:rPr>
                <w:sz w:val="20"/>
                <w:szCs w:val="20"/>
                <w:color w:val="auto"/>
              </w:rPr>
            </w:pPr>
            <w:r>
              <w:rPr>
                <w:rFonts w:ascii="Times New Roman" w:cs="Times New Roman" w:eastAsia="Times New Roman" w:hAnsi="Times New Roman"/>
                <w:sz w:val="14"/>
                <w:szCs w:val="14"/>
                <w:b w:val="1"/>
                <w:bCs w:val="1"/>
                <w:color w:val="auto"/>
                <w:w w:val="98"/>
              </w:rPr>
              <w:t xml:space="preserve">(Decrease) </w:t>
            </w:r>
            <w:r>
              <w:rPr>
                <w:rFonts w:ascii="Times New Roman" w:cs="Times New Roman" w:eastAsia="Times New Roman" w:hAnsi="Times New Roman"/>
                <w:sz w:val="19"/>
                <w:szCs w:val="19"/>
                <w:b w:val="1"/>
                <w:bCs w:val="1"/>
                <w:color w:val="auto"/>
                <w:w w:val="98"/>
                <w:vertAlign w:val="superscript"/>
              </w:rPr>
              <w:t>(4)</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gridSpan w:val="3"/>
          </w:tcPr>
          <w:p>
            <w:pPr>
              <w:jc w:val="center"/>
              <w:ind w:right="6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460" w:type="dxa"/>
            <w:vAlign w:val="bottom"/>
            <w:gridSpan w:val="2"/>
          </w:tcPr>
          <w:p>
            <w:pPr>
              <w:jc w:val="right"/>
              <w:ind w:right="488"/>
              <w:spacing w:after="0" w:line="206" w:lineRule="exact"/>
              <w:rPr>
                <w:sz w:val="20"/>
                <w:szCs w:val="20"/>
                <w:color w:val="auto"/>
              </w:rPr>
            </w:pPr>
            <w:r>
              <w:rPr>
                <w:rFonts w:ascii="Times New Roman" w:cs="Times New Roman" w:eastAsia="Times New Roman" w:hAnsi="Times New Roman"/>
                <w:sz w:val="14"/>
                <w:szCs w:val="14"/>
                <w:b w:val="1"/>
                <w:bCs w:val="1"/>
                <w:color w:val="auto"/>
              </w:rPr>
              <w:t xml:space="preserve">Income </w:t>
            </w:r>
            <w:r>
              <w:rPr>
                <w:rFonts w:ascii="Times New Roman" w:cs="Times New Roman" w:eastAsia="Times New Roman" w:hAnsi="Times New Roman"/>
                <w:sz w:val="19"/>
                <w:szCs w:val="19"/>
                <w:b w:val="1"/>
                <w:bCs w:val="1"/>
                <w:color w:val="auto"/>
                <w:vertAlign w:val="superscript"/>
              </w:rPr>
              <w:t>(3)</w:t>
            </w:r>
          </w:p>
        </w:tc>
      </w:tr>
      <w:tr>
        <w:trPr>
          <w:trHeight w:val="169"/>
        </w:trPr>
        <w:tc>
          <w:tcPr>
            <w:tcW w:w="3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2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4"/>
              </w:rPr>
              <w:t>)</w:t>
            </w:r>
          </w:p>
        </w:tc>
        <w:tc>
          <w:tcPr>
            <w:tcW w:w="1320" w:type="dxa"/>
            <w:vAlign w:val="bottom"/>
            <w:tcBorders>
              <w:top w:val="single" w:sz="8" w:color="auto"/>
            </w:tcBorders>
            <w:shd w:val="clear" w:color="auto" w:fill="CCEEFF"/>
          </w:tcPr>
          <w:p>
            <w:pPr>
              <w:jc w:val="right"/>
              <w:ind w:right="116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4"/>
              </w:rPr>
              <w:t>)</w:t>
            </w:r>
          </w:p>
        </w:tc>
        <w:tc>
          <w:tcPr>
            <w:tcW w:w="1340" w:type="dxa"/>
            <w:vAlign w:val="bottom"/>
            <w:tcBorders>
              <w:top w:val="single" w:sz="8" w:color="auto"/>
            </w:tcBorders>
            <w:shd w:val="clear" w:color="auto" w:fill="CCEEFF"/>
          </w:tcPr>
          <w:p>
            <w:pPr>
              <w:jc w:val="right"/>
              <w:ind w:right="118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(0.1</w:t>
            </w:r>
          </w:p>
        </w:tc>
        <w:tc>
          <w:tcPr>
            <w:tcW w:w="2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76"/>
        </w:trPr>
        <w:tc>
          <w:tcPr>
            <w:tcW w:w="40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(150 )</w:t>
            </w:r>
          </w:p>
        </w:tc>
        <w:tc>
          <w:tcPr>
            <w:tcW w:w="1320" w:type="dxa"/>
            <w:vAlign w:val="bottom"/>
          </w:tcPr>
          <w:p>
            <w:pPr>
              <w:spacing w:after="0"/>
              <w:rPr>
                <w:sz w:val="15"/>
                <w:szCs w:val="15"/>
                <w:color w:val="auto"/>
              </w:rPr>
            </w:pPr>
          </w:p>
        </w:tc>
        <w:tc>
          <w:tcPr>
            <w:tcW w:w="5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(0.9 )</w:t>
            </w:r>
          </w:p>
        </w:tc>
        <w:tc>
          <w:tcPr>
            <w:tcW w:w="1340" w:type="dxa"/>
            <w:vAlign w:val="bottom"/>
          </w:tcPr>
          <w:p>
            <w:pPr>
              <w:spacing w:after="0"/>
              <w:rPr>
                <w:sz w:val="15"/>
                <w:szCs w:val="15"/>
                <w:color w:val="auto"/>
              </w:rPr>
            </w:pPr>
          </w:p>
        </w:tc>
        <w:tc>
          <w:tcPr>
            <w:tcW w:w="5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w w:val="98"/>
              </w:rPr>
              <w:t>(0.1 )</w:t>
            </w:r>
          </w:p>
        </w:tc>
        <w:tc>
          <w:tcPr>
            <w:tcW w:w="260" w:type="dxa"/>
            <w:vAlign w:val="bottom"/>
          </w:tcPr>
          <w:p>
            <w:pPr>
              <w:spacing w:after="0"/>
              <w:rPr>
                <w:sz w:val="15"/>
                <w:szCs w:val="15"/>
                <w:color w:val="auto"/>
              </w:rPr>
            </w:pPr>
          </w:p>
        </w:tc>
        <w:tc>
          <w:tcPr>
            <w:tcW w:w="15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(0.8 )</w:t>
            </w:r>
          </w:p>
        </w:tc>
        <w:tc>
          <w:tcPr>
            <w:tcW w:w="20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(0.6 )</w:t>
            </w:r>
          </w:p>
        </w:tc>
      </w:tr>
      <w:tr>
        <w:trPr>
          <w:trHeight w:val="175"/>
        </w:trPr>
        <w:tc>
          <w:tcPr>
            <w:tcW w:w="40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(100 )</w:t>
            </w:r>
          </w:p>
        </w:tc>
        <w:tc>
          <w:tcPr>
            <w:tcW w:w="13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(0.9 )</w:t>
            </w:r>
          </w:p>
        </w:tc>
        <w:tc>
          <w:tcPr>
            <w:tcW w:w="13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98"/>
              </w:rPr>
              <w:t>(0.1 )</w:t>
            </w:r>
          </w:p>
        </w:tc>
        <w:tc>
          <w:tcPr>
            <w:tcW w:w="26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(0.8 )</w:t>
            </w:r>
          </w:p>
        </w:tc>
        <w:tc>
          <w:tcPr>
            <w:tcW w:w="2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(0.6 )</w:t>
            </w:r>
          </w:p>
        </w:tc>
      </w:tr>
      <w:tr>
        <w:trPr>
          <w:trHeight w:val="176"/>
        </w:trPr>
        <w:tc>
          <w:tcPr>
            <w:tcW w:w="40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(50 )</w:t>
            </w:r>
          </w:p>
        </w:tc>
        <w:tc>
          <w:tcPr>
            <w:tcW w:w="1320" w:type="dxa"/>
            <w:vAlign w:val="bottom"/>
          </w:tcPr>
          <w:p>
            <w:pPr>
              <w:spacing w:after="0"/>
              <w:rPr>
                <w:sz w:val="15"/>
                <w:szCs w:val="15"/>
                <w:color w:val="auto"/>
              </w:rPr>
            </w:pPr>
          </w:p>
        </w:tc>
        <w:tc>
          <w:tcPr>
            <w:tcW w:w="5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(0.8 )</w:t>
            </w:r>
          </w:p>
        </w:tc>
        <w:tc>
          <w:tcPr>
            <w:tcW w:w="1340" w:type="dxa"/>
            <w:vAlign w:val="bottom"/>
          </w:tcPr>
          <w:p>
            <w:pPr>
              <w:spacing w:after="0"/>
              <w:rPr>
                <w:sz w:val="15"/>
                <w:szCs w:val="15"/>
                <w:color w:val="auto"/>
              </w:rPr>
            </w:pPr>
          </w:p>
        </w:tc>
        <w:tc>
          <w:tcPr>
            <w:tcW w:w="5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w w:val="98"/>
              </w:rPr>
              <w:t>(0.1 )</w:t>
            </w:r>
          </w:p>
        </w:tc>
        <w:tc>
          <w:tcPr>
            <w:tcW w:w="260" w:type="dxa"/>
            <w:vAlign w:val="bottom"/>
          </w:tcPr>
          <w:p>
            <w:pPr>
              <w:spacing w:after="0"/>
              <w:rPr>
                <w:sz w:val="15"/>
                <w:szCs w:val="15"/>
                <w:color w:val="auto"/>
              </w:rPr>
            </w:pPr>
          </w:p>
        </w:tc>
        <w:tc>
          <w:tcPr>
            <w:tcW w:w="15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(0.7 )</w:t>
            </w:r>
          </w:p>
        </w:tc>
        <w:tc>
          <w:tcPr>
            <w:tcW w:w="20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(0.6 )</w:t>
            </w:r>
          </w:p>
        </w:tc>
      </w:tr>
      <w:tr>
        <w:trPr>
          <w:trHeight w:val="176"/>
        </w:trPr>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60" w:type="dxa"/>
            <w:vAlign w:val="bottom"/>
            <w:shd w:val="clear" w:color="auto" w:fill="CCEEFF"/>
          </w:tcPr>
          <w:p>
            <w:pPr>
              <w:spacing w:after="0"/>
              <w:rPr>
                <w:sz w:val="15"/>
                <w:szCs w:val="15"/>
                <w:color w:val="auto"/>
              </w:rPr>
            </w:pPr>
          </w:p>
        </w:tc>
      </w:tr>
      <w:tr>
        <w:trPr>
          <w:trHeight w:val="175"/>
        </w:trPr>
        <w:tc>
          <w:tcPr>
            <w:tcW w:w="3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60" w:type="dxa"/>
            <w:vAlign w:val="bottom"/>
          </w:tcPr>
          <w:p>
            <w:pPr>
              <w:spacing w:after="0"/>
              <w:rPr>
                <w:sz w:val="15"/>
                <w:szCs w:val="15"/>
                <w:color w:val="auto"/>
              </w:rPr>
            </w:pPr>
          </w:p>
        </w:tc>
      </w:tr>
      <w:tr>
        <w:trPr>
          <w:trHeight w:val="176"/>
        </w:trPr>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60" w:type="dxa"/>
            <w:vAlign w:val="bottom"/>
            <w:shd w:val="clear" w:color="auto" w:fill="CCEEFF"/>
          </w:tcPr>
          <w:p>
            <w:pPr>
              <w:spacing w:after="0"/>
              <w:rPr>
                <w:sz w:val="15"/>
                <w:szCs w:val="15"/>
                <w:color w:val="auto"/>
              </w:rPr>
            </w:pPr>
          </w:p>
        </w:tc>
      </w:tr>
      <w:tr>
        <w:trPr>
          <w:trHeight w:val="175"/>
        </w:trPr>
        <w:tc>
          <w:tcPr>
            <w:tcW w:w="3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60" w:type="dxa"/>
            <w:vAlign w:val="bottom"/>
          </w:tcPr>
          <w:p>
            <w:pPr>
              <w:spacing w:after="0"/>
              <w:rPr>
                <w:sz w:val="15"/>
                <w:szCs w:val="15"/>
                <w:color w:val="auto"/>
              </w:rPr>
            </w:pPr>
          </w:p>
        </w:tc>
      </w:tr>
      <w:tr>
        <w:trPr>
          <w:trHeight w:val="176"/>
        </w:trPr>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60" w:type="dxa"/>
            <w:vAlign w:val="bottom"/>
            <w:shd w:val="clear" w:color="auto" w:fill="CCEEFF"/>
          </w:tcPr>
          <w:p>
            <w:pPr>
              <w:spacing w:after="0"/>
              <w:rPr>
                <w:sz w:val="15"/>
                <w:szCs w:val="15"/>
                <w:color w:val="auto"/>
              </w:rPr>
            </w:pPr>
          </w:p>
        </w:tc>
      </w:tr>
      <w:tr>
        <w:trPr>
          <w:trHeight w:val="188"/>
        </w:trPr>
        <w:tc>
          <w:tcPr>
            <w:tcW w:w="3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60" w:type="dxa"/>
            <w:vAlign w:val="bottom"/>
          </w:tcPr>
          <w:p>
            <w:pPr>
              <w:spacing w:after="0"/>
              <w:rPr>
                <w:sz w:val="16"/>
                <w:szCs w:val="16"/>
                <w:color w:val="auto"/>
              </w:rPr>
            </w:pPr>
          </w:p>
        </w:tc>
      </w:tr>
    </w:tbl>
    <w:p>
      <w:pPr>
        <w:spacing w:after="0" w:line="181" w:lineRule="exact"/>
        <w:rPr>
          <w:sz w:val="20"/>
          <w:szCs w:val="20"/>
          <w:color w:val="auto"/>
        </w:rPr>
      </w:pPr>
    </w:p>
    <w:p>
      <w:pPr>
        <w:ind w:left="220" w:hanging="212"/>
        <w:spacing w:after="0"/>
        <w:tabs>
          <w:tab w:leader="none" w:pos="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our variable rate debt investments have a LIBOR, PRIME or SOFR interest rate floor, which lessens the impact of decreases in interest rates.</w:t>
      </w:r>
    </w:p>
    <w:p>
      <w:pPr>
        <w:spacing w:after="0" w:line="1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calculated assuming three-month LIBOR and SOFR rate as of March 31, 2022.</w:t>
      </w:r>
    </w:p>
    <w:p>
      <w:pPr>
        <w:spacing w:after="0" w:line="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impact of income incentive fee at 20.0% on net increase (decrease) in net interest.</w:t>
      </w:r>
    </w:p>
    <w:p>
      <w:pPr>
        <w:spacing w:after="0" w:line="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2022, we did not have any borrowings outstanding under our Credit Facility.</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jc w:val="both"/>
        <w:ind w:firstLine="374"/>
        <w:spacing w:after="0" w:line="24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Chief Executive Officer and Chief Financial Officer carried out an evaluation of the effectiveness of the design and operation of our disclosure controls and procedures (as defined in Rule 13a-15(e) of the 1934 Act) as of the end of the period covered by this report. Based on the evaluation of these disclosure controls and procedures, the Chief Executive Officer and Chief Financial Officer concluded that our disclosure controls and procedures were effective. 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w:t>
      </w:r>
    </w:p>
    <w:p>
      <w:pPr>
        <w:spacing w:after="0" w:line="3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6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first quarter of 2022 that have materially affected, or are reasonably likely to materially affect, our internal control over financial reporting.</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are not, and the Investment Advisor is not, currently subject to any material legal proceedings.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6"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8"/>
          <w:szCs w:val="18"/>
          <w:color w:val="auto"/>
        </w:rPr>
        <w:t>In addition to other information set forth in this report, you should carefully consider the “Risk Factors” discussed in our Form 10-K for the year ended December 31, 2021 and filed with the SEC on March 3, 2022, which are incorporated herein by reference. These Risk Factors could materially affect our business, financial condition and/or operating results. Additional risks and uncertainties not currently known to us or that we currently deem to be immaterial also may materially affect our business, financial condition and/or operating results.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Sales of Unregistered Securities</w:t>
      </w:r>
    </w:p>
    <w:p>
      <w:pPr>
        <w:spacing w:after="0" w:line="2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None.</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14" w:lineRule="exact"/>
        <w:rPr>
          <w:sz w:val="20"/>
          <w:szCs w:val="20"/>
          <w:color w:val="auto"/>
        </w:rPr>
      </w:pPr>
    </w:p>
    <w:p>
      <w:pPr>
        <w:jc w:val="both"/>
        <w:ind w:firstLine="281"/>
        <w:spacing w:after="0" w:line="242" w:lineRule="auto"/>
        <w:rPr>
          <w:sz w:val="20"/>
          <w:szCs w:val="20"/>
          <w:color w:val="auto"/>
        </w:rPr>
      </w:pPr>
      <w:r>
        <w:rPr>
          <w:rFonts w:ascii="Times New Roman" w:cs="Times New Roman" w:eastAsia="Times New Roman" w:hAnsi="Times New Roman"/>
          <w:sz w:val="18"/>
          <w:szCs w:val="18"/>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November 1, 2021, the Board extended the Stock Repurchase Program through December 31, 2022,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r>
        <w:rPr>
          <w:rFonts w:ascii="Times New Roman" w:cs="Times New Roman" w:eastAsia="Times New Roman" w:hAnsi="Times New Roman"/>
          <w:sz w:val="18"/>
          <w:szCs w:val="18"/>
          <w:b w:val="1"/>
          <w:bCs w:val="1"/>
          <w:i w:val="1"/>
          <w:iCs w:val="1"/>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8"/>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05"/>
        </w:trPr>
        <w:tc>
          <w:tcPr>
            <w:tcW w:w="15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80" w:type="dxa"/>
            <w:vAlign w:val="bottom"/>
            <w:tcBorders>
              <w:bottom w:val="single" w:sz="8" w:color="auto"/>
            </w:tcBorders>
            <w:gridSpan w:val="25"/>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169"/>
        </w:trPr>
        <w:tc>
          <w:tcPr>
            <w:tcW w:w="15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940" w:type="dxa"/>
            <w:vAlign w:val="bottom"/>
            <w:tcBorders>
              <w:bottom w:val="single" w:sz="8" w:color="333366"/>
            </w:tcBorders>
            <w:gridSpan w:val="13"/>
          </w:tcPr>
          <w:p>
            <w:pPr>
              <w:spacing w:after="0" w:line="169" w:lineRule="exact"/>
              <w:rPr>
                <w:rFonts w:ascii="Times New Roman" w:cs="Times New Roman" w:eastAsia="Times New Roman" w:hAnsi="Times New Roman"/>
                <w:sz w:val="18"/>
                <w:szCs w:val="18"/>
                <w:color w:val="333366"/>
              </w:rPr>
            </w:pPr>
            <w:hyperlink r:id="rId489">
              <w:r>
                <w:rPr>
                  <w:rFonts w:ascii="Times New Roman" w:cs="Times New Roman" w:eastAsia="Times New Roman" w:hAnsi="Times New Roman"/>
                  <w:sz w:val="18"/>
                  <w:szCs w:val="18"/>
                  <w:color w:val="333366"/>
                </w:rPr>
                <w:t>Articles of Amendment and Restatement of the Registrant (Filed as Exhibit (a)(1) to Pre-Effective Amendment No. 2 to the</w:t>
              </w:r>
            </w:hyperlink>
          </w:p>
        </w:tc>
        <w:tc>
          <w:tcPr>
            <w:tcW w:w="540" w:type="dxa"/>
            <w:vAlign w:val="bottom"/>
            <w:gridSpan w:val="12"/>
          </w:tcPr>
          <w:p>
            <w:pPr>
              <w:spacing w:after="0"/>
              <w:rPr>
                <w:sz w:val="14"/>
                <w:szCs w:val="14"/>
                <w:color w:val="auto"/>
              </w:rPr>
            </w:pPr>
          </w:p>
        </w:tc>
      </w:tr>
      <w:tr>
        <w:trPr>
          <w:trHeight w:val="155"/>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80" w:type="dxa"/>
            <w:vAlign w:val="bottom"/>
            <w:gridSpan w:val="25"/>
          </w:tcPr>
          <w:p>
            <w:pPr>
              <w:spacing w:after="0" w:line="156" w:lineRule="exact"/>
              <w:rPr>
                <w:rFonts w:ascii="Times New Roman" w:cs="Times New Roman" w:eastAsia="Times New Roman" w:hAnsi="Times New Roman"/>
                <w:sz w:val="18"/>
                <w:szCs w:val="18"/>
                <w:color w:val="333366"/>
              </w:rPr>
            </w:pPr>
            <w:hyperlink r:id="rId489">
              <w:r>
                <w:rPr>
                  <w:rFonts w:ascii="Times New Roman" w:cs="Times New Roman" w:eastAsia="Times New Roman" w:hAnsi="Times New Roman"/>
                  <w:sz w:val="18"/>
                  <w:szCs w:val="18"/>
                  <w:color w:val="333366"/>
                </w:rPr>
                <w:t>Registrant’s Registration Statement on Form N-2 (File No. 333-172550) filed with the U.S. Securities and Exchange Commission</w:t>
              </w:r>
            </w:hyperlink>
          </w:p>
        </w:tc>
      </w:tr>
      <w:tr>
        <w:trPr>
          <w:trHeight w:val="156"/>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380" w:type="dxa"/>
            <w:vAlign w:val="bottom"/>
            <w:tcBorders>
              <w:top w:val="single" w:sz="8" w:color="333366"/>
            </w:tcBorders>
            <w:gridSpan w:val="22"/>
          </w:tcPr>
          <w:p>
            <w:pPr>
              <w:spacing w:after="0" w:line="156" w:lineRule="exact"/>
              <w:rPr>
                <w:rFonts w:ascii="Times New Roman" w:cs="Times New Roman" w:eastAsia="Times New Roman" w:hAnsi="Times New Roman"/>
                <w:sz w:val="18"/>
                <w:szCs w:val="18"/>
                <w:color w:val="333366"/>
              </w:rPr>
            </w:pPr>
            <w:hyperlink r:id="rId489">
              <w:r>
                <w:rPr>
                  <w:rFonts w:ascii="Times New Roman" w:cs="Times New Roman" w:eastAsia="Times New Roman" w:hAnsi="Times New Roman"/>
                  <w:sz w:val="18"/>
                  <w:szCs w:val="18"/>
                  <w:color w:val="333366"/>
                </w:rPr>
                <w:t>on April 29, 2011 and incorporated herein by reference).</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333366"/>
          </w:tcPr>
          <w:p>
            <w:pPr>
              <w:spacing w:after="0" w:line="20" w:lineRule="exact"/>
              <w:rPr>
                <w:sz w:val="1"/>
                <w:szCs w:val="1"/>
                <w:color w:val="auto"/>
              </w:rPr>
            </w:pPr>
          </w:p>
        </w:tc>
        <w:tc>
          <w:tcPr>
            <w:tcW w:w="720" w:type="dxa"/>
            <w:vAlign w:val="bottom"/>
            <w:shd w:val="clear" w:color="auto" w:fill="333366"/>
          </w:tcPr>
          <w:p>
            <w:pPr>
              <w:spacing w:after="0" w:line="20" w:lineRule="exact"/>
              <w:rPr>
                <w:sz w:val="1"/>
                <w:szCs w:val="1"/>
                <w:color w:val="auto"/>
              </w:rPr>
            </w:pPr>
          </w:p>
        </w:tc>
        <w:tc>
          <w:tcPr>
            <w:tcW w:w="960" w:type="dxa"/>
            <w:vAlign w:val="bottom"/>
            <w:shd w:val="clear" w:color="auto" w:fill="333366"/>
          </w:tcPr>
          <w:p>
            <w:pPr>
              <w:spacing w:after="0" w:line="20" w:lineRule="exact"/>
              <w:rPr>
                <w:sz w:val="1"/>
                <w:szCs w:val="1"/>
                <w:color w:val="auto"/>
              </w:rPr>
            </w:pPr>
          </w:p>
        </w:tc>
        <w:tc>
          <w:tcPr>
            <w:tcW w:w="660" w:type="dxa"/>
            <w:vAlign w:val="bottom"/>
            <w:shd w:val="clear" w:color="auto" w:fill="333366"/>
          </w:tcPr>
          <w:p>
            <w:pPr>
              <w:spacing w:after="0" w:line="20" w:lineRule="exact"/>
              <w:rPr>
                <w:sz w:val="1"/>
                <w:szCs w:val="1"/>
                <w:color w:val="auto"/>
              </w:rPr>
            </w:pPr>
          </w:p>
        </w:tc>
        <w:tc>
          <w:tcPr>
            <w:tcW w:w="440" w:type="dxa"/>
            <w:vAlign w:val="bottom"/>
            <w:shd w:val="clear" w:color="auto" w:fill="333366"/>
          </w:tcPr>
          <w:p>
            <w:pPr>
              <w:spacing w:after="0" w:line="20" w:lineRule="exact"/>
              <w:rPr>
                <w:sz w:val="1"/>
                <w:szCs w:val="1"/>
                <w:color w:val="auto"/>
              </w:rPr>
            </w:pPr>
          </w:p>
        </w:tc>
        <w:tc>
          <w:tcPr>
            <w:tcW w:w="520" w:type="dxa"/>
            <w:vAlign w:val="bottom"/>
            <w:shd w:val="clear" w:color="auto" w:fill="333366"/>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80" w:type="dxa"/>
            <w:vAlign w:val="bottom"/>
            <w:gridSpan w:val="25"/>
          </w:tcPr>
          <w:p>
            <w:pPr>
              <w:spacing w:after="0"/>
              <w:rPr>
                <w:rFonts w:ascii="Times New Roman" w:cs="Times New Roman" w:eastAsia="Times New Roman" w:hAnsi="Times New Roman"/>
                <w:sz w:val="18"/>
                <w:szCs w:val="18"/>
                <w:color w:val="333366"/>
              </w:rPr>
            </w:pPr>
            <w:hyperlink r:id="rId490">
              <w:r>
                <w:rPr>
                  <w:rFonts w:ascii="Times New Roman" w:cs="Times New Roman" w:eastAsia="Times New Roman" w:hAnsi="Times New Roman"/>
                  <w:sz w:val="18"/>
                  <w:szCs w:val="18"/>
                  <w:color w:val="333366"/>
                </w:rPr>
                <w:t>Bylaws of the Registrant (Filed as Exhibit (b)(1) to Pre-Effective Amendment No. 2 to the Registrant’s Registration Statement on</w:t>
              </w:r>
            </w:hyperlink>
          </w:p>
        </w:tc>
      </w:tr>
      <w:tr>
        <w:trPr>
          <w:trHeight w:val="155"/>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0" w:type="dxa"/>
            <w:vAlign w:val="bottom"/>
            <w:tcBorders>
              <w:top w:val="single" w:sz="8" w:color="333366"/>
            </w:tcBorders>
            <w:gridSpan w:val="23"/>
          </w:tcPr>
          <w:p>
            <w:pPr>
              <w:spacing w:after="0" w:line="156" w:lineRule="exact"/>
              <w:rPr>
                <w:rFonts w:ascii="Times New Roman" w:cs="Times New Roman" w:eastAsia="Times New Roman" w:hAnsi="Times New Roman"/>
                <w:sz w:val="18"/>
                <w:szCs w:val="18"/>
                <w:color w:val="333366"/>
              </w:rPr>
            </w:pPr>
            <w:hyperlink r:id="rId490">
              <w:r>
                <w:rPr>
                  <w:rFonts w:ascii="Times New Roman" w:cs="Times New Roman" w:eastAsia="Times New Roman" w:hAnsi="Times New Roman"/>
                  <w:sz w:val="18"/>
                  <w:szCs w:val="18"/>
                  <w:color w:val="333366"/>
                </w:rPr>
                <w:t>Form N-2 (File No. 333-172550) filed with the U.S. Securities and Exchange Commission on April 29, 2011 and incorporated</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140" w:type="dxa"/>
            <w:vAlign w:val="bottom"/>
            <w:tcBorders>
              <w:top w:val="single" w:sz="8" w:color="333366"/>
            </w:tcBorders>
            <w:gridSpan w:val="17"/>
          </w:tcPr>
          <w:p>
            <w:pPr>
              <w:spacing w:after="0" w:line="156" w:lineRule="exact"/>
              <w:rPr>
                <w:rFonts w:ascii="Times New Roman" w:cs="Times New Roman" w:eastAsia="Times New Roman" w:hAnsi="Times New Roman"/>
                <w:sz w:val="18"/>
                <w:szCs w:val="18"/>
                <w:color w:val="333366"/>
              </w:rPr>
            </w:pPr>
            <w:hyperlink r:id="rId490">
              <w:r>
                <w:rPr>
                  <w:rFonts w:ascii="Times New Roman" w:cs="Times New Roman" w:eastAsia="Times New Roman" w:hAnsi="Times New Roman"/>
                  <w:sz w:val="18"/>
                  <w:szCs w:val="18"/>
                  <w:color w:val="333366"/>
                </w:rPr>
                <w:t>herein by reference).</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333366"/>
          </w:tcPr>
          <w:p>
            <w:pPr>
              <w:spacing w:after="0" w:line="20" w:lineRule="exact"/>
              <w:rPr>
                <w:sz w:val="1"/>
                <w:szCs w:val="1"/>
                <w:color w:val="auto"/>
              </w:rPr>
            </w:pPr>
          </w:p>
        </w:tc>
        <w:tc>
          <w:tcPr>
            <w:tcW w:w="720" w:type="dxa"/>
            <w:vAlign w:val="bottom"/>
            <w:shd w:val="clear" w:color="auto" w:fill="33336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80" w:type="dxa"/>
            <w:vAlign w:val="bottom"/>
            <w:gridSpan w:val="25"/>
          </w:tcPr>
          <w:p>
            <w:pPr>
              <w:spacing w:after="0"/>
              <w:rPr>
                <w:rFonts w:ascii="Times New Roman" w:cs="Times New Roman" w:eastAsia="Times New Roman" w:hAnsi="Times New Roman"/>
                <w:sz w:val="18"/>
                <w:szCs w:val="18"/>
                <w:color w:val="333366"/>
              </w:rPr>
            </w:pPr>
            <w:hyperlink r:id="rId491">
              <w:r>
                <w:rPr>
                  <w:rFonts w:ascii="Times New Roman" w:cs="Times New Roman" w:eastAsia="Times New Roman" w:hAnsi="Times New Roman"/>
                  <w:sz w:val="18"/>
                  <w:szCs w:val="18"/>
                  <w:color w:val="333366"/>
                </w:rPr>
                <w:t>Form of Stock Certificate of the Registrant (Filed as Exhibit (d) to Pre-Effective Amendment No. 2 to the Registrant’s Registration</w:t>
              </w:r>
            </w:hyperlink>
          </w:p>
        </w:tc>
      </w:tr>
      <w:tr>
        <w:trPr>
          <w:trHeight w:val="155"/>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40" w:type="dxa"/>
            <w:vAlign w:val="bottom"/>
            <w:tcBorders>
              <w:top w:val="single" w:sz="8" w:color="333366"/>
            </w:tcBorders>
            <w:gridSpan w:val="24"/>
          </w:tcPr>
          <w:p>
            <w:pPr>
              <w:spacing w:after="0" w:line="156" w:lineRule="exact"/>
              <w:rPr>
                <w:rFonts w:ascii="Times New Roman" w:cs="Times New Roman" w:eastAsia="Times New Roman" w:hAnsi="Times New Roman"/>
                <w:sz w:val="18"/>
                <w:szCs w:val="18"/>
                <w:color w:val="333366"/>
              </w:rPr>
            </w:pPr>
            <w:hyperlink r:id="rId491">
              <w:r>
                <w:rPr>
                  <w:rFonts w:ascii="Times New Roman" w:cs="Times New Roman" w:eastAsia="Times New Roman" w:hAnsi="Times New Roman"/>
                  <w:sz w:val="18"/>
                  <w:szCs w:val="18"/>
                  <w:color w:val="333366"/>
                </w:rPr>
                <w:t>Statement on Form N-2 (File No. 333-172550) filed with the U.S. Securities and Exchange Commission on April 29, 2011 and</w:t>
              </w:r>
            </w:hyperlink>
          </w:p>
        </w:tc>
        <w:tc>
          <w:tcPr>
            <w:tcW w:w="40" w:type="dxa"/>
            <w:vAlign w:val="bottom"/>
          </w:tcPr>
          <w:p>
            <w:pPr>
              <w:spacing w:after="0"/>
              <w:rPr>
                <w:sz w:val="13"/>
                <w:szCs w:val="13"/>
                <w:color w:val="auto"/>
              </w:rPr>
            </w:pPr>
          </w:p>
        </w:tc>
      </w:tr>
      <w:tr>
        <w:trPr>
          <w:trHeight w:val="156"/>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40" w:type="dxa"/>
            <w:vAlign w:val="bottom"/>
            <w:tcBorders>
              <w:top w:val="single" w:sz="8" w:color="333366"/>
              <w:bottom w:val="single" w:sz="8" w:color="333366"/>
            </w:tcBorders>
            <w:gridSpan w:val="3"/>
          </w:tcPr>
          <w:p>
            <w:pPr>
              <w:spacing w:after="0" w:line="156" w:lineRule="exact"/>
              <w:rPr>
                <w:rFonts w:ascii="Times New Roman" w:cs="Times New Roman" w:eastAsia="Times New Roman" w:hAnsi="Times New Roman"/>
                <w:sz w:val="18"/>
                <w:szCs w:val="18"/>
                <w:color w:val="333366"/>
                <w:w w:val="98"/>
              </w:rPr>
            </w:pPr>
            <w:hyperlink r:id="rId491">
              <w:r>
                <w:rPr>
                  <w:rFonts w:ascii="Times New Roman" w:cs="Times New Roman" w:eastAsia="Times New Roman" w:hAnsi="Times New Roman"/>
                  <w:sz w:val="18"/>
                  <w:szCs w:val="18"/>
                  <w:color w:val="333366"/>
                  <w:w w:val="98"/>
                </w:rPr>
                <w:t>incorporated herein by reference).</w:t>
              </w:r>
            </w:hyperlink>
          </w:p>
        </w:tc>
        <w:tc>
          <w:tcPr>
            <w:tcW w:w="6780" w:type="dxa"/>
            <w:vAlign w:val="bottom"/>
            <w:tcBorders>
              <w:top w:val="single" w:sz="8" w:color="333366"/>
            </w:tcBorders>
            <w:gridSpan w:val="16"/>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385"/>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80" w:type="dxa"/>
            <w:vAlign w:val="bottom"/>
            <w:gridSpan w:val="25"/>
          </w:tcPr>
          <w:p>
            <w:pPr>
              <w:spacing w:after="0"/>
              <w:rPr>
                <w:rFonts w:ascii="Times New Roman" w:cs="Times New Roman" w:eastAsia="Times New Roman" w:hAnsi="Times New Roman"/>
                <w:sz w:val="18"/>
                <w:szCs w:val="18"/>
                <w:color w:val="0000FF"/>
              </w:rPr>
            </w:pPr>
            <w:hyperlink r:id="rId492">
              <w:r>
                <w:rPr>
                  <w:rFonts w:ascii="Times New Roman" w:cs="Times New Roman" w:eastAsia="Times New Roman" w:hAnsi="Times New Roman"/>
                  <w:sz w:val="18"/>
                  <w:szCs w:val="18"/>
                  <w:color w:val="0000FF"/>
                </w:rPr>
                <w:t>Agreement to Furnish Certain Instruments (Filed as Exhibit (f)(2) to Pre-Effective Amendment No. 3 to the Registrant’s</w:t>
              </w:r>
            </w:hyperlink>
          </w:p>
        </w:tc>
      </w:tr>
      <w:tr>
        <w:trPr>
          <w:trHeight w:val="169"/>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8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492">
              <w:r>
                <w:rPr>
                  <w:rFonts w:ascii="Times New Roman" w:cs="Times New Roman" w:eastAsia="Times New Roman" w:hAnsi="Times New Roman"/>
                  <w:sz w:val="18"/>
                  <w:szCs w:val="18"/>
                  <w:color w:val="0000FF"/>
                  <w:w w:val="99"/>
                </w:rPr>
                <w:t>Registration Statement on Form N-2 (File No. 333-172550) filed with the U.S. Securities and Exchange Commission on</w:t>
              </w:r>
            </w:hyperlink>
          </w:p>
        </w:tc>
        <w:tc>
          <w:tcPr>
            <w:tcW w:w="800" w:type="dxa"/>
            <w:vAlign w:val="bottom"/>
            <w:gridSpan w:val="15"/>
          </w:tcPr>
          <w:p>
            <w:pPr>
              <w:ind w:left="20"/>
              <w:spacing w:after="0" w:line="169" w:lineRule="exact"/>
              <w:rPr>
                <w:rFonts w:ascii="Times New Roman" w:cs="Times New Roman" w:eastAsia="Times New Roman" w:hAnsi="Times New Roman"/>
                <w:sz w:val="18"/>
                <w:szCs w:val="18"/>
                <w:color w:val="0000FF"/>
              </w:rPr>
            </w:pPr>
            <w:hyperlink r:id="rId492">
              <w:r>
                <w:rPr>
                  <w:rFonts w:ascii="Times New Roman" w:cs="Times New Roman" w:eastAsia="Times New Roman" w:hAnsi="Times New Roman"/>
                  <w:sz w:val="18"/>
                  <w:szCs w:val="18"/>
                  <w:color w:val="0000FF"/>
                </w:rPr>
                <w:t>May 26,</w:t>
              </w:r>
            </w:hyperlink>
          </w:p>
        </w:tc>
      </w:tr>
      <w:tr>
        <w:trPr>
          <w:trHeight w:val="169"/>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34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492">
              <w:r>
                <w:rPr>
                  <w:rFonts w:ascii="Times New Roman" w:cs="Times New Roman" w:eastAsia="Times New Roman" w:hAnsi="Times New Roman"/>
                  <w:sz w:val="18"/>
                  <w:szCs w:val="18"/>
                  <w:color w:val="0000FF"/>
                </w:rPr>
                <w:t>2011 and incorporated herein by reference)</w:t>
              </w:r>
              <w:r>
                <w:rPr>
                  <w:rFonts w:ascii="Times New Roman" w:cs="Times New Roman" w:eastAsia="Times New Roman" w:hAnsi="Times New Roman"/>
                  <w:sz w:val="18"/>
                  <w:szCs w:val="18"/>
                  <w:color w:val="000000"/>
                </w:rPr>
                <w:t>.</w:t>
              </w:r>
            </w:hyperlink>
          </w:p>
        </w:tc>
        <w:tc>
          <w:tcPr>
            <w:tcW w:w="2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98"/>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80" w:type="dxa"/>
            <w:vAlign w:val="bottom"/>
            <w:gridSpan w:val="25"/>
          </w:tcPr>
          <w:p>
            <w:pPr>
              <w:spacing w:after="0"/>
              <w:rPr>
                <w:rFonts w:ascii="Times New Roman" w:cs="Times New Roman" w:eastAsia="Times New Roman" w:hAnsi="Times New Roman"/>
                <w:sz w:val="18"/>
                <w:szCs w:val="18"/>
                <w:color w:val="0000FF"/>
              </w:rPr>
            </w:pPr>
            <w:hyperlink r:id="rId493">
              <w:r>
                <w:rPr>
                  <w:rFonts w:ascii="Times New Roman" w:cs="Times New Roman" w:eastAsia="Times New Roman" w:hAnsi="Times New Roman"/>
                  <w:sz w:val="18"/>
                  <w:szCs w:val="18"/>
                  <w:color w:val="0000FF"/>
                </w:rPr>
                <w:t>Form of Indenture (Filed as Exhibit (d)(5) to Post-Effective Amendment No. 2 to the Registrant’s Registration Statement on Form</w:t>
              </w:r>
            </w:hyperlink>
          </w:p>
        </w:tc>
      </w:tr>
      <w:tr>
        <w:trPr>
          <w:trHeight w:val="169"/>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40" w:type="dxa"/>
            <w:vAlign w:val="bottom"/>
            <w:tcBorders>
              <w:top w:val="single" w:sz="8" w:color="0000FF"/>
              <w:bottom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493">
              <w:r>
                <w:rPr>
                  <w:rFonts w:ascii="Times New Roman" w:cs="Times New Roman" w:eastAsia="Times New Roman" w:hAnsi="Times New Roman"/>
                  <w:sz w:val="18"/>
                  <w:szCs w:val="18"/>
                  <w:color w:val="0000FF"/>
                </w:rPr>
                <w:t>N-2 (File No. 333-202531) filed with the U.S. Securities and Exchange Commission on April 29, 2016 and incorporated herein by</w:t>
              </w:r>
            </w:hyperlink>
          </w:p>
        </w:tc>
        <w:tc>
          <w:tcPr>
            <w:tcW w:w="40" w:type="dxa"/>
            <w:vAlign w:val="bottom"/>
          </w:tcPr>
          <w:p>
            <w:pPr>
              <w:spacing w:after="0"/>
              <w:rPr>
                <w:sz w:val="14"/>
                <w:szCs w:val="14"/>
                <w:color w:val="auto"/>
              </w:rPr>
            </w:pPr>
          </w:p>
        </w:tc>
      </w:tr>
      <w:tr>
        <w:trPr>
          <w:trHeight w:val="169"/>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40" w:type="dxa"/>
            <w:vAlign w:val="bottom"/>
            <w:gridSpan w:val="24"/>
          </w:tcPr>
          <w:p>
            <w:pPr>
              <w:spacing w:after="0" w:line="169" w:lineRule="exact"/>
              <w:rPr>
                <w:rFonts w:ascii="Times New Roman" w:cs="Times New Roman" w:eastAsia="Times New Roman" w:hAnsi="Times New Roman"/>
                <w:sz w:val="18"/>
                <w:szCs w:val="18"/>
                <w:color w:val="0000FF"/>
              </w:rPr>
            </w:pPr>
            <w:hyperlink r:id="rId493">
              <w:r>
                <w:rPr>
                  <w:rFonts w:ascii="Times New Roman" w:cs="Times New Roman" w:eastAsia="Times New Roman" w:hAnsi="Times New Roman"/>
                  <w:sz w:val="18"/>
                  <w:szCs w:val="18"/>
                  <w:color w:val="0000FF"/>
                </w:rPr>
                <w:t>reference).</w:t>
              </w:r>
            </w:hyperlink>
          </w:p>
        </w:tc>
        <w:tc>
          <w:tcPr>
            <w:tcW w:w="40" w:type="dxa"/>
            <w:vAlign w:val="bottom"/>
          </w:tcPr>
          <w:p>
            <w:pPr>
              <w:spacing w:after="0"/>
              <w:rPr>
                <w:sz w:val="14"/>
                <w:szCs w:val="14"/>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98"/>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80" w:type="dxa"/>
            <w:vAlign w:val="bottom"/>
            <w:gridSpan w:val="25"/>
          </w:tcPr>
          <w:p>
            <w:pPr>
              <w:spacing w:after="0"/>
              <w:rPr>
                <w:rFonts w:ascii="Times New Roman" w:cs="Times New Roman" w:eastAsia="Times New Roman" w:hAnsi="Times New Roman"/>
                <w:sz w:val="18"/>
                <w:szCs w:val="18"/>
                <w:color w:val="0000FF"/>
              </w:rPr>
            </w:pPr>
            <w:hyperlink r:id="rId494">
              <w:r>
                <w:rPr>
                  <w:rFonts w:ascii="Times New Roman" w:cs="Times New Roman" w:eastAsia="Times New Roman" w:hAnsi="Times New Roman"/>
                  <w:sz w:val="18"/>
                  <w:szCs w:val="18"/>
                  <w:color w:val="0000FF"/>
                </w:rPr>
                <w:t>Fourth Supplemental Indenture dated as of December 23, 2020 between Fidus Investment Corporation and U.S. Bank National</w:t>
              </w:r>
            </w:hyperlink>
          </w:p>
        </w:tc>
      </w:tr>
      <w:tr>
        <w:trPr>
          <w:trHeight w:val="169"/>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18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494">
              <w:r>
                <w:rPr>
                  <w:rFonts w:ascii="Times New Roman" w:cs="Times New Roman" w:eastAsia="Times New Roman" w:hAnsi="Times New Roman"/>
                  <w:sz w:val="18"/>
                  <w:szCs w:val="18"/>
                  <w:color w:val="0000FF"/>
                </w:rPr>
                <w:t>Association, as trustee (Filed as Exhibit 4.1 to the Registrant’s Current report on Form 8-K filed with the U.S. Securities and</w:t>
              </w:r>
            </w:hyperlink>
          </w:p>
        </w:tc>
        <w:tc>
          <w:tcPr>
            <w:tcW w:w="180" w:type="dxa"/>
            <w:vAlign w:val="bottom"/>
            <w:gridSpan w:val="3"/>
          </w:tcPr>
          <w:p>
            <w:pPr>
              <w:spacing w:after="0"/>
              <w:rPr>
                <w:sz w:val="14"/>
                <w:szCs w:val="14"/>
                <w:color w:val="auto"/>
              </w:rPr>
            </w:pPr>
          </w:p>
        </w:tc>
        <w:tc>
          <w:tcPr>
            <w:tcW w:w="120" w:type="dxa"/>
            <w:vAlign w:val="bottom"/>
            <w:gridSpan w:val="4"/>
          </w:tcPr>
          <w:p>
            <w:pPr>
              <w:spacing w:after="0"/>
              <w:rPr>
                <w:sz w:val="14"/>
                <w:szCs w:val="14"/>
                <w:color w:val="auto"/>
              </w:rPr>
            </w:pPr>
          </w:p>
        </w:tc>
      </w:tr>
      <w:tr>
        <w:trPr>
          <w:trHeight w:val="169"/>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14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494">
              <w:r>
                <w:rPr>
                  <w:rFonts w:ascii="Times New Roman" w:cs="Times New Roman" w:eastAsia="Times New Roman" w:hAnsi="Times New Roman"/>
                  <w:sz w:val="18"/>
                  <w:szCs w:val="18"/>
                  <w:color w:val="0000FF"/>
                  <w:w w:val="99"/>
                </w:rPr>
                <w:t>Exchange Commission on December 23, 2020 and incorporated herein by reference).</w:t>
              </w:r>
            </w:hyperlink>
          </w:p>
        </w:tc>
        <w:tc>
          <w:tcPr>
            <w:tcW w:w="2860" w:type="dxa"/>
            <w:vAlign w:val="bottom"/>
            <w:tcBorders>
              <w:top w:val="single" w:sz="8" w:color="0000FF"/>
            </w:tcBorders>
            <w:gridSpan w:val="6"/>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gridSpan w:val="5"/>
          </w:tcPr>
          <w:p>
            <w:pPr>
              <w:spacing w:after="0"/>
              <w:rPr>
                <w:sz w:val="14"/>
                <w:szCs w:val="14"/>
                <w:color w:val="auto"/>
              </w:rPr>
            </w:pPr>
          </w:p>
        </w:tc>
        <w:tc>
          <w:tcPr>
            <w:tcW w:w="120" w:type="dxa"/>
            <w:vAlign w:val="bottom"/>
            <w:gridSpan w:val="4"/>
          </w:tcPr>
          <w:p>
            <w:pPr>
              <w:spacing w:after="0"/>
              <w:rPr>
                <w:sz w:val="14"/>
                <w:szCs w:val="14"/>
                <w:color w:val="auto"/>
              </w:rPr>
            </w:pPr>
          </w:p>
        </w:tc>
      </w:tr>
      <w:tr>
        <w:trPr>
          <w:trHeight w:val="399"/>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80" w:type="dxa"/>
            <w:vAlign w:val="bottom"/>
            <w:gridSpan w:val="25"/>
          </w:tcPr>
          <w:p>
            <w:pPr>
              <w:spacing w:after="0"/>
              <w:rPr>
                <w:rFonts w:ascii="Times New Roman" w:cs="Times New Roman" w:eastAsia="Times New Roman" w:hAnsi="Times New Roman"/>
                <w:sz w:val="18"/>
                <w:szCs w:val="18"/>
                <w:color w:val="0000FF"/>
              </w:rPr>
            </w:pPr>
            <w:hyperlink r:id="rId495">
              <w:r>
                <w:rPr>
                  <w:rFonts w:ascii="Times New Roman" w:cs="Times New Roman" w:eastAsia="Times New Roman" w:hAnsi="Times New Roman"/>
                  <w:sz w:val="18"/>
                  <w:szCs w:val="18"/>
                  <w:color w:val="0000FF"/>
                </w:rPr>
                <w:t>Form of Global Note with respect to the 4.75% Notes due 2026 (Filed as Exhibit 4.1 to the Registrant’s Current report on Form 8-</w:t>
              </w:r>
            </w:hyperlink>
          </w:p>
        </w:tc>
      </w:tr>
      <w:tr>
        <w:trPr>
          <w:trHeight w:val="169"/>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36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495">
              <w:r>
                <w:rPr>
                  <w:rFonts w:ascii="Times New Roman" w:cs="Times New Roman" w:eastAsia="Times New Roman" w:hAnsi="Times New Roman"/>
                  <w:sz w:val="18"/>
                  <w:szCs w:val="18"/>
                  <w:color w:val="0000FF"/>
                </w:rPr>
                <w:t>K filed with the U.S. Securities and Exchange Commission on December 23, 2020 and incorporated herein by reference).</w:t>
              </w:r>
            </w:hyperlink>
          </w:p>
        </w:tc>
        <w:tc>
          <w:tcPr>
            <w:tcW w:w="120" w:type="dxa"/>
            <w:vAlign w:val="bottom"/>
            <w:gridSpan w:val="4"/>
          </w:tcPr>
          <w:p>
            <w:pPr>
              <w:spacing w:after="0"/>
              <w:rPr>
                <w:sz w:val="14"/>
                <w:szCs w:val="14"/>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40" w:type="dxa"/>
            <w:vAlign w:val="bottom"/>
            <w:gridSpan w:val="5"/>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r>
      <w:tr>
        <w:trPr>
          <w:trHeight w:val="399"/>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496">
              <w:r>
                <w:rPr>
                  <w:rFonts w:ascii="Times New Roman" w:cs="Times New Roman" w:eastAsia="Times New Roman" w:hAnsi="Times New Roman"/>
                  <w:sz w:val="18"/>
                  <w:szCs w:val="18"/>
                  <w:color w:val="0000FF"/>
                </w:rPr>
                <w:t>Fifth Supplemental Indenture dated as of October 8, 2021 between Fidus Investment Corporation and U.S. Bank National</w:t>
              </w:r>
            </w:hyperlink>
          </w:p>
        </w:tc>
        <w:tc>
          <w:tcPr>
            <w:tcW w:w="680" w:type="dxa"/>
            <w:vAlign w:val="bottom"/>
            <w:gridSpan w:val="13"/>
          </w:tcPr>
          <w:p>
            <w:pPr>
              <w:spacing w:after="0"/>
              <w:rPr>
                <w:sz w:val="24"/>
                <w:szCs w:val="24"/>
                <w:color w:val="auto"/>
              </w:rPr>
            </w:pPr>
          </w:p>
        </w:tc>
      </w:tr>
      <w:tr>
        <w:trPr>
          <w:trHeight w:val="169"/>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80" w:type="dxa"/>
            <w:vAlign w:val="bottom"/>
            <w:gridSpan w:val="25"/>
          </w:tcPr>
          <w:p>
            <w:pPr>
              <w:spacing w:after="0" w:line="169" w:lineRule="exact"/>
              <w:rPr>
                <w:rFonts w:ascii="Times New Roman" w:cs="Times New Roman" w:eastAsia="Times New Roman" w:hAnsi="Times New Roman"/>
                <w:sz w:val="18"/>
                <w:szCs w:val="18"/>
                <w:color w:val="0000FF"/>
              </w:rPr>
            </w:pPr>
            <w:hyperlink r:id="rId496">
              <w:r>
                <w:rPr>
                  <w:rFonts w:ascii="Times New Roman" w:cs="Times New Roman" w:eastAsia="Times New Roman" w:hAnsi="Times New Roman"/>
                  <w:sz w:val="18"/>
                  <w:szCs w:val="18"/>
                  <w:color w:val="0000FF"/>
                </w:rPr>
                <w:t>Association, as trustee (Filed as Exhibit 4.1 to the Registrant’s Current report on Form 8-K filed with the U.S. Securities and</w:t>
              </w:r>
            </w:hyperlink>
          </w:p>
        </w:tc>
      </w:tr>
      <w:tr>
        <w:trPr>
          <w:trHeight w:val="169"/>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496">
              <w:r>
                <w:rPr>
                  <w:rFonts w:ascii="Times New Roman" w:cs="Times New Roman" w:eastAsia="Times New Roman" w:hAnsi="Times New Roman"/>
                  <w:sz w:val="18"/>
                  <w:szCs w:val="18"/>
                  <w:color w:val="0000FF"/>
                </w:rPr>
                <w:t>Exchange Commission on October 8, 2021 and incorporated herein by reference).</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gridSpan w:val="9"/>
          </w:tcPr>
          <w:p>
            <w:pPr>
              <w:spacing w:after="0"/>
              <w:rPr>
                <w:sz w:val="14"/>
                <w:szCs w:val="14"/>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40" w:type="dxa"/>
            <w:vAlign w:val="bottom"/>
            <w:gridSpan w:val="5"/>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r>
      <w:tr>
        <w:trPr>
          <w:trHeight w:val="399"/>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80" w:type="dxa"/>
            <w:vAlign w:val="bottom"/>
            <w:gridSpan w:val="25"/>
          </w:tcPr>
          <w:p>
            <w:pPr>
              <w:spacing w:after="0"/>
              <w:rPr>
                <w:rFonts w:ascii="Times New Roman" w:cs="Times New Roman" w:eastAsia="Times New Roman" w:hAnsi="Times New Roman"/>
                <w:sz w:val="18"/>
                <w:szCs w:val="18"/>
                <w:color w:val="0000FF"/>
              </w:rPr>
            </w:pPr>
            <w:hyperlink r:id="rId496">
              <w:r>
                <w:rPr>
                  <w:rFonts w:ascii="Times New Roman" w:cs="Times New Roman" w:eastAsia="Times New Roman" w:hAnsi="Times New Roman"/>
                  <w:sz w:val="18"/>
                  <w:szCs w:val="18"/>
                  <w:color w:val="0000FF"/>
                </w:rPr>
                <w:t>Form of Global Note with respect to the 3.50% Notes due 2026 (Filed as Exhibit 4.1 to the Registrant’s Current report on Form 8-</w:t>
              </w:r>
            </w:hyperlink>
          </w:p>
        </w:tc>
      </w:tr>
      <w:tr>
        <w:trPr>
          <w:trHeight w:val="169"/>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50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496">
              <w:r>
                <w:rPr>
                  <w:rFonts w:ascii="Times New Roman" w:cs="Times New Roman" w:eastAsia="Times New Roman" w:hAnsi="Times New Roman"/>
                  <w:sz w:val="18"/>
                  <w:szCs w:val="18"/>
                  <w:color w:val="0000FF"/>
                  <w:w w:val="99"/>
                </w:rPr>
                <w:t>K filed with the U.S. Securities and Exchange Commission on October 8, 2021 and incorporated herein by reference).</w:t>
              </w:r>
            </w:hyperlink>
          </w:p>
        </w:tc>
        <w:tc>
          <w:tcPr>
            <w:tcW w:w="860" w:type="dxa"/>
            <w:vAlign w:val="bottom"/>
            <w:tcBorders>
              <w:top w:val="single" w:sz="8" w:color="0000FF"/>
            </w:tcBorders>
            <w:gridSpan w:val="12"/>
          </w:tcPr>
          <w:p>
            <w:pPr>
              <w:spacing w:after="0"/>
              <w:rPr>
                <w:sz w:val="14"/>
                <w:szCs w:val="14"/>
                <w:color w:val="auto"/>
              </w:rPr>
            </w:pPr>
          </w:p>
        </w:tc>
        <w:tc>
          <w:tcPr>
            <w:tcW w:w="120" w:type="dxa"/>
            <w:vAlign w:val="bottom"/>
            <w:gridSpan w:val="4"/>
          </w:tcPr>
          <w:p>
            <w:pPr>
              <w:spacing w:after="0"/>
              <w:rPr>
                <w:sz w:val="14"/>
                <w:szCs w:val="14"/>
                <w:color w:val="auto"/>
              </w:rPr>
            </w:pPr>
          </w:p>
        </w:tc>
      </w:tr>
      <w:tr>
        <w:trPr>
          <w:trHeight w:val="399"/>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Chief Executive Officer Certification Pursuant to Rule 13a-14 of the Securities Exchange Act of 1934, as adopted pursuant to</w:t>
            </w:r>
          </w:p>
        </w:tc>
      </w:tr>
      <w:tr>
        <w:trPr>
          <w:trHeight w:val="156"/>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4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5540" w:type="dxa"/>
            <w:vAlign w:val="bottom"/>
            <w:tcBorders>
              <w:top w:val="single" w:sz="8" w:color="0000FF"/>
            </w:tcBorders>
            <w:gridSpan w:val="11"/>
          </w:tcPr>
          <w:p>
            <w:pPr>
              <w:spacing w:after="0"/>
              <w:rPr>
                <w:sz w:val="13"/>
                <w:szCs w:val="13"/>
                <w:color w:val="auto"/>
              </w:rPr>
            </w:pPr>
          </w:p>
        </w:tc>
        <w:tc>
          <w:tcPr>
            <w:tcW w:w="400" w:type="dxa"/>
            <w:vAlign w:val="bottom"/>
            <w:gridSpan w:val="9"/>
          </w:tcPr>
          <w:p>
            <w:pPr>
              <w:spacing w:after="0"/>
              <w:rPr>
                <w:sz w:val="13"/>
                <w:szCs w:val="13"/>
                <w:color w:val="auto"/>
              </w:rPr>
            </w:pPr>
          </w:p>
        </w:tc>
      </w:tr>
      <w:tr>
        <w:trPr>
          <w:trHeight w:val="385"/>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Chief Financial Officer Certification Pursuant to Rule 13a-14 of the Securities Exchange Act of 1934, as adopted pursuant to</w:t>
            </w:r>
          </w:p>
        </w:tc>
      </w:tr>
      <w:tr>
        <w:trPr>
          <w:trHeight w:val="155"/>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4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5500" w:type="dxa"/>
            <w:vAlign w:val="bottom"/>
            <w:tcBorders>
              <w:top w:val="single" w:sz="8" w:color="0000FF"/>
            </w:tcBorders>
            <w:gridSpan w:val="10"/>
          </w:tcPr>
          <w:p>
            <w:pPr>
              <w:spacing w:after="0"/>
              <w:rPr>
                <w:sz w:val="13"/>
                <w:szCs w:val="13"/>
                <w:color w:val="auto"/>
              </w:rPr>
            </w:pPr>
          </w:p>
        </w:tc>
        <w:tc>
          <w:tcPr>
            <w:tcW w:w="440" w:type="dxa"/>
            <w:vAlign w:val="bottom"/>
            <w:gridSpan w:val="10"/>
          </w:tcPr>
          <w:p>
            <w:pPr>
              <w:spacing w:after="0"/>
              <w:rPr>
                <w:sz w:val="13"/>
                <w:szCs w:val="13"/>
                <w:color w:val="auto"/>
              </w:rPr>
            </w:pPr>
          </w:p>
        </w:tc>
      </w:tr>
      <w:tr>
        <w:trPr>
          <w:trHeight w:val="387"/>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80" w:type="dxa"/>
            <w:vAlign w:val="bottom"/>
            <w:gridSpan w:val="25"/>
          </w:tcPr>
          <w:p>
            <w:pPr>
              <w:spacing w:after="0"/>
              <w:rPr>
                <w:sz w:val="20"/>
                <w:szCs w:val="20"/>
                <w:color w:val="auto"/>
              </w:rPr>
            </w:pPr>
            <w:r>
              <w:rPr>
                <w:rFonts w:ascii="Times New Roman" w:cs="Times New Roman" w:eastAsia="Times New Roman" w:hAnsi="Times New Roman"/>
                <w:sz w:val="18"/>
                <w:szCs w:val="18"/>
                <w:u w:val="single" w:color="auto"/>
                <w:color w:val="0000FF"/>
              </w:rPr>
              <w:t>Certification pursuant to Section 1350, Chapter 63 of Title 18, United States Code, as adopted pursuant to Section 906 of the</w:t>
            </w:r>
          </w:p>
        </w:tc>
      </w:tr>
    </w:tbl>
    <w:p>
      <w:pPr>
        <w:ind w:left="1760"/>
        <w:spacing w:after="0"/>
        <w:rPr>
          <w:sz w:val="20"/>
          <w:szCs w:val="20"/>
          <w:color w:val="auto"/>
        </w:rPr>
      </w:pPr>
      <w:r>
        <w:rPr>
          <w:rFonts w:ascii="Times New Roman" w:cs="Times New Roman" w:eastAsia="Times New Roman" w:hAnsi="Times New Roman"/>
          <w:sz w:val="18"/>
          <w:szCs w:val="18"/>
          <w:u w:val="single" w:color="auto"/>
          <w:color w:val="0000FF"/>
        </w:rPr>
        <w:t>Sarbanes-Oxley Act of 2002.*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tc>
      </w:tr>
      <w:tr>
        <w:trPr>
          <w:trHeight w:val="365"/>
        </w:trPr>
        <w:tc>
          <w:tcPr>
            <w:tcW w:w="3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May 5, 2022</w:t>
            </w:r>
          </w:p>
        </w:tc>
        <w:tc>
          <w:tcPr>
            <w:tcW w:w="2160" w:type="dxa"/>
            <w:vAlign w:val="bottom"/>
          </w:tcPr>
          <w:p>
            <w:pPr>
              <w:spacing w:after="0"/>
              <w:rPr>
                <w:sz w:val="24"/>
                <w:szCs w:val="24"/>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EDWARD H. ROSS</w:t>
            </w:r>
          </w:p>
        </w:tc>
      </w:tr>
      <w:tr>
        <w:trPr>
          <w:trHeight w:val="205"/>
        </w:trPr>
        <w:tc>
          <w:tcPr>
            <w:tcW w:w="34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7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Edward H. Ross</w:t>
            </w:r>
          </w:p>
        </w:tc>
        <w:tc>
          <w:tcPr>
            <w:tcW w:w="3920" w:type="dxa"/>
            <w:vAlign w:val="bottom"/>
            <w:gridSpan w:val="2"/>
          </w:tcPr>
          <w:p>
            <w:pPr>
              <w:spacing w:after="0"/>
              <w:rPr>
                <w:sz w:val="17"/>
                <w:szCs w:val="17"/>
                <w:color w:val="auto"/>
              </w:rPr>
            </w:pPr>
          </w:p>
        </w:tc>
      </w:tr>
      <w:tr>
        <w:trPr>
          <w:trHeight w:val="203"/>
        </w:trPr>
        <w:tc>
          <w:tcPr>
            <w:tcW w:w="34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562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34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65"/>
        </w:trPr>
        <w:tc>
          <w:tcPr>
            <w:tcW w:w="3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May 5, 2022</w:t>
            </w:r>
          </w:p>
        </w:tc>
        <w:tc>
          <w:tcPr>
            <w:tcW w:w="2160" w:type="dxa"/>
            <w:vAlign w:val="bottom"/>
          </w:tcPr>
          <w:p>
            <w:pPr>
              <w:spacing w:after="0"/>
              <w:rPr>
                <w:sz w:val="24"/>
                <w:szCs w:val="24"/>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SHELBY E. SHERARD</w:t>
            </w:r>
          </w:p>
        </w:tc>
      </w:tr>
      <w:tr>
        <w:trPr>
          <w:trHeight w:val="191"/>
        </w:trPr>
        <w:tc>
          <w:tcPr>
            <w:tcW w:w="34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0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Shelby E. Sherard</w:t>
            </w:r>
          </w:p>
        </w:tc>
        <w:tc>
          <w:tcPr>
            <w:tcW w:w="3620" w:type="dxa"/>
            <w:vAlign w:val="bottom"/>
          </w:tcPr>
          <w:p>
            <w:pPr>
              <w:spacing w:after="0"/>
              <w:rPr>
                <w:sz w:val="16"/>
                <w:szCs w:val="16"/>
                <w:color w:val="auto"/>
              </w:rPr>
            </w:pPr>
          </w:p>
        </w:tc>
      </w:tr>
      <w:tr>
        <w:trPr>
          <w:trHeight w:val="180"/>
        </w:trPr>
        <w:tc>
          <w:tcPr>
            <w:tcW w:w="34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562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4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00"/>
        </w:trPr>
        <w:tc>
          <w:tcPr>
            <w:tcW w:w="3460" w:type="dxa"/>
            <w:vAlign w:val="bottom"/>
          </w:tcPr>
          <w:p>
            <w:pPr>
              <w:spacing w:after="0"/>
              <w:rPr>
                <w:sz w:val="24"/>
                <w:szCs w:val="24"/>
                <w:color w:val="auto"/>
              </w:rPr>
            </w:pPr>
          </w:p>
        </w:tc>
        <w:tc>
          <w:tcPr>
            <w:tcW w:w="3860" w:type="dxa"/>
            <w:vAlign w:val="bottom"/>
            <w:gridSpan w:val="2"/>
          </w:tcPr>
          <w:p>
            <w:pPr>
              <w:jc w:val="right"/>
              <w:ind w:right="1510"/>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 Chief Executive Officer Certification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 of the Securities Exchange Act of 1934,</w:t>
      </w:r>
    </w:p>
    <w:p>
      <w:pPr>
        <w:spacing w:after="0" w:line="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H. Ross, as Chief Executive Officer of Fidus Investment Corporation, certify that:</w:t>
      </w:r>
    </w:p>
    <w:p>
      <w:pPr>
        <w:spacing w:after="0" w:line="212" w:lineRule="exact"/>
        <w:rPr>
          <w:sz w:val="20"/>
          <w:szCs w:val="20"/>
          <w:color w:val="auto"/>
        </w:rPr>
      </w:pPr>
    </w:p>
    <w:p>
      <w:pPr>
        <w:ind w:left="360" w:hanging="352"/>
        <w:spacing w:after="0"/>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Fidus Investment Corporation;</w:t>
      </w:r>
    </w:p>
    <w:p>
      <w:pPr>
        <w:spacing w:after="0" w:line="198" w:lineRule="exact"/>
        <w:rPr>
          <w:rFonts w:ascii="Times New Roman" w:cs="Times New Roman" w:eastAsia="Times New Roman" w:hAnsi="Times New Roman"/>
          <w:sz w:val="18"/>
          <w:szCs w:val="18"/>
          <w:color w:val="auto"/>
        </w:rPr>
      </w:pPr>
    </w:p>
    <w:p>
      <w:pPr>
        <w:ind w:left="300" w:right="400" w:hanging="292"/>
        <w:spacing w:after="0" w:line="258" w:lineRule="auto"/>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300" w:right="360" w:hanging="292"/>
        <w:spacing w:after="0" w:line="266" w:lineRule="auto"/>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300" w:right="40" w:hanging="292"/>
        <w:spacing w:after="0" w:line="250" w:lineRule="auto"/>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600" w:right="360" w:hanging="284"/>
        <w:spacing w:after="0" w:line="258" w:lineRule="auto"/>
        <w:tabs>
          <w:tab w:leader="none" w:pos="66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Times New Roman" w:cs="Times New Roman" w:eastAsia="Times New Roman" w:hAnsi="Times New Roman"/>
          <w:sz w:val="18"/>
          <w:szCs w:val="18"/>
          <w:color w:val="auto"/>
        </w:rPr>
      </w:pPr>
    </w:p>
    <w:p>
      <w:pPr>
        <w:ind w:left="600" w:right="120" w:hanging="284"/>
        <w:spacing w:after="0" w:line="258" w:lineRule="auto"/>
        <w:tabs>
          <w:tab w:leader="none" w:pos="66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Times New Roman" w:cs="Times New Roman" w:eastAsia="Times New Roman" w:hAnsi="Times New Roman"/>
          <w:sz w:val="18"/>
          <w:szCs w:val="18"/>
          <w:color w:val="auto"/>
        </w:rPr>
      </w:pPr>
    </w:p>
    <w:p>
      <w:pPr>
        <w:jc w:val="both"/>
        <w:ind w:left="600" w:right="860" w:hanging="284"/>
        <w:spacing w:after="0" w:line="312" w:lineRule="auto"/>
        <w:tabs>
          <w:tab w:leader="none" w:pos="669"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600" w:right="140" w:hanging="284"/>
        <w:spacing w:after="0" w:line="258" w:lineRule="auto"/>
        <w:tabs>
          <w:tab w:leader="none" w:pos="66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300" w:right="100" w:hanging="292"/>
        <w:spacing w:after="0" w:line="266" w:lineRule="auto"/>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600" w:right="260" w:hanging="284"/>
        <w:spacing w:after="0" w:line="266" w:lineRule="auto"/>
        <w:tabs>
          <w:tab w:leader="none" w:pos="66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600" w:right="220" w:hanging="284"/>
        <w:spacing w:after="0" w:line="282" w:lineRule="auto"/>
        <w:tabs>
          <w:tab w:leader="none" w:pos="66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82816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0">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Edward H. Ross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 Chief Financial Officer Certification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 of the Securities Exchange Act of 1934,</w:t>
      </w:r>
    </w:p>
    <w:p>
      <w:pPr>
        <w:spacing w:after="0" w:line="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Shelby E. Sherard, as Chief Financial Officer of Fidus Investment Corporation, certify that:</w:t>
      </w:r>
    </w:p>
    <w:p>
      <w:pPr>
        <w:spacing w:after="0" w:line="212" w:lineRule="exact"/>
        <w:rPr>
          <w:sz w:val="20"/>
          <w:szCs w:val="20"/>
          <w:color w:val="auto"/>
        </w:rPr>
      </w:pPr>
    </w:p>
    <w:p>
      <w:pPr>
        <w:ind w:left="360" w:hanging="352"/>
        <w:spacing w:after="0"/>
        <w:tabs>
          <w:tab w:leader="none" w:pos="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Fidus Investment Corporation;</w:t>
      </w:r>
    </w:p>
    <w:p>
      <w:pPr>
        <w:spacing w:after="0" w:line="198" w:lineRule="exact"/>
        <w:rPr>
          <w:rFonts w:ascii="Times New Roman" w:cs="Times New Roman" w:eastAsia="Times New Roman" w:hAnsi="Times New Roman"/>
          <w:sz w:val="18"/>
          <w:szCs w:val="18"/>
          <w:color w:val="auto"/>
        </w:rPr>
      </w:pPr>
    </w:p>
    <w:p>
      <w:pPr>
        <w:ind w:left="300" w:right="400" w:hanging="292"/>
        <w:spacing w:after="0" w:line="258" w:lineRule="auto"/>
        <w:tabs>
          <w:tab w:leader="none" w:pos="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300" w:right="360" w:hanging="292"/>
        <w:spacing w:after="0" w:line="266" w:lineRule="auto"/>
        <w:tabs>
          <w:tab w:leader="none" w:pos="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300" w:right="40" w:hanging="292"/>
        <w:spacing w:after="0" w:line="250" w:lineRule="auto"/>
        <w:tabs>
          <w:tab w:leader="none" w:pos="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600" w:right="360" w:hanging="284"/>
        <w:spacing w:after="0" w:line="258" w:lineRule="auto"/>
        <w:tabs>
          <w:tab w:leader="none" w:pos="66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Times New Roman" w:cs="Times New Roman" w:eastAsia="Times New Roman" w:hAnsi="Times New Roman"/>
          <w:sz w:val="18"/>
          <w:szCs w:val="18"/>
          <w:color w:val="auto"/>
        </w:rPr>
      </w:pPr>
    </w:p>
    <w:p>
      <w:pPr>
        <w:ind w:left="600" w:right="120" w:hanging="284"/>
        <w:spacing w:after="0" w:line="258" w:lineRule="auto"/>
        <w:tabs>
          <w:tab w:leader="none" w:pos="66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Times New Roman" w:cs="Times New Roman" w:eastAsia="Times New Roman" w:hAnsi="Times New Roman"/>
          <w:sz w:val="18"/>
          <w:szCs w:val="18"/>
          <w:color w:val="auto"/>
        </w:rPr>
      </w:pPr>
    </w:p>
    <w:p>
      <w:pPr>
        <w:jc w:val="both"/>
        <w:ind w:left="600" w:right="860" w:hanging="284"/>
        <w:spacing w:after="0" w:line="312" w:lineRule="auto"/>
        <w:tabs>
          <w:tab w:leader="none" w:pos="669"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600" w:right="140" w:hanging="284"/>
        <w:spacing w:after="0" w:line="258" w:lineRule="auto"/>
        <w:tabs>
          <w:tab w:leader="none" w:pos="66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300" w:right="100" w:hanging="292"/>
        <w:spacing w:after="0" w:line="266" w:lineRule="auto"/>
        <w:tabs>
          <w:tab w:leader="none" w:pos="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600" w:right="260" w:hanging="284"/>
        <w:spacing w:after="0" w:line="266" w:lineRule="auto"/>
        <w:tabs>
          <w:tab w:leader="none" w:pos="66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600" w:right="220" w:hanging="284"/>
        <w:spacing w:after="0" w:line="282" w:lineRule="auto"/>
        <w:tabs>
          <w:tab w:leader="none" w:pos="66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05676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2">
                      <a:extLst>
                        <a:ext uri="{28A0092B-C50C-407E-A947-70E740481C1C}"/>
                      </a:extLst>
                    </a:blip>
                    <a:srcRect/>
                    <a:stretch>
                      <a:fillRect/>
                    </a:stretch>
                  </pic:blipFill>
                  <pic:spPr bwMode="auto">
                    <a:xfrm>
                      <a:off x="0" y="0"/>
                      <a:ext cx="20567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Shelby E. Sherard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92"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on Form 10-Q of Fidus Investment Corporation (the “Company”) for the quarterly period ended March 31, 2022, as filed with the Securities and Exchange Commission on the date hereof (the “Report”), I, Edward H. Ross, Chief Executive Officer of the Company, and I, Shelby E. Sherard, Chief Financial Officer of the Company, each certify, pursuant to 18 U.S.C. Section 1350, as adopted pursuant to Section 906 of the Sarbanes-Oxley Act of 2002, that to my knowledge:</w:t>
      </w:r>
    </w:p>
    <w:p>
      <w:pPr>
        <w:spacing w:after="0" w:line="164" w:lineRule="exact"/>
        <w:rPr>
          <w:sz w:val="20"/>
          <w:szCs w:val="20"/>
          <w:color w:val="auto"/>
        </w:rPr>
      </w:pPr>
    </w:p>
    <w:p>
      <w:pPr>
        <w:ind w:left="680" w:hanging="364"/>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680" w:hanging="364"/>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ind w:left="60"/>
        <w:spacing w:after="0"/>
        <w:tabs>
          <w:tab w:leader="none" w:pos="5380" w:val="left"/>
        </w:tabs>
        <w:rPr>
          <w:sz w:val="20"/>
          <w:szCs w:val="20"/>
          <w:color w:val="auto"/>
        </w:rPr>
      </w:pPr>
      <w:r>
        <w:rPr>
          <w:rFonts w:ascii="Times New Roman" w:cs="Times New Roman" w:eastAsia="Times New Roman" w:hAnsi="Times New Roman"/>
          <w:sz w:val="18"/>
          <w:szCs w:val="18"/>
          <w:color w:val="auto"/>
        </w:rPr>
        <w:t>Date: May 5, 2022</w:t>
      </w:r>
      <w:r>
        <w:rPr>
          <w:sz w:val="20"/>
          <w:szCs w:val="20"/>
          <w:color w:val="auto"/>
        </w:rPr>
        <w:tab/>
      </w:r>
      <w:r>
        <w:rPr>
          <w:rFonts w:ascii="Times New Roman" w:cs="Times New Roman" w:eastAsia="Times New Roman" w:hAnsi="Times New Roman"/>
          <w:sz w:val="17"/>
          <w:szCs w:val="17"/>
          <w:u w:val="single" w:color="auto"/>
          <w:color w:val="auto"/>
        </w:rPr>
        <w:t>/s/ EDWARD H. ROSS</w:t>
      </w:r>
    </w:p>
    <w:p>
      <w:pPr>
        <w:spacing w:after="0" w:line="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Edward H. Ross</w:t>
      </w:r>
    </w:p>
    <w:p>
      <w:pPr>
        <w:ind w:left="5400"/>
        <w:spacing w:after="0" w:line="234" w:lineRule="auto"/>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7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u w:val="single" w:color="auto"/>
          <w:color w:val="auto"/>
        </w:rPr>
        <w:t>/s/ SHELBY E. SHERARD</w:t>
      </w:r>
    </w:p>
    <w:p>
      <w:pPr>
        <w:spacing w:after="0" w:line="1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Shelby E. Sherard</w:t>
      </w:r>
    </w:p>
    <w:p>
      <w:pPr>
        <w:ind w:left="5400"/>
        <w:spacing w:after="0" w:line="234" w:lineRule="auto"/>
        <w:rPr>
          <w:sz w:val="20"/>
          <w:szCs w:val="20"/>
          <w:color w:val="auto"/>
        </w:rPr>
      </w:pPr>
      <w:r>
        <w:rPr>
          <w:rFonts w:ascii="Times New Roman" w:cs="Times New Roman" w:eastAsia="Times New Roman" w:hAnsi="Times New Roman"/>
          <w:sz w:val="18"/>
          <w:szCs w:val="18"/>
          <w:color w:val="auto"/>
        </w:rPr>
        <w:t>Chief Financial Officer</w:t>
      </w:r>
    </w:p>
    <w:p>
      <w:pPr>
        <w:spacing w:after="0" w:line="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1200785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3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lowerLetter"/>
      <w:start w:val="1"/>
    </w:lvl>
  </w:abstractNum>
  <w:abstractNum w:abstractNumId="1">
    <w:nsid w:val="75A2A8D4"/>
    <w:multiLevelType w:val="hybridMultilevel"/>
    <w:lvl w:ilvl="0">
      <w:lvlJc w:val="left"/>
      <w:lvlText w:val="(%1)"/>
      <w:numFmt w:val="lowerLetter"/>
      <w:start w:val="27"/>
    </w:lvl>
  </w:abstractNum>
  <w:abstractNum w:abstractNumId="2">
    <w:nsid w:val="8EDBDAB"/>
    <w:multiLevelType w:val="hybridMultilevel"/>
    <w:lvl w:ilvl="0">
      <w:lvlJc w:val="left"/>
      <w:lvlText w:val="(%1)"/>
      <w:numFmt w:val="lowerLetter"/>
      <w:start w:val="1"/>
    </w:lvl>
  </w:abstractNum>
  <w:abstractNum w:abstractNumId="3">
    <w:nsid w:val="79838CB2"/>
    <w:multiLevelType w:val="hybridMultilevel"/>
    <w:lvl w:ilvl="0">
      <w:lvlJc w:val="left"/>
      <w:lvlText w:val="(%1)"/>
      <w:numFmt w:val="lowerLetter"/>
      <w:start w:val="27"/>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decimal"/>
      <w:start w:val="1"/>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1)"/>
      <w:numFmt w:val="decimal"/>
      <w:start w:val="1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1)"/>
      <w:numFmt w:val="decimal"/>
      <w:start w:val="1"/>
    </w:lvl>
  </w:abstractNum>
  <w:abstractNum w:abstractNumId="38">
    <w:nsid w:val="6A2342EC"/>
    <w:multiLevelType w:val="hybridMultilevel"/>
    <w:lvl w:ilvl="0">
      <w:lvlJc w:val="left"/>
      <w:lvlText w:val="(%1)"/>
      <w:numFmt w:val="decimal"/>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97" Type="http://schemas.openxmlformats.org/officeDocument/2006/relationships/image" Target="media/image482.png"/><Relationship Id="rId498" Type="http://schemas.openxmlformats.org/officeDocument/2006/relationships/image" Target="media/image483.png"/><Relationship Id="rId499" Type="http://schemas.openxmlformats.org/officeDocument/2006/relationships/image" Target="media/image484.png"/><Relationship Id="rId500" Type="http://schemas.openxmlformats.org/officeDocument/2006/relationships/image" Target="media/image485.png"/><Relationship Id="rId501" Type="http://schemas.openxmlformats.org/officeDocument/2006/relationships/image" Target="media/image486.png"/><Relationship Id="rId502" Type="http://schemas.openxmlformats.org/officeDocument/2006/relationships/image" Target="media/image487.png"/><Relationship Id="rId503" Type="http://schemas.openxmlformats.org/officeDocument/2006/relationships/image" Target="media/image488.png"/><Relationship Id="rId504" Type="http://schemas.openxmlformats.org/officeDocument/2006/relationships/image" Target="media/image489.png"/><Relationship Id="rId489" Type="http://schemas.openxmlformats.org/officeDocument/2006/relationships/hyperlink" Target="https://www.sec.gov/Archives/edgar/data/1513363/000095012311041885/w81466a2exv99wxayx1y.htm" TargetMode="External"/><Relationship Id="rId490" Type="http://schemas.openxmlformats.org/officeDocument/2006/relationships/hyperlink" Target="https://www.sec.gov/Archives/edgar/data/1513363/000095012311041885/w81466a2exv99wxbyx1y.htm" TargetMode="External"/><Relationship Id="rId491" Type="http://schemas.openxmlformats.org/officeDocument/2006/relationships/hyperlink" Target="https://www.sec.gov/Archives/edgar/data/1513363/000095012311041885/w81466a2exv99wxdy.htm" TargetMode="External"/><Relationship Id="rId492" Type="http://schemas.openxmlformats.org/officeDocument/2006/relationships/hyperlink" Target="https://www.sec.gov/Archives/edgar/data/1513363/000095012311054001/w81466a3exv99wxfyx2y.htm" TargetMode="External"/><Relationship Id="rId493" Type="http://schemas.openxmlformats.org/officeDocument/2006/relationships/hyperlink" Target="https://www.sec.gov/Archives/edgar/data/0001513363/000119312516569246/d141023dpos8c.htm" TargetMode="External"/><Relationship Id="rId494" Type="http://schemas.openxmlformats.org/officeDocument/2006/relationships/hyperlink" Target="https://www.sec.gov/Archives/edgar/data/1513363/000119312516569246/d141023dex99d5.htm" TargetMode="External"/><Relationship Id="rId495" Type="http://schemas.openxmlformats.org/officeDocument/2006/relationships/hyperlink" Target="https://www.sec.gov/Archives/edgar/data/1513363/000119312520325989/d97521dex41.htm" TargetMode="External"/><Relationship Id="rId496" Type="http://schemas.openxmlformats.org/officeDocument/2006/relationships/hyperlink" Target="https://www.sec.gov/Archives/edgar/data/0001513363/000119312521295460/d193806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2022-05-06T12:21:18Z</dcterms:created>
  <dcterms:modified xsi:type="dcterms:W3CDTF">2022-05-06T12:21:18Z</dcterms:modified>
</cp:coreProperties>
</file>