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 PURSUANT TO</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SECTION 13 OR 15(D) OF THE</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61"/>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814-00861</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27-5017321</w:t>
            </w:r>
          </w:p>
        </w:tc>
      </w:tr>
      <w:tr>
        <w:trPr>
          <w:trHeight w:val="148"/>
        </w:trPr>
        <w:tc>
          <w:tcPr>
            <w:tcW w:w="4040" w:type="dxa"/>
            <w:vAlign w:val="bottom"/>
          </w:tcPr>
          <w:p>
            <w:pPr>
              <w:jc w:val="center"/>
              <w:ind w:right="226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340" w:type="dxa"/>
            <w:vAlign w:val="bottom"/>
            <w:gridSpan w:val="2"/>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w w:val="99"/>
              </w:rPr>
              <w:t>1603 Orrington Avenue, Suite 1005, Evanston, Illinois</w:t>
            </w: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60201</w:t>
            </w:r>
          </w:p>
        </w:tc>
      </w:tr>
      <w:tr>
        <w:trPr>
          <w:trHeight w:val="190"/>
        </w:trPr>
        <w:tc>
          <w:tcPr>
            <w:tcW w:w="404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847-859-3940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FDUS</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148"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tab/>
        <w:t>Entry into a Material Definitive Agreement</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connection with the issuance and sale of the 6.625% Senior Unsecured Notes due June 1, 2029 (the “2029 Notes” and the issuance and sale of the 2029 Notes, the “Offering”) of Fidus Investment Corporation (the “Company”), the Company entered into a Registration Rights Agreement, dated as of May 29, 2026 (the “Registration Rights Agreement”), with the institutional purchasers in the Offering (the “Purchasers”). Pursuant to the Registration Rights Agreement, the Company is obligated to file with the Securities and Exchange Commission a registration statement with respect to an offer to exchange the 2029 Notes for a new issue of debt securities registered under the Securities Act of 1933, as amended (the “Securities Act”), with terms substantially identical to those of the 2029 Notes (except for provisions relating to transfer restrictions and payment of additional interest) and to use its commercially reasonable efforts to consummate such exchange offer on the earliest practicable date after the registration statement has been declared effective but in no event later than 365 days after the initial issuance of the 2029 Notes. If the Company fails to satisfy its registration obligations under the Registration Rights Agreement, the Company will be required to pay additional interest to the holder of the 2029 Notes.</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description above is only a summary of the material provisions of the Registration Rights Agreement and is qualified in its entirety by reference to the Registration Rights Agreement, which is filed as Exhibit 4.1 hereto and incorporated by reference herein.</w:t>
      </w:r>
    </w:p>
    <w:p>
      <w:pPr>
        <w:spacing w:after="0" w:line="306" w:lineRule="exact"/>
        <w:rPr>
          <w:sz w:val="20"/>
          <w:szCs w:val="20"/>
          <w:color w:val="auto"/>
        </w:rPr>
      </w:pPr>
    </w:p>
    <w:p>
      <w:pPr>
        <w:ind w:right="11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2.03 Creation of a Direct Financial Obligation or an Obligation under an Off-Balance Sheet Arrangement of a Registrant </w:t>
      </w:r>
      <w:r>
        <w:rPr>
          <w:rFonts w:ascii="Times New Roman" w:cs="Times New Roman" w:eastAsia="Times New Roman" w:hAnsi="Times New Roman"/>
          <w:sz w:val="18"/>
          <w:szCs w:val="18"/>
          <w:color w:val="auto"/>
        </w:rPr>
        <w:t>The information contained in Items 1.01 and 8.01 of this Current Report on Form 8-K is incorporated by reference in this Item 2.03.</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Purchase Agreement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29, 2026, the Company entered into a Note Purchase Agreement (the “Note Purchase Agreement”) with the Purchasers, which Note Purchase Agreement relates to the Company’s sale of $120.0 million in aggregate principal amount of the 2029 Notes to the Purchasers in a private placement in reliance on Section 4(a)(2) of the Securities Act. The Company is relying upon this exemption from registration based in part on representations made by the Purchasers. The Note Purchase Agreement also includes customary representations, warranties and covenants by the Company. The 2029 Notes have not been registered under the Securities Act and may not be offered or sold in the United States absent registration or an applicable exemption from registration.</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2029 Notes will mature on June 1, 2029 and may be redeemed in whole or in part at the Company’s option at any time prior to March 1, 2029 at par plus a “make-whole” premium, and thereafter at par. The 2029 Notes bear interest at a rate of 6.625% per year payable semi-annually on June 1 and December 1 of each year, commencing on December 1, 2026. The 2029 Notes are the Company’s direct unsecured obligations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other outstanding and future unsecured, unsubordinated indebtedness; senior to any of the Company’s future indebtedness that expressly provides it is subordinated to the 2029 Notes; effectively subordinated to all of the Company’s existing and future secured indebtedness (including indebtedness that is initially unsecured in respect of which the Company has granted or subsequently grants security), to the extent of the value of the assets securing such indebtedness; and structurally subordinated to all existing and future indebtedness and other obligations of any of the Company’s subsidiaries.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closing of the private placement occurred on May 29, 2026. The net proceeds from the sale of the 2029 Notes were approximately $117.6 million, based on an offering price of 99.45% per Note, after deducting the placement agent fee of $1.5 million and estimated offering expenses of approximately $0.3 million, each payable by the Company. The Company intends to use the net proceeds from the Offering together with cash to fully redeem the Company’s outstanding 3.50% Notes due 2026 (CUSIP No. 316500 AC1) (the “2026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2026 Notes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29, 2026, the Company caused notices to be issued to the holders of the 2026 Notes regarding the Company’s exercise of its option to redeem, in full, $125.0 million in aggregate principal amount of the issued and outstanding 2026 Notes, pursuant to Section 1104 of the Base Indenture and Section 1.01(h) of the Fifth Supplemental Indenture, dated as of October 8, 2021, by and between the Company and U.S. Bank Trust Company, National Association (as successor in interest to U.S. Bank National Association), as trustee. The Company will redeem $125.0 million in aggregate principal amount of the issued and outstanding 2026 Notes on June 29, 2026 (the “Redemption Date”). The redemption price for the 2026 Notes equals 100% of the $125.0 million aggregate principal amount of the 2026 Notes being redeemed on the Redemption Date, plus (i) accrued and unpaid interest to, but excluding, the Redemption Date and (ii) a “make-whole” premium. A copy of the notice of redemption of the 2026 Notes is filed as Exhibit 99.1 hereto and incorporated by reference herein.</w:t>
      </w:r>
    </w:p>
    <w:p>
      <w:pPr>
        <w:sectPr>
          <w:pgSz w:w="11900" w:h="16838" w:orient="portrait"/>
          <w:cols w:equalWidth="0" w:num="1">
            <w:col w:w="11020"/>
          </w:cols>
          <w:pgMar w:left="440" w:top="293"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2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720" w:type="dxa"/>
            <w:vAlign w:val="bottom"/>
            <w:tcBorders>
              <w:top w:val="single" w:sz="8" w:color="auto"/>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as of May 29, 2026 by and among Fidus Investment Corporation and the institutional purchasers</w:t>
            </w:r>
          </w:p>
        </w:tc>
        <w:tc>
          <w:tcPr>
            <w:tcW w:w="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party thereto.</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Notice of Redemption of 3.50% Notes due 2026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Date: May 29, 2026</w:t>
      </w:r>
      <w:r>
        <w:rPr>
          <w:sz w:val="20"/>
          <w:szCs w:val="20"/>
          <w:color w:val="auto"/>
        </w:rPr>
        <w:tab/>
      </w:r>
      <w:r>
        <w:rPr>
          <w:rFonts w:ascii="Times New Roman" w:cs="Times New Roman" w:eastAsia="Times New Roman" w:hAnsi="Times New Roman"/>
          <w:sz w:val="17"/>
          <w:szCs w:val="17"/>
          <w:b w:val="1"/>
          <w:bCs w:val="1"/>
          <w:color w:val="auto"/>
        </w:rPr>
        <w:t>Fidus Investment Corporation</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 /s/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Shelby E. Sherard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the several purchasers listed in Schedule I to the Purchase Agreement</w:t>
      </w:r>
    </w:p>
    <w:p>
      <w:pPr>
        <w:spacing w:after="0" w:line="24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May 29, 2026</w:t>
      </w:r>
    </w:p>
    <w:p>
      <w:pPr>
        <w:sectPr>
          <w:pgSz w:w="11900" w:h="16838" w:orient="portrait"/>
          <w:cols w:equalWidth="0" w:num="1">
            <w:col w:w="10020"/>
          </w:cols>
          <w:pgMar w:left="1440" w:top="117" w:right="4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May 29, 2026, by and among Fidus Investment Corporation, a Maryland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purchasers (collectively,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listed in Schedule I to the Purchase Agreement in connection with the sale by the Company of $120,000,000 aggregate principal amount of the Company’s 6.625% Senior Unsecured Notes due 2029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This Agreement is made pursuant to the Note Purchase Agreement, dated as of May 29, 2026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by and among the Company and the Purchasers for the benefit of the Purchasers. In order to induce the Purchasers to purchase the Notes, the Company has agreed to provide the registration rights set forth in this Agreement. The execution and delivery of this Agreement is a condition to the obligations of the Purchasers as set forth in Section 4.7 of the Purchase Agreement. The parties hereby agree as follows: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in this Agreement, the following capitalized terms shall have the following meanings: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color w:val="auto"/>
        </w:rPr>
        <w:t>: As defined in Section 5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color w:val="auto"/>
        </w:rPr>
        <w:t>: As defined in the last paragraph of Section 6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Any day other than a Saturday, Sunday or U.S. federal holiday or a day on which banking institutions or trust companies located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 are authorized or obligated to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Consummate</w:t>
      </w:r>
      <w:r>
        <w:rPr>
          <w:rFonts w:ascii="Times New Roman" w:cs="Times New Roman" w:eastAsia="Times New Roman" w:hAnsi="Times New Roman"/>
          <w:sz w:val="18"/>
          <w:szCs w:val="18"/>
          <w:color w:val="auto"/>
        </w:rPr>
        <w:t>: An Exchange Offer shall be deemed “Consummated” for purposes of this Agreement upon the occurrence of (a) the filing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 of the Exchange Offer Registration Statement relating to the Exchange Notes to be issued in the Exchange Offer and its being declared effective under the Securities Act, (b) the maintenance of the continuous effectiveness of such Registration Statement, and the keeping of the Exchange Offer open, for a period not less than the minimum period required pursuant to Section 3(b) hereof, and (c) the delivery by the Company to the Holders of Exchange Notes in the same aggregate principal amount as the aggregate principal amount of Notes that were tendered by the Holders thereof pursuant to the Exchange Offer.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color w:val="auto"/>
        </w:rPr>
        <w:t>: As defined in Section 8(a)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The Securities Exchange Act of 1934, as amended, and the rules and regulations promulgated thereunder.</w:t>
      </w:r>
    </w:p>
    <w:p>
      <w:pPr>
        <w:sectPr>
          <w:pgSz w:w="11900" w:h="16838" w:orient="portrait"/>
          <w:cols w:equalWidth="0" w:num="1">
            <w:col w:w="10960"/>
          </w:cols>
          <w:pgMar w:left="440" w:top="266" w:right="499" w:bottom="1440" w:gutter="0" w:footer="0" w:header="0"/>
        </w:sectPr>
      </w:pPr>
    </w:p>
    <w:bookmarkStart w:id="6" w:name="page7"/>
    <w:bookmarkEnd w:id="6"/>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Notes</w:t>
      </w:r>
      <w:r>
        <w:rPr>
          <w:rFonts w:ascii="Times New Roman" w:cs="Times New Roman" w:eastAsia="Times New Roman" w:hAnsi="Times New Roman"/>
          <w:sz w:val="18"/>
          <w:szCs w:val="18"/>
          <w:color w:val="auto"/>
        </w:rPr>
        <w:t>: The 6.625% Senior Unsecured Notes due 2029 of the same series represented by the global note issued pursuant to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as the Notes, to be issued to Holders in exchange for Registrable Notes pursuant to this Agreement.</w:t>
      </w:r>
    </w:p>
    <w:p>
      <w:pPr>
        <w:spacing w:after="0" w:line="15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Exchange Offer</w:t>
      </w:r>
      <w:r>
        <w:rPr>
          <w:rFonts w:ascii="Times New Roman" w:cs="Times New Roman" w:eastAsia="Times New Roman" w:hAnsi="Times New Roman"/>
          <w:sz w:val="18"/>
          <w:szCs w:val="18"/>
          <w:color w:val="auto"/>
        </w:rPr>
        <w:t>: The registration by the Company under the Securities Act of the Exchange Notes pursuant to a Registration Statement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which the Company offers the Holders of all outstanding Registrable Notes the opportunity to exchange all such outstanding Registrable Notes held by such Holders for Exchange Notes in an aggregate principal amount equal to the aggregate principal amount of the Registrable Notes tendered in such exchange offer by such 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Exchange Offer Registration Statement</w:t>
      </w:r>
      <w:r>
        <w:rPr>
          <w:rFonts w:ascii="Times New Roman" w:cs="Times New Roman" w:eastAsia="Times New Roman" w:hAnsi="Times New Roman"/>
          <w:sz w:val="18"/>
          <w:szCs w:val="18"/>
          <w:color w:val="auto"/>
        </w:rPr>
        <w:t>: The Registration Statement relating to the Exchange Offer, including the related Prospectus.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Financial Industry Regulatory Authority,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As defined in Section 2(b)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color w:val="auto"/>
        </w:rPr>
        <w:t>: As defined in Section 8(a)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Initial Placement</w:t>
      </w:r>
      <w:r>
        <w:rPr>
          <w:rFonts w:ascii="Times New Roman" w:cs="Times New Roman" w:eastAsia="Times New Roman" w:hAnsi="Times New Roman"/>
          <w:sz w:val="18"/>
          <w:szCs w:val="18"/>
          <w:color w:val="auto"/>
        </w:rPr>
        <w:t>: The issuance and sale by the Company of the Notes to the Purchasers pursuant to the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Investment Company Act: </w:t>
      </w:r>
      <w:r>
        <w:rPr>
          <w:rFonts w:ascii="Times New Roman" w:cs="Times New Roman" w:eastAsia="Times New Roman" w:hAnsi="Times New Roman"/>
          <w:sz w:val="18"/>
          <w:szCs w:val="18"/>
          <w:color w:val="auto"/>
        </w:rPr>
        <w:t>As defined in Section 8(c)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29,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Payment Date</w:t>
      </w:r>
      <w:r>
        <w:rPr>
          <w:rFonts w:ascii="Times New Roman" w:cs="Times New Roman" w:eastAsia="Times New Roman" w:hAnsi="Times New Roman"/>
          <w:sz w:val="18"/>
          <w:szCs w:val="18"/>
          <w:color w:val="auto"/>
        </w:rPr>
        <w:t>: As defined in the global note representing the Notes.</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Any individual, corporation, limited liability company, partnership, joint venture, association, joint stock company, trust, unincorporated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government or any agency or political subdivision thereof or any other entity.</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prospectus included in a Registration Statement, as amended or supplemented by any prospectus supplement and by all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thereto, including post-effective amendments, and all material incorporated by reference into such prospectus.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Registrable Notes</w:t>
      </w:r>
      <w:r>
        <w:rPr>
          <w:rFonts w:ascii="Times New Roman" w:cs="Times New Roman" w:eastAsia="Times New Roman" w:hAnsi="Times New Roman"/>
          <w:sz w:val="18"/>
          <w:szCs w:val="18"/>
          <w:color w:val="auto"/>
        </w:rPr>
        <w:t>: Each Note, until the earliest to occur of (a) the date on which such Note is exchanged in the Exchange Offer for an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 (c) the date on which such Note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does not bear a restricted CUSIP number and is sold pursuant to Rule 144 under the Securities Act under circumstances in which any legend borne by such Note relating to restrictions on transferability thereof, under the Securities Act or otherwise, is removed by the Company and (d) the date on which such Note ceases to be outstanding.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color w:val="auto"/>
        </w:rPr>
        <w:t>: As defined in Section 5 hereof.</w:t>
      </w:r>
    </w:p>
    <w:p>
      <w:pPr>
        <w:spacing w:after="0" w:line="225" w:lineRule="exact"/>
        <w:rPr>
          <w:sz w:val="20"/>
          <w:szCs w:val="20"/>
          <w:color w:val="auto"/>
        </w:rPr>
      </w:pPr>
    </w:p>
    <w:p>
      <w:pPr>
        <w:ind w:right="4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Any registration statement of the Company relating to (a) an offering of Exchange Notes pursuant to an Exchange Offer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(b) the registration for resale of Registrable Notes pursuant to the Shelf Registration Statement, in each case, including the Prospectus included therein, all amendments and supplements thereto (including post-effective amendments) and all exhibits and material incorporated by reference therein.</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Filing Deadline</w:t>
      </w:r>
      <w:r>
        <w:rPr>
          <w:rFonts w:ascii="Times New Roman" w:cs="Times New Roman" w:eastAsia="Times New Roman" w:hAnsi="Times New Roman"/>
          <w:sz w:val="18"/>
          <w:szCs w:val="18"/>
          <w:color w:val="auto"/>
        </w:rPr>
        <w:t>: 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r>
        <w:rPr>
          <w:rFonts w:ascii="Times New Roman" w:cs="Times New Roman" w:eastAsia="Times New Roman" w:hAnsi="Times New Roman"/>
          <w:sz w:val="18"/>
          <w:szCs w:val="18"/>
          <w:color w:val="auto"/>
        </w:rPr>
        <w:t>: 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As defined in the final paragraph of Section 6(c) hereof.</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Underwritten Registration or Underwritten Offering</w:t>
      </w:r>
      <w:r>
        <w:rPr>
          <w:rFonts w:ascii="Times New Roman" w:cs="Times New Roman" w:eastAsia="Times New Roman" w:hAnsi="Times New Roman"/>
          <w:sz w:val="18"/>
          <w:szCs w:val="18"/>
          <w:color w:val="auto"/>
        </w:rPr>
        <w:t>: A registration in which securities of the Company are sold to one or more underwriters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reoffering to the public.</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Notes Subject to this Agreement.</w:t>
      </w:r>
    </w:p>
    <w:p>
      <w:pPr>
        <w:spacing w:after="0" w:line="117" w:lineRule="exact"/>
        <w:rPr>
          <w:sz w:val="20"/>
          <w:szCs w:val="20"/>
          <w:color w:val="auto"/>
        </w:rPr>
      </w:pPr>
    </w:p>
    <w:p>
      <w:pPr>
        <w:ind w:left="680" w:hanging="244"/>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Registrable Notes. </w:t>
      </w:r>
      <w:r>
        <w:rPr>
          <w:rFonts w:ascii="Times New Roman" w:cs="Times New Roman" w:eastAsia="Times New Roman" w:hAnsi="Times New Roman"/>
          <w:sz w:val="18"/>
          <w:szCs w:val="18"/>
          <w:color w:val="auto"/>
        </w:rPr>
        <w:t>The securities entitled to the benefits of this Agreement are the Registrable Notes.</w:t>
      </w:r>
    </w:p>
    <w:p>
      <w:pPr>
        <w:spacing w:after="0" w:line="115" w:lineRule="exact"/>
        <w:rPr>
          <w:rFonts w:ascii="Times New Roman" w:cs="Times New Roman" w:eastAsia="Times New Roman" w:hAnsi="Times New Roman"/>
          <w:sz w:val="18"/>
          <w:szCs w:val="18"/>
          <w:color w:val="auto"/>
        </w:rPr>
      </w:pPr>
    </w:p>
    <w:p>
      <w:pPr>
        <w:ind w:right="620" w:firstLine="436"/>
        <w:spacing w:after="0" w:line="286"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Holders of Registrable Notes. </w:t>
      </w:r>
      <w:r>
        <w:rPr>
          <w:rFonts w:ascii="Times New Roman" w:cs="Times New Roman" w:eastAsia="Times New Roman" w:hAnsi="Times New Roman"/>
          <w:sz w:val="18"/>
          <w:szCs w:val="18"/>
          <w:color w:val="auto"/>
        </w:rPr>
        <w:t>A Person is deemed to be a holder of Registrable Notes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whenever such Person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Registrable Notes.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Registered Exchange Offer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60" w:firstLine="436"/>
        <w:spacing w:after="0" w:line="254"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365 days after the Issue Date (or if such 365th day is not a Business Day, the next succeeding Business Day) and (ii) in connection with the foregoing, (A) file all pre-effective amendments to such Registration Statement as may be necessary in order to cause such Registration Statement to be declared effective, (B) if applicable, file a post-effective amendment to such Registration Statement and (C) cause all necessary filings in connection with the registration and qualification of the Exchange Notes to be made under the state securities or blue sky laws of such jurisdictions as are necessary to permit Consummation of the Exchange Offer. The Exchange Offer Registration Statement shall be on the appropriate form permitting registration of the Exchange Notes to be offered in exchange for the Registrable Notes. The Company shall use its commercially reasonable efforts to cause all Exchange Notes to have the same CUSIP number.</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8" w:name="page9"/>
    <w:bookmarkEnd w:id="8"/>
    <w:p>
      <w:pPr>
        <w:jc w:val="both"/>
        <w:ind w:right="220" w:firstLine="436"/>
        <w:spacing w:after="0" w:line="261"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such period be less than 20 Business Days after the commencement of the Exchange Offer. The Company shall cause the Exchange Offer to comply with all applicable federal and state securities laws.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Shelf Registration.</w:t>
      </w:r>
    </w:p>
    <w:p>
      <w:pPr>
        <w:spacing w:after="0" w:line="117" w:lineRule="exact"/>
        <w:rPr>
          <w:sz w:val="20"/>
          <w:szCs w:val="20"/>
          <w:color w:val="auto"/>
        </w:rPr>
      </w:pPr>
    </w:p>
    <w:p>
      <w:pPr>
        <w:ind w:firstLine="436"/>
        <w:spacing w:after="0" w:line="257"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If (i) the Company is not required to file an Exchange Offer Registration Statement or to consummate the Exchange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 Exchange Offer is not permitted by applicable law or Commission policy, (ii) for any reason the Exchange Offer is not Consummated by 365 days after the Issue Date (or if such 365th day is not a Business Day, the next succeeding Business Day), or (iii) with respect to any Holder of Registrable Notes (A) such Holder is prohibited by applicable law or Commission policy from participating in the Exchange Offer, or (B) such Holder may not resell the Exchange Notes acquired by it in the Exchange Offer to the public without delivering a prospectus and the Prospectus contained in the Exchange Offer Registration Statement is not appropriate or available for such resales by such Holder, the Company shall:</w:t>
      </w:r>
    </w:p>
    <w:p>
      <w:pPr>
        <w:spacing w:after="0" w:line="76" w:lineRule="exact"/>
        <w:rPr>
          <w:rFonts w:ascii="Times New Roman" w:cs="Times New Roman" w:eastAsia="Times New Roman" w:hAnsi="Times New Roman"/>
          <w:sz w:val="18"/>
          <w:szCs w:val="18"/>
          <w:color w:val="auto"/>
        </w:rPr>
      </w:pPr>
    </w:p>
    <w:p>
      <w:pPr>
        <w:ind w:left="440" w:right="120" w:firstLine="419"/>
        <w:spacing w:after="0" w:line="270" w:lineRule="auto"/>
        <w:tabs>
          <w:tab w:leader="none" w:pos="1118"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to be filed a shelf registration statement pursuant to Rule 415 under the Securities Act, which may be an amendment to the Exchange Offer Registration Statement (in either event, the “</w:t>
      </w:r>
      <w:r>
        <w:rPr>
          <w:rFonts w:ascii="Times New Roman" w:cs="Times New Roman" w:eastAsia="Times New Roman" w:hAnsi="Times New Roman"/>
          <w:sz w:val="17"/>
          <w:szCs w:val="17"/>
          <w:b w:val="1"/>
          <w:bCs w:val="1"/>
          <w:i w:val="1"/>
          <w:iCs w:val="1"/>
          <w:color w:val="auto"/>
        </w:rPr>
        <w:t>Shelf Registration Statement</w:t>
      </w:r>
      <w:r>
        <w:rPr>
          <w:rFonts w:ascii="Times New Roman" w:cs="Times New Roman" w:eastAsia="Times New Roman" w:hAnsi="Times New Roman"/>
          <w:sz w:val="17"/>
          <w:szCs w:val="17"/>
          <w:color w:val="auto"/>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w:t>
      </w:r>
    </w:p>
    <w:p>
      <w:pPr>
        <w:spacing w:after="0" w:line="2" w:lineRule="exact"/>
        <w:rPr>
          <w:rFonts w:ascii="Times New Roman" w:cs="Times New Roman" w:eastAsia="Times New Roman" w:hAnsi="Times New Roman"/>
          <w:sz w:val="17"/>
          <w:szCs w:val="17"/>
          <w:color w:val="auto"/>
        </w:rPr>
      </w:pPr>
    </w:p>
    <w:p>
      <w:pPr>
        <w:ind w:left="440" w:right="80" w:hanging="4"/>
        <w:spacing w:after="0" w:line="255" w:lineRule="auto"/>
        <w:tabs>
          <w:tab w:leader="none" w:pos="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(3) 365 days after the Issue Date (or if such 365th day is not a Business Day, the next succeeding Business Day) (the “</w:t>
      </w:r>
      <w:r>
        <w:rPr>
          <w:rFonts w:ascii="Times New Roman" w:cs="Times New Roman" w:eastAsia="Times New Roman" w:hAnsi="Times New Roman"/>
          <w:sz w:val="18"/>
          <w:szCs w:val="18"/>
          <w:b w:val="1"/>
          <w:bCs w:val="1"/>
          <w:i w:val="1"/>
          <w:iCs w:val="1"/>
          <w:color w:val="auto"/>
        </w:rPr>
        <w:t>Shelf 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Deadline</w:t>
      </w:r>
      <w:r>
        <w:rPr>
          <w:rFonts w:ascii="Times New Roman" w:cs="Times New Roman" w:eastAsia="Times New Roman" w:hAnsi="Times New Roman"/>
          <w:sz w:val="18"/>
          <w:szCs w:val="18"/>
          <w:color w:val="auto"/>
        </w:rPr>
        <w:t>”), which Shelf Registration Statement shall provide for resales of all Registrable Notes the Holders of which shall have provided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required pursuant to Section 4(b) hereof; and</w:t>
      </w:r>
    </w:p>
    <w:p>
      <w:pPr>
        <w:spacing w:after="0" w:line="77" w:lineRule="exact"/>
        <w:rPr>
          <w:rFonts w:ascii="Times New Roman" w:cs="Times New Roman" w:eastAsia="Times New Roman" w:hAnsi="Times New Roman"/>
          <w:sz w:val="18"/>
          <w:szCs w:val="18"/>
          <w:color w:val="auto"/>
        </w:rPr>
      </w:pPr>
    </w:p>
    <w:p>
      <w:pPr>
        <w:ind w:left="440" w:right="960" w:firstLine="419"/>
        <w:spacing w:after="0" w:line="282" w:lineRule="auto"/>
        <w:tabs>
          <w:tab w:leader="none" w:pos="111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such Shelf Registration Statement to become or be declared effective by the Commission at the earliest possible time, but in no event later than the 120th day after the Shelf Filing Deadline.</w:t>
      </w:r>
    </w:p>
    <w:p>
      <w:pPr>
        <w:spacing w:after="0" w:line="162"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of the Commission as announced from time to time, for a period of at least one year following the effective date of such Shelf Registration Statement (or such shorter period that will terminate when all the Notes covered by such Shelf Registration Statement have been sold pursuant to such Shelf Registration Statement or are otherwise no longer Registrable Notes).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9" w:name="page10"/>
    <w:bookmarkEnd w:id="9"/>
    <w:p>
      <w:pPr>
        <w:ind w:left="4" w:right="40" w:firstLine="436"/>
        <w:spacing w:after="0" w:line="257" w:lineRule="auto"/>
        <w:tabs>
          <w:tab w:leader="none" w:pos="6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Provision by Holders of Certain Information in Connection with the Shelf Registration Statement. </w:t>
      </w:r>
      <w:r>
        <w:rPr>
          <w:rFonts w:ascii="Times New Roman" w:cs="Times New Roman" w:eastAsia="Times New Roman" w:hAnsi="Times New Roman"/>
          <w:sz w:val="18"/>
          <w:szCs w:val="18"/>
          <w:color w:val="auto"/>
        </w:rPr>
        <w:t>No Holder of Registrable Notes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 preliminary Prospectus included therein or amendment or supplement thereto. Each Holder as to which any Shelf Registration Statement is being effected agrees to furnish promptly to the Company all information required to be disclosed in order to make the information previously furnished to the Company by such Holder not materially misleading.</w:t>
      </w:r>
    </w:p>
    <w:p>
      <w:pPr>
        <w:spacing w:after="0" w:line="182" w:lineRule="exact"/>
        <w:rPr>
          <w:sz w:val="20"/>
          <w:szCs w:val="20"/>
          <w:color w:val="auto"/>
        </w:rPr>
      </w:pPr>
    </w:p>
    <w:p>
      <w:pPr>
        <w:ind w:left="4" w:right="10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i w:val="1"/>
          <w:iCs w:val="1"/>
          <w:color w:val="auto"/>
        </w:rPr>
        <w:t>Additional Interest.</w:t>
      </w:r>
      <w:r>
        <w:rPr>
          <w:rFonts w:ascii="Times New Roman" w:cs="Times New Roman" w:eastAsia="Times New Roman" w:hAnsi="Times New Roman"/>
          <w:sz w:val="17"/>
          <w:szCs w:val="17"/>
          <w:color w:val="auto"/>
        </w:rPr>
        <w:t xml:space="preserve"> If (i) unless the Exchange Offer shall not be permissible under applicable law or Commission policy, the Exchange Offer Registration Statement has not been Consummated on or prior to 365 days after the Issue Date (or if such 365th day is not a Business Day, the next succeeding Business Day), (ii) in the event the Company is required to file a Shelf Registration Statement pursuant to Section 4(a) hereof,</w:t>
      </w:r>
    </w:p>
    <w:p>
      <w:pPr>
        <w:spacing w:after="0" w:line="1" w:lineRule="exact"/>
        <w:rPr>
          <w:sz w:val="20"/>
          <w:szCs w:val="20"/>
          <w:color w:val="auto"/>
        </w:rPr>
      </w:pPr>
    </w:p>
    <w:p>
      <w:pPr>
        <w:ind w:left="4" w:hanging="4"/>
        <w:spacing w:after="0" w:line="251" w:lineRule="auto"/>
        <w:tabs>
          <w:tab w:leader="none" w:pos="2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Registration Statement is not filed by the Shelf Filing Deadline or (B) the Shelf Registration Statement has not become or been declared effective by the Commission on or prior to the 120th day after the Shelf Filing Deadline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color w:val="auto"/>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the subsequent 90-day period, for a maximum of 0.50% per annum of additional interest (“</w:t>
      </w: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color w:val="auto"/>
        </w:rPr>
        <w:t xml:space="preserve">”). Any amounts of Additional Interest due pursuant to this Section 5 will be paid in cash on the relevant Payment Date to Holders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 reduction in interest rate, a different Registration Default occurs, the interest rate borne by the relevant Registrable Notes shall again be increased pursuant to the foregoing provisions.</w:t>
      </w:r>
    </w:p>
    <w:p>
      <w:pPr>
        <w:spacing w:after="0" w:line="192" w:lineRule="exact"/>
        <w:rPr>
          <w:sz w:val="20"/>
          <w:szCs w:val="20"/>
          <w:color w:val="auto"/>
        </w:rPr>
      </w:pPr>
    </w:p>
    <w:p>
      <w:pPr>
        <w:ind w:left="4" w:right="40" w:firstLine="440"/>
        <w:spacing w:after="0" w:line="312" w:lineRule="auto"/>
        <w:rPr>
          <w:sz w:val="20"/>
          <w:szCs w:val="20"/>
          <w:color w:val="auto"/>
        </w:rPr>
      </w:pPr>
      <w:r>
        <w:rPr>
          <w:rFonts w:ascii="Times New Roman" w:cs="Times New Roman" w:eastAsia="Times New Roman" w:hAnsi="Times New Roman"/>
          <w:sz w:val="17"/>
          <w:szCs w:val="17"/>
          <w:color w:val="auto"/>
        </w:rPr>
        <w:t>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w:t>
      </w:r>
    </w:p>
    <w:p>
      <w:pPr>
        <w:spacing w:after="0" w:line="140"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8" w:right="43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i w:val="1"/>
          <w:iCs w:val="1"/>
          <w:color w:val="auto"/>
        </w:rPr>
        <w:t>Registration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7"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Offer Registration Statement. </w:t>
      </w:r>
      <w:r>
        <w:rPr>
          <w:rFonts w:ascii="Times New Roman" w:cs="Times New Roman" w:eastAsia="Times New Roman" w:hAnsi="Times New Roman"/>
          <w:sz w:val="18"/>
          <w:szCs w:val="18"/>
          <w:color w:val="auto"/>
        </w:rPr>
        <w:t>In connection with the Exchange Offer, the Company shall comply with all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6(c) hereof, shall use its commercially reasonable efforts to effect such exchange to permit the sale of Registrable Notes being sold in accordance with the intended method or methods of distribution thereof, and shall comply with all of the following provisions:</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272" w:lineRule="auto"/>
        <w:tabs>
          <w:tab w:leader="none" w:pos="1078"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condition to its participation in the Exchange Offer pursuant to the terms of this Agreement, each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w:t>
      </w:r>
    </w:p>
    <w:p>
      <w:pPr>
        <w:spacing w:after="0" w:line="1" w:lineRule="exact"/>
        <w:rPr>
          <w:rFonts w:ascii="Times New Roman" w:cs="Times New Roman" w:eastAsia="Times New Roman" w:hAnsi="Times New Roman"/>
          <w:sz w:val="17"/>
          <w:szCs w:val="17"/>
          <w:color w:val="auto"/>
        </w:rPr>
      </w:pPr>
    </w:p>
    <w:p>
      <w:pPr>
        <w:ind w:left="4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it is not engaged in, and does not intend to engage in, and has no arrangement or understanding with any Person to participate in, a distribution of the Exchange Notes to be issued in the Exchange Offer, and (C) it is acquiring the Exchange Notes in its ordinary course of business. In addition, all such Holders of Registrable Notes shall otherwise cooperate in the Company’s preparations for the Exchange Offer.</w:t>
      </w:r>
    </w:p>
    <w:p>
      <w:pPr>
        <w:spacing w:after="0" w:line="75" w:lineRule="exact"/>
        <w:rPr>
          <w:rFonts w:ascii="Times New Roman" w:cs="Times New Roman" w:eastAsia="Times New Roman" w:hAnsi="Times New Roman"/>
          <w:sz w:val="17"/>
          <w:szCs w:val="17"/>
          <w:color w:val="auto"/>
        </w:rPr>
      </w:pPr>
    </w:p>
    <w:p>
      <w:pPr>
        <w:ind w:right="60" w:firstLine="436"/>
        <w:spacing w:after="0" w:line="277" w:lineRule="auto"/>
        <w:tabs>
          <w:tab w:leader="none" w:pos="6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Shelf Registration Statement. </w:t>
      </w:r>
      <w:r>
        <w:rPr>
          <w:rFonts w:ascii="Times New Roman" w:cs="Times New Roman" w:eastAsia="Times New Roman" w:hAnsi="Times New Roman"/>
          <w:sz w:val="17"/>
          <w:szCs w:val="17"/>
          <w:color w:val="auto"/>
        </w:rPr>
        <w:t>In connection with the Shelf Registration Statement, the Company shall comply with all the provisions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w:t>
      </w:r>
    </w:p>
    <w:p>
      <w:pPr>
        <w:spacing w:after="0" w:line="59" w:lineRule="exact"/>
        <w:rPr>
          <w:rFonts w:ascii="Times New Roman" w:cs="Times New Roman" w:eastAsia="Times New Roman" w:hAnsi="Times New Roman"/>
          <w:sz w:val="17"/>
          <w:szCs w:val="17"/>
          <w:color w:val="auto"/>
        </w:rPr>
      </w:pPr>
    </w:p>
    <w:p>
      <w:pPr>
        <w:ind w:right="80" w:firstLine="436"/>
        <w:spacing w:after="0" w:line="284"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Provisions. </w:t>
      </w:r>
      <w:r>
        <w:rPr>
          <w:rFonts w:ascii="Times New Roman" w:cs="Times New Roman" w:eastAsia="Times New Roman" w:hAnsi="Times New Roman"/>
          <w:sz w:val="18"/>
          <w:szCs w:val="18"/>
          <w:color w:val="auto"/>
        </w:rPr>
        <w:t>In connection with any Registration Statement and any Prospectus required by this Agreement to permit the sale or resale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Registrable Notes, the Company shall:</w:t>
      </w:r>
    </w:p>
    <w:p>
      <w:pPr>
        <w:spacing w:after="0" w:line="52"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07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keep such Registration Statement continuously effective during the period required by this Agreement and provide all requisite financial statements;</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11" w:name="page12"/>
    <w:bookmarkEnd w:id="11"/>
    <w:p>
      <w:pPr>
        <w:ind w:left="4" w:firstLine="419"/>
        <w:spacing w:after="0" w:line="254" w:lineRule="auto"/>
        <w:tabs>
          <w:tab w:leader="none" w:pos="7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 424 under the Securities Act, and to comply fully with the applicable provisions of Rules 424, 430A and 430B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8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underwriter(s), if any, and selling Holders promptly and, if requested by such Persons, to confirm such advice in writing,</w:t>
      </w:r>
    </w:p>
    <w:p>
      <w:pPr>
        <w:spacing w:after="0" w:line="27" w:lineRule="exact"/>
        <w:rPr>
          <w:rFonts w:ascii="Times New Roman" w:cs="Times New Roman" w:eastAsia="Times New Roman" w:hAnsi="Times New Roman"/>
          <w:sz w:val="18"/>
          <w:szCs w:val="18"/>
          <w:color w:val="auto"/>
        </w:rPr>
      </w:pPr>
    </w:p>
    <w:p>
      <w:pPr>
        <w:ind w:left="4" w:right="60" w:hanging="4"/>
        <w:spacing w:after="0" w:line="251" w:lineRule="auto"/>
        <w:tabs>
          <w:tab w:leader="none" w:pos="2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Prospectus or any Prospectus supplement or post-effective amendment has been filed, and, with respect to any Registration Statement or any post-effective amendment thereto, when the same has been declared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w:t>
      </w:r>
    </w:p>
    <w:p>
      <w:pPr>
        <w:spacing w:after="0" w:line="84"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without charge to the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Statement or Prospectus), which documents will be subject to the review and comment of such requesting Holders and underwriter(s) in connection with such sale, if any, for a period of at least five Business Days, and the Company will not file any such Registration Statement or Prospectus or any amendment</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4"/>
          </w:cols>
          <w:pgMar w:left="876" w:top="270" w:right="47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supplement to any such Registration Statement or Prospectus to which the Purchasers of Registrable Notes covered by such Registration Statement or the underwriter(s), if any, shall reasonably object in writing within five Business Days after the receipt thereof (such objection to be deemed timely made upon confirmation of facsimile transmission within such period). The objection of the Purchasers or underwriter, if any, shall be deemed to be reasonable if such Registration Statement, amendment, Prospectus or supplement, as applicable, as proposed to be filed, contains a material misstatement or omission;</w:t>
      </w:r>
    </w:p>
    <w:p>
      <w:pPr>
        <w:spacing w:after="0" w:line="75" w:lineRule="exact"/>
        <w:rPr>
          <w:sz w:val="20"/>
          <w:szCs w:val="20"/>
          <w:color w:val="auto"/>
        </w:rPr>
      </w:pPr>
    </w:p>
    <w:p>
      <w:pPr>
        <w:ind w:left="720" w:hanging="301"/>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Company’s representatives reasonably available to the Purchasers for customary due diligence matters;</w:t>
      </w:r>
    </w:p>
    <w:p>
      <w:pPr>
        <w:spacing w:after="0" w:line="117" w:lineRule="exact"/>
        <w:rPr>
          <w:rFonts w:ascii="Times New Roman" w:cs="Times New Roman" w:eastAsia="Times New Roman" w:hAnsi="Times New Roman"/>
          <w:sz w:val="18"/>
          <w:szCs w:val="18"/>
          <w:color w:val="auto"/>
        </w:rPr>
      </w:pPr>
    </w:p>
    <w:p>
      <w:pPr>
        <w:ind w:right="60" w:firstLine="419"/>
        <w:spacing w:after="0" w:line="255" w:lineRule="auto"/>
        <w:tabs>
          <w:tab w:leader="none" w:pos="7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at reasonable times for inspection by the Purchasers, any Holder, the managing underwriter(s), if any, participating in any disposition pursuant to such Registration Statement and any attorney or accountant retained by the Purchasers, Holder or any of the underwriter(s), in each case subject to confidentiality agreements in form and substance customarily entered into by the Purchasers or underwriters, all financial and other records, pertinent corporate documents and properties of the Company and cause the Company’s officers and directors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w:t>
      </w:r>
    </w:p>
    <w:p>
      <w:pPr>
        <w:spacing w:after="0" w:line="80" w:lineRule="exact"/>
        <w:rPr>
          <w:rFonts w:ascii="Times New Roman" w:cs="Times New Roman" w:eastAsia="Times New Roman" w:hAnsi="Times New Roman"/>
          <w:sz w:val="18"/>
          <w:szCs w:val="18"/>
          <w:color w:val="auto"/>
        </w:rPr>
      </w:pPr>
    </w:p>
    <w:p>
      <w:pPr>
        <w:ind w:right="80" w:firstLine="419"/>
        <w:spacing w:after="0" w:line="255"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any selling Holders listed as selling securityholders in any Registration Statement or the underwriter(s), if any, promptly incorporate in any Registration Statement or Prospectus, pursuant to a supplement or post-effective amendment if necessary, such information as such selling Holders and underwriter(s), if any, may reasonably request to have included therein, including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w:t>
      </w:r>
    </w:p>
    <w:p>
      <w:pPr>
        <w:spacing w:after="0" w:line="80" w:lineRule="exact"/>
        <w:rPr>
          <w:rFonts w:ascii="Times New Roman" w:cs="Times New Roman" w:eastAsia="Times New Roman" w:hAnsi="Times New Roman"/>
          <w:sz w:val="18"/>
          <w:szCs w:val="18"/>
          <w:color w:val="auto"/>
        </w:rPr>
      </w:pPr>
    </w:p>
    <w:p>
      <w:pPr>
        <w:ind w:right="100" w:firstLine="419"/>
        <w:spacing w:after="0" w:line="261" w:lineRule="auto"/>
        <w:tabs>
          <w:tab w:leader="none" w:pos="7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each selling Holder and each of the underwriter(s), if any, without charge, as many copies of the Prospectus (including each preliminary prospectus) and any amendment or supplement thereto as such Persons reasonably may request; the Company hereby consents to the use of the Prospectus and any amendment or supplement thereto by each of the selling Holders and each of the underwriter(s), if any, in connection with the offering and the sale of the Registrable Notes covered by the Prospectus or any amendment or supplement thereto;</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13" w:name="page14"/>
    <w:bookmarkEnd w:id="13"/>
    <w:p>
      <w:pPr>
        <w:ind w:left="440" w:right="260" w:firstLine="419"/>
        <w:spacing w:after="0" w:line="289" w:lineRule="auto"/>
        <w:tabs>
          <w:tab w:leader="none" w:pos="111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w:t>
      </w:r>
    </w:p>
    <w:p>
      <w:pPr>
        <w:spacing w:after="0" w:line="49" w:lineRule="exact"/>
        <w:rPr>
          <w:rFonts w:ascii="Times New Roman" w:cs="Times New Roman" w:eastAsia="Times New Roman" w:hAnsi="Times New Roman"/>
          <w:sz w:val="17"/>
          <w:szCs w:val="17"/>
          <w:color w:val="auto"/>
        </w:rPr>
      </w:pPr>
    </w:p>
    <w:p>
      <w:pPr>
        <w:ind w:left="980" w:right="120" w:firstLine="408"/>
        <w:spacing w:after="0" w:line="266" w:lineRule="auto"/>
        <w:tabs>
          <w:tab w:leader="none" w:pos="16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Purchasers, each selling Holder and each underwriter in such substance and scope as they may reasonably request and as are customarily made by issuers to underwriters in primary underwritten offerings, upon the date of the effectiveness of the Shelf Registration Statement:</w:t>
      </w:r>
    </w:p>
    <w:p>
      <w:pPr>
        <w:spacing w:after="0" w:line="67" w:lineRule="exact"/>
        <w:rPr>
          <w:rFonts w:ascii="Times New Roman" w:cs="Times New Roman" w:eastAsia="Times New Roman" w:hAnsi="Times New Roman"/>
          <w:sz w:val="18"/>
          <w:szCs w:val="18"/>
          <w:color w:val="auto"/>
        </w:rPr>
      </w:pPr>
    </w:p>
    <w:p>
      <w:pPr>
        <w:ind w:left="1420" w:right="220" w:firstLine="391"/>
        <w:spacing w:after="0" w:line="266" w:lineRule="auto"/>
        <w:tabs>
          <w:tab w:leader="none" w:pos="205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effectiveness of the Shelf Registration Statement, signed by (y) the Chief Executive Officer, the President or any Vice President and (z) a principal financial or accounting officer of the Company, confirming customary matters; and</w:t>
      </w:r>
    </w:p>
    <w:p>
      <w:pPr>
        <w:spacing w:after="0" w:line="67" w:lineRule="exact"/>
        <w:rPr>
          <w:rFonts w:ascii="Times New Roman" w:cs="Times New Roman" w:eastAsia="Times New Roman" w:hAnsi="Times New Roman"/>
          <w:sz w:val="18"/>
          <w:szCs w:val="18"/>
          <w:color w:val="auto"/>
        </w:rPr>
      </w:pPr>
    </w:p>
    <w:p>
      <w:pPr>
        <w:ind w:left="1420" w:right="20" w:firstLine="391"/>
        <w:spacing w:after="0" w:line="282" w:lineRule="auto"/>
        <w:tabs>
          <w:tab w:leader="none" w:pos="205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majority of selling Holders, an opinion, dated the date of effectiveness of the Shelf Registration Statement, of counsel for the Company, covering the matters customarily covered in opinions requested in underwritten offerings;</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in full or incorporate by reference in the underwriting agreement, if any, the indemnification provisions and procedures of Section 8 hereof with respect to all parties to be indemnified pursuant to said Section; and</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6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other documents and certificates as may be reasonably requested by such parties to evidence compliance with Section 6(c)(x)(A) hereof and with any customary conditions contained in the underwriting agreement or other agreement entered into by the Company pursuant to this Section 6(c)(x), if any.</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at any time the representations and warranties of the Company contemplated in Section 6(c)(x)(A)(1) hereof cease to be true and correct, the Company shall so advise the Purchasers and the underwriter(s), if any, and each selling Holder promptly and, if requested by such Persons, shall confirm such advice in writing;</w:t>
      </w:r>
    </w:p>
    <w:p>
      <w:pPr>
        <w:spacing w:after="0" w:line="68" w:lineRule="exact"/>
        <w:rPr>
          <w:sz w:val="20"/>
          <w:szCs w:val="20"/>
          <w:color w:val="auto"/>
        </w:rPr>
      </w:pPr>
    </w:p>
    <w:p>
      <w:pPr>
        <w:ind w:left="440" w:right="20" w:firstLine="419"/>
        <w:spacing w:after="0" w:line="255" w:lineRule="auto"/>
        <w:tabs>
          <w:tab w:leader="none" w:pos="11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Notes, cooperate with the selling Holders, the underwriter(s), if any, and their respective counsel in connection with the registration and qualification of the Registrable Notes under the state securities or blue sky laws of such jurisdictions as the selling Holders or underwriter(s), if any, may request and do any and all other acts or things necessary or advisable to enable the disposition in such jurisdictions of the Registrable Notes covered by the Shelf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w:t>
      </w:r>
    </w:p>
    <w:p>
      <w:pPr>
        <w:spacing w:after="0" w:line="80"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2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4" w:name="page15"/>
    <w:bookmarkEnd w:id="1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in connection 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w:t>
      </w:r>
    </w:p>
    <w:p>
      <w:pPr>
        <w:spacing w:after="0" w:line="72" w:lineRule="exact"/>
        <w:rPr>
          <w:sz w:val="20"/>
          <w:szCs w:val="20"/>
          <w:color w:val="auto"/>
        </w:rPr>
      </w:pPr>
    </w:p>
    <w:p>
      <w:pPr>
        <w:ind w:right="180" w:firstLine="419"/>
        <w:spacing w:after="0" w:line="258"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cooperate with the selling Holders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Holders or the underwriter(s), if any, may request at least two Business Days prior to any sale of Registrable Notes made by such Holders or underwriter(s);</w:t>
      </w:r>
    </w:p>
    <w:p>
      <w:pPr>
        <w:spacing w:after="0" w:line="75" w:lineRule="exact"/>
        <w:rPr>
          <w:rFonts w:ascii="Times New Roman" w:cs="Times New Roman" w:eastAsia="Times New Roman" w:hAnsi="Times New Roman"/>
          <w:sz w:val="18"/>
          <w:szCs w:val="18"/>
          <w:color w:val="auto"/>
        </w:rPr>
      </w:pPr>
    </w:p>
    <w:p>
      <w:pPr>
        <w:ind w:right="200" w:firstLine="419"/>
        <w:spacing w:after="0" w:line="266" w:lineRule="auto"/>
        <w:tabs>
          <w:tab w:leader="none" w:pos="8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 hereof;</w:t>
      </w:r>
    </w:p>
    <w:p>
      <w:pPr>
        <w:spacing w:after="0" w:line="67" w:lineRule="exact"/>
        <w:rPr>
          <w:rFonts w:ascii="Times New Roman" w:cs="Times New Roman" w:eastAsia="Times New Roman" w:hAnsi="Times New Roman"/>
          <w:sz w:val="18"/>
          <w:szCs w:val="18"/>
          <w:color w:val="auto"/>
        </w:rPr>
      </w:pPr>
    </w:p>
    <w:p>
      <w:pPr>
        <w:ind w:right="140" w:firstLine="419"/>
        <w:spacing w:after="0" w:line="261" w:lineRule="auto"/>
        <w:tabs>
          <w:tab w:leader="none" w:pos="7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w:t>
      </w:r>
    </w:p>
    <w:p>
      <w:pPr>
        <w:spacing w:after="0" w:line="71" w:lineRule="exact"/>
        <w:rPr>
          <w:rFonts w:ascii="Times New Roman" w:cs="Times New Roman" w:eastAsia="Times New Roman" w:hAnsi="Times New Roman"/>
          <w:sz w:val="18"/>
          <w:szCs w:val="18"/>
          <w:color w:val="auto"/>
        </w:rPr>
      </w:pPr>
    </w:p>
    <w:p>
      <w:pPr>
        <w:ind w:right="620" w:firstLine="419"/>
        <w:spacing w:after="0" w:line="282" w:lineRule="auto"/>
        <w:tabs>
          <w:tab w:leader="none" w:pos="8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effective date of the Registration Statement covering such Exchange Notes, provide that the CUSIP and ISIN numbers for all Exchange Notes shall be the same unrestricted CUSIP and ISIN numbers as borne by the Existing Notes;</w:t>
      </w:r>
    </w:p>
    <w:p>
      <w:pPr>
        <w:spacing w:after="0" w:line="53" w:lineRule="exact"/>
        <w:rPr>
          <w:rFonts w:ascii="Times New Roman" w:cs="Times New Roman" w:eastAsia="Times New Roman" w:hAnsi="Times New Roman"/>
          <w:sz w:val="18"/>
          <w:szCs w:val="18"/>
          <w:color w:val="auto"/>
        </w:rPr>
      </w:pPr>
    </w:p>
    <w:p>
      <w:pPr>
        <w:ind w:right="60" w:firstLine="419"/>
        <w:spacing w:after="0" w:line="266" w:lineRule="auto"/>
        <w:tabs>
          <w:tab w:leader="none" w:pos="8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and assist in any filings required to be made with the FINRA and in the performance of any due diligence investigation by any underwriter (including any “qualified independent underwriter”) that is required to be retained in accordance with the rules and regulations of the FINRA; and</w:t>
      </w:r>
    </w:p>
    <w:p>
      <w:pPr>
        <w:spacing w:after="0" w:line="67" w:lineRule="exact"/>
        <w:rPr>
          <w:rFonts w:ascii="Times New Roman" w:cs="Times New Roman" w:eastAsia="Times New Roman" w:hAnsi="Times New Roman"/>
          <w:sz w:val="18"/>
          <w:szCs w:val="18"/>
          <w:color w:val="auto"/>
        </w:rPr>
      </w:pPr>
    </w:p>
    <w:p>
      <w:pPr>
        <w:ind w:right="120" w:firstLine="419"/>
        <w:spacing w:after="0" w:line="256" w:lineRule="auto"/>
        <w:tabs>
          <w:tab w:leader="none" w:pos="9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5" w:name="page16"/>
    <w:bookmarkEnd w:id="15"/>
    <w:p>
      <w:pPr>
        <w:ind w:left="4" w:right="14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the Company may suspend the offering and sale under a Registration Statement (the “</w:t>
      </w:r>
      <w:r>
        <w:rPr>
          <w:rFonts w:ascii="Times New Roman" w:cs="Times New Roman" w:eastAsia="Times New Roman" w:hAnsi="Times New Roman"/>
          <w:sz w:val="17"/>
          <w:szCs w:val="17"/>
          <w:b w:val="1"/>
          <w:bCs w:val="1"/>
          <w:i w:val="1"/>
          <w:iCs w:val="1"/>
          <w:color w:val="auto"/>
        </w:rPr>
        <w:t>Suspension Period</w:t>
      </w:r>
      <w:r>
        <w:rPr>
          <w:rFonts w:ascii="Times New Roman" w:cs="Times New Roman" w:eastAsia="Times New Roman" w:hAnsi="Times New Roman"/>
          <w:sz w:val="17"/>
          <w:szCs w:val="17"/>
          <w:color w:val="auto"/>
        </w:rPr>
        <w:t>”) for a period or periods if (i) the board of directors reasonably determines that the continued use of such Registration Statement would (A) require the Company to make a public disclosure of material non-public information, which disclosure in the good faith judgment of the board of directors of the Company (1) would be required to be made in such Registration Statement so that such Registration Statement would not be materially misleading and</w:t>
      </w:r>
    </w:p>
    <w:p>
      <w:pPr>
        <w:ind w:left="4" w:right="120" w:hanging="4"/>
        <w:spacing w:after="0" w:line="252"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be required to be made at such time but for the continued use of such Shelf Registration Statement or (B) would in the good faith and judgment of the board of directors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Holders of Registrable Notes (in the case of a Shelf Registration) and the Purchasers within five days after the board of directors makes the relevant determination set forth in clause (i); provided that the period or periods of suspension under clause (i) above shall not exceed, in the aggregate, 60 days in any twelve-month period during which the Registration Statement is required to be effective.</w:t>
      </w:r>
    </w:p>
    <w:p>
      <w:pPr>
        <w:spacing w:after="0" w:line="190"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Each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w:t>
      </w:r>
    </w:p>
    <w:p>
      <w:pPr>
        <w:spacing w:after="0" w:line="2" w:lineRule="exact"/>
        <w:rPr>
          <w:sz w:val="20"/>
          <w:szCs w:val="20"/>
          <w:color w:val="auto"/>
        </w:rPr>
      </w:pPr>
    </w:p>
    <w:p>
      <w:pPr>
        <w:ind w:left="4" w:hanging="4"/>
        <w:spacing w:after="0" w:line="251" w:lineRule="auto"/>
        <w:tabs>
          <w:tab w:leader="none" w:pos="3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or until it is advised in writing (the “</w:t>
      </w: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color w:val="auto"/>
        </w:rPr>
        <w:t xml:space="preserve">”) by the Company that the use of the Prospectus may be resumed, and has received copies of any additional or supplemental filings that are incorporated by reference in the Prospectus.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 hereof or shall have received the Advice;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w:t>
      </w:r>
    </w:p>
    <w:p>
      <w:pPr>
        <w:spacing w:after="0" w:line="191"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Registration Expenses</w:t>
      </w:r>
      <w:r>
        <w:rPr>
          <w:rFonts w:ascii="Times New Roman" w:cs="Times New Roman" w:eastAsia="Times New Roman" w:hAnsi="Times New Roman"/>
          <w:sz w:val="18"/>
          <w:szCs w:val="18"/>
          <w:color w:val="auto"/>
        </w:rPr>
        <w:t>. All expenses incident to the Company’s performance of or compliance with this Agreement will be borne by the Company regardless of whether a Registration Statement becomes or is declared effective, including (i) all registration and filing fees and expenses (including filings made by the Purchasers or Holders with the FINRA (and, if applicable, the fees and expenses of any “qualified independent underwriter” and its counsel that may be required by the rules and regulations of the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16" w:name="page17"/>
    <w:bookmarkEnd w:id="16"/>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in any event, bear its internal expenses (including all expenses of its officers performing legal or accounting duties), the expenses of any annual audit and the fees and expenses of any Person, including special experts, retained by the Company.</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36"/>
        <w:spacing w:after="0" w:line="252"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color w:val="auto"/>
        </w:rPr>
        <w:t>”) and (iii) the respective officers, directors, partners, employees, representatives and agents of any Holder or any Controlling Person (any Person referred to in clause (i), (ii) or (iii) may hereinafter be referred to as an “</w:t>
      </w: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color w:val="auto"/>
        </w:rPr>
        <w:t>”), to the fullest extent lawful, from and against any and all losses, claims, damages, liabilities, judgments, actions and expenses (including, as incurred, reimbursement of all reasonable costs of investigating, preparing, pursuing, settling, 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or on behalf of any of the Holders expressly for use therein. This indemnity agreement shall be in addition to any liability which the Company may otherwise have.</w:t>
      </w:r>
    </w:p>
    <w:p>
      <w:pPr>
        <w:spacing w:after="0" w:line="19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case any action or proceeding (including any governmental or regulatory investigation or proceeding) shall be brought or asserted against any of the Indemnified Holders with respect to which indemnity may be sought against the Company, such Indemnified Holder (or the Indemnified Holder controlled by such Controlling Person) shall promptly notify the Company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to give such notice shall not relieve any of the Company of its obligations pursuant to this Agreement unless and to the extent the Company did not otherwise learn of such action and such failure results in the forfeiture by the Company of substantial rights 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17" w:name="page18"/>
    <w:bookmarkEnd w:id="1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separate firm of attorneys (in addition to one local counsel for all indemnified parties taken as a whole in each jurisdiction reasonably required and, in the event of an actual or potential conflict, one additional counsel in each relevant jurisdiction for the affected indemnified parties similarly situated taken as a whole) at any time for such Indemnified Holders, which firm shall be designated by the Holders. The Company shall be liable for any settlement of any such action or proceeding effected with the Company’s prior written consent, which consent shall not be unreasonably withheld or delayed, and the Company agree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w:t>
      </w:r>
    </w:p>
    <w:p>
      <w:pPr>
        <w:spacing w:after="0" w:line="84" w:lineRule="exact"/>
        <w:rPr>
          <w:sz w:val="20"/>
          <w:szCs w:val="20"/>
          <w:color w:val="auto"/>
        </w:rPr>
      </w:pPr>
    </w:p>
    <w:p>
      <w:pPr>
        <w:ind w:right="20" w:firstLine="436"/>
        <w:spacing w:after="0" w:line="254"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Registrable Notes agrees, severally and not jointly, to indemnify and hold harmless the Company and its directors and officers who sign a Registration Statement, and any Person controlling (within the meaning of Section 15 of the Securities Act or Section 20 of the Exchange Act) the Company and its officers, directors, partners, employees, representatives and agents, to the same extent as the foregoing indemnity from the Company to each of the Indemnified Holders, but only with respect to claims and actions based on information relating to such Holder furnished in writing by or on behalf of such Holder expressly for use in any Registration Statement. In case any action or proceeding shall be brought against the Company or its directors or officers or any such Controlling Person in respect of which indemnity may be sought against a Holder of Registrable Notes, such Holder shall have the rights and duties given to the Company, and the Company and its directors and officers and such Controlling Person shall have the rights and duties given to each Holder by the preceding paragraph. This indemnity agreement shall be in addition to any liability which Holders may otherwise have.</w:t>
      </w:r>
    </w:p>
    <w:p>
      <w:pPr>
        <w:spacing w:after="0" w:line="80"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Initial Placement (which in the case of the Company shall be deemed to be equal to the total gross proceeds to the Company from the Initial Placement), the 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Holder of Registrable Notes agrees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any provision of Section 8, none of the Holders (and its related Indemnified Holders) shall be required to contribute, in the aggregate, any amount in excess of the amount by which the total discount received by such Holder with respect to the Notes exceeds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Notes held by each of the Holders hereunder and not joint.</w:t>
      </w:r>
    </w:p>
    <w:p>
      <w:pPr>
        <w:spacing w:after="0" w:line="18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in this Section 8, no party shall be entitled to indemnification or contribution under this Agreement in violation of Section 17(j) of the Investment Company Act of 1940, as amended (the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Participation in Underwritten Registrations.</w:t>
      </w:r>
      <w:r>
        <w:rPr>
          <w:rFonts w:ascii="Times New Roman" w:cs="Times New Roman" w:eastAsia="Times New Roman" w:hAnsi="Times New Roman"/>
          <w:sz w:val="18"/>
          <w:szCs w:val="18"/>
          <w:color w:val="auto"/>
        </w:rPr>
        <w:t xml:space="preserve"> 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and other documents required under the terms of such underwriting arrangements.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Selection of Underwriters.</w:t>
      </w:r>
      <w:r>
        <w:rPr>
          <w:rFonts w:ascii="Times New Roman" w:cs="Times New Roman" w:eastAsia="Times New Roman" w:hAnsi="Times New Roman"/>
          <w:sz w:val="18"/>
          <w:szCs w:val="18"/>
          <w:color w:val="auto"/>
        </w:rPr>
        <w:t xml:space="preserve"> If requested by the Holders of a majority in aggregate principal amount of the Registrable Notes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of a majority in aggregate principal amount of the Registrable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investment banker(s) and managing underwriter(s) must be reasonably satisfactory to the Company.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80" w:firstLine="436"/>
        <w:spacing w:after="0" w:line="267"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Remedies. </w:t>
      </w:r>
      <w:r>
        <w:rPr>
          <w:rFonts w:ascii="Times New Roman" w:cs="Times New Roman" w:eastAsia="Times New Roman" w:hAnsi="Times New Roman"/>
          <w:sz w:val="18"/>
          <w:szCs w:val="18"/>
          <w:color w:val="auto"/>
        </w:rPr>
        <w:t>The Company hereby agrees that monetary damages would not be adequate compensation for any loss incurred by reason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 by it of the provisions of this Agreement and hereby agrees to waive the defense in any action for specific performance that a remedy at law would be adequate.</w:t>
      </w:r>
    </w:p>
    <w:p>
      <w:pPr>
        <w:spacing w:after="0" w:line="65" w:lineRule="exact"/>
        <w:rPr>
          <w:rFonts w:ascii="Times New Roman" w:cs="Times New Roman" w:eastAsia="Times New Roman" w:hAnsi="Times New Roman"/>
          <w:sz w:val="18"/>
          <w:szCs w:val="18"/>
          <w:color w:val="auto"/>
        </w:rPr>
      </w:pPr>
    </w:p>
    <w:p>
      <w:pPr>
        <w:ind w:right="400" w:firstLine="436"/>
        <w:spacing w:after="0" w:line="261"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Inconsistent Agreements. </w:t>
      </w:r>
      <w:r>
        <w:rPr>
          <w:rFonts w:ascii="Times New Roman" w:cs="Times New Roman" w:eastAsia="Times New Roman" w:hAnsi="Times New Roman"/>
          <w:sz w:val="18"/>
          <w:szCs w:val="18"/>
          <w:color w:val="auto"/>
        </w:rPr>
        <w:t>The Company will not on or after the date of this Agreement enter into any agreement with respect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w:t>
      </w:r>
    </w:p>
    <w:p>
      <w:pPr>
        <w:spacing w:after="0" w:line="71" w:lineRule="exact"/>
        <w:rPr>
          <w:rFonts w:ascii="Times New Roman" w:cs="Times New Roman" w:eastAsia="Times New Roman" w:hAnsi="Times New Roman"/>
          <w:sz w:val="18"/>
          <w:szCs w:val="18"/>
          <w:color w:val="auto"/>
        </w:rPr>
      </w:pPr>
    </w:p>
    <w:p>
      <w:pPr>
        <w:ind w:right="80" w:firstLine="436"/>
        <w:spacing w:after="0" w:line="284"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Adjustments Affecting the Notes. </w:t>
      </w:r>
      <w:r>
        <w:rPr>
          <w:rFonts w:ascii="Times New Roman" w:cs="Times New Roman" w:eastAsia="Times New Roman" w:hAnsi="Times New Roman"/>
          <w:sz w:val="18"/>
          <w:szCs w:val="18"/>
          <w:color w:val="auto"/>
        </w:rPr>
        <w:t>The Company will not take any action, or permit any change to occur, with respect to the Registrable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materially and adversely affect the ability of the Holders to Consummate any Exchange Offer.</w:t>
      </w:r>
    </w:p>
    <w:p>
      <w:pPr>
        <w:spacing w:after="0" w:line="50" w:lineRule="exact"/>
        <w:rPr>
          <w:rFonts w:ascii="Times New Roman" w:cs="Times New Roman" w:eastAsia="Times New Roman" w:hAnsi="Times New Roman"/>
          <w:sz w:val="18"/>
          <w:szCs w:val="18"/>
          <w:color w:val="auto"/>
        </w:rPr>
      </w:pPr>
    </w:p>
    <w:p>
      <w:pPr>
        <w:ind w:right="120" w:firstLine="436"/>
        <w:spacing w:after="0" w:line="267"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and Waivers. </w:t>
      </w:r>
      <w:r>
        <w:rPr>
          <w:rFonts w:ascii="Times New Roman" w:cs="Times New Roman" w:eastAsia="Times New Roman" w:hAnsi="Times New Roman"/>
          <w:sz w:val="18"/>
          <w:szCs w:val="18"/>
          <w:color w:val="auto"/>
        </w:rPr>
        <w:t>The provisions of this Agreement may not be amended, modified or supplemented, and waivers or consents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departures from the provisions hereof may not be given unless the Company has obtained the written consent of the Holders of all outstanding Registrable Notes.</w:t>
      </w:r>
    </w:p>
    <w:p>
      <w:pPr>
        <w:spacing w:after="0" w:line="65" w:lineRule="exact"/>
        <w:rPr>
          <w:rFonts w:ascii="Times New Roman" w:cs="Times New Roman" w:eastAsia="Times New Roman" w:hAnsi="Times New Roman"/>
          <w:sz w:val="18"/>
          <w:szCs w:val="18"/>
          <w:color w:val="auto"/>
        </w:rPr>
      </w:pPr>
    </w:p>
    <w:p>
      <w:pPr>
        <w:ind w:firstLine="436"/>
        <w:spacing w:after="0" w:line="284"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provided for or permitted hereunder shall be made in writing by hand-delivery, first-class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or certified, return receipt requested), facsimile, or air courier guaranteeing overnight delivery:</w:t>
      </w:r>
    </w:p>
    <w:p>
      <w:pPr>
        <w:spacing w:after="0" w:line="6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Holder, at the address set forth in the Purchase Agreement;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Fidus Investment Corporation</w:t>
      </w:r>
    </w:p>
    <w:p>
      <w:pPr>
        <w:spacing w:after="0" w:line="27" w:lineRule="exact"/>
        <w:rPr>
          <w:rFonts w:ascii="Times New Roman" w:cs="Times New Roman" w:eastAsia="Times New Roman" w:hAnsi="Times New Roman"/>
          <w:sz w:val="18"/>
          <w:szCs w:val="18"/>
          <w:color w:val="auto"/>
        </w:rPr>
      </w:pPr>
    </w:p>
    <w:p>
      <w:pPr>
        <w:ind w:left="1420" w:right="68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1603 Orrington Avenue, Suite 1005 Evanston, IL 60201</w:t>
      </w:r>
    </w:p>
    <w:p>
      <w:pPr>
        <w:ind w:left="1420" w:right="7500"/>
        <w:spacing w:after="0" w:line="3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Edward H. Ross With a copy to:</w:t>
      </w:r>
    </w:p>
    <w:p>
      <w:pPr>
        <w:ind w:left="1420" w:right="69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Eversheds Sutherland (US) LLP 700 6th St. NW Washington, D.C. 20001 Attention: Payam Siadatpour, Esq.</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at the time delivered by hand, if personally delivered; five Business Days after being deposited in the mail, postage prepaid, if mailed; when receipt acknowledged, if sent by facsimile; and on the next Business Day, if timely delivered to an air courier guaranteeing overnight delivery.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440" w:top="268" w:right="579" w:bottom="1440" w:gutter="0" w:footer="0" w:header="0"/>
        </w:sectPr>
      </w:pPr>
    </w:p>
    <w:bookmarkStart w:id="20" w:name="page21"/>
    <w:bookmarkEnd w:id="20"/>
    <w:p>
      <w:pPr>
        <w:ind w:right="100" w:firstLine="436"/>
        <w:spacing w:after="0" w:line="261" w:lineRule="auto"/>
        <w:tabs>
          <w:tab w:leader="none" w:pos="6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Successors and Assigns. </w:t>
      </w:r>
      <w:r>
        <w:rPr>
          <w:rFonts w:ascii="Times New Roman" w:cs="Times New Roman" w:eastAsia="Times New Roman" w:hAnsi="Times New Roman"/>
          <w:sz w:val="18"/>
          <w:szCs w:val="18"/>
          <w:color w:val="auto"/>
        </w:rPr>
        <w:t>This Agreement shall inure to the benefit of and be binding upon the successors and assigns of each of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without the need for an express assignment, subsequent Holders of Registrable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Agreement shall not inure to the benefit of or be binding upon a successor or assign of a Holder unless and to the extent such successor or assign acquired Registrable Notes from such Holder.</w:t>
      </w:r>
    </w:p>
    <w:p>
      <w:pPr>
        <w:spacing w:after="0" w:line="71"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each of which shall be an original and all of which together shall constitute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in this Agreement are for convenience of reference only and shall not limit or otherwise affect the meaning hereof.</w:t>
      </w:r>
    </w:p>
    <w:p>
      <w:pPr>
        <w:spacing w:after="0" w:line="117" w:lineRule="exact"/>
        <w:rPr>
          <w:rFonts w:ascii="Times New Roman" w:cs="Times New Roman" w:eastAsia="Times New Roman" w:hAnsi="Times New Roman"/>
          <w:sz w:val="18"/>
          <w:szCs w:val="18"/>
          <w:color w:val="auto"/>
        </w:rPr>
      </w:pPr>
    </w:p>
    <w:p>
      <w:pPr>
        <w:ind w:firstLine="436"/>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 AND IN ACCORDANCE WITH THE APPLICABLE PROVISIONS OF THE INVESTMENT COMPANY ACT, WITHOUT REGARD TO THE CONFLICTS OF LAW RULES THEREOF. TO THE EXTENT THE APPLICABLE PROVISIONS OF THE LAWS OF THE STATE OF NEW YORK, OR ANY OF THE PROVISIONS HEREIN, CONFLICT THE PROVISIONS OF THE INVESTMENT COMPANY ACT, THE LATTER SHALL CONTROL.</w:t>
      </w:r>
    </w:p>
    <w:p>
      <w:pPr>
        <w:spacing w:after="0" w:line="75" w:lineRule="exact"/>
        <w:rPr>
          <w:rFonts w:ascii="Times New Roman" w:cs="Times New Roman" w:eastAsia="Times New Roman" w:hAnsi="Times New Roman"/>
          <w:sz w:val="18"/>
          <w:szCs w:val="18"/>
          <w:color w:val="auto"/>
        </w:rPr>
      </w:pPr>
    </w:p>
    <w:p>
      <w:pPr>
        <w:ind w:right="20" w:firstLine="436"/>
        <w:spacing w:after="0" w:line="26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Severability. </w:t>
      </w:r>
      <w:r>
        <w:rPr>
          <w:rFonts w:ascii="Times New Roman" w:cs="Times New Roman" w:eastAsia="Times New Roman" w:hAnsi="Times New Roman"/>
          <w:sz w:val="18"/>
          <w:szCs w:val="18"/>
          <w:color w:val="auto"/>
        </w:rPr>
        <w:t>In the event that any one or more of the provisions contained herein, or the application thereof in any circumstance, is held invalid,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illegal or unenforceable, the validity, legality and enforceability of any such provision in every other respect and of the remaining provisions contained herein shall not be affected or impaired thereby.</w:t>
      </w:r>
    </w:p>
    <w:p>
      <w:pPr>
        <w:spacing w:after="0" w:line="65"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Entire Agreement. </w:t>
      </w:r>
      <w:r>
        <w:rPr>
          <w:rFonts w:ascii="Times New Roman" w:cs="Times New Roman" w:eastAsia="Times New Roman" w:hAnsi="Times New Roman"/>
          <w:sz w:val="18"/>
          <w:szCs w:val="18"/>
          <w:color w:val="auto"/>
        </w:rPr>
        <w:t>This Agreement is intended by the parties as a final expression of their agreement and intended to be a complete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w:t>
      </w:r>
    </w:p>
    <w:p>
      <w:pPr>
        <w:spacing w:after="0" w:line="75" w:lineRule="exact"/>
        <w:rPr>
          <w:rFonts w:ascii="Times New Roman" w:cs="Times New Roman" w:eastAsia="Times New Roman" w:hAnsi="Times New Roman"/>
          <w:sz w:val="18"/>
          <w:szCs w:val="18"/>
          <w:color w:val="auto"/>
        </w:rPr>
      </w:pPr>
    </w:p>
    <w:p>
      <w:pPr>
        <w:ind w:right="160" w:firstLine="436"/>
        <w:spacing w:after="0" w:line="26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Beneficiaries. </w:t>
      </w:r>
      <w:r>
        <w:rPr>
          <w:rFonts w:ascii="Times New Roman" w:cs="Times New Roman" w:eastAsia="Times New Roman" w:hAnsi="Times New Roman"/>
          <w:sz w:val="18"/>
          <w:szCs w:val="18"/>
          <w:color w:val="auto"/>
        </w:rPr>
        <w:t>Each Holder shall be a third-party beneficiary to the agreements made hereunder between the Company,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Purchasers, on the other hand, and shall have the right to enforce such agreements directly to the extent it deems such enforcement necessary or advisable to protect its rights or the rights of other Holders hereunder.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8"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FIDUS INVESTMENT CORPORATION</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Shelby E. Sherard</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Chief Financial Officer, Chief Compliance</w:t>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 and Secretary</w:t>
      </w:r>
    </w:p>
    <w:p>
      <w:pPr>
        <w:spacing w:after="0" w:line="234" w:lineRule="exact"/>
        <w:rPr>
          <w:sz w:val="20"/>
          <w:szCs w:val="20"/>
          <w:color w:val="auto"/>
        </w:rPr>
      </w:pPr>
    </w:p>
    <w:p>
      <w:pPr>
        <w:ind w:left="3220" w:right="180" w:firstLine="3306"/>
        <w:spacing w:after="0" w:line="470" w:lineRule="auto"/>
        <w:rPr>
          <w:sz w:val="20"/>
          <w:szCs w:val="20"/>
          <w:color w:val="auto"/>
        </w:rPr>
      </w:pPr>
      <w:r>
        <w:rPr>
          <w:rFonts w:ascii="Times New Roman" w:cs="Times New Roman" w:eastAsia="Times New Roman" w:hAnsi="Times New Roman"/>
          <w:sz w:val="18"/>
          <w:szCs w:val="18"/>
          <w:color w:val="auto"/>
        </w:rPr>
        <w:t>[Purchasers’ Signatory Information Redacted] [</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040"/>
          </w:cols>
          <w:pgMar w:left="880" w:top="270" w:right="97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REDEMPTION TO THE HOLDERS OF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Notes due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Fidus Investment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No. 316500 AC1)*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Date: June 29, 2026</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NOTICE IS HEREBY GIVEN, pursuant to Section 1104 of the indenture, dated as of February 2, 2018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by and between Fidus Investment Corporation,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(as successor in interest to U.S. Bank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Section 1.01(h) of the fifth supplemental indenture, dated as of October 8, 2021, by and between the Company and the Trustee (the “</w:t>
      </w:r>
      <w:r>
        <w:rPr>
          <w:rFonts w:ascii="Times New Roman" w:cs="Times New Roman" w:eastAsia="Times New Roman" w:hAnsi="Times New Roman"/>
          <w:sz w:val="18"/>
          <w:szCs w:val="18"/>
          <w:u w:val="single" w:color="auto"/>
          <w:color w:val="auto"/>
        </w:rPr>
        <w:t>Fifth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that the Company is electing to exercise its option to redeem, in part, the 3.50% Notes due 2026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Company will redeem $125,000,000 in aggregate principal amount of the issued and outstanding Notes on June 29, 2026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The redemption price for the Notes equals 100% of the $125,000,000 aggregate principal amount of the Notes being redeemed, plus (i) the accrued and unpaid interest thereon through, but excluding, the Redemption Date and (ii) the sum of the present values of the remaining scheduled payments of principal and interest (exclusive of accrued and unpaid interest to the Redemption Date) on the Notes to be redeemed, discounted to the Redemption Date on a semi-annual basis (assuming a 360-day year consisting of twelve 30-day months) using the applicable Treasury Rate plus 50 basis points (the “</w:t>
      </w:r>
      <w:r>
        <w:rPr>
          <w:rFonts w:ascii="Times New Roman" w:cs="Times New Roman" w:eastAsia="Times New Roman" w:hAnsi="Times New Roman"/>
          <w:sz w:val="18"/>
          <w:szCs w:val="18"/>
          <w:u w:val="single" w:color="auto"/>
          <w:color w:val="auto"/>
        </w:rPr>
        <w:t>make-whole premium</w:t>
      </w:r>
      <w:r>
        <w:rPr>
          <w:rFonts w:ascii="Times New Roman" w:cs="Times New Roman" w:eastAsia="Times New Roman" w:hAnsi="Times New Roman"/>
          <w:sz w:val="18"/>
          <w:szCs w:val="18"/>
          <w:color w:val="auto"/>
        </w:rPr>
        <w:t>” and together with the accrued and unpaid interest payable,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(for the avoidance of doubt, the foregoing Redemption Price will be calculated based on the assumption that the principal amount of the Notes was due on August 15, 2026, and that the final interest payment on the Notes was for the period from and including May 15, 2026, to but excluding August 15, 2026). The aggregate accrued interest on the Notes being redeemed that is payable on the Redemption Date will be approximately $534,722.22. For purposes of calculating the make-whole premium that is payable on the Redemption Date, the following terms have the meanings set forth below:</w:t>
      </w:r>
    </w:p>
    <w:p>
      <w:pPr>
        <w:spacing w:after="0" w:line="196" w:lineRule="exact"/>
        <w:rPr>
          <w:sz w:val="20"/>
          <w:szCs w:val="20"/>
          <w:color w:val="auto"/>
        </w:rPr>
      </w:pPr>
    </w:p>
    <w:p>
      <w:pPr>
        <w:ind w:right="640" w:firstLine="440"/>
        <w:spacing w:after="0" w:line="289" w:lineRule="auto"/>
        <w:rPr>
          <w:sz w:val="20"/>
          <w:szCs w:val="20"/>
          <w:color w:val="auto"/>
        </w:rPr>
      </w:pPr>
      <w:r>
        <w:rPr>
          <w:rFonts w:ascii="Times New Roman" w:cs="Times New Roman" w:eastAsia="Times New Roman" w:hAnsi="Times New Roman"/>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58"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“Comparable Treasury Price” means (1) the average of the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“Quotation Agent” means a Reference Treasury Dealer selected by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Treasury Dealer” means each of any four primary U.S. government securities dealers selected by the Company.</w:t>
      </w:r>
    </w:p>
    <w:p>
      <w:pPr>
        <w:sectPr>
          <w:pgSz w:w="11900" w:h="16838" w:orient="portrait"/>
          <w:cols w:equalWidth="0" w:num="1">
            <w:col w:w="11020"/>
          </w:cols>
          <w:pgMar w:left="440" w:top="117" w:right="439" w:bottom="1440" w:gutter="0" w:footer="0" w:header="0"/>
        </w:sectPr>
      </w:pPr>
    </w:p>
    <w:bookmarkStart w:id="23" w:name="page24"/>
    <w:bookmarkEnd w:id="23"/>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 All determinations made by any Reference Treasury Dealer, including the Quotation Agent, with respect to determining the Redemption Price will be final and binding absent manifest error.</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Redemption Date, the Redemption Payment will become due and payable to the holders of the Notes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Interest on the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$125,000,000 in principal amount of Notes being redeemed will cease to accrue on and after the Redemption Date. Unless the Company defaults in paying the Redemption Payment with respect to such Notes, the only remaining right of the Holders with respect to such Notes will be to receive payment of the Redemption Payment upon presentation and surrender of such Notes to the Trustee in its capacity as Paying Agent. Notes held in book-entry form will be redeemed and the Redemption Payment with respect to such Notes will be paid in accordance with the applicable procedures of The Depository Trust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 ascribed to them in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Questions relating to this notice of redemption should be directed to U.S. Bank Trust Company, National Association via telephone at 1-800-934-6802.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the Redemption Payment to the Holders will be made upon presentation and surrender of the Notes in the following manner:</w:t>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u w:val="single" w:color="auto"/>
          <w:color w:val="auto"/>
        </w:rPr>
        <w:t>If by Mail, Hand or Overnight Mail:</w:t>
      </w:r>
    </w:p>
    <w:p>
      <w:pPr>
        <w:spacing w:after="0" w:line="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Corporate Trust Services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111 Fillmore Avenue 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 Paul, MN 55107</w:t>
      </w:r>
    </w:p>
    <w:p>
      <w:pPr>
        <w:sectPr>
          <w:pgSz w:w="11900" w:h="16838" w:orient="portrait"/>
          <w:cols w:equalWidth="0" w:num="1">
            <w:col w:w="10880"/>
          </w:cols>
          <w:pgMar w:left="440" w:top="270" w:right="579" w:bottom="1440" w:gutter="0" w:footer="0" w:header="0"/>
        </w:sectPr>
      </w:pPr>
    </w:p>
    <w:bookmarkStart w:id="24" w:name="page25"/>
    <w:bookmarkEnd w:id="24"/>
    <w:p>
      <w:pPr>
        <w:ind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CUSIP number has been assigned to this issue by organizations not affiliated with the Company or the Trustee and is included solely for the convenience of the Holders. Neither the Company nor the Trustee shall be responsible for the selection or use of this CUSIP number, nor is any representation made as to the correctness or accuracy of the same on the Notes or as indicated in this Notice of Redemption.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U.S. federal income tax law, the Trustee or other withholding agent may be required to backup withhold at a rate of twenty-four percent (24%) on any gross payment to a holder who is not otherwise exempt from backup withholding, such as a corporation, and who fails to provide a taxpayer identification number and other required certifications. To avoid backup withholding, please complete a Form W-9 or an appropriate Form W-8, as applicable, which should be furnished in connection with the presentment and surrender of the Notes called for redemption. Any amounts withheld under the backup withholding rules will be allowed as a refund or a credit against a holder’s U.S. federal income tax liability provided that such holder timely provides certain required information to the Internal Revenue Service. Holders should consult their tax advisors regarding the withholding and other tax consequences of the redemption.</w:t>
      </w:r>
    </w:p>
    <w:p>
      <w:pPr>
        <w:spacing w:after="0" w:line="2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Fidus Investment Corporation</w:t>
      </w:r>
    </w:p>
    <w:p>
      <w:pPr>
        <w:spacing w:after="0" w:line="29" w:lineRule="exact"/>
        <w:rPr>
          <w:sz w:val="20"/>
          <w:szCs w:val="20"/>
          <w:color w:val="auto"/>
        </w:rPr>
      </w:pPr>
    </w:p>
    <w:p>
      <w:pPr>
        <w:ind w:left="5740" w:right="440" w:hanging="5736"/>
        <w:spacing w:after="0" w:line="260" w:lineRule="auto"/>
        <w:tabs>
          <w:tab w:leader="none" w:pos="5720" w:val="left"/>
        </w:tabs>
        <w:rPr>
          <w:sz w:val="20"/>
          <w:szCs w:val="20"/>
          <w:color w:val="auto"/>
        </w:rPr>
      </w:pPr>
      <w:r>
        <w:rPr>
          <w:rFonts w:ascii="Times New Roman" w:cs="Times New Roman" w:eastAsia="Times New Roman" w:hAnsi="Times New Roman"/>
          <w:sz w:val="18"/>
          <w:szCs w:val="18"/>
          <w:color w:val="auto"/>
        </w:rPr>
        <w:t>Dated: May 29, 2026</w:t>
      </w:r>
      <w:r>
        <w:rPr>
          <w:sz w:val="20"/>
          <w:szCs w:val="20"/>
          <w:color w:val="auto"/>
        </w:rPr>
        <w:tab/>
      </w:r>
      <w:r>
        <w:rPr>
          <w:rFonts w:ascii="Times New Roman" w:cs="Times New Roman" w:eastAsia="Times New Roman" w:hAnsi="Times New Roman"/>
          <w:sz w:val="18"/>
          <w:szCs w:val="18"/>
          <w:b w:val="1"/>
          <w:bCs w:val="1"/>
          <w:color w:val="auto"/>
        </w:rPr>
        <w:t>By: U.S. Bank Trust Company, National Association</w:t>
      </w:r>
      <w:r>
        <w:rPr>
          <w:rFonts w:ascii="Times New Roman" w:cs="Times New Roman" w:eastAsia="Times New Roman" w:hAnsi="Times New Roman"/>
          <w:sz w:val="18"/>
          <w:szCs w:val="18"/>
          <w:color w:val="auto"/>
        </w:rPr>
        <w:t>, as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Paying Agent</w:t>
      </w:r>
    </w:p>
    <w:sectPr>
      <w:pgSz w:w="11900" w:h="16838" w:orient="portrait"/>
      <w:cols w:equalWidth="0" w:num="1">
        <w:col w:w="10980"/>
      </w:cols>
      <w:pgMar w:left="440" w:top="2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2"/>
    </w:lvl>
  </w:abstractNum>
  <w:abstractNum w:abstractNumId="4">
    <w:nsid w:val="3352255A"/>
    <w:multiLevelType w:val="hybridMultilevel"/>
    <w:lvl w:ilvl="0">
      <w:lvlJc w:val="left"/>
      <w:lvlText w:val="(%1)"/>
      <w:numFmt w:val="lowerLetter"/>
      <w:start w:val="1"/>
    </w:lvl>
    <w:lvl w:ilvl="1">
      <w:lvlJc w:val="left"/>
      <w:lvlText w:val="(%2)"/>
      <w:numFmt w:val="lowerLetter"/>
      <w:start w:val="24"/>
    </w:lvl>
  </w:abstractNum>
  <w:abstractNum w:abstractNumId="5">
    <w:nsid w:val="109CF92E"/>
    <w:multiLevelType w:val="hybridMultilevel"/>
    <w:lvl w:ilvl="0">
      <w:lvlJc w:val="left"/>
      <w:lvlText w:val="(%1)"/>
      <w:numFmt w:val="lowerLetter"/>
      <w:start w:val="61"/>
    </w:lvl>
    <w:lvl w:ilvl="1">
      <w:lvlJc w:val="left"/>
      <w:lvlText w:val="(%2)"/>
      <w:numFmt w:val="lowerLetter"/>
      <w:start w:val="25"/>
    </w:lvl>
  </w:abstractNum>
  <w:abstractNum w:abstractNumId="6">
    <w:nsid w:val="DED7263"/>
    <w:multiLevelType w:val="hybridMultilevel"/>
    <w:lvl w:ilvl="0">
      <w:lvlJc w:val="left"/>
      <w:lvlText w:val="(%1)"/>
      <w:numFmt w:val="lowerLetter"/>
      <w:start w:val="2"/>
    </w:lvl>
  </w:abstractNum>
  <w:abstractNum w:abstractNumId="7">
    <w:nsid w:val="7FDCC233"/>
    <w:multiLevelType w:val="hybridMultilevel"/>
    <w:lvl w:ilvl="0">
      <w:lvlJc w:val="left"/>
      <w:lvlText w:val="(%1)"/>
      <w:numFmt w:val="upperLetter"/>
      <w:start w:val="1"/>
    </w:lvl>
  </w:abstractNum>
  <w:abstractNum w:abstractNumId="8">
    <w:nsid w:val="1BEFD79F"/>
    <w:multiLevelType w:val="hybridMultilevel"/>
    <w:lvl w:ilvl="0">
      <w:lvlJc w:val="left"/>
      <w:lvlText w:val="(%1)"/>
      <w:numFmt w:val="lowerLetter"/>
      <w:start w:val="1"/>
    </w:lvl>
    <w:lvl w:ilvl="1">
      <w:lvlJc w:val="left"/>
      <w:lvlText w:val="(%2)"/>
      <w:numFmt w:val="lowerRoman"/>
      <w:start w:val="1"/>
    </w:lvl>
  </w:abstractNum>
  <w:abstractNum w:abstractNumId="9">
    <w:nsid w:val="41A7C4C9"/>
    <w:multiLevelType w:val="hybridMultilevel"/>
    <w:lvl w:ilvl="0">
      <w:lvlJc w:val="left"/>
      <w:lvlText w:val="%1"/>
      <w:numFmt w:val="upperLetter"/>
      <w:start w:val="1"/>
    </w:lvl>
    <w:lvl w:ilvl="1">
      <w:lvlJc w:val="left"/>
      <w:lvlText w:val="(%2)"/>
      <w:numFmt w:val="lowerRoman"/>
      <w:start w:val="3"/>
    </w:lvl>
  </w:abstractNum>
  <w:abstractNum w:abstractNumId="10">
    <w:nsid w:val="6B68079A"/>
    <w:multiLevelType w:val="hybridMultilevel"/>
    <w:lvl w:ilvl="0">
      <w:lvlJc w:val="left"/>
      <w:lvlText w:val="(%1)"/>
      <w:numFmt w:val="upperLetter"/>
      <w:start w:val="1"/>
    </w:lvl>
    <w:lvl w:ilvl="1">
      <w:lvlJc w:val="left"/>
      <w:lvlText w:val="(%2)"/>
      <w:numFmt w:val="lowerRoman"/>
      <w:start w:val="5"/>
    </w:lvl>
  </w:abstractNum>
  <w:abstractNum w:abstractNumId="11">
    <w:nsid w:val="4E6AFB66"/>
    <w:multiLevelType w:val="hybridMultilevel"/>
    <w:lvl w:ilvl="0">
      <w:lvlJc w:val="left"/>
      <w:lvlText w:val="(%1)"/>
      <w:numFmt w:val="lowerRoman"/>
      <w:start w:val="6"/>
    </w:lvl>
  </w:abstractNum>
  <w:abstractNum w:abstractNumId="12">
    <w:nsid w:val="25E45D32"/>
    <w:multiLevelType w:val="hybridMultilevel"/>
    <w:lvl w:ilvl="0">
      <w:lvlJc w:val="left"/>
      <w:lvlText w:val="(%1)"/>
      <w:numFmt w:val="lowerRoman"/>
      <w:start w:val="10"/>
    </w:lvl>
    <w:lvl w:ilvl="1">
      <w:lvlJc w:val="left"/>
      <w:lvlText w:val="(%2)"/>
      <w:numFmt w:val="upperLetter"/>
      <w:start w:val="1"/>
    </w:lvl>
    <w:lvl w:ilvl="2">
      <w:lvlJc w:val="left"/>
      <w:lvlText w:val="(%3)"/>
      <w:numFmt w:val="decimal"/>
      <w:start w:val="1"/>
    </w:lvl>
  </w:abstractNum>
  <w:abstractNum w:abstractNumId="13">
    <w:nsid w:val="519B500D"/>
    <w:multiLevelType w:val="hybridMultilevel"/>
    <w:lvl w:ilvl="0">
      <w:lvlJc w:val="left"/>
      <w:lvlText w:val="(%1)"/>
      <w:numFmt w:val="lowerRoman"/>
      <w:start w:val="11"/>
    </w:lvl>
  </w:abstractNum>
  <w:abstractNum w:abstractNumId="14">
    <w:nsid w:val="431BD7B7"/>
    <w:multiLevelType w:val="hybridMultilevel"/>
    <w:lvl w:ilvl="0">
      <w:lvlJc w:val="left"/>
      <w:lvlText w:val="(%1)"/>
      <w:numFmt w:val="lowerRoman"/>
      <w:start w:val="13"/>
    </w:lvl>
  </w:abstractNum>
  <w:abstractNum w:abstractNumId="15">
    <w:nsid w:val="3F2DBA31"/>
    <w:multiLevelType w:val="hybridMultilevel"/>
    <w:lvl w:ilvl="0">
      <w:lvlJc w:val="left"/>
      <w:lvlText w:val="(%1)"/>
      <w:numFmt w:val="decimal"/>
      <w:start w:val="2"/>
    </w:lvl>
  </w:abstractNum>
  <w:abstractNum w:abstractNumId="16">
    <w:nsid w:val="7C83E458"/>
    <w:multiLevelType w:val="hybridMultilevel"/>
    <w:lvl w:ilvl="0">
      <w:lvlJc w:val="left"/>
      <w:lvlText w:val="(%1)"/>
      <w:numFmt w:val="lowerRoman"/>
      <w:start w:val="16"/>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Letter"/>
      <w:start w:val="1"/>
    </w:lvl>
    <w:lvl w:ilvl="1">
      <w:lvlJc w:val="left"/>
      <w:lvlText w:val="(%2)"/>
      <w:numFmt w:val="lowerRoman"/>
      <w:start w:val="1"/>
    </w:lvl>
  </w:abstractNum>
  <w:abstractNum w:abstractNumId="20">
    <w:nsid w:val="628C895D"/>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2026-05-29T16:58:41Z</dcterms:created>
  <dcterms:modified xsi:type="dcterms:W3CDTF">2026-05-29T16:58:41Z</dcterms:modified>
</cp:coreProperties>
</file>