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us-20260806.htm"/>
      <w:bookmarkStart w:id="1" w:name="ksfdus20260806"/>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File No. 333-293856</w:t>
      </w:r>
    </w:p>
    <w:p>
      <w:pPr>
        <w:pStyle w:val="TextBody"/>
        <w:bidi w:val="0"/>
        <w:jc w:val="right"/>
        <w:rPr/>
      </w:pPr>
      <w:r>
        <w:rPr/>
        <w:t> </w:t>
      </w:r>
    </w:p>
    <w:p>
      <w:pPr>
        <w:pStyle w:val="TextBody"/>
        <w:bidi w:val="0"/>
        <w:jc w:val="right"/>
        <w:rPr/>
      </w:pPr>
      <w:r>
        <w:rPr/>
        <w:t> </w:t>
      </w:r>
    </w:p>
    <w:p>
      <w:pPr>
        <w:pStyle w:val="TextBody"/>
        <w:bidi w:val="0"/>
        <w:jc w:val="center"/>
        <w:rPr/>
      </w:pPr>
      <w:r>
        <w:rPr/>
        <w:drawing>
          <wp:inline distT="0" distB="0" distL="0" distR="0">
            <wp:extent cx="13811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6953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 to $400,000,000</w:t>
      </w:r>
    </w:p>
    <w:p>
      <w:pPr>
        <w:pStyle w:val="TextBody"/>
        <w:bidi w:val="0"/>
        <w:jc w:val="center"/>
        <w:rPr>
          <w:rFonts w:ascii="Times New Roman" w:hAnsi="Times New Roman"/>
          <w:b/>
          <w:color w:val="000000"/>
          <w:sz w:val="20"/>
        </w:rPr>
      </w:pPr>
      <w:r>
        <w:rPr>
          <w:rFonts w:ascii="Times New Roman" w:hAnsi="Times New Roman"/>
          <w:b/>
          <w:color w:val="000000"/>
          <w:sz w:val="20"/>
        </w:rPr>
        <w:t>Common Stock</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Supplement No. 1, dated August 6, 2026</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Prospectus, dated February 27, 2026</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Prospectus Supplement, dated March 2, 2026</w:t>
      </w:r>
    </w:p>
    <w:p>
      <w:pPr>
        <w:pStyle w:val="TextBody"/>
        <w:bidi w:val="0"/>
        <w:spacing w:before="0" w:after="180"/>
        <w:jc w:val="both"/>
        <w:rPr>
          <w:rFonts w:ascii="Times New Roman" w:hAnsi="Times New Roman"/>
          <w:color w:val="000000"/>
          <w:sz w:val="20"/>
        </w:rPr>
      </w:pPr>
      <w:bookmarkStart w:id="2" w:name="ole_link1"/>
      <w:bookmarkStart w:id="3" w:name="ole_link3"/>
      <w:bookmarkEnd w:id="2"/>
      <w:bookmarkEnd w:id="3"/>
      <w:r>
        <w:rPr>
          <w:rFonts w:ascii="Times New Roman" w:hAnsi="Times New Roman"/>
          <w:color w:val="000000"/>
          <w:sz w:val="20"/>
        </w:rPr>
        <w:t>This supplement amends, supplements or modifies certain information contained in the prospectus supplement, dated March 2, 2026 (the “ATM Prospectus Supplement”), and the accompanying prospectus, dated February 27, 2026 (the “Base Prospectus” and together with the ATM Prospectus Supplement and the documents deemed incorporated by reference in each, the “Prospectus”), which relate to the sale of shares of common stock of Fidus Investment Corporation in an “at-the-market” offering (the “ATM Program”) pursuant to the equity distribution agreement, dated November 10, 2022 and as amended from time to time, with Raymond James &amp; Associates, Inc. (“Raymond James”) and B. Riley Securities, Inc. (“B. Riley” and together with Raymond James, the “Sales Agents”). Capitalized terms used but not defined herein shall have the same meaning given them in the ATM Prospectus Supplement.</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You should carefully read the entire Prospectus and this supplement before investing in our common stock. This supplement should be read in conjunction with the Prospectus. </w:t>
      </w:r>
      <w:r>
        <w:rPr>
          <w:rFonts w:ascii="Times New Roman" w:hAnsi="Times New Roman"/>
          <w:b/>
          <w:i/>
          <w:color w:val="000000"/>
          <w:sz w:val="20"/>
        </w:rPr>
        <w:t>You should also carefully consider the information set forth under the sections titled “Risk Factors” on page 9 of the Base Prospectus and in our Annual Report on Form 10-K for the fiscal year ended December 31, 2025, which is incorporated by reference into the Prospectus, as well as in our subsequent filings with the U.S. Securities and Exchange Commission (“SEC”) that are incorporated into the Prospectus, before investing in our common stock.</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STATUS OF THE “AT-THE-MARKET” OFFERING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From November 10, 2022 to June 30, 2026, we sold a total of 13,300,342 shares of our common stock under the ATM Program for gross proceeds of approximately $265.2 million and net proceeds of approximately $261.8 million, after deducting commissions to the Sales Agents on shares sold and offering expenses.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August 4, 2026, approximately $134.8 million in aggregate amount of our common stock remains available for sale under the ATM Program.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FEES AND EXPENSES</w:t>
      </w:r>
    </w:p>
    <w:p>
      <w:pPr>
        <w:pStyle w:val="TextBody"/>
        <w:bidi w:val="0"/>
        <w:jc w:val="both"/>
        <w:rPr>
          <w:rFonts w:ascii="Times New Roman" w:hAnsi="Times New Roman"/>
          <w:color w:val="000000"/>
          <w:sz w:val="20"/>
        </w:rPr>
      </w:pPr>
      <w:r>
        <w:rPr>
          <w:rFonts w:ascii="Times New Roman" w:hAnsi="Times New Roman"/>
          <w:color w:val="000000"/>
          <w:sz w:val="20"/>
        </w:rPr>
        <w:t>The following table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supplement contains a reference to fees or expenses paid by “us” or that “we” will pay fees or expenses, common stockholders will indirectly bear such fees or expenses.</w:t>
      </w:r>
    </w:p>
    <w:p>
      <w:pPr>
        <w:pStyle w:val="TextBody"/>
        <w:bidi w:val="0"/>
        <w:jc w:val="both"/>
        <w:rPr/>
      </w:pPr>
      <w:r>
        <w:rPr/>
        <w:t> </w:t>
      </w:r>
    </w:p>
    <w:tbl>
      <w:tblPr>
        <w:tblW w:w="8445" w:type="dxa"/>
        <w:jc w:val="left"/>
        <w:tblInd w:w="0" w:type="dxa"/>
        <w:tblLayout w:type="fixed"/>
        <w:tblCellMar>
          <w:top w:w="28" w:type="dxa"/>
          <w:left w:w="28" w:type="dxa"/>
          <w:bottom w:w="28" w:type="dxa"/>
          <w:right w:w="28" w:type="dxa"/>
        </w:tblCellMar>
      </w:tblPr>
      <w:tblGrid>
        <w:gridCol w:w="6916"/>
        <w:gridCol w:w="146"/>
        <w:gridCol w:w="571"/>
        <w:gridCol w:w="331"/>
        <w:gridCol w:w="481"/>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 transaction expenses:</w:t>
            </w:r>
          </w:p>
        </w:tc>
        <w:tc>
          <w:tcPr>
            <w:tcW w:w="71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load (as a percentage of offering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expenses borne by us (as a percentage of offering price)</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reinvestment plan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 transaction expenses paid by us (as a percentage of offering price)</w:t>
            </w:r>
          </w:p>
        </w:tc>
        <w:tc>
          <w:tcPr>
            <w:tcW w:w="14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3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Annual expenses (as a percentage of net assets attributable to common stock) </w:t>
            </w:r>
            <w:r>
              <w:rPr>
                <w:rFonts w:ascii="Times New Roman" w:hAnsi="Times New Roman"/>
                <w:b/>
                <w:color w:val="000000"/>
                <w:sz w:val="13"/>
              </w:rPr>
              <w:t>(4)</w:t>
            </w:r>
            <w:r>
              <w:rPr>
                <w:rFonts w:ascii="Times New Roman" w:hAnsi="Times New Roman"/>
                <w:b/>
                <w:color w:val="000000"/>
                <w:sz w:val="20"/>
              </w:rPr>
              <w:t>:</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payable under Investment Advisory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 on borrowed funds</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annual expenses, before base management fee waiver</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331"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 waiver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6916" w:type="dxa"/>
            <w:tcBorders/>
            <w:shd w:fill="CCEB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annual expenses, net of base management fee waiver</w:t>
            </w:r>
          </w:p>
        </w:tc>
        <w:tc>
          <w:tcPr>
            <w:tcW w:w="14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33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CEB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the Sales Agents’ commission of up to 1.50% with respect to the shares of common stock being sold in this offering. There is no guarantee that there will be any additional sales of our common stock pursuant to the Prospectus.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offering expenses of this offering are estimated to be approximately $1.4 million, of which we have incurred $1.0 million as of August 4, 2026.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expenses of administering our dividend reinvestment plan are included in other expenses.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pPr>
      <w:r>
        <w:rPr>
          <w:rFonts w:ascii="Times New Roman" w:hAnsi="Times New Roman"/>
          <w:color w:val="000000"/>
          <w:sz w:val="20"/>
        </w:rPr>
        <w:t>Net assets attributable to common stock equals average net assets, which is calculated as the average of the net assets balances for the six months ended June 30, 2026.</w:t>
      </w: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base management fee is 1.75% of the average value of our total assets (other than cash and cash equivalents but including assets purchased with borrowed amounts). This item represents actual base management fees incurred for the six months ended June 30, 2026. We may from time to time decide it is appropriate to change the terms of the investment advisory and management agreement (the “Investment Advisory Agreement”) by and between the Company and Fidus Investment Advisors, LLC (the “Adviser”). Under the 1940 Act, any material change to our Investment Advisory Agreement must be submitted to stockholders for approval. The 3.28% reflected in the table is calculated on our net assets (rather than our total assets). See Part I, Item 1. “Business—Management and Other Agreements—Investment Advisory Agreement” in our most recent Annual Report on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represents actual fees incurred on pre-incentive fee net investment income (income incentive fee) and actual fees payable for the capital gains incentive fee for the six months ended June 30, 2026. As of June 30, 2026, there were no capital gains incentive fees payable in cash. For the six months ended June 30, 2026, we accrued capital gains incentive fees (reversal) of $(0.7) million in accordance with generally accepted accounting principles in the United States (“U.S. GAAP”), which equals (0.09)% of average net assets attributable to common stock; such amount has not been included in the estimated expenses figure reflected in the table above.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the Adviser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the Adviser will receive 20.0% of our pre-incentive fee net investment income as if a hurdle rate did not apply.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a hypothetical liquidation based on the fair value of investments as of that date), which differs from the calculation of the amount payable in cash by the inclusion of unrealized capital appreciation. See Part I, Item 1. “Business—Management and Other Agreements—Investment Advisory Agreement” in our most recent Annual Report on Form 10-K.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we had outstanding SBA debentures of $296.0 million; we had $120.0 million outstanding of our 6.625% notes due 2029 (the “June 2029 Notes”); we had $200.0 million outstanding of our 6.75% notes due 2030 (the “March 2030 Notes” and together with the June 2029 Notes, the “Notes”); we had secured borrowings outstanding of $11.1 million; we had outstanding borrowings of $112.7 million under our special purpose vehicle credit facility with ING Capital, LLC and certain other lenders (the “SPV Credit Facility”), which has a total commitment of $225.0 million. Interest payments on borrowed funds is based on (a) estimated annual interest and fee expenses on outstanding SBA debentures, the Notes, secured borrowings, and borrowings under the SPV Credit Facility as of June 30, 2026 with a weighted average stated interest rate of 5.776% as of that date and (b) the payment of a commitment fee that varies depending on the size of the unused portion of the SPV Credit Facility as follows: (i) if the utilized portion of the aggregate commitments as of the close of business on such day is less than 35% of the aggregate commitments (the “Minimum Utilization Amount”), the commitment fee will equal the sum of (A) the then applicable margin multiplied by the Minimum Utilization Amount minus the aggregate outstanding principal balance of the advances on such day and (B) 0.50% multiplied by 65% of the commitments and (ii) if the utilized portion of the aggregate commitments is greater than or equal to the Minimum Utilization Amount, the commitment fee will equal 0.50% multiplied by the unused amount of the commitments. We have estimated the annual interest expense on borrowed funds and caution you that our actual interest expense will depend on prevailing interest rates and our rate of borrowing, which may be substantially higher than the estimate provided in this table.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expenses represent our estimated annual operating expenses, as a percentage of net assets attributable to common shares estimated for the six months ended June 30, 2026, including professional fees, directors’ fees, insurance costs, expenses of our dividend reinvestment plan and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Part I, Item 1. “Business —Management and Other Agreements—Administration Agreement” in our most recent Annual Report on Form 10-K. Other expenses exclude interest payments on borrowed funds, and for issuances of debt securities or preferred stock, interest payments on debt securities and distributions with respect to preferred stock. “Other expenses” are based on actual other expenses for the six months ended June 30,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color w:val="000000"/>
        </w:rPr>
      </w:pPr>
      <w:r>
        <w:rPr>
          <w:color w:val="000000"/>
        </w:rPr>
        <w:t>“</w:t>
      </w:r>
      <w:r>
        <w:rPr>
          <w:rFonts w:ascii="Times New Roman" w:hAnsi="Times New Roman"/>
          <w:color w:val="000000"/>
          <w:sz w:val="20"/>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board of directors accepted a voluntary, non-contractual, and unconditional waiver from the Adviser to exclude any investments recorded as secured borrowings as defined under U.S. GAAP from the base management fee payable as of June 30, 2026. The base management fee waived for the six months ended June 30, 2026 was $0.1 million.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rFonts w:ascii="Times New Roman" w:hAnsi="Times New Roman"/>
          <w:color w:val="000000"/>
          <w:sz w:val="20"/>
        </w:rPr>
      </w:pPr>
      <w:r>
        <w:rPr>
          <w:rFonts w:ascii="Times New Roman" w:hAnsi="Times New Roman"/>
          <w:color w:val="000000"/>
          <w:sz w:val="20"/>
        </w:rPr>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6.77% of average consolidated total assets.</w:t>
      </w:r>
    </w:p>
    <w:p>
      <w:pPr>
        <w:pStyle w:val="TextBody"/>
        <w:bidi w:val="0"/>
        <w:spacing w:before="180" w:after="18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Example</w:t>
      </w:r>
    </w:p>
    <w:p>
      <w:pPr>
        <w:pStyle w:val="TextBody"/>
        <w:bidi w:val="0"/>
        <w:jc w:val="both"/>
        <w:rPr>
          <w:rFonts w:ascii="Times New Roman" w:hAnsi="Times New Roman"/>
          <w:color w:val="000000"/>
          <w:sz w:val="20"/>
        </w:rPr>
      </w:pPr>
      <w:r>
        <w:rPr>
          <w:rFonts w:ascii="Times New Roman" w:hAnsi="Times New Roman"/>
          <w:color w:val="000000"/>
          <w:sz w:val="2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including giving effect to the management fee waiver described in the table above. The stockholder transaction expenses described above are included in the following examples.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95"/>
        <w:gridCol w:w="211"/>
        <w:gridCol w:w="421"/>
        <w:gridCol w:w="211"/>
        <w:gridCol w:w="421"/>
        <w:gridCol w:w="211"/>
        <w:gridCol w:w="421"/>
        <w:gridCol w:w="222"/>
        <w:gridCol w:w="492"/>
      </w:tblGrid>
      <w:tr>
        <w:trPr/>
        <w:tc>
          <w:tcPr>
            <w:tcW w:w="7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6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years</w:t>
            </w:r>
          </w:p>
        </w:tc>
        <w:tc>
          <w:tcPr>
            <w:tcW w:w="6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r>
          </w:p>
        </w:tc>
        <w:tc>
          <w:tcPr>
            <w:tcW w:w="71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 years</w:t>
            </w:r>
          </w:p>
        </w:tc>
      </w:tr>
      <w:tr>
        <w:trPr/>
        <w:tc>
          <w:tcPr>
            <w:tcW w:w="75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would pay the following expenses on a $1,000 investment, assuming a 5.0% annual return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r>
      <w:tr>
        <w:trPr/>
        <w:tc>
          <w:tcPr>
            <w:tcW w:w="7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You would pay the following expenses on a $1,000 investment, assuming a 5.0% annual return resulting entirely from net realized capital gains (all of which is subject to our incentive fee on capital gains)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(“NAV”),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“Market for Registrant’s Common Equity, Related Stockholder Matters and Issuer Purchases of Equity Securities” in our most recent Annual Report on Form 10-K for additional information regarding our dividend reinvestment plan.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These examples and the expenses in the table above should not be considered a representation of our future expenses, and actual expenses (including the cost of debt, if any, and other expenses) may be greater or less than those shown.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sz w:val="20"/>
        </w:rPr>
      </w:pPr>
      <w:bookmarkStart w:id="4" w:name="toc637780_7"/>
      <w:bookmarkEnd w:id="4"/>
      <w:r>
        <w:rPr>
          <w:rFonts w:ascii="Times New Roman" w:hAnsi="Times New Roman"/>
          <w:b/>
          <w:color w:val="000000"/>
          <w:sz w:val="20"/>
        </w:rPr>
        <w:t>PRICE RANGE OF COMMON STOCK</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common stock began trading on June 21, 2011 on the Nasdaq Global Market under the symbol “FDUS.” Effective January 3, 2012, our common stock was included in the Nasdaq Global Select Market. The following table lists the high and low closing sale price for our common stock, and the closing sale price as a percentage of NAV on our common stock for each fiscal quarter during the last two most recently completed fiscal years and each full fiscal quarter since the beginning of the current fiscal year. </w:t>
      </w:r>
    </w:p>
    <w:tbl>
      <w:tblPr>
        <w:tblW w:w="10205" w:type="dxa"/>
        <w:jc w:val="left"/>
        <w:tblInd w:w="0" w:type="dxa"/>
        <w:tblLayout w:type="fixed"/>
        <w:tblCellMar>
          <w:top w:w="28" w:type="dxa"/>
          <w:left w:w="28" w:type="dxa"/>
          <w:bottom w:w="28" w:type="dxa"/>
          <w:right w:w="28" w:type="dxa"/>
        </w:tblCellMar>
      </w:tblPr>
      <w:tblGrid>
        <w:gridCol w:w="1466"/>
        <w:gridCol w:w="146"/>
        <w:gridCol w:w="211"/>
        <w:gridCol w:w="146"/>
        <w:gridCol w:w="571"/>
        <w:gridCol w:w="146"/>
        <w:gridCol w:w="146"/>
        <w:gridCol w:w="271"/>
        <w:gridCol w:w="187"/>
        <w:gridCol w:w="734"/>
        <w:gridCol w:w="146"/>
        <w:gridCol w:w="146"/>
        <w:gridCol w:w="268"/>
        <w:gridCol w:w="186"/>
        <w:gridCol w:w="728"/>
        <w:gridCol w:w="146"/>
        <w:gridCol w:w="146"/>
        <w:gridCol w:w="338"/>
        <w:gridCol w:w="338"/>
        <w:gridCol w:w="1084"/>
        <w:gridCol w:w="146"/>
        <w:gridCol w:w="271"/>
        <w:gridCol w:w="312"/>
        <w:gridCol w:w="312"/>
        <w:gridCol w:w="1127"/>
        <w:gridCol w:w="166"/>
        <w:gridCol w:w="32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NAV</w:t>
            </w:r>
            <w:r>
              <w:rPr>
                <w:rFonts w:ascii="Times New Roman" w:hAnsi="Times New Roman"/>
                <w:b/>
                <w:color w:val="000000"/>
                <w:sz w:val="13"/>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Premium / (Discount) of High Sales Price to NAV</w:t>
            </w:r>
            <w:r>
              <w:rPr>
                <w:rFonts w:ascii="Times New Roman" w:hAnsi="Times New Roman"/>
                <w:b/>
                <w:color w:val="000000"/>
                <w:sz w:val="13"/>
              </w:rPr>
              <w:t>(2)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Premium / (Discount) of Low Sales Price to NAV</w:t>
            </w:r>
            <w:r>
              <w:rPr>
                <w:rFonts w:ascii="Times New Roman" w:hAnsi="Times New Roman"/>
                <w:b/>
                <w:color w:val="000000"/>
                <w:sz w:val="13"/>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 (through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NAV per share is determined as of the last day in the relevant quarter and therefore may not reflect the NAV per share on the date of the high and low sales prices. The NAVs shown are based on outstanding shares at the end of each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Calculated as the difference between the respective high or low closing sales price and the quarter end NAV divided by the quarter end NAV.</w:t>
      </w:r>
    </w:p>
    <w:p>
      <w:pPr>
        <w:pStyle w:val="TextBody"/>
        <w:bidi w:val="0"/>
        <w:jc w:val="left"/>
        <w:rPr>
          <w:rFonts w:ascii="Times New Roman" w:hAnsi="Times New Roman"/>
          <w:color w:val="000000"/>
          <w:sz w:val="20"/>
        </w:rPr>
      </w:pPr>
      <w:r>
        <w:rPr>
          <w:rFonts w:ascii="Times New Roman" w:hAnsi="Times New Roman"/>
          <w:color w:val="000000"/>
          <w:sz w:val="20"/>
        </w:rPr>
        <w:t>* NAV has not yet been determined.</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August 4, 2026, the last reported sales price of our common stock was $20.47 per share. As of August 4, 2026, we had approximately 16 stockholders of record.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Shares of BDCs may trade at a market price that is less than the NAV of those shares. The possibility that our shares of common stock will trade at a discount from NAV or at premiums that are unsustainable over the long term are separate and distinct from the risk that our NAV will decrease. It is not possible to predict whether any common stock offered pursuant to this prospectus supplement will trade at, above or below NAV.</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2752</Words>
  <Characters>14046</Characters>
  <CharactersWithSpaces>16950</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