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814-00861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Fidus Investment Corporation</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6020" w:type="dxa"/>
            <w:vAlign w:val="bottom"/>
          </w:tcPr>
          <w:p>
            <w:pPr>
              <w:jc w:val="center"/>
              <w:ind w:right="3259"/>
              <w:spacing w:after="0"/>
              <w:rPr>
                <w:sz w:val="20"/>
                <w:szCs w:val="20"/>
                <w:color w:val="auto"/>
              </w:rPr>
            </w:pPr>
            <w:r>
              <w:rPr>
                <w:rFonts w:ascii="Arial" w:cs="Arial" w:eastAsia="Arial" w:hAnsi="Arial"/>
                <w:sz w:val="18"/>
                <w:szCs w:val="18"/>
                <w:b w:val="1"/>
                <w:bCs w:val="1"/>
                <w:color w:val="auto"/>
                <w:w w:val="96"/>
              </w:rPr>
              <w:t>Maryland</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27-5017321</w:t>
            </w:r>
          </w:p>
        </w:tc>
      </w:tr>
      <w:tr>
        <w:trPr>
          <w:trHeight w:val="149"/>
        </w:trPr>
        <w:tc>
          <w:tcPr>
            <w:tcW w:w="6020" w:type="dxa"/>
            <w:vAlign w:val="bottom"/>
          </w:tcPr>
          <w:p>
            <w:pPr>
              <w:jc w:val="center"/>
              <w:ind w:right="32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20" w:type="dxa"/>
            <w:vAlign w:val="bottom"/>
          </w:tcPr>
          <w:p>
            <w:pPr>
              <w:jc w:val="center"/>
              <w:ind w:right="3259"/>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020" w:type="dxa"/>
            <w:vAlign w:val="bottom"/>
          </w:tcPr>
          <w:p>
            <w:pPr>
              <w:jc w:val="center"/>
              <w:ind w:right="3259"/>
              <w:spacing w:after="0"/>
              <w:rPr>
                <w:sz w:val="20"/>
                <w:szCs w:val="20"/>
                <w:color w:val="auto"/>
              </w:rPr>
            </w:pPr>
            <w:r>
              <w:rPr>
                <w:rFonts w:ascii="Arial" w:cs="Arial" w:eastAsia="Arial" w:hAnsi="Arial"/>
                <w:sz w:val="18"/>
                <w:szCs w:val="18"/>
                <w:b w:val="1"/>
                <w:bCs w:val="1"/>
                <w:color w:val="auto"/>
                <w:w w:val="90"/>
              </w:rPr>
              <w:t>1603 Orrington Avenue, Suite 1005</w:t>
            </w:r>
          </w:p>
        </w:tc>
        <w:tc>
          <w:tcPr>
            <w:tcW w:w="1440" w:type="dxa"/>
            <w:vAlign w:val="bottom"/>
          </w:tcPr>
          <w:p>
            <w:pPr>
              <w:spacing w:after="0"/>
              <w:rPr>
                <w:sz w:val="24"/>
                <w:szCs w:val="24"/>
                <w:color w:val="auto"/>
              </w:rPr>
            </w:pPr>
          </w:p>
        </w:tc>
      </w:tr>
      <w:tr>
        <w:trPr>
          <w:trHeight w:val="225"/>
        </w:trPr>
        <w:tc>
          <w:tcPr>
            <w:tcW w:w="6020" w:type="dxa"/>
            <w:vAlign w:val="bottom"/>
          </w:tcPr>
          <w:p>
            <w:pPr>
              <w:jc w:val="center"/>
              <w:ind w:right="3279"/>
              <w:spacing w:after="0"/>
              <w:rPr>
                <w:sz w:val="20"/>
                <w:szCs w:val="20"/>
                <w:color w:val="auto"/>
              </w:rPr>
            </w:pPr>
            <w:r>
              <w:rPr>
                <w:rFonts w:ascii="Arial" w:cs="Arial" w:eastAsia="Arial" w:hAnsi="Arial"/>
                <w:sz w:val="18"/>
                <w:szCs w:val="18"/>
                <w:b w:val="1"/>
                <w:bCs w:val="1"/>
                <w:color w:val="auto"/>
                <w:w w:val="90"/>
              </w:rPr>
              <w:t>Evanston, Illinois</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60201</w:t>
            </w:r>
          </w:p>
        </w:tc>
      </w:tr>
      <w:tr>
        <w:trPr>
          <w:trHeight w:val="186"/>
        </w:trPr>
        <w:tc>
          <w:tcPr>
            <w:tcW w:w="6020" w:type="dxa"/>
            <w:vAlign w:val="bottom"/>
          </w:tcPr>
          <w:p>
            <w:pPr>
              <w:jc w:val="center"/>
              <w:ind w:right="32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6020" w:type="dxa"/>
            <w:vAlign w:val="bottom"/>
          </w:tcPr>
          <w:p>
            <w:pPr>
              <w:jc w:val="right"/>
              <w:ind w:right="1319"/>
              <w:spacing w:after="0"/>
              <w:rPr>
                <w:sz w:val="20"/>
                <w:szCs w:val="20"/>
                <w:color w:val="auto"/>
              </w:rPr>
            </w:pPr>
            <w:r>
              <w:rPr>
                <w:rFonts w:ascii="Arial" w:cs="Arial" w:eastAsia="Arial" w:hAnsi="Arial"/>
                <w:sz w:val="18"/>
                <w:szCs w:val="18"/>
                <w:b w:val="1"/>
                <w:bCs w:val="1"/>
                <w:color w:val="auto"/>
              </w:rPr>
              <w:t>(847) 859-3940</w:t>
            </w:r>
          </w:p>
        </w:tc>
        <w:tc>
          <w:tcPr>
            <w:tcW w:w="1440" w:type="dxa"/>
            <w:vAlign w:val="bottom"/>
          </w:tcPr>
          <w:p>
            <w:pPr>
              <w:spacing w:after="0"/>
              <w:rPr>
                <w:sz w:val="24"/>
                <w:szCs w:val="24"/>
                <w:color w:val="auto"/>
              </w:rPr>
            </w:pPr>
          </w:p>
        </w:tc>
      </w:tr>
      <w:tr>
        <w:trPr>
          <w:trHeight w:val="186"/>
        </w:trPr>
        <w:tc>
          <w:tcPr>
            <w:tcW w:w="6020" w:type="dxa"/>
            <w:vAlign w:val="bottom"/>
          </w:tcPr>
          <w:p>
            <w:pPr>
              <w:jc w:val="center"/>
              <w:ind w:left="20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FDUS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Global Select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5.875% Notes due 2023</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FDUSL</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Select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6.000% Notes due 2024</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FDUSZ</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5.375% Notes due 2024</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FDUSG</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Select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120" w:right="10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38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140"/>
          </w:cols>
          <w:pgMar w:left="320" w:top="230" w:right="439" w:bottom="24" w:gutter="0" w:footer="0" w:header="0"/>
        </w:sectPr>
      </w:pPr>
    </w:p>
    <w:bookmarkStart w:id="1" w:name="page2"/>
    <w:bookmarkEnd w:id="1"/>
    <w:p>
      <w:pPr>
        <w:ind w:right="200"/>
        <w:spacing w:after="0" w:line="233"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jc w:val="center"/>
        <w:ind w:right="160"/>
        <w:spacing w:after="0"/>
        <w:rPr>
          <w:sz w:val="20"/>
          <w:szCs w:val="20"/>
          <w:color w:val="auto"/>
        </w:rPr>
      </w:pPr>
      <w:r>
        <w:rPr>
          <w:rFonts w:ascii="Arial" w:cs="Arial" w:eastAsia="Arial" w:hAnsi="Arial"/>
          <w:sz w:val="17"/>
          <w:szCs w:val="17"/>
          <w:color w:val="auto"/>
        </w:rPr>
        <w:t>Accelerated filer</w:t>
      </w:r>
    </w:p>
    <w:p>
      <w:pPr>
        <w:spacing w:after="0" w:line="30" w:lineRule="exact"/>
        <w:rPr>
          <w:sz w:val="20"/>
          <w:szCs w:val="20"/>
          <w:color w:val="auto"/>
        </w:rPr>
      </w:pPr>
    </w:p>
    <w:p>
      <w:pPr>
        <w:jc w:val="center"/>
        <w:ind w:right="18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jc w:val="center"/>
        <w:ind w:right="200"/>
        <w:spacing w:after="0"/>
        <w:rPr>
          <w:sz w:val="20"/>
          <w:szCs w:val="20"/>
          <w:color w:val="auto"/>
        </w:rPr>
      </w:pPr>
      <w:r>
        <w:rPr>
          <w:rFonts w:ascii="Arial" w:cs="Arial" w:eastAsia="Arial" w:hAnsi="Arial"/>
          <w:sz w:val="16"/>
          <w:szCs w:val="16"/>
          <w:color w:val="auto"/>
        </w:rPr>
        <w:t>Non-accelerated filer</w:t>
      </w:r>
    </w:p>
    <w:p>
      <w:pPr>
        <w:spacing w:after="0" w:line="41" w:lineRule="exact"/>
        <w:rPr>
          <w:sz w:val="20"/>
          <w:szCs w:val="20"/>
          <w:color w:val="auto"/>
        </w:rPr>
      </w:pPr>
    </w:p>
    <w:p>
      <w:pPr>
        <w:jc w:val="center"/>
        <w:ind w:right="2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Arial" w:cs="Arial" w:eastAsia="Arial" w:hAnsi="Arial"/>
          <w:sz w:val="16"/>
          <w:szCs w:val="16"/>
          <w:color w:val="auto"/>
        </w:rPr>
        <w:t>Smaller reporting</w:t>
      </w:r>
    </w:p>
    <w:p>
      <w:pPr>
        <w:spacing w:after="0" w:line="46" w:lineRule="exact"/>
        <w:rPr>
          <w:sz w:val="20"/>
          <w:szCs w:val="20"/>
          <w:color w:val="auto"/>
        </w:rPr>
      </w:pPr>
    </w:p>
    <w:p>
      <w:pPr>
        <w:jc w:val="center"/>
        <w:ind w:right="28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Arial" w:cs="Arial" w:eastAsia="Arial" w:hAnsi="Arial"/>
          <w:sz w:val="16"/>
          <w:szCs w:val="16"/>
          <w:color w:val="auto"/>
        </w:rPr>
        <w:t>Emerging growth</w:t>
      </w:r>
    </w:p>
    <w:p>
      <w:pPr>
        <w:spacing w:after="0" w:line="46" w:lineRule="exact"/>
        <w:rPr>
          <w:sz w:val="20"/>
          <w:szCs w:val="20"/>
          <w:color w:val="auto"/>
        </w:rPr>
      </w:pPr>
    </w:p>
    <w:p>
      <w:pPr>
        <w:jc w:val="center"/>
        <w:ind w:right="12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pacing w:after="0" w:line="224" w:lineRule="exact"/>
        <w:rPr>
          <w:sz w:val="20"/>
          <w:szCs w:val="20"/>
          <w:color w:val="auto"/>
        </w:rPr>
      </w:pPr>
    </w:p>
    <w:p>
      <w:pPr>
        <w:sectPr>
          <w:pgSz w:w="11900" w:h="16838" w:orient="portrait"/>
          <w:cols w:equalWidth="0" w:num="5">
            <w:col w:w="1820" w:space="720"/>
            <w:col w:w="1380" w:space="720"/>
            <w:col w:w="1720" w:space="720"/>
            <w:col w:w="1540" w:space="720"/>
            <w:col w:w="1380"/>
          </w:cols>
          <w:pgMar w:left="440" w:top="125" w:right="739" w:bottom="1440" w:gutter="0" w:footer="0" w:header="0"/>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August 6, 2020, the Registrant had outstanding 24,437,400 shares of common stock, $0.001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440" w:top="125" w:right="7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70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380" w:type="dxa"/>
            <w:vAlign w:val="bottom"/>
          </w:tcPr>
          <w:p>
            <w:pPr>
              <w:spacing w:after="0"/>
              <w:rPr>
                <w:sz w:val="20"/>
                <w:szCs w:val="20"/>
                <w:color w:val="auto"/>
              </w:rPr>
            </w:pPr>
          </w:p>
        </w:tc>
      </w:tr>
      <w:tr>
        <w:trPr>
          <w:trHeight w:val="495"/>
        </w:trPr>
        <w:tc>
          <w:tcPr>
            <w:tcW w:w="920" w:type="dxa"/>
            <w:vAlign w:val="bottom"/>
          </w:tcPr>
          <w:p>
            <w:pPr>
              <w:spacing w:after="0"/>
              <w:rPr>
                <w:sz w:val="24"/>
                <w:szCs w:val="24"/>
                <w:color w:val="auto"/>
              </w:rPr>
            </w:pPr>
          </w:p>
        </w:tc>
        <w:tc>
          <w:tcPr>
            <w:tcW w:w="9780" w:type="dxa"/>
            <w:vAlign w:val="bottom"/>
          </w:tcPr>
          <w:p>
            <w:pPr>
              <w:jc w:val="center"/>
              <w:ind w:right="290"/>
              <w:spacing w:after="0"/>
              <w:rPr>
                <w:sz w:val="20"/>
                <w:szCs w:val="20"/>
                <w:color w:val="auto"/>
              </w:rPr>
            </w:pPr>
            <w:r>
              <w:rPr>
                <w:rFonts w:ascii="Arial" w:cs="Arial" w:eastAsia="Arial" w:hAnsi="Arial"/>
                <w:sz w:val="18"/>
                <w:szCs w:val="18"/>
                <w:b w:val="1"/>
                <w:bCs w:val="1"/>
                <w:color w:val="auto"/>
              </w:rPr>
              <w:t>FIDUS INVESTMENT CORPORATION</w:t>
            </w:r>
          </w:p>
        </w:tc>
        <w:tc>
          <w:tcPr>
            <w:tcW w:w="38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9780" w:type="dxa"/>
            <w:vAlign w:val="bottom"/>
          </w:tcPr>
          <w:p>
            <w:pPr>
              <w:jc w:val="center"/>
              <w:ind w:right="290"/>
              <w:spacing w:after="0"/>
              <w:rPr>
                <w:sz w:val="20"/>
                <w:szCs w:val="20"/>
                <w:color w:val="auto"/>
              </w:rPr>
            </w:pPr>
            <w:r>
              <w:rPr>
                <w:rFonts w:ascii="Arial" w:cs="Arial" w:eastAsia="Arial" w:hAnsi="Arial"/>
                <w:sz w:val="18"/>
                <w:szCs w:val="18"/>
                <w:b w:val="1"/>
                <w:bCs w:val="1"/>
                <w:color w:val="auto"/>
                <w:w w:val="98"/>
              </w:rPr>
              <w:t>TABLE OF CONTENTS</w:t>
            </w:r>
          </w:p>
        </w:tc>
        <w:tc>
          <w:tcPr>
            <w:tcW w:w="38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9780" w:type="dxa"/>
            <w:vAlign w:val="bottom"/>
          </w:tcPr>
          <w:p>
            <w:pPr>
              <w:jc w:val="center"/>
              <w:ind w:right="290"/>
              <w:spacing w:after="0"/>
              <w:rPr>
                <w:sz w:val="20"/>
                <w:szCs w:val="20"/>
                <w:color w:val="auto"/>
              </w:rPr>
            </w:pPr>
            <w:r>
              <w:rPr>
                <w:rFonts w:ascii="Arial" w:cs="Arial" w:eastAsia="Arial" w:hAnsi="Arial"/>
                <w:sz w:val="18"/>
                <w:szCs w:val="18"/>
                <w:b w:val="1"/>
                <w:bCs w:val="1"/>
                <w:color w:val="auto"/>
                <w:w w:val="99"/>
              </w:rPr>
              <w:t>QUARTERLY REPORT ON FORM 10-Q</w:t>
            </w:r>
          </w:p>
        </w:tc>
        <w:tc>
          <w:tcPr>
            <w:tcW w:w="380" w:type="dxa"/>
            <w:vAlign w:val="bottom"/>
          </w:tcPr>
          <w:p>
            <w:pPr>
              <w:spacing w:after="0"/>
              <w:rPr>
                <w:sz w:val="20"/>
                <w:szCs w:val="20"/>
                <w:color w:val="auto"/>
              </w:rPr>
            </w:pPr>
          </w:p>
        </w:tc>
      </w:tr>
      <w:tr>
        <w:trPr>
          <w:trHeight w:val="445"/>
        </w:trPr>
        <w:tc>
          <w:tcPr>
            <w:tcW w:w="920" w:type="dxa"/>
            <w:vAlign w:val="bottom"/>
          </w:tcPr>
          <w:p>
            <w:pPr>
              <w:spacing w:after="0"/>
              <w:rPr>
                <w:sz w:val="24"/>
                <w:szCs w:val="24"/>
                <w:color w:val="auto"/>
              </w:rPr>
            </w:pPr>
          </w:p>
        </w:tc>
        <w:tc>
          <w:tcPr>
            <w:tcW w:w="9780" w:type="dxa"/>
            <w:vAlign w:val="bottom"/>
          </w:tcPr>
          <w:p>
            <w:pPr>
              <w:jc w:val="center"/>
              <w:ind w:right="33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 FINANCIAL INFORMATION</w:t>
              </w:r>
            </w:hyperlink>
          </w:p>
        </w:tc>
        <w:tc>
          <w:tcPr>
            <w:tcW w:w="380" w:type="dxa"/>
            <w:vAlign w:val="bottom"/>
          </w:tcPr>
          <w:p>
            <w:pPr>
              <w:spacing w:after="0"/>
              <w:rPr>
                <w:sz w:val="24"/>
                <w:szCs w:val="24"/>
                <w:color w:val="auto"/>
              </w:rPr>
            </w:pP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1.</w:t>
            </w:r>
          </w:p>
        </w:tc>
        <w:tc>
          <w:tcPr>
            <w:tcW w:w="9780" w:type="dxa"/>
            <w:vAlign w:val="bottom"/>
          </w:tcPr>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20" w:type="dxa"/>
            <w:vAlign w:val="bottom"/>
          </w:tcPr>
          <w:p>
            <w:pPr>
              <w:spacing w:after="0"/>
              <w:rPr>
                <w:sz w:val="18"/>
                <w:szCs w:val="18"/>
                <w:color w:val="auto"/>
              </w:rPr>
            </w:pPr>
          </w:p>
        </w:tc>
        <w:tc>
          <w:tcPr>
            <w:tcW w:w="9780" w:type="dxa"/>
            <w:vAlign w:val="bottom"/>
          </w:tcPr>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Assets and Liabilities — June 30, 2020 (unaudited) and December 31, 2019</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20" w:type="dxa"/>
            <w:vAlign w:val="bottom"/>
          </w:tcPr>
          <w:p>
            <w:pPr>
              <w:spacing w:after="0"/>
              <w:rPr>
                <w:sz w:val="18"/>
                <w:szCs w:val="18"/>
                <w:color w:val="auto"/>
              </w:rPr>
            </w:pPr>
          </w:p>
        </w:tc>
        <w:tc>
          <w:tcPr>
            <w:tcW w:w="9780" w:type="dxa"/>
            <w:vAlign w:val="bottom"/>
          </w:tcPr>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 — Three and Six Months Ended June 30, 2020 (unaudited) and 2019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20" w:type="dxa"/>
            <w:vAlign w:val="bottom"/>
          </w:tcPr>
          <w:p>
            <w:pPr>
              <w:spacing w:after="0"/>
              <w:rPr>
                <w:sz w:val="18"/>
                <w:szCs w:val="18"/>
                <w:color w:val="auto"/>
              </w:rPr>
            </w:pPr>
          </w:p>
        </w:tc>
        <w:tc>
          <w:tcPr>
            <w:tcW w:w="9780" w:type="dxa"/>
            <w:vAlign w:val="bottom"/>
          </w:tcPr>
          <w:p>
            <w:pPr>
              <w:ind w:left="60"/>
              <w:spacing w:after="0"/>
              <w:rPr>
                <w:rFonts w:ascii="Arial" w:cs="Arial" w:eastAsia="Arial" w:hAnsi="Arial"/>
                <w:sz w:val="18"/>
                <w:szCs w:val="18"/>
                <w:u w:val="single" w:color="auto"/>
                <w:color w:val="0000EE"/>
                <w:w w:val="91"/>
              </w:rPr>
            </w:pPr>
            <w:hyperlink w:anchor="page6">
              <w:r>
                <w:rPr>
                  <w:rFonts w:ascii="Arial" w:cs="Arial" w:eastAsia="Arial" w:hAnsi="Arial"/>
                  <w:sz w:val="18"/>
                  <w:szCs w:val="18"/>
                  <w:u w:val="single" w:color="auto"/>
                  <w:color w:val="0000EE"/>
                  <w:w w:val="91"/>
                </w:rPr>
                <w:t>Consolidated Statements of Changes in Net Assets — Three and Six Months Ended June 30, 2020 (unaudited) and 2019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20" w:type="dxa"/>
            <w:vAlign w:val="bottom"/>
          </w:tcPr>
          <w:p>
            <w:pPr>
              <w:spacing w:after="0"/>
              <w:rPr>
                <w:sz w:val="18"/>
                <w:szCs w:val="18"/>
                <w:color w:val="auto"/>
              </w:rPr>
            </w:pPr>
          </w:p>
        </w:tc>
        <w:tc>
          <w:tcPr>
            <w:tcW w:w="9780" w:type="dxa"/>
            <w:vAlign w:val="bottom"/>
          </w:tcPr>
          <w:p>
            <w:pPr>
              <w:ind w:left="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 — Six Months Ended June 30, 2020 (unaudited) and 2019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20" w:type="dxa"/>
            <w:vAlign w:val="bottom"/>
          </w:tcPr>
          <w:p>
            <w:pPr>
              <w:spacing w:after="0"/>
              <w:rPr>
                <w:sz w:val="18"/>
                <w:szCs w:val="18"/>
                <w:color w:val="auto"/>
              </w:rPr>
            </w:pPr>
          </w:p>
        </w:tc>
        <w:tc>
          <w:tcPr>
            <w:tcW w:w="9780" w:type="dxa"/>
            <w:vAlign w:val="bottom"/>
          </w:tcPr>
          <w:p>
            <w:pPr>
              <w:ind w:left="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Schedules of Investments — June 30, 2020 (unaudited) and December 31, 2019</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20" w:type="dxa"/>
            <w:vAlign w:val="bottom"/>
          </w:tcPr>
          <w:p>
            <w:pPr>
              <w:spacing w:after="0"/>
              <w:rPr>
                <w:sz w:val="18"/>
                <w:szCs w:val="18"/>
                <w:color w:val="auto"/>
              </w:rPr>
            </w:pPr>
          </w:p>
        </w:tc>
        <w:tc>
          <w:tcPr>
            <w:tcW w:w="9780" w:type="dxa"/>
            <w:vAlign w:val="bottom"/>
          </w:tcPr>
          <w:p>
            <w:pPr>
              <w:ind w:left="6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Notes to Consolidated Financial Statements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2.</w:t>
            </w:r>
          </w:p>
        </w:tc>
        <w:tc>
          <w:tcPr>
            <w:tcW w:w="9780" w:type="dxa"/>
            <w:vAlign w:val="bottom"/>
          </w:tcPr>
          <w:p>
            <w:pPr>
              <w:ind w:left="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3.</w:t>
            </w:r>
          </w:p>
        </w:tc>
        <w:tc>
          <w:tcPr>
            <w:tcW w:w="9780" w:type="dxa"/>
            <w:vAlign w:val="bottom"/>
          </w:tcPr>
          <w:p>
            <w:pPr>
              <w:ind w:left="6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920" w:type="dxa"/>
            <w:vAlign w:val="bottom"/>
          </w:tcPr>
          <w:p>
            <w:pPr>
              <w:ind w:left="120"/>
              <w:spacing w:after="0"/>
              <w:rPr>
                <w:sz w:val="20"/>
                <w:szCs w:val="20"/>
                <w:color w:val="auto"/>
              </w:rPr>
            </w:pPr>
            <w:r>
              <w:rPr>
                <w:rFonts w:ascii="Arial" w:cs="Arial" w:eastAsia="Arial" w:hAnsi="Arial"/>
                <w:sz w:val="18"/>
                <w:szCs w:val="18"/>
                <w:color w:val="auto"/>
              </w:rPr>
              <w:t>Item 4.</w:t>
            </w:r>
          </w:p>
        </w:tc>
        <w:tc>
          <w:tcPr>
            <w:tcW w:w="9780" w:type="dxa"/>
            <w:vAlign w:val="bottom"/>
          </w:tcPr>
          <w:p>
            <w:pPr>
              <w:ind w:left="6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0"/>
        </w:trPr>
        <w:tc>
          <w:tcPr>
            <w:tcW w:w="920" w:type="dxa"/>
            <w:vAlign w:val="bottom"/>
          </w:tcPr>
          <w:p>
            <w:pPr>
              <w:spacing w:after="0"/>
              <w:rPr>
                <w:sz w:val="24"/>
                <w:szCs w:val="24"/>
                <w:color w:val="auto"/>
              </w:rPr>
            </w:pPr>
          </w:p>
        </w:tc>
        <w:tc>
          <w:tcPr>
            <w:tcW w:w="9780" w:type="dxa"/>
            <w:vAlign w:val="bottom"/>
          </w:tcPr>
          <w:p>
            <w:pPr>
              <w:jc w:val="center"/>
              <w:ind w:right="330"/>
              <w:spacing w:after="0"/>
              <w:rPr>
                <w:rFonts w:ascii="Arial" w:cs="Arial" w:eastAsia="Arial" w:hAnsi="Arial"/>
                <w:sz w:val="18"/>
                <w:szCs w:val="18"/>
                <w:b w:val="1"/>
                <w:bCs w:val="1"/>
                <w:u w:val="single" w:color="auto"/>
                <w:color w:val="0000EE"/>
              </w:rPr>
            </w:pPr>
            <w:hyperlink w:anchor="page61">
              <w:r>
                <w:rPr>
                  <w:rFonts w:ascii="Arial" w:cs="Arial" w:eastAsia="Arial" w:hAnsi="Arial"/>
                  <w:sz w:val="18"/>
                  <w:szCs w:val="18"/>
                  <w:b w:val="1"/>
                  <w:bCs w:val="1"/>
                  <w:u w:val="single" w:color="auto"/>
                  <w:color w:val="0000EE"/>
                </w:rPr>
                <w:t>PART II — OTHER INFORMATION</w:t>
              </w:r>
            </w:hyperlink>
          </w:p>
        </w:tc>
        <w:tc>
          <w:tcPr>
            <w:tcW w:w="380" w:type="dxa"/>
            <w:vAlign w:val="bottom"/>
          </w:tcPr>
          <w:p>
            <w:pPr>
              <w:spacing w:after="0"/>
              <w:rPr>
                <w:sz w:val="24"/>
                <w:szCs w:val="24"/>
                <w:color w:val="auto"/>
              </w:rPr>
            </w:pP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1.</w:t>
            </w:r>
          </w:p>
        </w:tc>
        <w:tc>
          <w:tcPr>
            <w:tcW w:w="9780" w:type="dxa"/>
            <w:vAlign w:val="bottom"/>
          </w:tcPr>
          <w:p>
            <w:pPr>
              <w:ind w:left="6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1A.</w:t>
            </w:r>
          </w:p>
        </w:tc>
        <w:tc>
          <w:tcPr>
            <w:tcW w:w="9780" w:type="dxa"/>
            <w:vAlign w:val="bottom"/>
          </w:tcPr>
          <w:p>
            <w:pPr>
              <w:ind w:left="6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2.</w:t>
            </w:r>
          </w:p>
        </w:tc>
        <w:tc>
          <w:tcPr>
            <w:tcW w:w="9780" w:type="dxa"/>
            <w:vAlign w:val="bottom"/>
          </w:tcPr>
          <w:p>
            <w:pPr>
              <w:ind w:left="6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3.</w:t>
            </w:r>
          </w:p>
        </w:tc>
        <w:tc>
          <w:tcPr>
            <w:tcW w:w="9780" w:type="dxa"/>
            <w:vAlign w:val="bottom"/>
          </w:tcPr>
          <w:p>
            <w:pPr>
              <w:ind w:left="6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Defaults Upon Senior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4.</w:t>
            </w:r>
          </w:p>
        </w:tc>
        <w:tc>
          <w:tcPr>
            <w:tcW w:w="9780" w:type="dxa"/>
            <w:vAlign w:val="bottom"/>
          </w:tcPr>
          <w:p>
            <w:pPr>
              <w:ind w:left="6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5.</w:t>
            </w:r>
          </w:p>
        </w:tc>
        <w:tc>
          <w:tcPr>
            <w:tcW w:w="9780" w:type="dxa"/>
            <w:vAlign w:val="bottom"/>
          </w:tcPr>
          <w:p>
            <w:pPr>
              <w:ind w:left="6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20" w:type="dxa"/>
            <w:vAlign w:val="bottom"/>
          </w:tcPr>
          <w:p>
            <w:pPr>
              <w:ind w:left="120"/>
              <w:spacing w:after="0"/>
              <w:rPr>
                <w:sz w:val="20"/>
                <w:szCs w:val="20"/>
                <w:color w:val="auto"/>
              </w:rPr>
            </w:pPr>
            <w:r>
              <w:rPr>
                <w:rFonts w:ascii="Arial" w:cs="Arial" w:eastAsia="Arial" w:hAnsi="Arial"/>
                <w:sz w:val="18"/>
                <w:szCs w:val="18"/>
                <w:color w:val="auto"/>
              </w:rPr>
              <w:t>Item 6.</w:t>
            </w:r>
          </w:p>
        </w:tc>
        <w:tc>
          <w:tcPr>
            <w:tcW w:w="9780" w:type="dxa"/>
            <w:vAlign w:val="bottom"/>
          </w:tcPr>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20" w:type="dxa"/>
            <w:vAlign w:val="bottom"/>
          </w:tcPr>
          <w:p>
            <w:pPr>
              <w:ind w:left="120"/>
              <w:spacing w:after="0"/>
              <w:rPr>
                <w:rFonts w:ascii="Arial" w:cs="Arial" w:eastAsia="Arial" w:hAnsi="Arial"/>
                <w:sz w:val="18"/>
                <w:szCs w:val="18"/>
                <w:u w:val="single" w:color="auto"/>
                <w:color w:val="0000EE"/>
                <w:w w:val="90"/>
              </w:rPr>
            </w:pPr>
            <w:hyperlink w:anchor="page68">
              <w:r>
                <w:rPr>
                  <w:rFonts w:ascii="Arial" w:cs="Arial" w:eastAsia="Arial" w:hAnsi="Arial"/>
                  <w:sz w:val="18"/>
                  <w:szCs w:val="18"/>
                  <w:u w:val="single" w:color="auto"/>
                  <w:color w:val="0000EE"/>
                  <w:w w:val="90"/>
                </w:rPr>
                <w:t>Signatures</w:t>
              </w:r>
            </w:hyperlink>
          </w:p>
        </w:tc>
        <w:tc>
          <w:tcPr>
            <w:tcW w:w="9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0700" w:type="dxa"/>
            <w:vAlign w:val="bottom"/>
            <w:gridSpan w:val="2"/>
          </w:tcPr>
          <w:p>
            <w:pPr>
              <w:ind w:left="120"/>
              <w:spacing w:after="0"/>
              <w:rPr>
                <w:sz w:val="20"/>
                <w:szCs w:val="20"/>
                <w:color w:val="auto"/>
              </w:rPr>
            </w:pPr>
            <w:r>
              <w:rPr>
                <w:rFonts w:ascii="Arial" w:cs="Arial" w:eastAsia="Arial" w:hAnsi="Arial"/>
                <w:sz w:val="18"/>
                <w:szCs w:val="18"/>
                <w:color w:val="auto"/>
              </w:rPr>
              <w:t>Exhibit Index</w:t>
            </w:r>
          </w:p>
        </w:tc>
        <w:tc>
          <w:tcPr>
            <w:tcW w:w="380" w:type="dxa"/>
            <w:vAlign w:val="bottom"/>
          </w:tcPr>
          <w:p>
            <w:pPr>
              <w:spacing w:after="0"/>
              <w:rPr>
                <w:sz w:val="20"/>
                <w:szCs w:val="20"/>
                <w:color w:val="auto"/>
              </w:rPr>
            </w:pPr>
          </w:p>
        </w:tc>
      </w:tr>
      <w:tr>
        <w:trPr>
          <w:trHeight w:val="364"/>
        </w:trPr>
        <w:tc>
          <w:tcPr>
            <w:tcW w:w="920" w:type="dxa"/>
            <w:vAlign w:val="bottom"/>
          </w:tcPr>
          <w:p>
            <w:pPr>
              <w:spacing w:after="0"/>
              <w:rPr>
                <w:sz w:val="24"/>
                <w:szCs w:val="24"/>
                <w:color w:val="auto"/>
              </w:rPr>
            </w:pPr>
          </w:p>
        </w:tc>
        <w:tc>
          <w:tcPr>
            <w:tcW w:w="9780" w:type="dxa"/>
            <w:vAlign w:val="bottom"/>
          </w:tcPr>
          <w:p>
            <w:pPr>
              <w:jc w:val="center"/>
              <w:ind w:right="290"/>
              <w:spacing w:after="0"/>
              <w:rPr>
                <w:sz w:val="20"/>
                <w:szCs w:val="20"/>
                <w:color w:val="auto"/>
              </w:rPr>
            </w:pPr>
            <w:r>
              <w:rPr>
                <w:rFonts w:ascii="Arial" w:cs="Arial" w:eastAsia="Arial" w:hAnsi="Arial"/>
                <w:sz w:val="18"/>
                <w:szCs w:val="18"/>
                <w:color w:val="auto"/>
                <w:w w:val="79"/>
              </w:rPr>
              <w:t>2</w:t>
            </w:r>
          </w:p>
        </w:tc>
        <w:tc>
          <w:tcPr>
            <w:tcW w:w="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9340" w:type="dxa"/>
            <w:vAlign w:val="bottom"/>
          </w:tcPr>
          <w:p>
            <w:pPr>
              <w:spacing w:after="0"/>
              <w:rPr>
                <w:sz w:val="13"/>
                <w:szCs w:val="13"/>
                <w:color w:val="auto"/>
              </w:rPr>
            </w:pPr>
          </w:p>
        </w:tc>
        <w:tc>
          <w:tcPr>
            <w:tcW w:w="880" w:type="dxa"/>
            <w:vAlign w:val="bottom"/>
            <w:gridSpan w:val="4"/>
          </w:tcPr>
          <w:p>
            <w:pPr>
              <w:spacing w:after="0"/>
              <w:rPr>
                <w:sz w:val="20"/>
                <w:szCs w:val="20"/>
                <w:color w:val="auto"/>
              </w:rPr>
            </w:pPr>
            <w:r>
              <w:rPr>
                <w:rFonts w:ascii="Arial" w:cs="Arial" w:eastAsia="Arial" w:hAnsi="Arial"/>
                <w:sz w:val="13"/>
                <w:szCs w:val="13"/>
                <w:b w:val="1"/>
                <w:bCs w:val="1"/>
                <w:color w:val="auto"/>
              </w:rPr>
              <w:t>June 30, 2020</w:t>
            </w:r>
          </w:p>
        </w:tc>
        <w:tc>
          <w:tcPr>
            <w:tcW w:w="800" w:type="dxa"/>
            <w:vAlign w:val="bottom"/>
            <w:gridSpan w:val="3"/>
          </w:tcPr>
          <w:p>
            <w:pPr>
              <w:ind w:left="2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3"/>
        </w:trPr>
        <w:tc>
          <w:tcPr>
            <w:tcW w:w="9340" w:type="dxa"/>
            <w:vAlign w:val="bottom"/>
          </w:tcPr>
          <w:p>
            <w:pPr>
              <w:spacing w:after="0"/>
              <w:rPr>
                <w:sz w:val="13"/>
                <w:szCs w:val="13"/>
                <w:color w:val="auto"/>
              </w:rPr>
            </w:pPr>
          </w:p>
        </w:tc>
        <w:tc>
          <w:tcPr>
            <w:tcW w:w="880" w:type="dxa"/>
            <w:vAlign w:val="bottom"/>
            <w:gridSpan w:val="4"/>
          </w:tcPr>
          <w:p>
            <w:pPr>
              <w:ind w:left="60"/>
              <w:spacing w:after="0"/>
              <w:rPr>
                <w:sz w:val="20"/>
                <w:szCs w:val="20"/>
                <w:color w:val="auto"/>
              </w:rPr>
            </w:pPr>
            <w:r>
              <w:rPr>
                <w:rFonts w:ascii="Arial" w:cs="Arial" w:eastAsia="Arial" w:hAnsi="Arial"/>
                <w:sz w:val="13"/>
                <w:szCs w:val="13"/>
                <w:b w:val="1"/>
                <w:bCs w:val="1"/>
                <w:color w:val="auto"/>
              </w:rPr>
              <w:t>(unaudited)</w:t>
            </w:r>
          </w:p>
        </w:tc>
        <w:tc>
          <w:tcPr>
            <w:tcW w:w="160" w:type="dxa"/>
            <w:vAlign w:val="bottom"/>
          </w:tcPr>
          <w:p>
            <w:pPr>
              <w:spacing w:after="0"/>
              <w:rPr>
                <w:sz w:val="13"/>
                <w:szCs w:val="13"/>
                <w:color w:val="auto"/>
              </w:rPr>
            </w:pPr>
          </w:p>
        </w:tc>
        <w:tc>
          <w:tcPr>
            <w:tcW w:w="600" w:type="dxa"/>
            <w:vAlign w:val="bottom"/>
          </w:tcPr>
          <w:p>
            <w:pPr>
              <w:jc w:val="right"/>
              <w:ind w:right="197"/>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93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ASSETS</w:t>
            </w:r>
          </w:p>
        </w:tc>
        <w:tc>
          <w:tcPr>
            <w:tcW w:w="2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340" w:type="dxa"/>
            <w:vAlign w:val="bottom"/>
          </w:tcPr>
          <w:p>
            <w:pPr>
              <w:spacing w:after="0" w:line="135" w:lineRule="exact"/>
              <w:rPr>
                <w:sz w:val="20"/>
                <w:szCs w:val="20"/>
                <w:color w:val="auto"/>
              </w:rPr>
            </w:pPr>
            <w:r>
              <w:rPr>
                <w:rFonts w:ascii="Arial" w:cs="Arial" w:eastAsia="Arial" w:hAnsi="Arial"/>
                <w:sz w:val="13"/>
                <w:szCs w:val="13"/>
                <w:color w:val="auto"/>
              </w:rPr>
              <w:t>Investments, at fair value:</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3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Control investments (cost: $29,591 and $27,718, respectively)</w:t>
            </w:r>
          </w:p>
        </w:tc>
        <w:tc>
          <w:tcPr>
            <w:tcW w:w="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21,929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21,820</w:t>
            </w:r>
          </w:p>
        </w:tc>
        <w:tc>
          <w:tcPr>
            <w:tcW w:w="0" w:type="dxa"/>
            <w:vAlign w:val="bottom"/>
          </w:tcPr>
          <w:p>
            <w:pPr>
              <w:spacing w:after="0"/>
              <w:rPr>
                <w:sz w:val="1"/>
                <w:szCs w:val="1"/>
                <w:color w:val="auto"/>
              </w:rPr>
            </w:pPr>
          </w:p>
        </w:tc>
      </w:tr>
      <w:tr>
        <w:trPr>
          <w:trHeight w:val="135"/>
        </w:trPr>
        <w:tc>
          <w:tcPr>
            <w:tcW w:w="9340" w:type="dxa"/>
            <w:vAlign w:val="bottom"/>
          </w:tcPr>
          <w:p>
            <w:pPr>
              <w:ind w:left="240"/>
              <w:spacing w:after="0" w:line="135" w:lineRule="exact"/>
              <w:rPr>
                <w:sz w:val="20"/>
                <w:szCs w:val="20"/>
                <w:color w:val="auto"/>
              </w:rPr>
            </w:pPr>
            <w:r>
              <w:rPr>
                <w:rFonts w:ascii="Arial" w:cs="Arial" w:eastAsia="Arial" w:hAnsi="Arial"/>
                <w:sz w:val="13"/>
                <w:szCs w:val="13"/>
                <w:color w:val="auto"/>
              </w:rPr>
              <w:t>Affiliate investments (cost: $40,792 and $56,328, respectively)</w:t>
            </w:r>
          </w:p>
        </w:tc>
        <w:tc>
          <w:tcPr>
            <w:tcW w:w="200" w:type="dxa"/>
            <w:vAlign w:val="bottom"/>
          </w:tcPr>
          <w:p>
            <w:pPr>
              <w:spacing w:after="0"/>
              <w:rPr>
                <w:sz w:val="11"/>
                <w:szCs w:val="11"/>
                <w:color w:val="auto"/>
              </w:rPr>
            </w:pP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70,566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121,555</w:t>
            </w:r>
          </w:p>
        </w:tc>
        <w:tc>
          <w:tcPr>
            <w:tcW w:w="0" w:type="dxa"/>
            <w:vAlign w:val="bottom"/>
          </w:tcPr>
          <w:p>
            <w:pPr>
              <w:spacing w:after="0"/>
              <w:rPr>
                <w:sz w:val="1"/>
                <w:szCs w:val="1"/>
                <w:color w:val="auto"/>
              </w:rPr>
            </w:pPr>
          </w:p>
        </w:tc>
      </w:tr>
      <w:tr>
        <w:trPr>
          <w:trHeight w:val="135"/>
        </w:trPr>
        <w:tc>
          <w:tcPr>
            <w:tcW w:w="93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Non-control/non-affiliate investments (cost: $675,915 and $620,453, respectively)</w:t>
            </w: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640,125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623,544</w:t>
            </w:r>
          </w:p>
        </w:tc>
        <w:tc>
          <w:tcPr>
            <w:tcW w:w="0" w:type="dxa"/>
            <w:vAlign w:val="bottom"/>
          </w:tcPr>
          <w:p>
            <w:pPr>
              <w:spacing w:after="0"/>
              <w:rPr>
                <w:sz w:val="1"/>
                <w:szCs w:val="1"/>
                <w:color w:val="auto"/>
              </w:rPr>
            </w:pPr>
          </w:p>
        </w:tc>
      </w:tr>
      <w:tr>
        <w:trPr>
          <w:trHeight w:val="142"/>
        </w:trPr>
        <w:tc>
          <w:tcPr>
            <w:tcW w:w="9340" w:type="dxa"/>
            <w:vAlign w:val="bottom"/>
          </w:tcPr>
          <w:p>
            <w:pPr>
              <w:spacing w:after="0" w:line="142" w:lineRule="exact"/>
              <w:rPr>
                <w:sz w:val="20"/>
                <w:szCs w:val="20"/>
                <w:color w:val="auto"/>
              </w:rPr>
            </w:pPr>
            <w:r>
              <w:rPr>
                <w:rFonts w:ascii="Arial" w:cs="Arial" w:eastAsia="Arial" w:hAnsi="Arial"/>
                <w:sz w:val="13"/>
                <w:szCs w:val="13"/>
                <w:color w:val="auto"/>
              </w:rPr>
              <w:t>Total investments, at fair value (cost: $746,298 and $704,499, respectively)</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732,620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766,919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and cash equivalents</w:t>
            </w: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19,268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15,012</w:t>
            </w:r>
          </w:p>
        </w:tc>
        <w:tc>
          <w:tcPr>
            <w:tcW w:w="0" w:type="dxa"/>
            <w:vAlign w:val="bottom"/>
          </w:tcPr>
          <w:p>
            <w:pPr>
              <w:spacing w:after="0"/>
              <w:rPr>
                <w:sz w:val="1"/>
                <w:szCs w:val="1"/>
                <w:color w:val="auto"/>
              </w:rPr>
            </w:pPr>
          </w:p>
        </w:tc>
      </w:tr>
      <w:tr>
        <w:trPr>
          <w:trHeight w:val="135"/>
        </w:trPr>
        <w:tc>
          <w:tcPr>
            <w:tcW w:w="9340" w:type="dxa"/>
            <w:vAlign w:val="bottom"/>
          </w:tcPr>
          <w:p>
            <w:pPr>
              <w:spacing w:after="0" w:line="135" w:lineRule="exact"/>
              <w:rPr>
                <w:sz w:val="20"/>
                <w:szCs w:val="20"/>
                <w:color w:val="auto"/>
              </w:rPr>
            </w:pPr>
            <w:r>
              <w:rPr>
                <w:rFonts w:ascii="Arial" w:cs="Arial" w:eastAsia="Arial" w:hAnsi="Arial"/>
                <w:sz w:val="13"/>
                <w:szCs w:val="13"/>
                <w:color w:val="auto"/>
              </w:rPr>
              <w:t>Interest receivable</w:t>
            </w:r>
          </w:p>
        </w:tc>
        <w:tc>
          <w:tcPr>
            <w:tcW w:w="200" w:type="dxa"/>
            <w:vAlign w:val="bottom"/>
          </w:tcPr>
          <w:p>
            <w:pPr>
              <w:spacing w:after="0"/>
              <w:rPr>
                <w:sz w:val="11"/>
                <w:szCs w:val="11"/>
                <w:color w:val="auto"/>
              </w:rPr>
            </w:pP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8,208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6,331</w:t>
            </w:r>
          </w:p>
        </w:tc>
        <w:tc>
          <w:tcPr>
            <w:tcW w:w="0" w:type="dxa"/>
            <w:vAlign w:val="bottom"/>
          </w:tcPr>
          <w:p>
            <w:pPr>
              <w:spacing w:after="0"/>
              <w:rPr>
                <w:sz w:val="1"/>
                <w:szCs w:val="1"/>
                <w:color w:val="auto"/>
              </w:rPr>
            </w:pPr>
          </w:p>
        </w:tc>
      </w:tr>
      <w:tr>
        <w:trPr>
          <w:trHeight w:val="135"/>
        </w:trPr>
        <w:tc>
          <w:tcPr>
            <w:tcW w:w="9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expenses and other assets</w:t>
            </w: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1,348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1,177</w:t>
            </w:r>
          </w:p>
        </w:tc>
        <w:tc>
          <w:tcPr>
            <w:tcW w:w="0" w:type="dxa"/>
            <w:vAlign w:val="bottom"/>
          </w:tcPr>
          <w:p>
            <w:pPr>
              <w:spacing w:after="0"/>
              <w:rPr>
                <w:sz w:val="1"/>
                <w:szCs w:val="1"/>
                <w:color w:val="auto"/>
              </w:rPr>
            </w:pPr>
          </w:p>
        </w:tc>
      </w:tr>
      <w:tr>
        <w:trPr>
          <w:trHeight w:val="142"/>
        </w:trPr>
        <w:tc>
          <w:tcPr>
            <w:tcW w:w="9340" w:type="dxa"/>
            <w:vAlign w:val="bottom"/>
          </w:tcPr>
          <w:p>
            <w:pPr>
              <w:spacing w:after="0" w:line="142" w:lineRule="exact"/>
              <w:rPr>
                <w:sz w:val="20"/>
                <w:szCs w:val="20"/>
                <w:color w:val="auto"/>
              </w:rPr>
            </w:pPr>
            <w:r>
              <w:rPr>
                <w:rFonts w:ascii="Arial" w:cs="Arial" w:eastAsia="Arial" w:hAnsi="Arial"/>
                <w:sz w:val="13"/>
                <w:szCs w:val="13"/>
                <w:b w:val="1"/>
                <w:bCs w:val="1"/>
                <w:color w:val="auto"/>
              </w:rPr>
              <w:t>Total assets</w:t>
            </w:r>
          </w:p>
        </w:tc>
        <w:tc>
          <w:tcPr>
            <w:tcW w:w="2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761,444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789,439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93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LIABILITIES</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9340" w:type="dxa"/>
            <w:vAlign w:val="bottom"/>
          </w:tcPr>
          <w:p>
            <w:pPr>
              <w:spacing w:after="0"/>
              <w:rPr>
                <w:sz w:val="20"/>
                <w:szCs w:val="20"/>
                <w:color w:val="auto"/>
              </w:rPr>
            </w:pPr>
            <w:r>
              <w:rPr>
                <w:rFonts w:ascii="Arial" w:cs="Arial" w:eastAsia="Arial" w:hAnsi="Arial"/>
                <w:sz w:val="13"/>
                <w:szCs w:val="13"/>
                <w:color w:val="auto"/>
              </w:rPr>
              <w:t>SBA debentures, net of deferred financing costs (Note 6)</w:t>
            </w: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153,061</w:t>
            </w:r>
          </w:p>
        </w:tc>
        <w:tc>
          <w:tcPr>
            <w:tcW w:w="12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153,802</w:t>
            </w:r>
          </w:p>
        </w:tc>
        <w:tc>
          <w:tcPr>
            <w:tcW w:w="0" w:type="dxa"/>
            <w:vAlign w:val="bottom"/>
          </w:tcPr>
          <w:p>
            <w:pPr>
              <w:spacing w:after="0"/>
              <w:rPr>
                <w:sz w:val="1"/>
                <w:szCs w:val="1"/>
                <w:color w:val="auto"/>
              </w:rPr>
            </w:pPr>
          </w:p>
        </w:tc>
      </w:tr>
      <w:tr>
        <w:trPr>
          <w:trHeight w:val="135"/>
        </w:trPr>
        <w:tc>
          <w:tcPr>
            <w:tcW w:w="9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Public Notes, net of deferred financing costs (Note 6)</w:t>
            </w: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177,553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176,901</w:t>
            </w:r>
          </w:p>
        </w:tc>
        <w:tc>
          <w:tcPr>
            <w:tcW w:w="0" w:type="dxa"/>
            <w:vAlign w:val="bottom"/>
          </w:tcPr>
          <w:p>
            <w:pPr>
              <w:spacing w:after="0"/>
              <w:rPr>
                <w:sz w:val="1"/>
                <w:szCs w:val="1"/>
                <w:color w:val="auto"/>
              </w:rPr>
            </w:pPr>
          </w:p>
        </w:tc>
      </w:tr>
      <w:tr>
        <w:trPr>
          <w:trHeight w:val="135"/>
        </w:trPr>
        <w:tc>
          <w:tcPr>
            <w:tcW w:w="9340" w:type="dxa"/>
            <w:vAlign w:val="bottom"/>
          </w:tcPr>
          <w:p>
            <w:pPr>
              <w:spacing w:after="0" w:line="135" w:lineRule="exact"/>
              <w:rPr>
                <w:sz w:val="20"/>
                <w:szCs w:val="20"/>
                <w:color w:val="auto"/>
              </w:rPr>
            </w:pPr>
            <w:r>
              <w:rPr>
                <w:rFonts w:ascii="Arial" w:cs="Arial" w:eastAsia="Arial" w:hAnsi="Arial"/>
                <w:sz w:val="13"/>
                <w:szCs w:val="13"/>
                <w:color w:val="auto"/>
              </w:rPr>
              <w:t>Borrowings under Credit Facility, net of deferred financing costs (Note 6)</w:t>
            </w:r>
          </w:p>
        </w:tc>
        <w:tc>
          <w:tcPr>
            <w:tcW w:w="200" w:type="dxa"/>
            <w:vAlign w:val="bottom"/>
          </w:tcPr>
          <w:p>
            <w:pPr>
              <w:spacing w:after="0"/>
              <w:rPr>
                <w:sz w:val="11"/>
                <w:szCs w:val="11"/>
                <w:color w:val="auto"/>
              </w:rPr>
            </w:pP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41,715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23,899</w:t>
            </w:r>
          </w:p>
        </w:tc>
        <w:tc>
          <w:tcPr>
            <w:tcW w:w="0" w:type="dxa"/>
            <w:vAlign w:val="bottom"/>
          </w:tcPr>
          <w:p>
            <w:pPr>
              <w:spacing w:after="0"/>
              <w:rPr>
                <w:sz w:val="1"/>
                <w:szCs w:val="1"/>
                <w:color w:val="auto"/>
              </w:rPr>
            </w:pPr>
          </w:p>
        </w:tc>
      </w:tr>
      <w:tr>
        <w:trPr>
          <w:trHeight w:val="135"/>
        </w:trPr>
        <w:tc>
          <w:tcPr>
            <w:tcW w:w="9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Accrued interest and fees payable</w:t>
            </w: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3,411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3,505</w:t>
            </w:r>
          </w:p>
        </w:tc>
        <w:tc>
          <w:tcPr>
            <w:tcW w:w="0" w:type="dxa"/>
            <w:vAlign w:val="bottom"/>
          </w:tcPr>
          <w:p>
            <w:pPr>
              <w:spacing w:after="0"/>
              <w:rPr>
                <w:sz w:val="1"/>
                <w:szCs w:val="1"/>
                <w:color w:val="auto"/>
              </w:rPr>
            </w:pPr>
          </w:p>
        </w:tc>
      </w:tr>
      <w:tr>
        <w:trPr>
          <w:trHeight w:val="135"/>
        </w:trPr>
        <w:tc>
          <w:tcPr>
            <w:tcW w:w="9340" w:type="dxa"/>
            <w:vAlign w:val="bottom"/>
          </w:tcPr>
          <w:p>
            <w:pPr>
              <w:spacing w:after="0" w:line="135" w:lineRule="exact"/>
              <w:rPr>
                <w:sz w:val="20"/>
                <w:szCs w:val="20"/>
                <w:color w:val="auto"/>
              </w:rPr>
            </w:pPr>
            <w:r>
              <w:rPr>
                <w:rFonts w:ascii="Arial" w:cs="Arial" w:eastAsia="Arial" w:hAnsi="Arial"/>
                <w:sz w:val="13"/>
                <w:szCs w:val="13"/>
                <w:color w:val="auto"/>
              </w:rPr>
              <w:t>Base management fee payable – due to affiliate</w:t>
            </w:r>
          </w:p>
        </w:tc>
        <w:tc>
          <w:tcPr>
            <w:tcW w:w="200" w:type="dxa"/>
            <w:vAlign w:val="bottom"/>
          </w:tcPr>
          <w:p>
            <w:pPr>
              <w:spacing w:after="0"/>
              <w:rPr>
                <w:sz w:val="11"/>
                <w:szCs w:val="11"/>
                <w:color w:val="auto"/>
              </w:rPr>
            </w:pP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3,193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3,334</w:t>
            </w:r>
          </w:p>
        </w:tc>
        <w:tc>
          <w:tcPr>
            <w:tcW w:w="0" w:type="dxa"/>
            <w:vAlign w:val="bottom"/>
          </w:tcPr>
          <w:p>
            <w:pPr>
              <w:spacing w:after="0"/>
              <w:rPr>
                <w:sz w:val="1"/>
                <w:szCs w:val="1"/>
                <w:color w:val="auto"/>
              </w:rPr>
            </w:pPr>
          </w:p>
        </w:tc>
      </w:tr>
      <w:tr>
        <w:trPr>
          <w:trHeight w:val="135"/>
        </w:trPr>
        <w:tc>
          <w:tcPr>
            <w:tcW w:w="9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Income incentive fee payable, net of incentive fee waiver – due to affiliate</w:t>
            </w: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1,690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1,497</w:t>
            </w:r>
          </w:p>
        </w:tc>
        <w:tc>
          <w:tcPr>
            <w:tcW w:w="0" w:type="dxa"/>
            <w:vAlign w:val="bottom"/>
          </w:tcPr>
          <w:p>
            <w:pPr>
              <w:spacing w:after="0"/>
              <w:rPr>
                <w:sz w:val="1"/>
                <w:szCs w:val="1"/>
                <w:color w:val="auto"/>
              </w:rPr>
            </w:pPr>
          </w:p>
        </w:tc>
      </w:tr>
      <w:tr>
        <w:trPr>
          <w:trHeight w:val="135"/>
        </w:trPr>
        <w:tc>
          <w:tcPr>
            <w:tcW w:w="9340" w:type="dxa"/>
            <w:vAlign w:val="bottom"/>
          </w:tcPr>
          <w:p>
            <w:pPr>
              <w:spacing w:after="0" w:line="135" w:lineRule="exact"/>
              <w:rPr>
                <w:sz w:val="20"/>
                <w:szCs w:val="20"/>
                <w:color w:val="auto"/>
              </w:rPr>
            </w:pPr>
            <w:r>
              <w:rPr>
                <w:rFonts w:ascii="Arial" w:cs="Arial" w:eastAsia="Arial" w:hAnsi="Arial"/>
                <w:sz w:val="13"/>
                <w:szCs w:val="13"/>
                <w:color w:val="auto"/>
              </w:rPr>
              <w:t>Capital gains incentive fee payable – due to affiliate</w:t>
            </w:r>
          </w:p>
        </w:tc>
        <w:tc>
          <w:tcPr>
            <w:tcW w:w="200" w:type="dxa"/>
            <w:vAlign w:val="bottom"/>
          </w:tcPr>
          <w:p>
            <w:pPr>
              <w:spacing w:after="0"/>
              <w:rPr>
                <w:sz w:val="11"/>
                <w:szCs w:val="11"/>
                <w:color w:val="auto"/>
              </w:rPr>
            </w:pP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3,574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12,715</w:t>
            </w:r>
          </w:p>
        </w:tc>
        <w:tc>
          <w:tcPr>
            <w:tcW w:w="0" w:type="dxa"/>
            <w:vAlign w:val="bottom"/>
          </w:tcPr>
          <w:p>
            <w:pPr>
              <w:spacing w:after="0"/>
              <w:rPr>
                <w:sz w:val="1"/>
                <w:szCs w:val="1"/>
                <w:color w:val="auto"/>
              </w:rPr>
            </w:pPr>
          </w:p>
        </w:tc>
      </w:tr>
      <w:tr>
        <w:trPr>
          <w:trHeight w:val="135"/>
        </w:trPr>
        <w:tc>
          <w:tcPr>
            <w:tcW w:w="9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Administration fee payable and other – due to affiliate</w:t>
            </w: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415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487</w:t>
            </w:r>
          </w:p>
        </w:tc>
        <w:tc>
          <w:tcPr>
            <w:tcW w:w="0" w:type="dxa"/>
            <w:vAlign w:val="bottom"/>
          </w:tcPr>
          <w:p>
            <w:pPr>
              <w:spacing w:after="0"/>
              <w:rPr>
                <w:sz w:val="1"/>
                <w:szCs w:val="1"/>
                <w:color w:val="auto"/>
              </w:rPr>
            </w:pPr>
          </w:p>
        </w:tc>
      </w:tr>
      <w:tr>
        <w:trPr>
          <w:trHeight w:val="135"/>
        </w:trPr>
        <w:tc>
          <w:tcPr>
            <w:tcW w:w="9340" w:type="dxa"/>
            <w:vAlign w:val="bottom"/>
          </w:tcPr>
          <w:p>
            <w:pPr>
              <w:spacing w:after="0" w:line="135" w:lineRule="exact"/>
              <w:rPr>
                <w:sz w:val="20"/>
                <w:szCs w:val="20"/>
                <w:color w:val="auto"/>
              </w:rPr>
            </w:pPr>
            <w:r>
              <w:rPr>
                <w:rFonts w:ascii="Arial" w:cs="Arial" w:eastAsia="Arial" w:hAnsi="Arial"/>
                <w:sz w:val="13"/>
                <w:szCs w:val="13"/>
                <w:color w:val="auto"/>
              </w:rPr>
              <w:t>Taxes payable</w:t>
            </w:r>
          </w:p>
        </w:tc>
        <w:tc>
          <w:tcPr>
            <w:tcW w:w="200" w:type="dxa"/>
            <w:vAlign w:val="bottom"/>
          </w:tcPr>
          <w:p>
            <w:pPr>
              <w:spacing w:after="0"/>
              <w:rPr>
                <w:sz w:val="11"/>
                <w:szCs w:val="11"/>
                <w:color w:val="auto"/>
              </w:rPr>
            </w:pP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123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547</w:t>
            </w:r>
          </w:p>
        </w:tc>
        <w:tc>
          <w:tcPr>
            <w:tcW w:w="0" w:type="dxa"/>
            <w:vAlign w:val="bottom"/>
          </w:tcPr>
          <w:p>
            <w:pPr>
              <w:spacing w:after="0"/>
              <w:rPr>
                <w:sz w:val="1"/>
                <w:szCs w:val="1"/>
                <w:color w:val="auto"/>
              </w:rPr>
            </w:pPr>
          </w:p>
        </w:tc>
      </w:tr>
      <w:tr>
        <w:trPr>
          <w:trHeight w:val="135"/>
        </w:trPr>
        <w:tc>
          <w:tcPr>
            <w:tcW w:w="9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Accounts payable and other liabilities</w:t>
            </w: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533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442</w:t>
            </w:r>
          </w:p>
        </w:tc>
        <w:tc>
          <w:tcPr>
            <w:tcW w:w="0" w:type="dxa"/>
            <w:vAlign w:val="bottom"/>
          </w:tcPr>
          <w:p>
            <w:pPr>
              <w:spacing w:after="0"/>
              <w:rPr>
                <w:sz w:val="1"/>
                <w:szCs w:val="1"/>
                <w:color w:val="auto"/>
              </w:rPr>
            </w:pPr>
          </w:p>
        </w:tc>
      </w:tr>
      <w:tr>
        <w:trPr>
          <w:trHeight w:val="149"/>
        </w:trPr>
        <w:tc>
          <w:tcPr>
            <w:tcW w:w="9340" w:type="dxa"/>
            <w:vAlign w:val="bottom"/>
          </w:tcPr>
          <w:p>
            <w:pPr>
              <w:spacing w:after="0" w:line="142" w:lineRule="exact"/>
              <w:rPr>
                <w:sz w:val="20"/>
                <w:szCs w:val="20"/>
                <w:color w:val="auto"/>
              </w:rPr>
            </w:pPr>
            <w:r>
              <w:rPr>
                <w:rFonts w:ascii="Arial" w:cs="Arial" w:eastAsia="Arial" w:hAnsi="Arial"/>
                <w:sz w:val="13"/>
                <w:szCs w:val="13"/>
                <w:b w:val="1"/>
                <w:bCs w:val="1"/>
                <w:color w:val="auto"/>
              </w:rPr>
              <w:t>Total liabilities</w:t>
            </w: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385,268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377,129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Commitments and contingencies (Note 7)</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9340" w:type="dxa"/>
            <w:vAlign w:val="bottom"/>
          </w:tcPr>
          <w:p>
            <w:pPr>
              <w:spacing w:after="0"/>
              <w:rPr>
                <w:sz w:val="20"/>
                <w:szCs w:val="20"/>
                <w:color w:val="auto"/>
              </w:rPr>
            </w:pPr>
            <w:r>
              <w:rPr>
                <w:rFonts w:ascii="Arial" w:cs="Arial" w:eastAsia="Arial" w:hAnsi="Arial"/>
                <w:sz w:val="13"/>
                <w:szCs w:val="13"/>
                <w:b w:val="1"/>
                <w:bCs w:val="1"/>
                <w:color w:val="auto"/>
              </w:rPr>
              <w:t>NET ASSETS</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9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9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Common stock, $0.001 par value (100,000,000 shares authorized, 24,437,400 and 24,463,119 shares issued and</w:t>
            </w: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93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outstanding at June 30, 2020 and December 31, 2019, respectively)</w:t>
            </w: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35"/>
        </w:trPr>
        <w:tc>
          <w:tcPr>
            <w:tcW w:w="9340" w:type="dxa"/>
            <w:vAlign w:val="bottom"/>
          </w:tcPr>
          <w:p>
            <w:pPr>
              <w:spacing w:after="0" w:line="135" w:lineRule="exact"/>
              <w:rPr>
                <w:sz w:val="20"/>
                <w:szCs w:val="20"/>
                <w:color w:val="auto"/>
              </w:rPr>
            </w:pPr>
            <w:r>
              <w:rPr>
                <w:rFonts w:ascii="Arial" w:cs="Arial" w:eastAsia="Arial" w:hAnsi="Arial"/>
                <w:sz w:val="13"/>
                <w:szCs w:val="13"/>
                <w:color w:val="auto"/>
              </w:rPr>
              <w:t>Additional paid-in capital</w:t>
            </w:r>
          </w:p>
        </w:tc>
        <w:tc>
          <w:tcPr>
            <w:tcW w:w="200" w:type="dxa"/>
            <w:vAlign w:val="bottom"/>
          </w:tcPr>
          <w:p>
            <w:pPr>
              <w:spacing w:after="0"/>
              <w:rPr>
                <w:sz w:val="11"/>
                <w:szCs w:val="11"/>
                <w:color w:val="auto"/>
              </w:rPr>
            </w:pP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365,793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366,061</w:t>
            </w:r>
          </w:p>
        </w:tc>
        <w:tc>
          <w:tcPr>
            <w:tcW w:w="0" w:type="dxa"/>
            <w:vAlign w:val="bottom"/>
          </w:tcPr>
          <w:p>
            <w:pPr>
              <w:spacing w:after="0"/>
              <w:rPr>
                <w:sz w:val="1"/>
                <w:szCs w:val="1"/>
                <w:color w:val="auto"/>
              </w:rPr>
            </w:pPr>
          </w:p>
        </w:tc>
      </w:tr>
      <w:tr>
        <w:trPr>
          <w:trHeight w:val="135"/>
        </w:trPr>
        <w:tc>
          <w:tcPr>
            <w:tcW w:w="9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distributable earnings</w:t>
            </w: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10,359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46,225</w:t>
            </w:r>
          </w:p>
        </w:tc>
        <w:tc>
          <w:tcPr>
            <w:tcW w:w="0" w:type="dxa"/>
            <w:vAlign w:val="bottom"/>
          </w:tcPr>
          <w:p>
            <w:pPr>
              <w:spacing w:after="0"/>
              <w:rPr>
                <w:sz w:val="1"/>
                <w:szCs w:val="1"/>
                <w:color w:val="auto"/>
              </w:rPr>
            </w:pPr>
          </w:p>
        </w:tc>
      </w:tr>
      <w:tr>
        <w:trPr>
          <w:trHeight w:val="149"/>
        </w:trPr>
        <w:tc>
          <w:tcPr>
            <w:tcW w:w="9340" w:type="dxa"/>
            <w:vAlign w:val="bottom"/>
          </w:tcPr>
          <w:p>
            <w:pPr>
              <w:spacing w:after="0" w:line="142" w:lineRule="exact"/>
              <w:rPr>
                <w:sz w:val="20"/>
                <w:szCs w:val="20"/>
                <w:color w:val="auto"/>
              </w:rPr>
            </w:pPr>
            <w:r>
              <w:rPr>
                <w:rFonts w:ascii="Arial" w:cs="Arial" w:eastAsia="Arial" w:hAnsi="Arial"/>
                <w:sz w:val="13"/>
                <w:szCs w:val="13"/>
                <w:b w:val="1"/>
                <w:bCs w:val="1"/>
                <w:color w:val="auto"/>
              </w:rPr>
              <w:t>Total net assets</w:t>
            </w: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376,176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412,310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3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liabilities and net assets</w:t>
            </w:r>
          </w:p>
        </w:tc>
        <w:tc>
          <w:tcPr>
            <w:tcW w:w="2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761,444</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789,439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340" w:type="dxa"/>
            <w:vAlign w:val="bottom"/>
            <w:vMerge w:val="restart"/>
          </w:tcPr>
          <w:p>
            <w:pPr>
              <w:spacing w:after="0"/>
              <w:rPr>
                <w:sz w:val="20"/>
                <w:szCs w:val="20"/>
                <w:color w:val="auto"/>
              </w:rPr>
            </w:pPr>
            <w:r>
              <w:rPr>
                <w:rFonts w:ascii="Arial" w:cs="Arial" w:eastAsia="Arial" w:hAnsi="Arial"/>
                <w:sz w:val="13"/>
                <w:szCs w:val="13"/>
                <w:b w:val="1"/>
                <w:bCs w:val="1"/>
                <w:color w:val="auto"/>
              </w:rPr>
              <w:t>Net asset value per common share</w:t>
            </w: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340" w:type="dxa"/>
            <w:vAlign w:val="bottom"/>
            <w:vMerge w:val="continue"/>
          </w:tcPr>
          <w:p>
            <w:pPr>
              <w:spacing w:after="0"/>
              <w:rPr>
                <w:sz w:val="11"/>
                <w:szCs w:val="11"/>
                <w:color w:val="auto"/>
              </w:rPr>
            </w:pPr>
          </w:p>
        </w:tc>
        <w:tc>
          <w:tcPr>
            <w:tcW w:w="2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15.39</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16.85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63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Control investments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881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6380" w:type="dxa"/>
            <w:vAlign w:val="bottom"/>
          </w:tcPr>
          <w:p>
            <w:pPr>
              <w:ind w:left="720"/>
              <w:spacing w:after="0"/>
              <w:rPr>
                <w:sz w:val="20"/>
                <w:szCs w:val="20"/>
                <w:color w:val="auto"/>
              </w:rPr>
            </w:pPr>
            <w:r>
              <w:rPr>
                <w:rFonts w:ascii="Arial" w:cs="Arial" w:eastAsia="Arial" w:hAnsi="Arial"/>
                <w:sz w:val="18"/>
                <w:szCs w:val="18"/>
                <w:color w:val="auto"/>
              </w:rPr>
              <w:t>Affiliate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1,814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Non-control/non-affiliate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17,559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33,611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25,815</w:t>
            </w:r>
          </w:p>
        </w:tc>
        <w:tc>
          <w:tcPr>
            <w:tcW w:w="0" w:type="dxa"/>
            <w:vAlign w:val="bottom"/>
          </w:tcPr>
          <w:p>
            <w:pPr>
              <w:spacing w:after="0"/>
              <w:rPr>
                <w:sz w:val="1"/>
                <w:szCs w:val="1"/>
                <w:color w:val="auto"/>
              </w:rPr>
            </w:pPr>
          </w:p>
        </w:tc>
      </w:tr>
      <w:tr>
        <w:trPr>
          <w:trHeight w:val="223"/>
        </w:trPr>
        <w:tc>
          <w:tcPr>
            <w:tcW w:w="6380" w:type="dxa"/>
            <w:vAlign w:val="bottom"/>
          </w:tcPr>
          <w:p>
            <w:pPr>
              <w:ind w:left="1080"/>
              <w:spacing w:after="0"/>
              <w:rPr>
                <w:sz w:val="20"/>
                <w:szCs w:val="20"/>
                <w:color w:val="auto"/>
              </w:rPr>
            </w:pPr>
            <w:r>
              <w:rPr>
                <w:rFonts w:ascii="Arial" w:cs="Arial" w:eastAsia="Arial" w:hAnsi="Arial"/>
                <w:sz w:val="18"/>
                <w:szCs w:val="18"/>
                <w:color w:val="auto"/>
              </w:rPr>
              <w:t>Total interest income</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18,839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Payment-in-kind interest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720"/>
              <w:spacing w:after="0"/>
              <w:rPr>
                <w:sz w:val="20"/>
                <w:szCs w:val="20"/>
                <w:color w:val="auto"/>
              </w:rPr>
            </w:pPr>
            <w:r>
              <w:rPr>
                <w:rFonts w:ascii="Arial" w:cs="Arial" w:eastAsia="Arial" w:hAnsi="Arial"/>
                <w:sz w:val="18"/>
                <w:szCs w:val="18"/>
                <w:color w:val="auto"/>
              </w:rPr>
              <w:t>Control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870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Affiliate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6380" w:type="dxa"/>
            <w:vAlign w:val="bottom"/>
          </w:tcPr>
          <w:p>
            <w:pPr>
              <w:ind w:left="720"/>
              <w:spacing w:after="0"/>
              <w:rPr>
                <w:sz w:val="20"/>
                <w:szCs w:val="20"/>
                <w:color w:val="auto"/>
              </w:rPr>
            </w:pPr>
            <w:r>
              <w:rPr>
                <w:rFonts w:ascii="Arial" w:cs="Arial" w:eastAsia="Arial" w:hAnsi="Arial"/>
                <w:sz w:val="18"/>
                <w:szCs w:val="18"/>
                <w:color w:val="auto"/>
              </w:rPr>
              <w:t>Non-control/non-affiliate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2,687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1,323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payment-in-kind interest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5,585</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Dividend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Control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tcPr>
          <w:p>
            <w:pPr>
              <w:ind w:left="720"/>
              <w:spacing w:after="0"/>
              <w:rPr>
                <w:sz w:val="20"/>
                <w:szCs w:val="20"/>
                <w:color w:val="auto"/>
              </w:rPr>
            </w:pPr>
            <w:r>
              <w:rPr>
                <w:rFonts w:ascii="Arial" w:cs="Arial" w:eastAsia="Arial" w:hAnsi="Arial"/>
                <w:sz w:val="18"/>
                <w:szCs w:val="18"/>
                <w:color w:val="auto"/>
              </w:rPr>
              <w:t>Affiliate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Non-control/non-affiliate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380" w:type="dxa"/>
            <w:vAlign w:val="bottom"/>
          </w:tcPr>
          <w:p>
            <w:pPr>
              <w:ind w:left="1080"/>
              <w:spacing w:after="0"/>
              <w:rPr>
                <w:sz w:val="20"/>
                <w:szCs w:val="20"/>
                <w:color w:val="auto"/>
              </w:rPr>
            </w:pPr>
            <w:r>
              <w:rPr>
                <w:rFonts w:ascii="Arial" w:cs="Arial" w:eastAsia="Arial" w:hAnsi="Arial"/>
                <w:sz w:val="18"/>
                <w:szCs w:val="18"/>
                <w:color w:val="auto"/>
              </w:rPr>
              <w:t>Total dividend income</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w w:val="79"/>
              </w:rPr>
              <w:t>631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Fee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720"/>
              <w:spacing w:after="0"/>
              <w:rPr>
                <w:sz w:val="20"/>
                <w:szCs w:val="20"/>
                <w:color w:val="auto"/>
              </w:rPr>
            </w:pPr>
            <w:r>
              <w:rPr>
                <w:rFonts w:ascii="Arial" w:cs="Arial" w:eastAsia="Arial" w:hAnsi="Arial"/>
                <w:sz w:val="18"/>
                <w:szCs w:val="18"/>
                <w:color w:val="auto"/>
              </w:rPr>
              <w:t>Control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Affiliate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380" w:type="dxa"/>
            <w:vAlign w:val="bottom"/>
          </w:tcPr>
          <w:p>
            <w:pPr>
              <w:ind w:left="720"/>
              <w:spacing w:after="0"/>
              <w:rPr>
                <w:sz w:val="20"/>
                <w:szCs w:val="20"/>
                <w:color w:val="auto"/>
              </w:rPr>
            </w:pPr>
            <w:r>
              <w:rPr>
                <w:rFonts w:ascii="Arial" w:cs="Arial" w:eastAsia="Arial" w:hAnsi="Arial"/>
                <w:sz w:val="18"/>
                <w:szCs w:val="18"/>
                <w:color w:val="auto"/>
              </w:rPr>
              <w:t>Non-control/non-affiliate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1,457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fee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Interest on idle funds and other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40,416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38,398</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financing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9,823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7,776</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Base management fee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3,193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3,016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6,465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5,887</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Incentive fee -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3,968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3,784</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Incentive fee - capital gains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(9,141)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service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Professional fees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1,207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general and administrative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Total expenses before income incentive fee waiver</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Incentive fee waiver -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Total expenses, net of income incentive fee waiver</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before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26,852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19,297</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26,708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19,242</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b w:val="1"/>
                <w:bCs w:val="1"/>
                <w:color w:val="auto"/>
              </w:rPr>
              <w:t>Net realized and unrealized gains (losses) on investments: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gains (losses):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720"/>
              <w:spacing w:after="0"/>
              <w:rPr>
                <w:sz w:val="20"/>
                <w:szCs w:val="20"/>
                <w:color w:val="auto"/>
              </w:rPr>
            </w:pPr>
            <w:r>
              <w:rPr>
                <w:rFonts w:ascii="Arial" w:cs="Arial" w:eastAsia="Arial" w:hAnsi="Arial"/>
                <w:sz w:val="18"/>
                <w:szCs w:val="18"/>
                <w:color w:val="auto"/>
              </w:rPr>
              <w:t>Control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Affiliate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24,419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6380" w:type="dxa"/>
            <w:vAlign w:val="bottom"/>
          </w:tcPr>
          <w:p>
            <w:pPr>
              <w:ind w:left="720"/>
              <w:spacing w:after="0"/>
              <w:rPr>
                <w:sz w:val="20"/>
                <w:szCs w:val="20"/>
                <w:color w:val="auto"/>
              </w:rPr>
            </w:pPr>
            <w:r>
              <w:rPr>
                <w:rFonts w:ascii="Arial" w:cs="Arial" w:eastAsia="Arial" w:hAnsi="Arial"/>
                <w:sz w:val="18"/>
                <w:szCs w:val="18"/>
                <w:color w:val="auto"/>
              </w:rPr>
              <w:t>Non-control/non-affiliate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7,163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realized gain (loss) on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31,582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23"/>
        </w:trPr>
        <w:tc>
          <w:tcPr>
            <w:tcW w:w="6380" w:type="dxa"/>
            <w:vAlign w:val="bottom"/>
          </w:tcPr>
          <w:p>
            <w:pPr>
              <w:ind w:left="360"/>
              <w:spacing w:after="0"/>
              <w:rPr>
                <w:sz w:val="20"/>
                <w:szCs w:val="20"/>
                <w:color w:val="auto"/>
              </w:rPr>
            </w:pPr>
            <w:r>
              <w:rPr>
                <w:rFonts w:ascii="Arial" w:cs="Arial" w:eastAsia="Arial" w:hAnsi="Arial"/>
                <w:sz w:val="18"/>
                <w:szCs w:val="18"/>
                <w:color w:val="auto"/>
              </w:rPr>
              <w:t>Income tax (provision) benefit from realized gains on investments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unrealized appreciation (depreciation):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720"/>
              <w:spacing w:after="0"/>
              <w:rPr>
                <w:sz w:val="20"/>
                <w:szCs w:val="20"/>
                <w:color w:val="auto"/>
              </w:rPr>
            </w:pPr>
            <w:r>
              <w:rPr>
                <w:rFonts w:ascii="Arial" w:cs="Arial" w:eastAsia="Arial" w:hAnsi="Arial"/>
                <w:sz w:val="18"/>
                <w:szCs w:val="18"/>
                <w:color w:val="auto"/>
              </w:rPr>
              <w:t>Control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Affiliate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16"/>
        </w:trPr>
        <w:tc>
          <w:tcPr>
            <w:tcW w:w="6380" w:type="dxa"/>
            <w:vAlign w:val="bottom"/>
          </w:tcPr>
          <w:p>
            <w:pPr>
              <w:ind w:left="720"/>
              <w:spacing w:after="0"/>
              <w:rPr>
                <w:sz w:val="20"/>
                <w:szCs w:val="20"/>
                <w:color w:val="auto"/>
              </w:rPr>
            </w:pPr>
            <w:r>
              <w:rPr>
                <w:rFonts w:ascii="Arial" w:cs="Arial" w:eastAsia="Arial" w:hAnsi="Arial"/>
                <w:sz w:val="18"/>
                <w:szCs w:val="18"/>
                <w:color w:val="auto"/>
              </w:rPr>
              <w:t>Non-control/non-affiliate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(5,237)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(8,492)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(38,881)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(9,343)</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change in unrealized appreciation (depreciation) on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b w:val="1"/>
                <w:bCs w:val="1"/>
                <w:color w:val="auto"/>
              </w:rPr>
              <w:t>Net gain (loss) on investments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losses on extinguishment of debt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common share data:</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Net investment income per share-basic and diluted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0.38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0.39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1.09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Net increase (decrease) in net assets resulting from operations per share — basic and</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color w:val="auto"/>
              </w:rPr>
              <w:t>Dividends declared per share</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24,437,400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24,463,119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8"/>
              </w:rPr>
              <w:t>24,447,517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24,463,119</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ectPr>
          <w:pgSz w:w="11900" w:h="16838" w:orient="portrait"/>
          <w:cols w:equalWidth="0" w:num="1">
            <w:col w:w="11140"/>
          </w:cols>
          <w:pgMar w:left="320" w:top="459" w:right="439" w:bottom="0"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40"/>
          </w:cols>
          <w:pgMar w:left="320" w:top="459" w:right="439" w:bottom="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Net Assets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660" w:type="dxa"/>
            <w:vAlign w:val="bottom"/>
            <w:gridSpan w:val="5"/>
          </w:tcPr>
          <w:p>
            <w:pPr>
              <w:ind w:left="2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3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Par</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paid-in</w:t>
            </w:r>
          </w:p>
        </w:tc>
        <w:tc>
          <w:tcPr>
            <w:tcW w:w="80" w:type="dxa"/>
            <w:vAlign w:val="bottom"/>
          </w:tcPr>
          <w:p>
            <w:pPr>
              <w:spacing w:after="0"/>
              <w:rPr>
                <w:sz w:val="10"/>
                <w:szCs w:val="10"/>
                <w:color w:val="auto"/>
              </w:rPr>
            </w:pP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distributable</w:t>
            </w:r>
          </w:p>
        </w:tc>
        <w:tc>
          <w:tcPr>
            <w:tcW w:w="80" w:type="dxa"/>
            <w:vAlign w:val="bottom"/>
          </w:tcPr>
          <w:p>
            <w:pPr>
              <w:spacing w:after="0"/>
              <w:rPr>
                <w:sz w:val="10"/>
                <w:szCs w:val="10"/>
                <w:color w:val="auto"/>
              </w:rPr>
            </w:pPr>
          </w:p>
        </w:tc>
        <w:tc>
          <w:tcPr>
            <w:tcW w:w="80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Total net</w:t>
            </w: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value</w:t>
            </w:r>
          </w:p>
        </w:tc>
        <w:tc>
          <w:tcPr>
            <w:tcW w:w="6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earnings</w:t>
            </w: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24,463,119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24</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$366,688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$402,985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9,599</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9,599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(1,583)</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3,545</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Dividends declared</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(9,541)</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2019</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24,463,119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24</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366,688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38,104</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404,816</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Net investment income</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(6,029)</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(6,029)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Dividends declared</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(9,540)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(9,540)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June 30, 2019</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24,463,119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24</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366,688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31,766</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398,478</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Balances at December 31,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24,463,119</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24</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366,061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412,310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 under Stock Repurchase Program (Note 8)</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(25,719)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17,417</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17,417</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30,327</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30,327</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(74,590)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(74,590)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Dividends declared</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(9,537)</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2020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24,437,400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24</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365,793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9,717</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375,534</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Net investment income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net of taxes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(1,508)</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 of debt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Dividends declared</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(7,331)</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June 30, 2020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24,437,400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24</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365,793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10,359</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376,176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Amount is greater than zero but less than one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80" w:type="dxa"/>
            <w:vAlign w:val="bottom"/>
          </w:tcPr>
          <w:p>
            <w:pPr>
              <w:spacing w:after="0"/>
              <w:rPr>
                <w:sz w:val="14"/>
                <w:szCs w:val="14"/>
                <w:color w:val="auto"/>
              </w:rPr>
            </w:pPr>
          </w:p>
        </w:tc>
        <w:tc>
          <w:tcPr>
            <w:tcW w:w="18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9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91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180" w:type="dxa"/>
            <w:vAlign w:val="bottom"/>
          </w:tcPr>
          <w:p>
            <w:pPr>
              <w:ind w:left="280"/>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140" w:type="dxa"/>
            <w:vAlign w:val="bottom"/>
          </w:tcPr>
          <w:p>
            <w:pPr>
              <w:jc w:val="right"/>
              <w:ind w:right="24"/>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(18,998)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14,574</w:t>
            </w:r>
          </w:p>
        </w:tc>
        <w:tc>
          <w:tcPr>
            <w:tcW w:w="0" w:type="dxa"/>
            <w:vAlign w:val="bottom"/>
          </w:tcPr>
          <w:p>
            <w:pPr>
              <w:spacing w:after="0"/>
              <w:rPr>
                <w:sz w:val="1"/>
                <w:szCs w:val="1"/>
                <w:color w:val="auto"/>
              </w:rPr>
            </w:pPr>
          </w:p>
        </w:tc>
      </w:tr>
      <w:tr>
        <w:trPr>
          <w:trHeight w:val="148"/>
        </w:trPr>
        <w:tc>
          <w:tcPr>
            <w:tcW w:w="9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Adjustments to reconcile net increase (decrease) in net assets resulting from operations to net cash provided by (used for) operating activities: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180" w:type="dxa"/>
            <w:vAlign w:val="bottom"/>
          </w:tcPr>
          <w:p>
            <w:pPr>
              <w:ind w:left="58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76,098</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2,484</w:t>
            </w:r>
          </w:p>
        </w:tc>
        <w:tc>
          <w:tcPr>
            <w:tcW w:w="0" w:type="dxa"/>
            <w:vAlign w:val="bottom"/>
          </w:tcPr>
          <w:p>
            <w:pPr>
              <w:spacing w:after="0"/>
              <w:rPr>
                <w:sz w:val="1"/>
                <w:szCs w:val="1"/>
                <w:color w:val="auto"/>
              </w:rPr>
            </w:pPr>
          </w:p>
        </w:tc>
      </w:tr>
      <w:tr>
        <w:trPr>
          <w:trHeight w:val="149"/>
        </w:trPr>
        <w:tc>
          <w:tcPr>
            <w:tcW w:w="91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Net realized (gain) loss on investments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(31,582)</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1,702</w:t>
            </w:r>
          </w:p>
        </w:tc>
        <w:tc>
          <w:tcPr>
            <w:tcW w:w="0" w:type="dxa"/>
            <w:vAlign w:val="bottom"/>
          </w:tcPr>
          <w:p>
            <w:pPr>
              <w:spacing w:after="0"/>
              <w:rPr>
                <w:sz w:val="1"/>
                <w:szCs w:val="1"/>
                <w:color w:val="auto"/>
              </w:rPr>
            </w:pPr>
          </w:p>
        </w:tc>
      </w:tr>
      <w:tr>
        <w:trPr>
          <w:trHeight w:val="148"/>
        </w:trPr>
        <w:tc>
          <w:tcPr>
            <w:tcW w:w="9180" w:type="dxa"/>
            <w:vAlign w:val="bottom"/>
          </w:tcPr>
          <w:p>
            <w:pPr>
              <w:ind w:left="580"/>
              <w:spacing w:after="0" w:line="149" w:lineRule="exact"/>
              <w:rPr>
                <w:sz w:val="20"/>
                <w:szCs w:val="20"/>
                <w:color w:val="auto"/>
              </w:rPr>
            </w:pPr>
            <w:r>
              <w:rPr>
                <w:rFonts w:ascii="Arial" w:cs="Arial" w:eastAsia="Arial" w:hAnsi="Arial"/>
                <w:sz w:val="14"/>
                <w:szCs w:val="14"/>
                <w:color w:val="auto"/>
              </w:rPr>
              <w:t>Interest and dividend income paid-in-kind</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(2,262)</w:t>
            </w:r>
          </w:p>
        </w:tc>
        <w:tc>
          <w:tcPr>
            <w:tcW w:w="1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(5,585)</w:t>
            </w:r>
          </w:p>
        </w:tc>
        <w:tc>
          <w:tcPr>
            <w:tcW w:w="0" w:type="dxa"/>
            <w:vAlign w:val="bottom"/>
          </w:tcPr>
          <w:p>
            <w:pPr>
              <w:spacing w:after="0"/>
              <w:rPr>
                <w:sz w:val="1"/>
                <w:szCs w:val="1"/>
                <w:color w:val="auto"/>
              </w:rPr>
            </w:pPr>
          </w:p>
        </w:tc>
      </w:tr>
      <w:tr>
        <w:trPr>
          <w:trHeight w:val="148"/>
        </w:trPr>
        <w:tc>
          <w:tcPr>
            <w:tcW w:w="91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Accretion of original issue discount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(103)</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8"/>
        </w:trPr>
        <w:tc>
          <w:tcPr>
            <w:tcW w:w="9180" w:type="dxa"/>
            <w:vAlign w:val="bottom"/>
          </w:tcPr>
          <w:p>
            <w:pPr>
              <w:ind w:left="580"/>
              <w:spacing w:after="0" w:line="149" w:lineRule="exact"/>
              <w:rPr>
                <w:sz w:val="20"/>
                <w:szCs w:val="20"/>
                <w:color w:val="auto"/>
              </w:rPr>
            </w:pPr>
            <w:r>
              <w:rPr>
                <w:rFonts w:ascii="Arial" w:cs="Arial" w:eastAsia="Arial" w:hAnsi="Arial"/>
                <w:sz w:val="14"/>
                <w:szCs w:val="14"/>
                <w:color w:val="auto"/>
              </w:rPr>
              <w:t>Accretion of loan origination fees</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(514)</w:t>
            </w:r>
          </w:p>
        </w:tc>
        <w:tc>
          <w:tcPr>
            <w:tcW w:w="1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48"/>
        </w:trPr>
        <w:tc>
          <w:tcPr>
            <w:tcW w:w="91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Purchase of investments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(85,097)</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(128,460)</w:t>
            </w:r>
          </w:p>
        </w:tc>
        <w:tc>
          <w:tcPr>
            <w:tcW w:w="0" w:type="dxa"/>
            <w:vAlign w:val="bottom"/>
          </w:tcPr>
          <w:p>
            <w:pPr>
              <w:spacing w:after="0"/>
              <w:rPr>
                <w:sz w:val="1"/>
                <w:szCs w:val="1"/>
                <w:color w:val="auto"/>
              </w:rPr>
            </w:pPr>
          </w:p>
        </w:tc>
      </w:tr>
      <w:tr>
        <w:trPr>
          <w:trHeight w:val="149"/>
        </w:trPr>
        <w:tc>
          <w:tcPr>
            <w:tcW w:w="9180" w:type="dxa"/>
            <w:vAlign w:val="bottom"/>
          </w:tcPr>
          <w:p>
            <w:pPr>
              <w:ind w:left="580"/>
              <w:spacing w:after="0" w:line="149" w:lineRule="exact"/>
              <w:rPr>
                <w:sz w:val="20"/>
                <w:szCs w:val="20"/>
                <w:color w:val="auto"/>
              </w:rPr>
            </w:pPr>
            <w:r>
              <w:rPr>
                <w:rFonts w:ascii="Arial" w:cs="Arial" w:eastAsia="Arial" w:hAnsi="Arial"/>
                <w:sz w:val="14"/>
                <w:szCs w:val="14"/>
                <w:color w:val="auto"/>
              </w:rPr>
              <w:t>Proceeds from sales and repayments of investments</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76,315</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75,320</w:t>
            </w:r>
          </w:p>
        </w:tc>
        <w:tc>
          <w:tcPr>
            <w:tcW w:w="0" w:type="dxa"/>
            <w:vAlign w:val="bottom"/>
          </w:tcPr>
          <w:p>
            <w:pPr>
              <w:spacing w:after="0"/>
              <w:rPr>
                <w:sz w:val="1"/>
                <w:szCs w:val="1"/>
                <w:color w:val="auto"/>
              </w:rPr>
            </w:pPr>
          </w:p>
        </w:tc>
      </w:tr>
      <w:tr>
        <w:trPr>
          <w:trHeight w:val="148"/>
        </w:trPr>
        <w:tc>
          <w:tcPr>
            <w:tcW w:w="91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Proceeds from loan origination fees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1,444</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148"/>
        </w:trPr>
        <w:tc>
          <w:tcPr>
            <w:tcW w:w="9180" w:type="dxa"/>
            <w:vAlign w:val="bottom"/>
          </w:tcPr>
          <w:p>
            <w:pPr>
              <w:ind w:left="580"/>
              <w:spacing w:after="0" w:line="149" w:lineRule="exact"/>
              <w:rPr>
                <w:sz w:val="20"/>
                <w:szCs w:val="20"/>
                <w:color w:val="auto"/>
              </w:rPr>
            </w:pPr>
            <w:r>
              <w:rPr>
                <w:rFonts w:ascii="Arial" w:cs="Arial" w:eastAsia="Arial" w:hAnsi="Arial"/>
                <w:sz w:val="14"/>
                <w:szCs w:val="14"/>
                <w:color w:val="auto"/>
              </w:rPr>
              <w:t>Realized losses on extinguishment of debt</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125</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48"/>
        </w:trPr>
        <w:tc>
          <w:tcPr>
            <w:tcW w:w="91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Amortization of deferred financing costs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1,098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148"/>
        </w:trPr>
        <w:tc>
          <w:tcPr>
            <w:tcW w:w="9180" w:type="dxa"/>
            <w:vAlign w:val="bottom"/>
          </w:tcPr>
          <w:p>
            <w:pPr>
              <w:ind w:left="5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1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Interest receivable</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(1,877)</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1,630</w:t>
            </w:r>
          </w:p>
        </w:tc>
        <w:tc>
          <w:tcPr>
            <w:tcW w:w="0" w:type="dxa"/>
            <w:vAlign w:val="bottom"/>
          </w:tcPr>
          <w:p>
            <w:pPr>
              <w:spacing w:after="0"/>
              <w:rPr>
                <w:sz w:val="1"/>
                <w:szCs w:val="1"/>
                <w:color w:val="auto"/>
              </w:rPr>
            </w:pPr>
          </w:p>
        </w:tc>
      </w:tr>
      <w:tr>
        <w:trPr>
          <w:trHeight w:val="149"/>
        </w:trPr>
        <w:tc>
          <w:tcPr>
            <w:tcW w:w="9180" w:type="dxa"/>
            <w:vAlign w:val="bottom"/>
          </w:tcPr>
          <w:p>
            <w:pPr>
              <w:ind w:left="860"/>
              <w:spacing w:after="0" w:line="149" w:lineRule="exact"/>
              <w:rPr>
                <w:sz w:val="20"/>
                <w:szCs w:val="20"/>
                <w:color w:val="auto"/>
              </w:rPr>
            </w:pPr>
            <w:r>
              <w:rPr>
                <w:rFonts w:ascii="Arial" w:cs="Arial" w:eastAsia="Arial" w:hAnsi="Arial"/>
                <w:sz w:val="14"/>
                <w:szCs w:val="14"/>
                <w:color w:val="auto"/>
              </w:rPr>
              <w:t>Prepaid expenses and other assets</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(171)</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48"/>
        </w:trPr>
        <w:tc>
          <w:tcPr>
            <w:tcW w:w="91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Accrued interest and fees payable</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(94)</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48"/>
        </w:trPr>
        <w:tc>
          <w:tcPr>
            <w:tcW w:w="9180" w:type="dxa"/>
            <w:vAlign w:val="bottom"/>
          </w:tcPr>
          <w:p>
            <w:pPr>
              <w:ind w:left="860"/>
              <w:spacing w:after="0" w:line="149" w:lineRule="exact"/>
              <w:rPr>
                <w:sz w:val="20"/>
                <w:szCs w:val="20"/>
                <w:color w:val="auto"/>
              </w:rPr>
            </w:pPr>
            <w:r>
              <w:rPr>
                <w:rFonts w:ascii="Arial" w:cs="Arial" w:eastAsia="Arial" w:hAnsi="Arial"/>
                <w:sz w:val="14"/>
                <w:szCs w:val="14"/>
                <w:color w:val="auto"/>
              </w:rPr>
              <w:t>Base management fee payable – due to affiliate</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(141)</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8"/>
        </w:trPr>
        <w:tc>
          <w:tcPr>
            <w:tcW w:w="91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Income incentive fee payable, net of incentive fee waiver – due to affiliate</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193</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(1,486)</w:t>
            </w:r>
          </w:p>
        </w:tc>
        <w:tc>
          <w:tcPr>
            <w:tcW w:w="0" w:type="dxa"/>
            <w:vAlign w:val="bottom"/>
          </w:tcPr>
          <w:p>
            <w:pPr>
              <w:spacing w:after="0"/>
              <w:rPr>
                <w:sz w:val="1"/>
                <w:szCs w:val="1"/>
                <w:color w:val="auto"/>
              </w:rPr>
            </w:pPr>
          </w:p>
        </w:tc>
      </w:tr>
      <w:tr>
        <w:trPr>
          <w:trHeight w:val="148"/>
        </w:trPr>
        <w:tc>
          <w:tcPr>
            <w:tcW w:w="9180" w:type="dxa"/>
            <w:vAlign w:val="bottom"/>
          </w:tcPr>
          <w:p>
            <w:pPr>
              <w:ind w:left="860"/>
              <w:spacing w:after="0" w:line="149" w:lineRule="exact"/>
              <w:rPr>
                <w:sz w:val="20"/>
                <w:szCs w:val="20"/>
                <w:color w:val="auto"/>
              </w:rPr>
            </w:pPr>
            <w:r>
              <w:rPr>
                <w:rFonts w:ascii="Arial" w:cs="Arial" w:eastAsia="Arial" w:hAnsi="Arial"/>
                <w:sz w:val="14"/>
                <w:szCs w:val="14"/>
                <w:color w:val="auto"/>
              </w:rPr>
              <w:t>Capital gains incentive fee payable – due to affiliate</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(9,141)</w:t>
            </w:r>
          </w:p>
        </w:tc>
        <w:tc>
          <w:tcPr>
            <w:tcW w:w="1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149"/>
        </w:trPr>
        <w:tc>
          <w:tcPr>
            <w:tcW w:w="91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Administration fee payable and other – due to affiliate</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48"/>
        </w:trPr>
        <w:tc>
          <w:tcPr>
            <w:tcW w:w="9180" w:type="dxa"/>
            <w:vAlign w:val="bottom"/>
          </w:tcPr>
          <w:p>
            <w:pPr>
              <w:ind w:left="860"/>
              <w:spacing w:after="0" w:line="149" w:lineRule="exact"/>
              <w:rPr>
                <w:sz w:val="20"/>
                <w:szCs w:val="20"/>
                <w:color w:val="auto"/>
              </w:rPr>
            </w:pPr>
            <w:r>
              <w:rPr>
                <w:rFonts w:ascii="Arial" w:cs="Arial" w:eastAsia="Arial" w:hAnsi="Arial"/>
                <w:sz w:val="14"/>
                <w:szCs w:val="14"/>
                <w:color w:val="auto"/>
              </w:rPr>
              <w:t>Taxes payable</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(424)</w:t>
            </w:r>
          </w:p>
        </w:tc>
        <w:tc>
          <w:tcPr>
            <w:tcW w:w="1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48"/>
        </w:trPr>
        <w:tc>
          <w:tcPr>
            <w:tcW w:w="91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 and other liabilities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91</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63"/>
        </w:trPr>
        <w:tc>
          <w:tcPr>
            <w:tcW w:w="9180" w:type="dxa"/>
            <w:vAlign w:val="bottom"/>
          </w:tcPr>
          <w:p>
            <w:pPr>
              <w:ind w:left="1140"/>
              <w:spacing w:after="0" w:line="155" w:lineRule="exact"/>
              <w:rPr>
                <w:sz w:val="20"/>
                <w:szCs w:val="20"/>
                <w:color w:val="auto"/>
              </w:rPr>
            </w:pPr>
            <w:r>
              <w:rPr>
                <w:rFonts w:ascii="Arial" w:cs="Arial" w:eastAsia="Arial" w:hAnsi="Arial"/>
                <w:sz w:val="14"/>
                <w:szCs w:val="14"/>
                <w:b w:val="1"/>
                <w:bCs w:val="1"/>
                <w:color w:val="auto"/>
              </w:rPr>
              <w:t>Net cash provided by (used for) operating activities</w:t>
            </w: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4,888</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(39,295)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180" w:type="dxa"/>
            <w:vAlign w:val="bottom"/>
          </w:tcPr>
          <w:p>
            <w:pPr>
              <w:ind w:left="580"/>
              <w:spacing w:after="0" w:line="149" w:lineRule="exact"/>
              <w:rPr>
                <w:sz w:val="20"/>
                <w:szCs w:val="20"/>
                <w:color w:val="auto"/>
              </w:rPr>
            </w:pPr>
            <w:r>
              <w:rPr>
                <w:rFonts w:ascii="Arial" w:cs="Arial" w:eastAsia="Arial" w:hAnsi="Arial"/>
                <w:sz w:val="14"/>
                <w:szCs w:val="14"/>
                <w:color w:val="auto"/>
              </w:rPr>
              <w:t>Proceeds received from SBA debentures</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6,000</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1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Repayments of SBA debentures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(7,000)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(19,750)</w:t>
            </w:r>
          </w:p>
        </w:tc>
        <w:tc>
          <w:tcPr>
            <w:tcW w:w="0" w:type="dxa"/>
            <w:vAlign w:val="bottom"/>
          </w:tcPr>
          <w:p>
            <w:pPr>
              <w:spacing w:after="0"/>
              <w:rPr>
                <w:sz w:val="1"/>
                <w:szCs w:val="1"/>
                <w:color w:val="auto"/>
              </w:rPr>
            </w:pPr>
          </w:p>
        </w:tc>
      </w:tr>
      <w:tr>
        <w:trPr>
          <w:trHeight w:val="148"/>
        </w:trPr>
        <w:tc>
          <w:tcPr>
            <w:tcW w:w="9180" w:type="dxa"/>
            <w:vAlign w:val="bottom"/>
          </w:tcPr>
          <w:p>
            <w:pPr>
              <w:ind w:left="580"/>
              <w:spacing w:after="0" w:line="149" w:lineRule="exact"/>
              <w:rPr>
                <w:sz w:val="20"/>
                <w:szCs w:val="20"/>
                <w:color w:val="auto"/>
              </w:rPr>
            </w:pPr>
            <w:r>
              <w:rPr>
                <w:rFonts w:ascii="Arial" w:cs="Arial" w:eastAsia="Arial" w:hAnsi="Arial"/>
                <w:sz w:val="14"/>
                <w:szCs w:val="14"/>
                <w:color w:val="auto"/>
              </w:rPr>
              <w:t>Proceeds received from issuance of Public Notes</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69,000</w:t>
            </w:r>
          </w:p>
        </w:tc>
        <w:tc>
          <w:tcPr>
            <w:tcW w:w="0" w:type="dxa"/>
            <w:vAlign w:val="bottom"/>
          </w:tcPr>
          <w:p>
            <w:pPr>
              <w:spacing w:after="0"/>
              <w:rPr>
                <w:sz w:val="1"/>
                <w:szCs w:val="1"/>
                <w:color w:val="auto"/>
              </w:rPr>
            </w:pPr>
          </w:p>
        </w:tc>
      </w:tr>
      <w:tr>
        <w:trPr>
          <w:trHeight w:val="148"/>
        </w:trPr>
        <w:tc>
          <w:tcPr>
            <w:tcW w:w="91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Proceeds received from (repayments of) borrowings under Credit Facility, net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18,000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148"/>
        </w:trPr>
        <w:tc>
          <w:tcPr>
            <w:tcW w:w="9180" w:type="dxa"/>
            <w:vAlign w:val="bottom"/>
          </w:tcPr>
          <w:p>
            <w:pPr>
              <w:ind w:left="580"/>
              <w:spacing w:after="0" w:line="149" w:lineRule="exact"/>
              <w:rPr>
                <w:sz w:val="20"/>
                <w:szCs w:val="20"/>
                <w:color w:val="auto"/>
              </w:rPr>
            </w:pPr>
            <w:r>
              <w:rPr>
                <w:rFonts w:ascii="Arial" w:cs="Arial" w:eastAsia="Arial" w:hAnsi="Arial"/>
                <w:sz w:val="14"/>
                <w:szCs w:val="14"/>
                <w:color w:val="auto"/>
              </w:rPr>
              <w:t>Payment of deferred financing costs</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(496)</w:t>
            </w:r>
          </w:p>
        </w:tc>
        <w:tc>
          <w:tcPr>
            <w:tcW w:w="1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(4,004)</w:t>
            </w:r>
          </w:p>
        </w:tc>
        <w:tc>
          <w:tcPr>
            <w:tcW w:w="0" w:type="dxa"/>
            <w:vAlign w:val="bottom"/>
          </w:tcPr>
          <w:p>
            <w:pPr>
              <w:spacing w:after="0"/>
              <w:rPr>
                <w:sz w:val="1"/>
                <w:szCs w:val="1"/>
                <w:color w:val="auto"/>
              </w:rPr>
            </w:pPr>
          </w:p>
        </w:tc>
      </w:tr>
      <w:tr>
        <w:trPr>
          <w:trHeight w:val="149"/>
        </w:trPr>
        <w:tc>
          <w:tcPr>
            <w:tcW w:w="91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Dividends paid to stockholders, including expenses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(16,868)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(19,081)</w:t>
            </w:r>
          </w:p>
        </w:tc>
        <w:tc>
          <w:tcPr>
            <w:tcW w:w="0" w:type="dxa"/>
            <w:vAlign w:val="bottom"/>
          </w:tcPr>
          <w:p>
            <w:pPr>
              <w:spacing w:after="0"/>
              <w:rPr>
                <w:sz w:val="1"/>
                <w:szCs w:val="1"/>
                <w:color w:val="auto"/>
              </w:rPr>
            </w:pPr>
          </w:p>
        </w:tc>
      </w:tr>
      <w:tr>
        <w:trPr>
          <w:trHeight w:val="148"/>
        </w:trPr>
        <w:tc>
          <w:tcPr>
            <w:tcW w:w="9180" w:type="dxa"/>
            <w:vAlign w:val="bottom"/>
          </w:tcPr>
          <w:p>
            <w:pPr>
              <w:ind w:left="580"/>
              <w:spacing w:after="0" w:line="149" w:lineRule="exact"/>
              <w:rPr>
                <w:sz w:val="20"/>
                <w:szCs w:val="20"/>
                <w:color w:val="auto"/>
              </w:rPr>
            </w:pPr>
            <w:r>
              <w:rPr>
                <w:rFonts w:ascii="Arial" w:cs="Arial" w:eastAsia="Arial" w:hAnsi="Arial"/>
                <w:sz w:val="14"/>
                <w:szCs w:val="14"/>
                <w:color w:val="auto"/>
              </w:rPr>
              <w:t>Repurchases of common stock under Stock Repurchase Program</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(268)</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18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b w:val="1"/>
                <w:bCs w:val="1"/>
                <w:color w:val="auto"/>
              </w:rPr>
              <w:t>Net cash provided by (used for) financing activities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(632)</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19,165</w:t>
            </w:r>
          </w:p>
        </w:tc>
        <w:tc>
          <w:tcPr>
            <w:tcW w:w="0" w:type="dxa"/>
            <w:vAlign w:val="bottom"/>
          </w:tcPr>
          <w:p>
            <w:pPr>
              <w:spacing w:after="0"/>
              <w:rPr>
                <w:sz w:val="1"/>
                <w:szCs w:val="1"/>
                <w:color w:val="auto"/>
              </w:rPr>
            </w:pPr>
          </w:p>
        </w:tc>
      </w:tr>
      <w:tr>
        <w:trPr>
          <w:trHeight w:val="155"/>
        </w:trPr>
        <w:tc>
          <w:tcPr>
            <w:tcW w:w="9180" w:type="dxa"/>
            <w:vAlign w:val="bottom"/>
          </w:tcPr>
          <w:p>
            <w:pPr>
              <w:ind w:left="1140"/>
              <w:spacing w:after="0" w:line="155"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4,256</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(20,130)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180" w:type="dxa"/>
            <w:vAlign w:val="bottom"/>
          </w:tcPr>
          <w:p>
            <w:pPr>
              <w:ind w:left="580"/>
              <w:spacing w:after="0" w:line="149" w:lineRule="exact"/>
              <w:rPr>
                <w:sz w:val="20"/>
                <w:szCs w:val="20"/>
                <w:color w:val="auto"/>
              </w:rPr>
            </w:pPr>
            <w:r>
              <w:rPr>
                <w:rFonts w:ascii="Arial" w:cs="Arial" w:eastAsia="Arial" w:hAnsi="Arial"/>
                <w:sz w:val="14"/>
                <w:szCs w:val="14"/>
                <w:color w:val="auto"/>
              </w:rPr>
              <w:t>Beginning of period</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15,012</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42,015</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1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End of period</w:t>
            </w: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19,268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21,885</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r>
              <w:rPr>
                <w:rFonts w:ascii="Arial" w:cs="Arial" w:eastAsia="Arial" w:hAnsi="Arial"/>
                <w:sz w:val="14"/>
                <w:szCs w:val="14"/>
                <w:color w:val="auto"/>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1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Cash payments for interest</w:t>
            </w: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8,819</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6,579</w:t>
            </w:r>
          </w:p>
        </w:tc>
        <w:tc>
          <w:tcPr>
            <w:tcW w:w="0" w:type="dxa"/>
            <w:vAlign w:val="bottom"/>
          </w:tcPr>
          <w:p>
            <w:pPr>
              <w:spacing w:after="0"/>
              <w:rPr>
                <w:sz w:val="1"/>
                <w:szCs w:val="1"/>
                <w:color w:val="auto"/>
              </w:rPr>
            </w:pPr>
          </w:p>
        </w:tc>
      </w:tr>
      <w:tr>
        <w:trPr>
          <w:trHeight w:val="182"/>
        </w:trPr>
        <w:tc>
          <w:tcPr>
            <w:tcW w:w="9180" w:type="dxa"/>
            <w:vAlign w:val="bottom"/>
          </w:tcPr>
          <w:p>
            <w:pPr>
              <w:ind w:left="580"/>
              <w:spacing w:after="0"/>
              <w:rPr>
                <w:sz w:val="20"/>
                <w:szCs w:val="20"/>
                <w:color w:val="auto"/>
              </w:rPr>
            </w:pPr>
            <w:r>
              <w:rPr>
                <w:rFonts w:ascii="Arial" w:cs="Arial" w:eastAsia="Arial" w:hAnsi="Arial"/>
                <w:sz w:val="14"/>
                <w:szCs w:val="14"/>
                <w:color w:val="auto"/>
              </w:rPr>
              <w:t>Cash payments for taxes, net of tax refunds received</w:t>
            </w:r>
          </w:p>
        </w:tc>
        <w:tc>
          <w:tcPr>
            <w:tcW w:w="140" w:type="dxa"/>
            <w:vAlign w:val="bottom"/>
          </w:tcPr>
          <w:p>
            <w:pPr>
              <w:jc w:val="right"/>
              <w:ind w:right="24"/>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1,633</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1,151</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Notes to Consolidated Financial Statements (unaudited).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Consolidated Schedule of Investments (unaudited)</w:t>
      </w:r>
    </w:p>
    <w:p>
      <w:pPr>
        <w:spacing w:after="0" w:line="3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140"/>
          </w:cols>
          <w:pgMar w:left="320" w:top="459" w:right="439" w:bottom="1440" w:gutter="0" w:footer="0" w:header="0"/>
        </w:sect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Portfolio Company (a)(b)</w:t>
      </w:r>
    </w:p>
    <w:p>
      <w:pPr>
        <w:ind w:left="120"/>
        <w:spacing w:after="0"/>
        <w:rPr>
          <w:sz w:val="20"/>
          <w:szCs w:val="20"/>
          <w:color w:val="auto"/>
        </w:rPr>
      </w:pPr>
      <w:r>
        <w:rPr>
          <w:rFonts w:ascii="Arial" w:cs="Arial" w:eastAsia="Arial" w:hAnsi="Arial"/>
          <w:sz w:val="13"/>
          <w:szCs w:val="13"/>
          <w:b w:val="1"/>
          <w:bCs w:val="1"/>
          <w:color w:val="auto"/>
        </w:rPr>
        <w:t>Investment Type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8401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ind w:left="120"/>
        <w:spacing w:after="0" w:line="216" w:lineRule="auto"/>
        <w:rPr>
          <w:sz w:val="20"/>
          <w:szCs w:val="20"/>
          <w:color w:val="auto"/>
        </w:rPr>
      </w:pPr>
      <w:r>
        <w:rPr>
          <w:rFonts w:ascii="Arial" w:cs="Arial" w:eastAsia="Arial" w:hAnsi="Arial"/>
          <w:sz w:val="13"/>
          <w:szCs w:val="13"/>
          <w:b w:val="1"/>
          <w:bCs w:val="1"/>
          <w:u w:val="single" w:color="auto"/>
          <w:color w:val="auto"/>
        </w:rPr>
        <w:t>Control Investments (t)</w:t>
      </w:r>
    </w:p>
    <w:p>
      <w:pPr>
        <w:ind w:left="120"/>
        <w:spacing w:after="0"/>
        <w:rPr>
          <w:sz w:val="20"/>
          <w:szCs w:val="20"/>
          <w:color w:val="auto"/>
        </w:rPr>
      </w:pPr>
      <w:r>
        <w:rPr>
          <w:rFonts w:ascii="Arial" w:cs="Arial" w:eastAsia="Arial" w:hAnsi="Arial"/>
          <w:sz w:val="10"/>
          <w:szCs w:val="10"/>
          <w:i w:val="1"/>
          <w:iCs w:val="1"/>
          <w:color w:val="auto"/>
        </w:rPr>
        <w:t>FDS Avionics Corp. (dba Flight Display Systems)</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3"/>
          <w:szCs w:val="13"/>
          <w:color w:val="auto"/>
        </w:rPr>
        <w:t>Second Lien Debt</w:t>
      </w:r>
    </w:p>
    <w:p>
      <w:pPr>
        <w:ind w:left="360"/>
        <w:spacing w:after="0" w:line="216" w:lineRule="auto"/>
        <w:rPr>
          <w:sz w:val="20"/>
          <w:szCs w:val="20"/>
          <w:color w:val="auto"/>
        </w:rPr>
      </w:pPr>
      <w:r>
        <w:rPr>
          <w:rFonts w:ascii="Arial" w:cs="Arial" w:eastAsia="Arial" w:hAnsi="Arial"/>
          <w:sz w:val="13"/>
          <w:szCs w:val="13"/>
          <w:color w:val="auto"/>
        </w:rPr>
        <w:t>Revolving Loan ($30 commitment)</w:t>
      </w:r>
    </w:p>
    <w:p>
      <w:pPr>
        <w:ind w:left="360"/>
        <w:spacing w:after="0" w:line="217" w:lineRule="auto"/>
        <w:rPr>
          <w:sz w:val="20"/>
          <w:szCs w:val="20"/>
          <w:color w:val="auto"/>
        </w:rPr>
      </w:pPr>
      <w:r>
        <w:rPr>
          <w:rFonts w:ascii="Arial" w:cs="Arial" w:eastAsia="Arial" w:hAnsi="Arial"/>
          <w:sz w:val="13"/>
          <w:szCs w:val="13"/>
          <w:color w:val="auto"/>
        </w:rPr>
        <w:t>Common Equity (7,478 shares) (j)</w:t>
      </w:r>
    </w:p>
    <w:p>
      <w:pPr>
        <w:ind w:left="360"/>
        <w:spacing w:after="0" w:line="223" w:lineRule="auto"/>
        <w:rPr>
          <w:sz w:val="20"/>
          <w:szCs w:val="20"/>
          <w:color w:val="auto"/>
        </w:rPr>
      </w:pPr>
      <w:r>
        <w:rPr>
          <w:rFonts w:ascii="Arial" w:cs="Arial" w:eastAsia="Arial" w:hAnsi="Arial"/>
          <w:sz w:val="13"/>
          <w:szCs w:val="13"/>
          <w:color w:val="auto"/>
        </w:rPr>
        <w:t>Preferred Equity (2,550 shares)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Variable Index</w:t>
            </w: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Rate (e)</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Investment</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Principal</w:t>
            </w: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Fair</w:t>
            </w:r>
          </w:p>
        </w:tc>
        <w:tc>
          <w:tcPr>
            <w:tcW w:w="560" w:type="dxa"/>
            <w:vAlign w:val="bottom"/>
          </w:tcPr>
          <w:p>
            <w:pPr>
              <w:ind w:left="20"/>
              <w:spacing w:after="0"/>
              <w:rPr>
                <w:sz w:val="20"/>
                <w:szCs w:val="20"/>
                <w:color w:val="auto"/>
              </w:rPr>
            </w:pPr>
            <w:r>
              <w:rPr>
                <w:rFonts w:ascii="Arial" w:cs="Arial" w:eastAsia="Arial" w:hAnsi="Arial"/>
                <w:sz w:val="13"/>
                <w:szCs w:val="13"/>
                <w:b w:val="1"/>
                <w:bCs w:val="1"/>
                <w:color w:val="auto"/>
                <w:w w:val="81"/>
              </w:rPr>
              <w:t>Percent of</w:t>
            </w:r>
          </w:p>
        </w:tc>
        <w:tc>
          <w:tcPr>
            <w:tcW w:w="0" w:type="dxa"/>
            <w:vAlign w:val="bottom"/>
          </w:tcPr>
          <w:p>
            <w:pPr>
              <w:spacing w:after="0"/>
              <w:rPr>
                <w:sz w:val="1"/>
                <w:szCs w:val="1"/>
                <w:color w:val="auto"/>
              </w:rPr>
            </w:pPr>
          </w:p>
        </w:tc>
      </w:tr>
      <w:tr>
        <w:trPr>
          <w:trHeight w:val="153"/>
        </w:trPr>
        <w:tc>
          <w:tcPr>
            <w:tcW w:w="1920" w:type="dxa"/>
            <w:vAlign w:val="bottom"/>
            <w:tcBorders>
              <w:bottom w:val="single" w:sz="8" w:color="auto"/>
            </w:tcBorders>
          </w:tcPr>
          <w:p>
            <w:pPr>
              <w:ind w:left="720"/>
              <w:spacing w:after="0"/>
              <w:rPr>
                <w:sz w:val="20"/>
                <w:szCs w:val="20"/>
                <w:color w:val="auto"/>
              </w:rPr>
            </w:pPr>
            <w:r>
              <w:rPr>
                <w:rFonts w:ascii="Arial" w:cs="Arial" w:eastAsia="Arial" w:hAnsi="Arial"/>
                <w:sz w:val="13"/>
                <w:szCs w:val="13"/>
                <w:b w:val="1"/>
                <w:bCs w:val="1"/>
                <w:color w:val="auto"/>
              </w:rPr>
              <w:t>Industry</w:t>
            </w:r>
          </w:p>
        </w:tc>
        <w:tc>
          <w:tcPr>
            <w:tcW w:w="12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Spread / Floor (d)</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Cash/PIK</w:t>
            </w:r>
          </w:p>
        </w:tc>
        <w:tc>
          <w:tcPr>
            <w:tcW w:w="22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Date (f)</w:t>
            </w:r>
          </w:p>
        </w:tc>
        <w:tc>
          <w:tcPr>
            <w:tcW w:w="120" w:type="dxa"/>
            <w:vAlign w:val="bottom"/>
          </w:tcPr>
          <w:p>
            <w:pPr>
              <w:spacing w:after="0"/>
              <w:rPr>
                <w:sz w:val="13"/>
                <w:szCs w:val="13"/>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Maturity</w:t>
            </w:r>
          </w:p>
        </w:tc>
        <w:tc>
          <w:tcPr>
            <w:tcW w:w="10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Amount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Value (g)</w:t>
            </w:r>
          </w:p>
        </w:tc>
        <w:tc>
          <w:tcPr>
            <w:tcW w:w="100" w:type="dxa"/>
            <w:vAlign w:val="bottom"/>
          </w:tcPr>
          <w:p>
            <w:pPr>
              <w:spacing w:after="0"/>
              <w:rPr>
                <w:sz w:val="13"/>
                <w:szCs w:val="13"/>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77"/>
              </w:rPr>
              <w:t>Net Assets</w:t>
            </w:r>
          </w:p>
        </w:tc>
        <w:tc>
          <w:tcPr>
            <w:tcW w:w="0" w:type="dxa"/>
            <w:vAlign w:val="bottom"/>
          </w:tcPr>
          <w:p>
            <w:pPr>
              <w:spacing w:after="0"/>
              <w:rPr>
                <w:sz w:val="1"/>
                <w:szCs w:val="1"/>
                <w:color w:val="auto"/>
              </w:rPr>
            </w:pPr>
          </w:p>
        </w:tc>
      </w:tr>
      <w:tr>
        <w:trPr>
          <w:trHeight w:val="261"/>
        </w:trPr>
        <w:tc>
          <w:tcPr>
            <w:tcW w:w="2040" w:type="dxa"/>
            <w:vAlign w:val="bottom"/>
            <w:gridSpan w:val="2"/>
          </w:tcPr>
          <w:p>
            <w:pPr>
              <w:ind w:left="40"/>
              <w:spacing w:after="0"/>
              <w:rPr>
                <w:sz w:val="20"/>
                <w:szCs w:val="20"/>
                <w:color w:val="auto"/>
              </w:rPr>
            </w:pPr>
            <w:r>
              <w:rPr>
                <w:rFonts w:ascii="Arial" w:cs="Arial" w:eastAsia="Arial" w:hAnsi="Arial"/>
                <w:sz w:val="13"/>
                <w:szCs w:val="13"/>
                <w:color w:val="auto"/>
                <w:w w:val="93"/>
              </w:rPr>
              <w:t>Aerospace &amp; Defense Manufacturing</w:t>
            </w: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6.00%/9.00%</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11/5/2014</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2"/>
              </w:rPr>
              <w:t>12/31/2021</w:t>
            </w: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w w:val="94"/>
              </w:rPr>
              <w:t>$   4,621</w:t>
            </w:r>
          </w:p>
        </w:tc>
        <w:tc>
          <w:tcPr>
            <w:tcW w:w="58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$ 4,621</w:t>
            </w: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4"/>
              </w:rPr>
              <w:t>$   3,811</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6.00%/9.00%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4/12/2018</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12/31/2021</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273</w:t>
            </w:r>
          </w:p>
        </w:tc>
        <w:tc>
          <w:tcPr>
            <w:tcW w:w="58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273</w:t>
            </w:r>
          </w:p>
        </w:tc>
        <w:tc>
          <w:tcPr>
            <w:tcW w:w="580" w:type="dxa"/>
            <w:vAlign w:val="bottom"/>
            <w:gridSpan w:val="2"/>
          </w:tcPr>
          <w:p>
            <w:pPr>
              <w:ind w:left="300"/>
              <w:spacing w:after="0" w:line="135" w:lineRule="exact"/>
              <w:rPr>
                <w:sz w:val="20"/>
                <w:szCs w:val="20"/>
                <w:color w:val="auto"/>
              </w:rPr>
            </w:pPr>
            <w:r>
              <w:rPr>
                <w:rFonts w:ascii="Arial" w:cs="Arial" w:eastAsia="Arial" w:hAnsi="Arial"/>
                <w:sz w:val="13"/>
                <w:szCs w:val="13"/>
                <w:color w:val="auto"/>
              </w:rPr>
              <w:t>273</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11/10/2017</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748</w:t>
            </w:r>
          </w:p>
        </w:tc>
        <w:tc>
          <w:tcPr>
            <w:tcW w:w="580" w:type="dxa"/>
            <w:vAlign w:val="bottom"/>
            <w:gridSpan w:val="2"/>
          </w:tcPr>
          <w:p>
            <w:pPr>
              <w:ind w:left="30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12/26/2019</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3"/>
                <w:szCs w:val="13"/>
                <w:color w:val="auto"/>
              </w:rPr>
              <w:t>2,550</w:t>
            </w:r>
          </w:p>
        </w:tc>
        <w:tc>
          <w:tcPr>
            <w:tcW w:w="58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-1843405</wp:posOffset>
            </wp:positionH>
            <wp:positionV relativeFrom="paragraph">
              <wp:posOffset>-513715</wp:posOffset>
            </wp:positionV>
            <wp:extent cx="6995160"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-1843405</wp:posOffset>
            </wp:positionH>
            <wp:positionV relativeFrom="paragraph">
              <wp:posOffset>-342265</wp:posOffset>
            </wp:positionV>
            <wp:extent cx="6995160"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-1843405</wp:posOffset>
            </wp:positionH>
            <wp:positionV relativeFrom="paragraph">
              <wp:posOffset>-170815</wp:posOffset>
            </wp:positionV>
            <wp:extent cx="6995160"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620" w:space="400"/>
            <w:col w:w="812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0"/>
        </w:trPr>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22"/>
        </w:trPr>
        <w:tc>
          <w:tcPr>
            <w:tcW w:w="126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34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3"/>
                <w:szCs w:val="13"/>
                <w:color w:val="auto"/>
                <w:w w:val="98"/>
              </w:rPr>
              <w:t>8,192</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3"/>
                <w:szCs w:val="13"/>
                <w:color w:val="auto"/>
              </w:rPr>
              <w:t>4,084</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1%</w:t>
            </w:r>
          </w:p>
        </w:tc>
      </w:tr>
      <w:tr>
        <w:trPr>
          <w:trHeight w:val="135"/>
        </w:trPr>
        <w:tc>
          <w:tcPr>
            <w:tcW w:w="276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US GreenFiber, LLC</w:t>
            </w:r>
          </w:p>
        </w:tc>
        <w:tc>
          <w:tcPr>
            <w:tcW w:w="3420" w:type="dxa"/>
            <w:vAlign w:val="bottom"/>
          </w:tcPr>
          <w:p>
            <w:pPr>
              <w:ind w:left="180"/>
              <w:spacing w:after="0" w:line="135" w:lineRule="exact"/>
              <w:rPr>
                <w:sz w:val="20"/>
                <w:szCs w:val="20"/>
                <w:color w:val="auto"/>
              </w:rPr>
            </w:pPr>
            <w:r>
              <w:rPr>
                <w:rFonts w:ascii="Arial" w:cs="Arial" w:eastAsia="Arial" w:hAnsi="Arial"/>
                <w:sz w:val="13"/>
                <w:szCs w:val="13"/>
                <w:color w:val="auto"/>
              </w:rPr>
              <w:t>Building Products Manufacturing</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27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342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7.00%/6.00%</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7/3/2014</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8/30/2024</w:t>
            </w:r>
          </w:p>
        </w:tc>
        <w:tc>
          <w:tcPr>
            <w:tcW w:w="5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15,967</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15,964</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0"/>
              </w:rPr>
              <w:t>12,996</w:t>
            </w:r>
          </w:p>
        </w:tc>
        <w:tc>
          <w:tcPr>
            <w:tcW w:w="560" w:type="dxa"/>
            <w:vAlign w:val="bottom"/>
            <w:shd w:val="clear" w:color="auto" w:fill="CCEEFF"/>
          </w:tcPr>
          <w:p>
            <w:pPr>
              <w:spacing w:after="0"/>
              <w:rPr>
                <w:sz w:val="11"/>
                <w:szCs w:val="11"/>
                <w:color w:val="auto"/>
              </w:rPr>
            </w:pPr>
          </w:p>
        </w:tc>
      </w:tr>
      <w:tr>
        <w:trPr>
          <w:trHeight w:val="135"/>
        </w:trPr>
        <w:tc>
          <w:tcPr>
            <w:tcW w:w="27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3420" w:type="dxa"/>
            <w:vAlign w:val="bottom"/>
          </w:tcPr>
          <w:p>
            <w:pPr>
              <w:spacing w:after="0"/>
              <w:rPr>
                <w:sz w:val="11"/>
                <w:szCs w:val="11"/>
                <w:color w:val="auto"/>
              </w:rPr>
            </w:pPr>
          </w:p>
        </w:tc>
        <w:tc>
          <w:tcPr>
            <w:tcW w:w="9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7.50%/7.50%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11/9/2018</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8/30/2024</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4,848</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4,848</w:t>
            </w:r>
          </w:p>
        </w:tc>
        <w:tc>
          <w:tcPr>
            <w:tcW w:w="100" w:type="dxa"/>
            <w:vAlign w:val="bottom"/>
          </w:tcPr>
          <w:p>
            <w:pPr>
              <w:spacing w:after="0"/>
              <w:rPr>
                <w:sz w:val="11"/>
                <w:szCs w:val="11"/>
                <w:color w:val="auto"/>
              </w:rPr>
            </w:pPr>
          </w:p>
        </w:tc>
        <w:tc>
          <w:tcPr>
            <w:tcW w:w="6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4,849</w:t>
            </w:r>
          </w:p>
        </w:tc>
        <w:tc>
          <w:tcPr>
            <w:tcW w:w="560" w:type="dxa"/>
            <w:vAlign w:val="bottom"/>
          </w:tcPr>
          <w:p>
            <w:pPr>
              <w:spacing w:after="0"/>
              <w:rPr>
                <w:sz w:val="11"/>
                <w:szCs w:val="11"/>
                <w:color w:val="auto"/>
              </w:rPr>
            </w:pPr>
          </w:p>
        </w:tc>
      </w:tr>
      <w:tr>
        <w:trPr>
          <w:trHeight w:val="135"/>
        </w:trPr>
        <w:tc>
          <w:tcPr>
            <w:tcW w:w="27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(2,522 units) (h)(j)</w:t>
            </w:r>
          </w:p>
        </w:tc>
        <w:tc>
          <w:tcPr>
            <w:tcW w:w="3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7/3/2014</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586</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r>
      <w:tr>
        <w:trPr>
          <w:trHeight w:val="135"/>
        </w:trPr>
        <w:tc>
          <w:tcPr>
            <w:tcW w:w="27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(425,508 units) (j)</w:t>
            </w:r>
          </w:p>
        </w:tc>
        <w:tc>
          <w:tcPr>
            <w:tcW w:w="3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8/30/2019</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6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r>
      <w:tr>
        <w:trPr>
          <w:trHeight w:val="27"/>
        </w:trPr>
        <w:tc>
          <w:tcPr>
            <w:tcW w:w="1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12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21,399</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0"/>
              </w:rPr>
              <w:t>17,845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r>
      <w:tr>
        <w:trPr>
          <w:trHeight w:val="142"/>
        </w:trPr>
        <w:tc>
          <w:tcPr>
            <w:tcW w:w="27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Control Investments</w:t>
            </w:r>
          </w:p>
        </w:tc>
        <w:tc>
          <w:tcPr>
            <w:tcW w:w="3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u w:val="single" w:color="auto"/>
                <w:color w:val="auto"/>
                <w:w w:val="82"/>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29,591</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0"/>
              </w:rPr>
              <w:t>21,929</w:t>
            </w:r>
          </w:p>
        </w:tc>
        <w:tc>
          <w:tcPr>
            <w:tcW w:w="2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3"/>
                <w:szCs w:val="13"/>
                <w:color w:val="auto"/>
              </w:rPr>
              <w:t>6%</w:t>
            </w:r>
          </w:p>
        </w:tc>
      </w:tr>
      <w:tr>
        <w:trPr>
          <w:trHeight w:val="20"/>
        </w:trPr>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15"/>
        </w:trPr>
        <w:tc>
          <w:tcPr>
            <w:tcW w:w="276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Affiliate Investments (l)</w:t>
            </w:r>
          </w:p>
        </w:tc>
        <w:tc>
          <w:tcPr>
            <w:tcW w:w="34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28"/>
        </w:trPr>
        <w:tc>
          <w:tcPr>
            <w:tcW w:w="126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i w:val="1"/>
                <w:iCs w:val="1"/>
                <w:color w:val="auto"/>
                <w:w w:val="95"/>
              </w:rPr>
              <w:t>FAR Research Inc. (n)</w:t>
            </w:r>
          </w:p>
        </w:tc>
        <w:tc>
          <w:tcPr>
            <w:tcW w:w="1500" w:type="dxa"/>
            <w:vAlign w:val="bottom"/>
            <w:tcBorders>
              <w:top w:val="single" w:sz="8" w:color="CCEEFF"/>
            </w:tcBorders>
          </w:tcPr>
          <w:p>
            <w:pPr>
              <w:spacing w:after="0"/>
              <w:rPr>
                <w:sz w:val="11"/>
                <w:szCs w:val="11"/>
                <w:color w:val="auto"/>
              </w:rPr>
            </w:pPr>
          </w:p>
        </w:tc>
        <w:tc>
          <w:tcPr>
            <w:tcW w:w="3420" w:type="dxa"/>
            <w:vAlign w:val="bottom"/>
            <w:tcBorders>
              <w:top w:val="single" w:sz="8" w:color="CCEEFF"/>
            </w:tcBorders>
          </w:tcPr>
          <w:p>
            <w:pPr>
              <w:ind w:left="180"/>
              <w:spacing w:after="0" w:line="129" w:lineRule="exact"/>
              <w:rPr>
                <w:sz w:val="20"/>
                <w:szCs w:val="20"/>
                <w:color w:val="auto"/>
              </w:rPr>
            </w:pPr>
            <w:r>
              <w:rPr>
                <w:rFonts w:ascii="Arial" w:cs="Arial" w:eastAsia="Arial" w:hAnsi="Arial"/>
                <w:sz w:val="13"/>
                <w:szCs w:val="13"/>
                <w:color w:val="auto"/>
              </w:rPr>
              <w:t>Specialty Chemicals</w:t>
            </w:r>
          </w:p>
        </w:tc>
        <w:tc>
          <w:tcPr>
            <w:tcW w:w="9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38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r>
      <w:tr>
        <w:trPr>
          <w:trHeight w:val="135"/>
        </w:trPr>
        <w:tc>
          <w:tcPr>
            <w:tcW w:w="27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(1,396 units)</w:t>
            </w:r>
          </w:p>
        </w:tc>
        <w:tc>
          <w:tcPr>
            <w:tcW w:w="3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3/31/2014</w:t>
            </w:r>
          </w:p>
        </w:tc>
        <w:tc>
          <w:tcPr>
            <w:tcW w:w="7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28</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r>
      <w:tr>
        <w:trPr>
          <w:trHeight w:val="243"/>
        </w:trPr>
        <w:tc>
          <w:tcPr>
            <w:tcW w:w="2760" w:type="dxa"/>
            <w:vAlign w:val="bottom"/>
            <w:gridSpan w:val="2"/>
          </w:tcPr>
          <w:p>
            <w:pPr>
              <w:spacing w:after="0"/>
              <w:rPr>
                <w:sz w:val="20"/>
                <w:szCs w:val="20"/>
                <w:color w:val="auto"/>
              </w:rPr>
            </w:pPr>
            <w:r>
              <w:rPr>
                <w:rFonts w:ascii="Arial" w:cs="Arial" w:eastAsia="Arial" w:hAnsi="Arial"/>
                <w:sz w:val="13"/>
                <w:szCs w:val="13"/>
                <w:i w:val="1"/>
                <w:iCs w:val="1"/>
                <w:color w:val="auto"/>
              </w:rPr>
              <w:t>Fiber Materials, Inc. (n)</w:t>
            </w:r>
          </w:p>
        </w:tc>
        <w:tc>
          <w:tcPr>
            <w:tcW w:w="3420" w:type="dxa"/>
            <w:vAlign w:val="bottom"/>
          </w:tcPr>
          <w:p>
            <w:pPr>
              <w:ind w:left="180"/>
              <w:spacing w:after="0"/>
              <w:rPr>
                <w:sz w:val="20"/>
                <w:szCs w:val="20"/>
                <w:color w:val="auto"/>
              </w:rPr>
            </w:pPr>
            <w:r>
              <w:rPr>
                <w:rFonts w:ascii="Arial" w:cs="Arial" w:eastAsia="Arial" w:hAnsi="Arial"/>
                <w:sz w:val="13"/>
                <w:szCs w:val="13"/>
                <w:color w:val="auto"/>
              </w:rPr>
              <w:t>Aerospace &amp; Defense Manufacturing</w:t>
            </w: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135"/>
        </w:trPr>
        <w:tc>
          <w:tcPr>
            <w:tcW w:w="27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 units)</w:t>
            </w:r>
          </w:p>
        </w:tc>
        <w:tc>
          <w:tcPr>
            <w:tcW w:w="3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11/30/2016</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r>
      <w:tr>
        <w:trPr>
          <w:trHeight w:val="243"/>
        </w:trPr>
        <w:tc>
          <w:tcPr>
            <w:tcW w:w="2760" w:type="dxa"/>
            <w:vAlign w:val="bottom"/>
            <w:gridSpan w:val="2"/>
          </w:tcPr>
          <w:p>
            <w:pPr>
              <w:spacing w:after="0"/>
              <w:rPr>
                <w:sz w:val="20"/>
                <w:szCs w:val="20"/>
                <w:color w:val="auto"/>
              </w:rPr>
            </w:pPr>
            <w:r>
              <w:rPr>
                <w:rFonts w:ascii="Arial" w:cs="Arial" w:eastAsia="Arial" w:hAnsi="Arial"/>
                <w:sz w:val="13"/>
                <w:szCs w:val="13"/>
                <w:i w:val="1"/>
                <w:iCs w:val="1"/>
                <w:color w:val="auto"/>
              </w:rPr>
              <w:t>Medsurant Holdings, LLC</w:t>
            </w:r>
          </w:p>
        </w:tc>
        <w:tc>
          <w:tcPr>
            <w:tcW w:w="3420" w:type="dxa"/>
            <w:vAlign w:val="bottom"/>
          </w:tcPr>
          <w:p>
            <w:pPr>
              <w:ind w:left="180"/>
              <w:spacing w:after="0"/>
              <w:rPr>
                <w:sz w:val="20"/>
                <w:szCs w:val="20"/>
                <w:color w:val="auto"/>
              </w:rPr>
            </w:pPr>
            <w:r>
              <w:rPr>
                <w:rFonts w:ascii="Arial" w:cs="Arial" w:eastAsia="Arial" w:hAnsi="Arial"/>
                <w:sz w:val="13"/>
                <w:szCs w:val="13"/>
                <w:color w:val="auto"/>
              </w:rPr>
              <w:t>Healthcare Services</w:t>
            </w: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135"/>
        </w:trPr>
        <w:tc>
          <w:tcPr>
            <w:tcW w:w="27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342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6"/>
              </w:rPr>
              <w:t>13.00%/0.00%</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12/18/2015</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3/10/2022</w:t>
            </w:r>
          </w:p>
        </w:tc>
        <w:tc>
          <w:tcPr>
            <w:tcW w:w="5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8,031</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8,026</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8,090</w:t>
            </w:r>
          </w:p>
        </w:tc>
        <w:tc>
          <w:tcPr>
            <w:tcW w:w="560" w:type="dxa"/>
            <w:vAlign w:val="bottom"/>
            <w:shd w:val="clear" w:color="auto" w:fill="CCEEFF"/>
          </w:tcPr>
          <w:p>
            <w:pPr>
              <w:spacing w:after="0"/>
              <w:rPr>
                <w:sz w:val="11"/>
                <w:szCs w:val="11"/>
                <w:color w:val="auto"/>
              </w:rPr>
            </w:pPr>
          </w:p>
        </w:tc>
      </w:tr>
      <w:tr>
        <w:trPr>
          <w:trHeight w:val="135"/>
        </w:trPr>
        <w:tc>
          <w:tcPr>
            <w:tcW w:w="27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(63,331 units) (h)(j)</w:t>
            </w:r>
          </w:p>
        </w:tc>
        <w:tc>
          <w:tcPr>
            <w:tcW w:w="3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4/12/2011</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674</w:t>
            </w:r>
          </w:p>
        </w:tc>
        <w:tc>
          <w:tcPr>
            <w:tcW w:w="100" w:type="dxa"/>
            <w:vAlign w:val="bottom"/>
          </w:tcPr>
          <w:p>
            <w:pPr>
              <w:spacing w:after="0"/>
              <w:rPr>
                <w:sz w:val="11"/>
                <w:szCs w:val="11"/>
                <w:color w:val="auto"/>
              </w:rPr>
            </w:pPr>
          </w:p>
        </w:tc>
        <w:tc>
          <w:tcPr>
            <w:tcW w:w="6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543</w:t>
            </w:r>
          </w:p>
        </w:tc>
        <w:tc>
          <w:tcPr>
            <w:tcW w:w="560" w:type="dxa"/>
            <w:vAlign w:val="bottom"/>
          </w:tcPr>
          <w:p>
            <w:pPr>
              <w:spacing w:after="0"/>
              <w:rPr>
                <w:sz w:val="11"/>
                <w:szCs w:val="11"/>
                <w:color w:val="auto"/>
              </w:rPr>
            </w:pPr>
          </w:p>
        </w:tc>
      </w:tr>
      <w:tr>
        <w:trPr>
          <w:trHeight w:val="135"/>
        </w:trPr>
        <w:tc>
          <w:tcPr>
            <w:tcW w:w="27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(252,588 units) (h)(j)(m)</w:t>
            </w:r>
          </w:p>
        </w:tc>
        <w:tc>
          <w:tcPr>
            <w:tcW w:w="3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4/12/2011</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2,259</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1,889</w:t>
            </w:r>
          </w:p>
        </w:tc>
        <w:tc>
          <w:tcPr>
            <w:tcW w:w="560" w:type="dxa"/>
            <w:vAlign w:val="bottom"/>
            <w:shd w:val="clear" w:color="auto" w:fill="CCEEFF"/>
          </w:tcPr>
          <w:p>
            <w:pPr>
              <w:spacing w:after="0"/>
              <w:rPr>
                <w:sz w:val="11"/>
                <w:szCs w:val="11"/>
                <w:color w:val="auto"/>
              </w:rPr>
            </w:pPr>
          </w:p>
        </w:tc>
      </w:tr>
      <w:tr>
        <w:trPr>
          <w:trHeight w:val="142"/>
        </w:trPr>
        <w:tc>
          <w:tcPr>
            <w:tcW w:w="1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10,959</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0"/>
              </w:rPr>
              <w:t>10,522</w:t>
            </w:r>
          </w:p>
        </w:tc>
        <w:tc>
          <w:tcPr>
            <w:tcW w:w="2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3"/>
                <w:szCs w:val="13"/>
                <w:color w:val="auto"/>
              </w:rPr>
              <w:t>3%</w:t>
            </w:r>
          </w:p>
        </w:tc>
      </w:tr>
      <w:tr>
        <w:trPr>
          <w:trHeight w:val="135"/>
        </w:trPr>
        <w:tc>
          <w:tcPr>
            <w:tcW w:w="2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Mirage Trailers LLC</w:t>
            </w:r>
          </w:p>
        </w:tc>
        <w:tc>
          <w:tcPr>
            <w:tcW w:w="34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Utility Equipment Manufacturing</w:t>
            </w:r>
          </w:p>
        </w:tc>
        <w:tc>
          <w:tcPr>
            <w:tcW w:w="9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35"/>
        </w:trPr>
        <w:tc>
          <w:tcPr>
            <w:tcW w:w="27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(k)(ad)</w:t>
            </w:r>
          </w:p>
        </w:tc>
        <w:tc>
          <w:tcPr>
            <w:tcW w:w="3420" w:type="dxa"/>
            <w:vAlign w:val="bottom"/>
          </w:tcPr>
          <w:p>
            <w:pPr>
              <w:ind w:left="2240"/>
              <w:spacing w:after="0" w:line="135" w:lineRule="exact"/>
              <w:rPr>
                <w:sz w:val="20"/>
                <w:szCs w:val="20"/>
                <w:color w:val="auto"/>
              </w:rPr>
            </w:pPr>
            <w:r>
              <w:rPr>
                <w:rFonts w:ascii="Arial" w:cs="Arial" w:eastAsia="Arial" w:hAnsi="Arial"/>
                <w:sz w:val="13"/>
                <w:szCs w:val="13"/>
                <w:color w:val="auto"/>
                <w:w w:val="93"/>
              </w:rPr>
              <w:t>(L + 8.50%) / (1.00%)</w:t>
            </w:r>
          </w:p>
        </w:tc>
        <w:tc>
          <w:tcPr>
            <w:tcW w:w="9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9.50%/4.50%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11/25/2015</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11/25/2020</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6,250</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6,300</w:t>
            </w:r>
          </w:p>
        </w:tc>
        <w:tc>
          <w:tcPr>
            <w:tcW w:w="100" w:type="dxa"/>
            <w:vAlign w:val="bottom"/>
          </w:tcPr>
          <w:p>
            <w:pPr>
              <w:spacing w:after="0"/>
              <w:rPr>
                <w:sz w:val="11"/>
                <w:szCs w:val="11"/>
                <w:color w:val="auto"/>
              </w:rPr>
            </w:pPr>
          </w:p>
        </w:tc>
        <w:tc>
          <w:tcPr>
            <w:tcW w:w="6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5,258</w:t>
            </w:r>
          </w:p>
        </w:tc>
        <w:tc>
          <w:tcPr>
            <w:tcW w:w="560" w:type="dxa"/>
            <w:vAlign w:val="bottom"/>
          </w:tcPr>
          <w:p>
            <w:pPr>
              <w:spacing w:after="0"/>
              <w:rPr>
                <w:sz w:val="11"/>
                <w:szCs w:val="11"/>
                <w:color w:val="auto"/>
              </w:rPr>
            </w:pPr>
          </w:p>
        </w:tc>
      </w:tr>
      <w:tr>
        <w:trPr>
          <w:trHeight w:val="135"/>
        </w:trPr>
        <w:tc>
          <w:tcPr>
            <w:tcW w:w="27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(2,500,000 shares) (o)</w:t>
            </w:r>
          </w:p>
        </w:tc>
        <w:tc>
          <w:tcPr>
            <w:tcW w:w="3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11/25/2015</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2,186</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r>
      <w:tr>
        <w:trPr>
          <w:trHeight w:val="142"/>
        </w:trPr>
        <w:tc>
          <w:tcPr>
            <w:tcW w:w="1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8,486</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5,258</w:t>
            </w:r>
          </w:p>
        </w:tc>
        <w:tc>
          <w:tcPr>
            <w:tcW w:w="2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3"/>
                <w:szCs w:val="13"/>
                <w:color w:val="auto"/>
              </w:rPr>
              <w:t>1%</w:t>
            </w:r>
          </w:p>
        </w:tc>
      </w:tr>
      <w:tr>
        <w:trPr>
          <w:trHeight w:val="135"/>
        </w:trPr>
        <w:tc>
          <w:tcPr>
            <w:tcW w:w="2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Pfanstiehl, Inc.</w:t>
            </w:r>
          </w:p>
        </w:tc>
        <w:tc>
          <w:tcPr>
            <w:tcW w:w="34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Healthcare Products</w:t>
            </w:r>
          </w:p>
        </w:tc>
        <w:tc>
          <w:tcPr>
            <w:tcW w:w="9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35"/>
        </w:trPr>
        <w:tc>
          <w:tcPr>
            <w:tcW w:w="27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Subordinated Debt</w:t>
            </w:r>
          </w:p>
        </w:tc>
        <w:tc>
          <w:tcPr>
            <w:tcW w:w="3420" w:type="dxa"/>
            <w:vAlign w:val="bottom"/>
          </w:tcPr>
          <w:p>
            <w:pPr>
              <w:spacing w:after="0"/>
              <w:rPr>
                <w:sz w:val="11"/>
                <w:szCs w:val="11"/>
                <w:color w:val="auto"/>
              </w:rPr>
            </w:pPr>
          </w:p>
        </w:tc>
        <w:tc>
          <w:tcPr>
            <w:tcW w:w="9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6"/>
              </w:rPr>
              <w:t>10.50%/0.00%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3/29/2013</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9/29/2024</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6,208</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6,203</w:t>
            </w:r>
          </w:p>
        </w:tc>
        <w:tc>
          <w:tcPr>
            <w:tcW w:w="100" w:type="dxa"/>
            <w:vAlign w:val="bottom"/>
          </w:tcPr>
          <w:p>
            <w:pPr>
              <w:spacing w:after="0"/>
              <w:rPr>
                <w:sz w:val="11"/>
                <w:szCs w:val="11"/>
                <w:color w:val="auto"/>
              </w:rPr>
            </w:pPr>
          </w:p>
        </w:tc>
        <w:tc>
          <w:tcPr>
            <w:tcW w:w="6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6,208</w:t>
            </w:r>
          </w:p>
        </w:tc>
        <w:tc>
          <w:tcPr>
            <w:tcW w:w="560" w:type="dxa"/>
            <w:vAlign w:val="bottom"/>
          </w:tcPr>
          <w:p>
            <w:pPr>
              <w:spacing w:after="0"/>
              <w:rPr>
                <w:sz w:val="11"/>
                <w:szCs w:val="11"/>
                <w:color w:val="auto"/>
              </w:rPr>
            </w:pPr>
          </w:p>
        </w:tc>
      </w:tr>
      <w:tr>
        <w:trPr>
          <w:trHeight w:val="135"/>
        </w:trPr>
        <w:tc>
          <w:tcPr>
            <w:tcW w:w="27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(4,250 units) (j)</w:t>
            </w:r>
          </w:p>
        </w:tc>
        <w:tc>
          <w:tcPr>
            <w:tcW w:w="3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3/29/2013</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425</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0"/>
              </w:rPr>
              <w:t>17,239</w:t>
            </w:r>
          </w:p>
        </w:tc>
        <w:tc>
          <w:tcPr>
            <w:tcW w:w="560" w:type="dxa"/>
            <w:vAlign w:val="bottom"/>
            <w:shd w:val="clear" w:color="auto" w:fill="CCEEFF"/>
          </w:tcPr>
          <w:p>
            <w:pPr>
              <w:spacing w:after="0"/>
              <w:rPr>
                <w:sz w:val="11"/>
                <w:szCs w:val="11"/>
                <w:color w:val="auto"/>
              </w:rPr>
            </w:pPr>
          </w:p>
        </w:tc>
      </w:tr>
      <w:tr>
        <w:trPr>
          <w:trHeight w:val="142"/>
        </w:trPr>
        <w:tc>
          <w:tcPr>
            <w:tcW w:w="1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6,628</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0"/>
              </w:rPr>
              <w:t>23,447</w:t>
            </w:r>
          </w:p>
        </w:tc>
        <w:tc>
          <w:tcPr>
            <w:tcW w:w="2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3"/>
                <w:szCs w:val="13"/>
                <w:color w:val="auto"/>
              </w:rPr>
              <w:t>6%</w:t>
            </w:r>
          </w:p>
        </w:tc>
      </w:tr>
      <w:tr>
        <w:trPr>
          <w:trHeight w:val="135"/>
        </w:trPr>
        <w:tc>
          <w:tcPr>
            <w:tcW w:w="2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Pinnergy, Ltd.</w:t>
            </w:r>
          </w:p>
        </w:tc>
        <w:tc>
          <w:tcPr>
            <w:tcW w:w="34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Oil &amp; Gas Services</w:t>
            </w:r>
          </w:p>
        </w:tc>
        <w:tc>
          <w:tcPr>
            <w:tcW w:w="9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35"/>
        </w:trPr>
        <w:tc>
          <w:tcPr>
            <w:tcW w:w="2760" w:type="dxa"/>
            <w:vAlign w:val="bottom"/>
            <w:gridSpan w:val="2"/>
          </w:tcPr>
          <w:p>
            <w:pPr>
              <w:ind w:left="240"/>
              <w:spacing w:after="0" w:line="135" w:lineRule="exact"/>
              <w:rPr>
                <w:sz w:val="20"/>
                <w:szCs w:val="20"/>
                <w:color w:val="auto"/>
              </w:rPr>
            </w:pPr>
            <w:r>
              <w:rPr>
                <w:rFonts w:ascii="Arial" w:cs="Arial" w:eastAsia="Arial" w:hAnsi="Arial"/>
                <w:sz w:val="13"/>
                <w:szCs w:val="13"/>
                <w:color w:val="auto"/>
                <w:w w:val="96"/>
              </w:rPr>
              <w:t>Common Equity - Class A-2 (42,500 units) (j)</w:t>
            </w:r>
          </w:p>
        </w:tc>
        <w:tc>
          <w:tcPr>
            <w:tcW w:w="3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10/13/2016</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3,000</w:t>
            </w:r>
          </w:p>
        </w:tc>
        <w:tc>
          <w:tcPr>
            <w:tcW w:w="100" w:type="dxa"/>
            <w:vAlign w:val="bottom"/>
          </w:tcPr>
          <w:p>
            <w:pPr>
              <w:spacing w:after="0"/>
              <w:rPr>
                <w:sz w:val="11"/>
                <w:szCs w:val="11"/>
                <w:color w:val="auto"/>
              </w:rPr>
            </w:pPr>
          </w:p>
        </w:tc>
        <w:tc>
          <w:tcPr>
            <w:tcW w:w="6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0"/>
              </w:rPr>
              <w:t>18,186</w:t>
            </w:r>
          </w:p>
        </w:tc>
        <w:tc>
          <w:tcPr>
            <w:tcW w:w="560" w:type="dxa"/>
            <w:vAlign w:val="bottom"/>
          </w:tcPr>
          <w:p>
            <w:pPr>
              <w:spacing w:after="0"/>
              <w:rPr>
                <w:sz w:val="11"/>
                <w:szCs w:val="11"/>
                <w:color w:val="auto"/>
              </w:rPr>
            </w:pPr>
          </w:p>
        </w:tc>
      </w:tr>
      <w:tr>
        <w:trPr>
          <w:trHeight w:val="135"/>
        </w:trPr>
        <w:tc>
          <w:tcPr>
            <w:tcW w:w="27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 Class B (1,000 units) (j)</w:t>
            </w:r>
          </w:p>
        </w:tc>
        <w:tc>
          <w:tcPr>
            <w:tcW w:w="3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10/13/2016</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3,000</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3,221</w:t>
            </w:r>
          </w:p>
        </w:tc>
        <w:tc>
          <w:tcPr>
            <w:tcW w:w="560" w:type="dxa"/>
            <w:vAlign w:val="bottom"/>
            <w:shd w:val="clear" w:color="auto" w:fill="CCEEFF"/>
          </w:tcPr>
          <w:p>
            <w:pPr>
              <w:spacing w:after="0"/>
              <w:rPr>
                <w:sz w:val="11"/>
                <w:szCs w:val="11"/>
                <w:color w:val="auto"/>
              </w:rPr>
            </w:pPr>
          </w:p>
        </w:tc>
      </w:tr>
      <w:tr>
        <w:trPr>
          <w:trHeight w:val="142"/>
        </w:trPr>
        <w:tc>
          <w:tcPr>
            <w:tcW w:w="1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6,000</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0"/>
              </w:rPr>
              <w:t>21,407</w:t>
            </w:r>
          </w:p>
        </w:tc>
        <w:tc>
          <w:tcPr>
            <w:tcW w:w="2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3"/>
                <w:szCs w:val="13"/>
                <w:color w:val="auto"/>
              </w:rPr>
              <w:t>6%</w:t>
            </w:r>
          </w:p>
        </w:tc>
      </w:tr>
      <w:tr>
        <w:trPr>
          <w:trHeight w:val="121"/>
        </w:trPr>
        <w:tc>
          <w:tcPr>
            <w:tcW w:w="27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i w:val="1"/>
                <w:iCs w:val="1"/>
                <w:color w:val="auto"/>
              </w:rPr>
              <w:t>Steward Holding LLC (dba Steward Advanced</w:t>
            </w:r>
          </w:p>
        </w:tc>
        <w:tc>
          <w:tcPr>
            <w:tcW w:w="34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49"/>
        </w:trPr>
        <w:tc>
          <w:tcPr>
            <w:tcW w:w="27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Materials)</w:t>
            </w:r>
          </w:p>
        </w:tc>
        <w:tc>
          <w:tcPr>
            <w:tcW w:w="3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Aerospace &amp; Defense Manufacturing</w:t>
            </w:r>
          </w:p>
        </w:tc>
        <w:tc>
          <w:tcPr>
            <w:tcW w:w="9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35"/>
        </w:trPr>
        <w:tc>
          <w:tcPr>
            <w:tcW w:w="27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3420" w:type="dxa"/>
            <w:vAlign w:val="bottom"/>
          </w:tcPr>
          <w:p>
            <w:pPr>
              <w:spacing w:after="0"/>
              <w:rPr>
                <w:sz w:val="11"/>
                <w:szCs w:val="11"/>
                <w:color w:val="auto"/>
              </w:rPr>
            </w:pPr>
          </w:p>
        </w:tc>
        <w:tc>
          <w:tcPr>
            <w:tcW w:w="9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6"/>
              </w:rPr>
              <w:t>12.00%/1.50%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11/12/2015</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5/12/2021</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7,725</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7,719</w:t>
            </w:r>
          </w:p>
        </w:tc>
        <w:tc>
          <w:tcPr>
            <w:tcW w:w="100" w:type="dxa"/>
            <w:vAlign w:val="bottom"/>
          </w:tcPr>
          <w:p>
            <w:pPr>
              <w:spacing w:after="0"/>
              <w:rPr>
                <w:sz w:val="11"/>
                <w:szCs w:val="11"/>
                <w:color w:val="auto"/>
              </w:rPr>
            </w:pPr>
          </w:p>
        </w:tc>
        <w:tc>
          <w:tcPr>
            <w:tcW w:w="6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7,725</w:t>
            </w:r>
          </w:p>
        </w:tc>
        <w:tc>
          <w:tcPr>
            <w:tcW w:w="560" w:type="dxa"/>
            <w:vAlign w:val="bottom"/>
          </w:tcPr>
          <w:p>
            <w:pPr>
              <w:spacing w:after="0"/>
              <w:rPr>
                <w:sz w:val="11"/>
                <w:szCs w:val="11"/>
                <w:color w:val="auto"/>
              </w:rPr>
            </w:pPr>
          </w:p>
        </w:tc>
      </w:tr>
      <w:tr>
        <w:trPr>
          <w:trHeight w:val="135"/>
        </w:trPr>
        <w:tc>
          <w:tcPr>
            <w:tcW w:w="27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(1,000,000 units)</w:t>
            </w:r>
          </w:p>
        </w:tc>
        <w:tc>
          <w:tcPr>
            <w:tcW w:w="3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11/12/2015</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1,000</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2,179</w:t>
            </w:r>
          </w:p>
        </w:tc>
        <w:tc>
          <w:tcPr>
            <w:tcW w:w="560" w:type="dxa"/>
            <w:vAlign w:val="bottom"/>
            <w:shd w:val="clear" w:color="auto" w:fill="CCEEFF"/>
          </w:tcPr>
          <w:p>
            <w:pPr>
              <w:spacing w:after="0"/>
              <w:rPr>
                <w:sz w:val="11"/>
                <w:szCs w:val="11"/>
                <w:color w:val="auto"/>
              </w:rPr>
            </w:pPr>
          </w:p>
        </w:tc>
      </w:tr>
      <w:tr>
        <w:trPr>
          <w:trHeight w:val="149"/>
        </w:trPr>
        <w:tc>
          <w:tcPr>
            <w:tcW w:w="1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8,719</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9,904</w:t>
            </w:r>
          </w:p>
        </w:tc>
        <w:tc>
          <w:tcPr>
            <w:tcW w:w="2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3"/>
                <w:szCs w:val="13"/>
                <w:color w:val="auto"/>
              </w:rPr>
              <w:t>3%</w:t>
            </w:r>
          </w:p>
        </w:tc>
      </w:tr>
      <w:tr>
        <w:trPr>
          <w:trHeight w:val="135"/>
        </w:trPr>
        <w:tc>
          <w:tcPr>
            <w:tcW w:w="2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Affiliate Investments</w:t>
            </w:r>
          </w:p>
        </w:tc>
        <w:tc>
          <w:tcPr>
            <w:tcW w:w="3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40,792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0"/>
              </w:rPr>
              <w:t>70,566</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r>
      <w:tr>
        <w:trPr>
          <w:trHeight w:val="20"/>
        </w:trPr>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160" w:type="dxa"/>
            <w:vAlign w:val="bottom"/>
            <w:gridSpan w:val="4"/>
          </w:tcPr>
          <w:p>
            <w:pPr>
              <w:spacing w:after="0"/>
              <w:rPr>
                <w:sz w:val="20"/>
                <w:szCs w:val="20"/>
                <w:color w:val="auto"/>
              </w:rPr>
            </w:pPr>
            <w:r>
              <w:rPr>
                <w:rFonts w:ascii="Arial" w:cs="Arial" w:eastAsia="Arial" w:hAnsi="Arial"/>
                <w:sz w:val="13"/>
                <w:szCs w:val="13"/>
                <w:b w:val="1"/>
                <w:bCs w:val="1"/>
                <w:color w:val="auto"/>
              </w:rPr>
              <w:t>Portfolio Company (a)(b)</w:t>
            </w: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Variable Index</w:t>
            </w:r>
          </w:p>
        </w:tc>
        <w:tc>
          <w:tcPr>
            <w:tcW w:w="8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Rate (e)</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7"/>
              </w:rPr>
              <w:t>Investment</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3"/>
                <w:szCs w:val="13"/>
                <w:b w:val="1"/>
                <w:bCs w:val="1"/>
                <w:color w:val="auto"/>
                <w:w w:val="94"/>
              </w:rPr>
              <w:t>Principal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ind w:left="40"/>
              <w:spacing w:after="0"/>
              <w:rPr>
                <w:sz w:val="20"/>
                <w:szCs w:val="20"/>
                <w:color w:val="auto"/>
              </w:rPr>
            </w:pPr>
            <w:r>
              <w:rPr>
                <w:rFonts w:ascii="Arial" w:cs="Arial" w:eastAsia="Arial" w:hAnsi="Arial"/>
                <w:sz w:val="13"/>
                <w:szCs w:val="13"/>
                <w:b w:val="1"/>
                <w:bCs w:val="1"/>
                <w:color w:val="auto"/>
              </w:rPr>
              <w:t>Fair</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1"/>
              </w:rPr>
              <w:t>Percent of</w:t>
            </w:r>
          </w:p>
        </w:tc>
      </w:tr>
      <w:tr>
        <w:trPr>
          <w:trHeight w:val="173"/>
        </w:trPr>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8"/>
              </w:rPr>
              <w:t>Investment Type (c)</w:t>
            </w:r>
          </w:p>
        </w:tc>
        <w:tc>
          <w:tcPr>
            <w:tcW w:w="22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20" w:type="dxa"/>
            <w:vAlign w:val="bottom"/>
            <w:gridSpan w:val="2"/>
          </w:tcPr>
          <w:p>
            <w:pPr>
              <w:ind w:left="740"/>
              <w:spacing w:after="0"/>
              <w:rPr>
                <w:sz w:val="20"/>
                <w:szCs w:val="20"/>
                <w:color w:val="auto"/>
              </w:rPr>
            </w:pPr>
            <w:r>
              <w:rPr>
                <w:rFonts w:ascii="Arial" w:cs="Arial" w:eastAsia="Arial" w:hAnsi="Arial"/>
                <w:sz w:val="13"/>
                <w:szCs w:val="13"/>
                <w:b w:val="1"/>
                <w:bCs w:val="1"/>
                <w:color w:val="auto"/>
              </w:rPr>
              <w:t>Industry</w:t>
            </w:r>
          </w:p>
        </w:tc>
        <w:tc>
          <w:tcPr>
            <w:tcW w:w="13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Spread / Floor (d)</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Cash/PIK</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Date (f)</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Maturity</w:t>
            </w:r>
          </w:p>
        </w:tc>
        <w:tc>
          <w:tcPr>
            <w:tcW w:w="54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2"/>
              </w:rPr>
              <w:t>Cost</w:t>
            </w:r>
          </w:p>
        </w:tc>
        <w:tc>
          <w:tcPr>
            <w:tcW w:w="40" w:type="dxa"/>
            <w:vAlign w:val="bottom"/>
          </w:tcPr>
          <w:p>
            <w:pPr>
              <w:spacing w:after="0"/>
              <w:rPr>
                <w:sz w:val="15"/>
                <w:szCs w:val="15"/>
                <w:color w:val="auto"/>
              </w:rPr>
            </w:pP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w w:val="98"/>
              </w:rPr>
              <w:t>Value (g)</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77"/>
              </w:rPr>
              <w:t>Net Assets</w:t>
            </w:r>
          </w:p>
        </w:tc>
      </w:tr>
      <w:tr>
        <w:trPr>
          <w:trHeight w:val="95"/>
        </w:trPr>
        <w:tc>
          <w:tcPr>
            <w:tcW w:w="2040" w:type="dxa"/>
            <w:vAlign w:val="bottom"/>
            <w:tcBorders>
              <w:top w:val="single" w:sz="8" w:color="CCEEFF"/>
              <w:bottom w:val="single" w:sz="8" w:color="auto"/>
            </w:tcBorders>
            <w:gridSpan w:val="3"/>
            <w:shd w:val="clear" w:color="auto" w:fill="CCEEFF"/>
          </w:tcPr>
          <w:p>
            <w:pPr>
              <w:spacing w:after="0" w:line="95" w:lineRule="exact"/>
              <w:rPr>
                <w:sz w:val="20"/>
                <w:szCs w:val="20"/>
                <w:color w:val="auto"/>
              </w:rPr>
            </w:pPr>
            <w:r>
              <w:rPr>
                <w:rFonts w:ascii="Arial" w:cs="Arial" w:eastAsia="Arial" w:hAnsi="Arial"/>
                <w:sz w:val="10"/>
                <w:szCs w:val="10"/>
                <w:b w:val="1"/>
                <w:bCs w:val="1"/>
                <w:color w:val="auto"/>
              </w:rPr>
              <w:t>Non-control/Non-affiliate Investments</w:t>
            </w:r>
          </w:p>
        </w:tc>
        <w:tc>
          <w:tcPr>
            <w:tcW w:w="1120" w:type="dxa"/>
            <w:vAlign w:val="bottom"/>
            <w:tcBorders>
              <w:top w:val="single" w:sz="8" w:color="CCEEFF"/>
              <w:bottom w:val="single" w:sz="8" w:color="CCEEFF"/>
            </w:tcBorders>
            <w:shd w:val="clear" w:color="auto" w:fill="CCEEFF"/>
          </w:tcPr>
          <w:p>
            <w:pPr>
              <w:spacing w:after="0"/>
              <w:rPr>
                <w:sz w:val="8"/>
                <w:szCs w:val="8"/>
                <w:color w:val="auto"/>
              </w:rPr>
            </w:pPr>
          </w:p>
        </w:tc>
        <w:tc>
          <w:tcPr>
            <w:tcW w:w="194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22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80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2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2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CCEEFF"/>
            </w:tcBorders>
            <w:shd w:val="clear" w:color="auto" w:fill="CCEEFF"/>
          </w:tcPr>
          <w:p>
            <w:pPr>
              <w:spacing w:after="0"/>
              <w:rPr>
                <w:sz w:val="8"/>
                <w:szCs w:val="8"/>
                <w:color w:val="auto"/>
              </w:rPr>
            </w:pPr>
          </w:p>
        </w:tc>
        <w:tc>
          <w:tcPr>
            <w:tcW w:w="400" w:type="dxa"/>
            <w:vAlign w:val="bottom"/>
            <w:tcBorders>
              <w:top w:val="single" w:sz="8" w:color="auto"/>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CCEEFF"/>
            </w:tcBorders>
            <w:shd w:val="clear" w:color="auto" w:fill="CCEEFF"/>
          </w:tcPr>
          <w:p>
            <w:pPr>
              <w:spacing w:after="0"/>
              <w:rPr>
                <w:sz w:val="8"/>
                <w:szCs w:val="8"/>
                <w:color w:val="auto"/>
              </w:rPr>
            </w:pPr>
          </w:p>
        </w:tc>
        <w:tc>
          <w:tcPr>
            <w:tcW w:w="34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CCEEFF"/>
            </w:tcBorders>
            <w:shd w:val="clear" w:color="auto" w:fill="CCEEFF"/>
          </w:tcPr>
          <w:p>
            <w:pPr>
              <w:spacing w:after="0"/>
              <w:rPr>
                <w:sz w:val="8"/>
                <w:szCs w:val="8"/>
                <w:color w:val="auto"/>
              </w:rPr>
            </w:pPr>
          </w:p>
        </w:tc>
        <w:tc>
          <w:tcPr>
            <w:tcW w:w="40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CCEEFF"/>
            </w:tcBorders>
            <w:shd w:val="clear" w:color="auto" w:fill="CCEEFF"/>
          </w:tcPr>
          <w:p>
            <w:pPr>
              <w:spacing w:after="0"/>
              <w:rPr>
                <w:sz w:val="8"/>
                <w:szCs w:val="8"/>
                <w:color w:val="auto"/>
              </w:rPr>
            </w:pP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r>
      <w:tr>
        <w:trPr>
          <w:trHeight w:val="128"/>
        </w:trPr>
        <w:tc>
          <w:tcPr>
            <w:tcW w:w="3160" w:type="dxa"/>
            <w:vAlign w:val="bottom"/>
            <w:gridSpan w:val="4"/>
          </w:tcPr>
          <w:p>
            <w:pPr>
              <w:spacing w:after="0" w:line="129" w:lineRule="exact"/>
              <w:rPr>
                <w:sz w:val="20"/>
                <w:szCs w:val="20"/>
                <w:color w:val="auto"/>
              </w:rPr>
            </w:pPr>
            <w:r>
              <w:rPr>
                <w:rFonts w:ascii="Arial" w:cs="Arial" w:eastAsia="Arial" w:hAnsi="Arial"/>
                <w:sz w:val="13"/>
                <w:szCs w:val="13"/>
                <w:i w:val="1"/>
                <w:iCs w:val="1"/>
                <w:color w:val="auto"/>
              </w:rPr>
              <w:t>Accent Food Services, LLC</w:t>
            </w:r>
          </w:p>
        </w:tc>
        <w:tc>
          <w:tcPr>
            <w:tcW w:w="2020" w:type="dxa"/>
            <w:vAlign w:val="bottom"/>
            <w:gridSpan w:val="2"/>
          </w:tcPr>
          <w:p>
            <w:pPr>
              <w:ind w:left="40"/>
              <w:spacing w:after="0" w:line="129" w:lineRule="exact"/>
              <w:rPr>
                <w:sz w:val="20"/>
                <w:szCs w:val="20"/>
                <w:color w:val="auto"/>
              </w:rPr>
            </w:pPr>
            <w:r>
              <w:rPr>
                <w:rFonts w:ascii="Arial" w:cs="Arial" w:eastAsia="Arial" w:hAnsi="Arial"/>
                <w:sz w:val="13"/>
                <w:szCs w:val="13"/>
                <w:color w:val="auto"/>
                <w:w w:val="98"/>
              </w:rPr>
              <w:t>Vending Equipment Manufacturing</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60" w:type="dxa"/>
            <w:vAlign w:val="bottom"/>
            <w:gridSpan w:val="4"/>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(k)(p)</w:t>
            </w: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0.00%/17.00%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11/30/2016</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5/30/2022</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35,410</w:t>
            </w:r>
          </w:p>
        </w:tc>
        <w:tc>
          <w:tcPr>
            <w:tcW w:w="1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35,328</w:t>
            </w: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16,134</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206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(7,885 units) (h)(j)</w:t>
            </w: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11/30/2016</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800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36,128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16,134</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w:t>
            </w:r>
          </w:p>
        </w:tc>
      </w:tr>
      <w:tr>
        <w:trPr>
          <w:trHeight w:val="135"/>
        </w:trPr>
        <w:tc>
          <w:tcPr>
            <w:tcW w:w="3160" w:type="dxa"/>
            <w:vAlign w:val="bottom"/>
            <w:gridSpan w:val="4"/>
          </w:tcPr>
          <w:p>
            <w:pPr>
              <w:spacing w:after="0" w:line="135" w:lineRule="exact"/>
              <w:rPr>
                <w:sz w:val="20"/>
                <w:szCs w:val="20"/>
                <w:color w:val="auto"/>
              </w:rPr>
            </w:pPr>
            <w:r>
              <w:rPr>
                <w:rFonts w:ascii="Arial" w:cs="Arial" w:eastAsia="Arial" w:hAnsi="Arial"/>
                <w:sz w:val="13"/>
                <w:szCs w:val="13"/>
                <w:i w:val="1"/>
                <w:iCs w:val="1"/>
                <w:color w:val="auto"/>
              </w:rPr>
              <w:t>Allied 100 Group, Inc.</w:t>
            </w:r>
          </w:p>
        </w:tc>
        <w:tc>
          <w:tcPr>
            <w:tcW w:w="202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Healthcare Products</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60" w:type="dxa"/>
            <w:vAlign w:val="bottom"/>
            <w:gridSpan w:val="4"/>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11.25%/0.00%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7/31/2019</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5/26/2023</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21,500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21,419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21,500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206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(625,000 units) (j)</w:t>
            </w: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11/26/2014</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625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930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22,044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22,430</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w:t>
            </w:r>
          </w:p>
        </w:tc>
      </w:tr>
      <w:tr>
        <w:trPr>
          <w:trHeight w:val="135"/>
        </w:trPr>
        <w:tc>
          <w:tcPr>
            <w:tcW w:w="3160" w:type="dxa"/>
            <w:vAlign w:val="bottom"/>
            <w:gridSpan w:val="4"/>
          </w:tcPr>
          <w:p>
            <w:pPr>
              <w:spacing w:after="0" w:line="135" w:lineRule="exact"/>
              <w:rPr>
                <w:sz w:val="20"/>
                <w:szCs w:val="20"/>
                <w:color w:val="auto"/>
              </w:rPr>
            </w:pPr>
            <w:r>
              <w:rPr>
                <w:rFonts w:ascii="Arial" w:cs="Arial" w:eastAsia="Arial" w:hAnsi="Arial"/>
                <w:sz w:val="13"/>
                <w:szCs w:val="13"/>
                <w:i w:val="1"/>
                <w:iCs w:val="1"/>
                <w:color w:val="auto"/>
              </w:rPr>
              <w:t>Alzheimer’s Research and Treatment Center, LLC</w:t>
            </w:r>
          </w:p>
        </w:tc>
        <w:tc>
          <w:tcPr>
            <w:tcW w:w="202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Healthcare Services</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60" w:type="dxa"/>
            <w:vAlign w:val="bottom"/>
            <w:gridSpan w:val="4"/>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(j)(w)</w:t>
            </w: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6"/>
              </w:rPr>
              <w:t>(L + 5.75%) / (2.00%)</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7.75%/0.00%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10/23/2018</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10/23/2023</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6,500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6,466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6,500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206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(500 units) (h)(j)</w:t>
            </w: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10/23/2018</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500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697</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6,966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7,197</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w:t>
            </w:r>
          </w:p>
        </w:tc>
      </w:tr>
      <w:tr>
        <w:trPr>
          <w:trHeight w:val="135"/>
        </w:trPr>
        <w:tc>
          <w:tcPr>
            <w:tcW w:w="3160" w:type="dxa"/>
            <w:vAlign w:val="bottom"/>
            <w:gridSpan w:val="4"/>
          </w:tcPr>
          <w:p>
            <w:pPr>
              <w:spacing w:after="0" w:line="135" w:lineRule="exact"/>
              <w:rPr>
                <w:sz w:val="20"/>
                <w:szCs w:val="20"/>
                <w:color w:val="auto"/>
              </w:rPr>
            </w:pPr>
            <w:r>
              <w:rPr>
                <w:rFonts w:ascii="Arial" w:cs="Arial" w:eastAsia="Arial" w:hAnsi="Arial"/>
                <w:sz w:val="13"/>
                <w:szCs w:val="13"/>
                <w:i w:val="1"/>
                <w:iCs w:val="1"/>
                <w:color w:val="auto"/>
                <w:w w:val="87"/>
              </w:rPr>
              <w:t>American AllWaste LLC (dba WasteWater Transport Services)</w:t>
            </w:r>
          </w:p>
        </w:tc>
        <w:tc>
          <w:tcPr>
            <w:tcW w:w="202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Environmental Industries</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60" w:type="dxa"/>
            <w:vAlign w:val="bottom"/>
            <w:gridSpan w:val="4"/>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1"/>
              </w:rPr>
              <w:t>(L + 11.00%) / (2.00%)</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13.00%/0.00%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5/31/2018</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11/30/2023</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17,503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17,422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17,503</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89"/>
              </w:rPr>
              <w:t>Preferred Equity</w:t>
            </w:r>
          </w:p>
        </w:tc>
        <w:tc>
          <w:tcPr>
            <w:tcW w:w="206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(500 units) (h)(j)</w:t>
            </w: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5/31/2018</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500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89"/>
              </w:rPr>
              <w:t>Preferred Equity</w:t>
            </w:r>
          </w:p>
        </w:tc>
        <w:tc>
          <w:tcPr>
            <w:tcW w:w="206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(207 units) (h)(j)</w:t>
            </w: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8/6/2019</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250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250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18,172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18,053</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5%</w:t>
            </w:r>
          </w:p>
        </w:tc>
      </w:tr>
      <w:tr>
        <w:trPr>
          <w:trHeight w:val="135"/>
        </w:trPr>
        <w:tc>
          <w:tcPr>
            <w:tcW w:w="316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Argo Turboserve Corporation</w:t>
            </w:r>
          </w:p>
        </w:tc>
        <w:tc>
          <w:tcPr>
            <w:tcW w:w="20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60"/>
        </w:trPr>
        <w:tc>
          <w:tcPr>
            <w:tcW w:w="3160" w:type="dxa"/>
            <w:vAlign w:val="bottom"/>
            <w:gridSpan w:val="4"/>
          </w:tcPr>
          <w:p>
            <w:pPr>
              <w:ind w:left="240"/>
              <w:spacing w:after="0"/>
              <w:rPr>
                <w:sz w:val="20"/>
                <w:szCs w:val="20"/>
                <w:color w:val="auto"/>
              </w:rPr>
            </w:pPr>
            <w:r>
              <w:rPr>
                <w:rFonts w:ascii="Arial" w:cs="Arial" w:eastAsia="Arial" w:hAnsi="Arial"/>
                <w:sz w:val="13"/>
                <w:szCs w:val="13"/>
                <w:color w:val="auto"/>
              </w:rPr>
              <w:t>Second Lien Debt (j)</w:t>
            </w: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3"/>
                <w:szCs w:val="13"/>
                <w:color w:val="auto"/>
                <w:w w:val="91"/>
              </w:rPr>
              <w:t>(L + 10.75%) / (2.00%)</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12.75%/0.00%</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12/26/2018</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6/28/2023</w:t>
            </w:r>
          </w:p>
        </w:tc>
        <w:tc>
          <w:tcPr>
            <w:tcW w:w="10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w w:val="95"/>
              </w:rPr>
              <w:t>13,594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w w:val="85"/>
              </w:rPr>
              <w:t>13,544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w w:val="95"/>
              </w:rPr>
              <w:t>13,594</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r>
      <w:tr>
        <w:trPr>
          <w:trHeight w:val="83"/>
        </w:trPr>
        <w:tc>
          <w:tcPr>
            <w:tcW w:w="1320" w:type="dxa"/>
            <w:vAlign w:val="bottom"/>
            <w:gridSpan w:val="2"/>
          </w:tcPr>
          <w:p>
            <w:pPr>
              <w:spacing w:after="0"/>
              <w:rPr>
                <w:sz w:val="7"/>
                <w:szCs w:val="7"/>
                <w:color w:val="auto"/>
              </w:rPr>
            </w:pPr>
          </w:p>
        </w:tc>
        <w:tc>
          <w:tcPr>
            <w:tcW w:w="7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135"/>
        </w:trPr>
        <w:tc>
          <w:tcPr>
            <w:tcW w:w="316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AVC Investors, LLC (dba Auveco)</w:t>
            </w:r>
          </w:p>
        </w:tc>
        <w:tc>
          <w:tcPr>
            <w:tcW w:w="20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Specialty Distribution</w:t>
            </w: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60" w:type="dxa"/>
            <w:vAlign w:val="bottom"/>
            <w:gridSpan w:val="4"/>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11.50%/0.00%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1/3/2018</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7/3/2023</w:t>
            </w:r>
          </w:p>
        </w:tc>
        <w:tc>
          <w:tcPr>
            <w:tcW w:w="100" w:type="dxa"/>
            <w:vAlign w:val="bottom"/>
          </w:tcPr>
          <w:p>
            <w:pPr>
              <w:spacing w:after="0"/>
              <w:rPr>
                <w:sz w:val="11"/>
                <w:szCs w:val="11"/>
                <w:color w:val="auto"/>
              </w:rPr>
            </w:pP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22,500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5"/>
              </w:rPr>
              <w:t>22,436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22,373</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206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(5,000 units) (j)</w:t>
            </w: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1/3/2018</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449</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22,926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22,822</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6%</w:t>
            </w:r>
          </w:p>
        </w:tc>
      </w:tr>
      <w:tr>
        <w:trPr>
          <w:trHeight w:val="135"/>
        </w:trPr>
        <w:tc>
          <w:tcPr>
            <w:tcW w:w="316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B&amp;B Roadway and Security Solutions, LLC</w:t>
            </w:r>
          </w:p>
        </w:tc>
        <w:tc>
          <w:tcPr>
            <w:tcW w:w="20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Component Manufacturing</w:t>
            </w: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60" w:type="dxa"/>
            <w:vAlign w:val="bottom"/>
            <w:gridSpan w:val="4"/>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11.25%/4.00%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2/27/2018</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1/1/2022</w:t>
            </w:r>
          </w:p>
        </w:tc>
        <w:tc>
          <w:tcPr>
            <w:tcW w:w="100" w:type="dxa"/>
            <w:vAlign w:val="bottom"/>
          </w:tcPr>
          <w:p>
            <w:pPr>
              <w:spacing w:after="0"/>
              <w:rPr>
                <w:sz w:val="11"/>
                <w:szCs w:val="11"/>
                <w:color w:val="auto"/>
              </w:rPr>
            </w:pP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10,690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5"/>
              </w:rPr>
              <w:t>10,660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9,665</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206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(50,000 units) (h)(j)</w:t>
            </w: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2/27/2018</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11,160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9,665</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3%</w:t>
            </w:r>
          </w:p>
        </w:tc>
      </w:tr>
      <w:tr>
        <w:trPr>
          <w:trHeight w:val="135"/>
        </w:trPr>
        <w:tc>
          <w:tcPr>
            <w:tcW w:w="316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Bandon Fitness (Texas), Inc.</w:t>
            </w:r>
          </w:p>
        </w:tc>
        <w:tc>
          <w:tcPr>
            <w:tcW w:w="20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Retail</w:t>
            </w: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60" w:type="dxa"/>
            <w:vAlign w:val="bottom"/>
            <w:gridSpan w:val="4"/>
          </w:tcPr>
          <w:p>
            <w:pPr>
              <w:ind w:left="240"/>
              <w:spacing w:after="0" w:line="135" w:lineRule="exact"/>
              <w:rPr>
                <w:sz w:val="20"/>
                <w:szCs w:val="20"/>
                <w:color w:val="auto"/>
              </w:rPr>
            </w:pPr>
            <w:r>
              <w:rPr>
                <w:rFonts w:ascii="Arial" w:cs="Arial" w:eastAsia="Arial" w:hAnsi="Arial"/>
                <w:sz w:val="13"/>
                <w:szCs w:val="13"/>
                <w:color w:val="auto"/>
              </w:rPr>
              <w:t>First Lien Debt (j)(z)</w:t>
            </w: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6"/>
              </w:rPr>
              <w:t>(L + 6.00%) / (2.25%)</w:t>
            </w: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8.25%/0.25%</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8/9/2019</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8/9/2024</w:t>
            </w:r>
          </w:p>
        </w:tc>
        <w:tc>
          <w:tcPr>
            <w:tcW w:w="100" w:type="dxa"/>
            <w:vAlign w:val="bottom"/>
          </w:tcPr>
          <w:p>
            <w:pPr>
              <w:spacing w:after="0"/>
              <w:rPr>
                <w:sz w:val="11"/>
                <w:szCs w:val="11"/>
                <w:color w:val="auto"/>
              </w:rPr>
            </w:pP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14,689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5"/>
              </w:rPr>
              <w:t>14,246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13,714</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206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(545,810 units) (j)</w:t>
            </w: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8/9/2019</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931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139</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15,177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13,853</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4%</w:t>
            </w:r>
          </w:p>
        </w:tc>
      </w:tr>
      <w:tr>
        <w:trPr>
          <w:trHeight w:val="135"/>
        </w:trPr>
        <w:tc>
          <w:tcPr>
            <w:tcW w:w="316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BCC Group Holdings, Inc.</w:t>
            </w:r>
          </w:p>
        </w:tc>
        <w:tc>
          <w:tcPr>
            <w:tcW w:w="20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Information Technology Services</w:t>
            </w: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60" w:type="dxa"/>
            <w:vAlign w:val="bottom"/>
            <w:gridSpan w:val="4"/>
          </w:tcPr>
          <w:p>
            <w:pPr>
              <w:ind w:left="240"/>
              <w:spacing w:after="0" w:line="135" w:lineRule="exact"/>
              <w:rPr>
                <w:sz w:val="20"/>
                <w:szCs w:val="20"/>
                <w:color w:val="auto"/>
              </w:rPr>
            </w:pPr>
            <w:r>
              <w:rPr>
                <w:rFonts w:ascii="Arial" w:cs="Arial" w:eastAsia="Arial" w:hAnsi="Arial"/>
                <w:sz w:val="13"/>
                <w:szCs w:val="13"/>
                <w:color w:val="auto"/>
              </w:rPr>
              <w:t>Subordinated Debt</w:t>
            </w: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11.00%/1.00%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1/28/2019</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4/11/2023</w:t>
            </w:r>
          </w:p>
        </w:tc>
        <w:tc>
          <w:tcPr>
            <w:tcW w:w="100" w:type="dxa"/>
            <w:vAlign w:val="bottom"/>
          </w:tcPr>
          <w:p>
            <w:pPr>
              <w:spacing w:after="0"/>
              <w:rPr>
                <w:sz w:val="11"/>
                <w:szCs w:val="11"/>
                <w:color w:val="auto"/>
              </w:rPr>
            </w:pP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5"/>
              </w:rPr>
              <w:t>18,258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5"/>
              </w:rPr>
              <w:t>18,139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5"/>
              </w:rPr>
              <w:t>18,258</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206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(451 shares)</w:t>
            </w: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1/28/2019</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232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176</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89"/>
              </w:rPr>
              <w:t>Preferred Equity</w:t>
            </w:r>
          </w:p>
        </w:tc>
        <w:tc>
          <w:tcPr>
            <w:tcW w:w="206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(14 shares)</w:t>
            </w: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1/28/2019</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143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143</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18,514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18,577</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w:t>
            </w:r>
          </w:p>
        </w:tc>
      </w:tr>
      <w:tr>
        <w:trPr>
          <w:trHeight w:val="135"/>
        </w:trPr>
        <w:tc>
          <w:tcPr>
            <w:tcW w:w="3160" w:type="dxa"/>
            <w:vAlign w:val="bottom"/>
            <w:gridSpan w:val="4"/>
          </w:tcPr>
          <w:p>
            <w:pPr>
              <w:spacing w:after="0" w:line="135" w:lineRule="exact"/>
              <w:rPr>
                <w:sz w:val="20"/>
                <w:szCs w:val="20"/>
                <w:color w:val="auto"/>
              </w:rPr>
            </w:pPr>
            <w:r>
              <w:rPr>
                <w:rFonts w:ascii="Arial" w:cs="Arial" w:eastAsia="Arial" w:hAnsi="Arial"/>
                <w:sz w:val="13"/>
                <w:szCs w:val="13"/>
                <w:i w:val="1"/>
                <w:iCs w:val="1"/>
                <w:color w:val="auto"/>
              </w:rPr>
              <w:t>BCM One Group Holdings, Inc.</w:t>
            </w:r>
          </w:p>
        </w:tc>
        <w:tc>
          <w:tcPr>
            <w:tcW w:w="202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Information Technology Services</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60" w:type="dxa"/>
            <w:vAlign w:val="bottom"/>
            <w:gridSpan w:val="4"/>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11.00%/0.00%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1/3/2019</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7/3/2024</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29,000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28,882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29,000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206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(1,143 shares)</w:t>
            </w: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1/3/2019</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78</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89"/>
              </w:rPr>
              <w:t>Preferred Equity</w:t>
            </w:r>
          </w:p>
        </w:tc>
        <w:tc>
          <w:tcPr>
            <w:tcW w:w="206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(66 shares)</w:t>
            </w: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1/3/2019</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665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665</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29,548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29,743</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8%</w:t>
            </w:r>
          </w:p>
        </w:tc>
      </w:tr>
      <w:tr>
        <w:trPr>
          <w:trHeight w:val="135"/>
        </w:trPr>
        <w:tc>
          <w:tcPr>
            <w:tcW w:w="316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Bedford Precision Parts LLC</w:t>
            </w:r>
          </w:p>
        </w:tc>
        <w:tc>
          <w:tcPr>
            <w:tcW w:w="20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Specialty Distribution</w:t>
            </w: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60" w:type="dxa"/>
            <w:vAlign w:val="bottom"/>
            <w:gridSpan w:val="4"/>
          </w:tcPr>
          <w:p>
            <w:pPr>
              <w:ind w:left="240"/>
              <w:spacing w:after="0" w:line="135" w:lineRule="exact"/>
              <w:rPr>
                <w:sz w:val="20"/>
                <w:szCs w:val="20"/>
                <w:color w:val="auto"/>
              </w:rPr>
            </w:pPr>
            <w:r>
              <w:rPr>
                <w:rFonts w:ascii="Arial" w:cs="Arial" w:eastAsia="Arial" w:hAnsi="Arial"/>
                <w:sz w:val="13"/>
                <w:szCs w:val="13"/>
                <w:color w:val="auto"/>
              </w:rPr>
              <w:t>First Lien Debt (j)(s)</w:t>
            </w: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6"/>
              </w:rPr>
              <w:t>(L + 6.25%) / (2.00%)</w:t>
            </w: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8.25%/0.00%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3/12/2019</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3/12/2024</w:t>
            </w:r>
          </w:p>
        </w:tc>
        <w:tc>
          <w:tcPr>
            <w:tcW w:w="100" w:type="dxa"/>
            <w:vAlign w:val="bottom"/>
          </w:tcPr>
          <w:p>
            <w:pPr>
              <w:spacing w:after="0"/>
              <w:rPr>
                <w:sz w:val="11"/>
                <w:szCs w:val="11"/>
                <w:color w:val="auto"/>
              </w:rPr>
            </w:pP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4,972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5,000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206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(500,000 units) (h)(j)</w:t>
            </w: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3/12/2019</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340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5,472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5,340</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1%</w:t>
            </w:r>
          </w:p>
        </w:tc>
      </w:tr>
      <w:tr>
        <w:trPr>
          <w:trHeight w:val="135"/>
        </w:trPr>
        <w:tc>
          <w:tcPr>
            <w:tcW w:w="316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Cardboard Box LLC (dba Anthony’s Coal Fired Pizza)</w:t>
            </w:r>
          </w:p>
        </w:tc>
        <w:tc>
          <w:tcPr>
            <w:tcW w:w="20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Restaurants</w:t>
            </w: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206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(521,021 units) (j)</w:t>
            </w: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12/15/2015</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521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89"/>
              </w:rPr>
              <w:t>Preferred Equity</w:t>
            </w:r>
          </w:p>
        </w:tc>
        <w:tc>
          <w:tcPr>
            <w:tcW w:w="206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(1,043,133 units) (j)</w:t>
            </w: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12/6/2019</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81</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593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81</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0%</w:t>
            </w:r>
          </w:p>
        </w:tc>
      </w:tr>
      <w:tr>
        <w:trPr>
          <w:trHeight w:val="135"/>
        </w:trPr>
        <w:tc>
          <w:tcPr>
            <w:tcW w:w="316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Combined Systems, Inc.</w:t>
            </w:r>
          </w:p>
        </w:tc>
        <w:tc>
          <w:tcPr>
            <w:tcW w:w="20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2"/>
              </w:rPr>
              <w:t>Aerospace &amp; Defense Manufacturing</w:t>
            </w: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99"/>
              </w:rPr>
              <w:t>First Lien Debt</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1"/>
              </w:rPr>
              <w:t>(L + 10.00%) / (2.00%)</w:t>
            </w: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12.00%/0.00%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1/31/2020</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1/31/2025</w:t>
            </w:r>
          </w:p>
        </w:tc>
        <w:tc>
          <w:tcPr>
            <w:tcW w:w="100" w:type="dxa"/>
            <w:vAlign w:val="bottom"/>
          </w:tcPr>
          <w:p>
            <w:pPr>
              <w:spacing w:after="0"/>
              <w:rPr>
                <w:sz w:val="11"/>
                <w:szCs w:val="11"/>
                <w:color w:val="auto"/>
              </w:rPr>
            </w:pP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7,800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7,747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7,747</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60" w:type="dxa"/>
            <w:vAlign w:val="bottom"/>
            <w:gridSpan w:val="4"/>
            <w:shd w:val="clear" w:color="auto" w:fill="CCEEFF"/>
          </w:tcPr>
          <w:p>
            <w:pPr>
              <w:ind w:left="240"/>
              <w:spacing w:after="0" w:line="135" w:lineRule="exact"/>
              <w:rPr>
                <w:sz w:val="20"/>
                <w:szCs w:val="20"/>
                <w:color w:val="auto"/>
              </w:rPr>
            </w:pPr>
            <w:r>
              <w:rPr>
                <w:rFonts w:ascii="Arial" w:cs="Arial" w:eastAsia="Arial" w:hAnsi="Arial"/>
                <w:sz w:val="13"/>
                <w:szCs w:val="13"/>
                <w:color w:val="auto"/>
              </w:rPr>
              <w:t>Revolving Loan ($100 commitment) (j)(ac)</w:t>
            </w: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6"/>
              </w:rPr>
              <w:t>(L + 9.00%) / (2.00%)</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11.00%/0.00%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1/31/2020</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1/31/2025</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3,900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3,877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3,877</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2"/>
        </w:trPr>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0"/>
              </w:rPr>
              <w:t>11,624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11,624</w:t>
            </w: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3%</w:t>
            </w:r>
          </w:p>
        </w:tc>
      </w:tr>
      <w:tr>
        <w:trPr>
          <w:trHeight w:val="135"/>
        </w:trPr>
        <w:tc>
          <w:tcPr>
            <w:tcW w:w="110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ControlScan, Inc.</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Information Technology Services</w:t>
            </w: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60" w:type="dxa"/>
            <w:vAlign w:val="bottom"/>
            <w:gridSpan w:val="4"/>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11.00%/0.00%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7/28/2017</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1/28/2023</w:t>
            </w:r>
          </w:p>
        </w:tc>
        <w:tc>
          <w:tcPr>
            <w:tcW w:w="100" w:type="dxa"/>
            <w:vAlign w:val="bottom"/>
          </w:tcPr>
          <w:p>
            <w:pPr>
              <w:spacing w:after="0"/>
              <w:rPr>
                <w:sz w:val="11"/>
                <w:szCs w:val="11"/>
                <w:color w:val="auto"/>
              </w:rPr>
            </w:pP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6,750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6,734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6,750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206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(1,852 shares) (j)</w:t>
            </w: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7/28/2017</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243</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89"/>
              </w:rPr>
              <w:t>Preferred Equity</w:t>
            </w:r>
          </w:p>
        </w:tc>
        <w:tc>
          <w:tcPr>
            <w:tcW w:w="206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(50 shares) (j)</w:t>
            </w: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7/28/2017</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498</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7,234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7,491</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w:t>
            </w:r>
          </w:p>
        </w:tc>
      </w:tr>
      <w:tr>
        <w:trPr>
          <w:trHeight w:val="135"/>
        </w:trPr>
        <w:tc>
          <w:tcPr>
            <w:tcW w:w="3160" w:type="dxa"/>
            <w:vAlign w:val="bottom"/>
            <w:gridSpan w:val="4"/>
          </w:tcPr>
          <w:p>
            <w:pPr>
              <w:spacing w:after="0" w:line="135" w:lineRule="exact"/>
              <w:rPr>
                <w:sz w:val="20"/>
                <w:szCs w:val="20"/>
                <w:color w:val="auto"/>
              </w:rPr>
            </w:pPr>
            <w:r>
              <w:rPr>
                <w:rFonts w:ascii="Arial" w:cs="Arial" w:eastAsia="Arial" w:hAnsi="Arial"/>
                <w:sz w:val="13"/>
                <w:szCs w:val="13"/>
                <w:i w:val="1"/>
                <w:iCs w:val="1"/>
                <w:color w:val="auto"/>
              </w:rPr>
              <w:t>CRS Solutions Holdings, LLC (dba CRS Texas)</w:t>
            </w:r>
          </w:p>
        </w:tc>
        <w:tc>
          <w:tcPr>
            <w:tcW w:w="202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60" w:type="dxa"/>
            <w:vAlign w:val="bottom"/>
            <w:gridSpan w:val="4"/>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10.50%/1.00%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3/14/2018</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4/30/2024</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11,219</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11,178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10,474</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206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(375,000 units) (h)(j)</w:t>
            </w: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3/14/2018</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375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161</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11,553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10,635</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r>
      <w:tr>
        <w:trPr>
          <w:trHeight w:val="135"/>
        </w:trPr>
        <w:tc>
          <w:tcPr>
            <w:tcW w:w="3160" w:type="dxa"/>
            <w:vAlign w:val="bottom"/>
            <w:gridSpan w:val="4"/>
          </w:tcPr>
          <w:p>
            <w:pPr>
              <w:spacing w:after="0" w:line="135" w:lineRule="exact"/>
              <w:rPr>
                <w:sz w:val="20"/>
                <w:szCs w:val="20"/>
                <w:color w:val="auto"/>
              </w:rPr>
            </w:pPr>
            <w:r>
              <w:rPr>
                <w:rFonts w:ascii="Arial" w:cs="Arial" w:eastAsia="Arial" w:hAnsi="Arial"/>
                <w:sz w:val="13"/>
                <w:szCs w:val="13"/>
                <w:i w:val="1"/>
                <w:iCs w:val="1"/>
                <w:color w:val="auto"/>
              </w:rPr>
              <w:t>Diversified Search LLC</w:t>
            </w:r>
          </w:p>
        </w:tc>
        <w:tc>
          <w:tcPr>
            <w:tcW w:w="202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60" w:type="dxa"/>
            <w:vAlign w:val="bottom"/>
            <w:gridSpan w:val="4"/>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(k)(r)</w:t>
            </w: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6"/>
              </w:rPr>
              <w:t>(L + 6.00%) / (1.75%)</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7.75%/0.00%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2/7/2019</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2/7/2024</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17,355</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17,128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16,739</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206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(573 units) (h)(j)</w:t>
            </w: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2/7/2019</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593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261</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17,721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17,000</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w:t>
            </w:r>
          </w:p>
        </w:tc>
      </w:tr>
      <w:tr>
        <w:trPr>
          <w:trHeight w:val="135"/>
        </w:trPr>
        <w:tc>
          <w:tcPr>
            <w:tcW w:w="1100" w:type="dxa"/>
            <w:vAlign w:val="bottom"/>
          </w:tcPr>
          <w:p>
            <w:pPr>
              <w:spacing w:after="0" w:line="135" w:lineRule="exact"/>
              <w:rPr>
                <w:sz w:val="20"/>
                <w:szCs w:val="20"/>
                <w:color w:val="auto"/>
              </w:rPr>
            </w:pPr>
            <w:r>
              <w:rPr>
                <w:rFonts w:ascii="Arial" w:cs="Arial" w:eastAsia="Arial" w:hAnsi="Arial"/>
                <w:sz w:val="13"/>
                <w:szCs w:val="13"/>
                <w:i w:val="1"/>
                <w:iCs w:val="1"/>
                <w:color w:val="auto"/>
                <w:w w:val="96"/>
              </w:rPr>
              <w:t>EBL, LLC (EbLens)</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2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Retail</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60" w:type="dxa"/>
            <w:vAlign w:val="bottom"/>
            <w:gridSpan w:val="4"/>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12.00%/1.00%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7/13/2017</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1/13/2023</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9,221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9,174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7,764</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206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(75,000 units) (j)</w:t>
            </w: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7/13/2017</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750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9,924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7,804</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w:t>
            </w:r>
          </w:p>
        </w:tc>
      </w:tr>
      <w:tr>
        <w:trPr>
          <w:trHeight w:val="135"/>
        </w:trPr>
        <w:tc>
          <w:tcPr>
            <w:tcW w:w="1100" w:type="dxa"/>
            <w:vAlign w:val="bottom"/>
          </w:tcPr>
          <w:p>
            <w:pPr>
              <w:spacing w:after="0" w:line="135" w:lineRule="exact"/>
              <w:rPr>
                <w:sz w:val="20"/>
                <w:szCs w:val="20"/>
                <w:color w:val="auto"/>
              </w:rPr>
            </w:pPr>
            <w:r>
              <w:rPr>
                <w:rFonts w:ascii="Arial" w:cs="Arial" w:eastAsia="Arial" w:hAnsi="Arial"/>
                <w:sz w:val="13"/>
                <w:szCs w:val="13"/>
                <w:i w:val="1"/>
                <w:iCs w:val="1"/>
                <w:color w:val="auto"/>
                <w:w w:val="90"/>
              </w:rPr>
              <w:t>ECM Industries, LLC</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2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Component Manufacturing</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60" w:type="dxa"/>
            <w:vAlign w:val="bottom"/>
            <w:gridSpan w:val="4"/>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11.50%/0.00%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4/30/2020</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5/23/2026</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5"/>
              </w:rPr>
              <w:t>11,500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11,276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11,276</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206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(1,000,000 units) (h)(j)</w:t>
            </w: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4/30/2020</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1,000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1,000</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5"/>
              </w:rPr>
              <w:t>12,276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12,276</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w:t>
            </w:r>
          </w:p>
        </w:tc>
      </w:tr>
      <w:tr>
        <w:trPr>
          <w:trHeight w:val="135"/>
        </w:trPr>
        <w:tc>
          <w:tcPr>
            <w:tcW w:w="1100" w:type="dxa"/>
            <w:vAlign w:val="bottom"/>
          </w:tcPr>
          <w:p>
            <w:pPr>
              <w:spacing w:after="0" w:line="135" w:lineRule="exact"/>
              <w:rPr>
                <w:sz w:val="20"/>
                <w:szCs w:val="20"/>
                <w:color w:val="auto"/>
              </w:rPr>
            </w:pPr>
            <w:r>
              <w:rPr>
                <w:rFonts w:ascii="Arial" w:cs="Arial" w:eastAsia="Arial" w:hAnsi="Arial"/>
                <w:sz w:val="13"/>
                <w:szCs w:val="13"/>
                <w:i w:val="1"/>
                <w:iCs w:val="1"/>
                <w:color w:val="auto"/>
                <w:w w:val="93"/>
              </w:rPr>
              <w:t>French Transit, LLC</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2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Consumer Products</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60" w:type="dxa"/>
            <w:vAlign w:val="bottom"/>
            <w:gridSpan w:val="4"/>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6"/>
              </w:rPr>
              <w:t>(L + 9.00%) / (2.25%)</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11.25%/0.00%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6/21/2019</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6/21/2024</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4,100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4,068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4,100</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160" w:type="dxa"/>
            <w:vAlign w:val="bottom"/>
            <w:gridSpan w:val="4"/>
          </w:tcPr>
          <w:p>
            <w:pPr>
              <w:ind w:left="240"/>
              <w:spacing w:after="0" w:line="135" w:lineRule="exact"/>
              <w:rPr>
                <w:sz w:val="20"/>
                <w:szCs w:val="20"/>
                <w:color w:val="auto"/>
              </w:rPr>
            </w:pPr>
            <w:r>
              <w:rPr>
                <w:rFonts w:ascii="Arial" w:cs="Arial" w:eastAsia="Arial" w:hAnsi="Arial"/>
                <w:sz w:val="13"/>
                <w:szCs w:val="13"/>
                <w:color w:val="auto"/>
              </w:rPr>
              <w:t>Revolving Loan ($1,000 commitment) (j)(u)</w:t>
            </w: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6"/>
              </w:rPr>
              <w:t>(L + 9.00%) / (2.25%)</w:t>
            </w: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11.25%/0.00%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6/21/2019</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6/21/2024</w:t>
            </w:r>
          </w:p>
        </w:tc>
        <w:tc>
          <w:tcPr>
            <w:tcW w:w="100" w:type="dxa"/>
            <w:vAlign w:val="bottom"/>
          </w:tcPr>
          <w:p>
            <w:pPr>
              <w:spacing w:after="0"/>
              <w:rPr>
                <w:sz w:val="11"/>
                <w:szCs w:val="11"/>
                <w:color w:val="auto"/>
              </w:rPr>
            </w:pPr>
          </w:p>
        </w:tc>
        <w:tc>
          <w:tcPr>
            <w:tcW w:w="44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7"/>
        </w:trPr>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35"/>
        </w:trPr>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4,064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4,100</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w:t>
            </w:r>
          </w:p>
        </w:tc>
      </w:tr>
      <w:tr>
        <w:trPr>
          <w:trHeight w:val="135"/>
        </w:trPr>
        <w:tc>
          <w:tcPr>
            <w:tcW w:w="3160" w:type="dxa"/>
            <w:vAlign w:val="bottom"/>
            <w:gridSpan w:val="4"/>
          </w:tcPr>
          <w:p>
            <w:pPr>
              <w:spacing w:after="0" w:line="135" w:lineRule="exact"/>
              <w:rPr>
                <w:sz w:val="20"/>
                <w:szCs w:val="20"/>
                <w:color w:val="auto"/>
              </w:rPr>
            </w:pPr>
            <w:r>
              <w:rPr>
                <w:rFonts w:ascii="Arial" w:cs="Arial" w:eastAsia="Arial" w:hAnsi="Arial"/>
                <w:sz w:val="13"/>
                <w:szCs w:val="13"/>
                <w:i w:val="1"/>
                <w:iCs w:val="1"/>
                <w:color w:val="auto"/>
              </w:rPr>
              <w:t>Global Plasma Solutions, Inc.</w:t>
            </w:r>
          </w:p>
        </w:tc>
        <w:tc>
          <w:tcPr>
            <w:tcW w:w="202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Component Manufacturing</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160" w:type="dxa"/>
            <w:vAlign w:val="bottom"/>
            <w:gridSpan w:val="4"/>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(j)(v)</w:t>
            </w: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6"/>
              </w:rPr>
              <w:t>(L + 5.00%) / (2.00%)</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7.00%/0.00%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9/21/2018</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9/21/2023</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6,838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6,788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6,838</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1100" w:type="dxa"/>
            <w:vAlign w:val="bottom"/>
          </w:tcPr>
          <w:p>
            <w:pPr>
              <w:ind w:left="240"/>
              <w:spacing w:after="0" w:line="135" w:lineRule="exact"/>
              <w:rPr>
                <w:sz w:val="20"/>
                <w:szCs w:val="20"/>
                <w:color w:val="auto"/>
              </w:rPr>
            </w:pPr>
            <w:r>
              <w:rPr>
                <w:rFonts w:ascii="Arial" w:cs="Arial" w:eastAsia="Arial" w:hAnsi="Arial"/>
                <w:sz w:val="13"/>
                <w:szCs w:val="13"/>
                <w:color w:val="auto"/>
                <w:w w:val="89"/>
              </w:rPr>
              <w:t>Preferred Equity</w:t>
            </w:r>
          </w:p>
        </w:tc>
        <w:tc>
          <w:tcPr>
            <w:tcW w:w="206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(947 shares) (j)</w:t>
            </w: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9/21/2018</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360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415</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11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90"/>
              </w:rPr>
              <w:t>Common Equity</w:t>
            </w:r>
          </w:p>
        </w:tc>
        <w:tc>
          <w:tcPr>
            <w:tcW w:w="206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(947 shares) (j)</w:t>
            </w:r>
          </w:p>
        </w:tc>
        <w:tc>
          <w:tcPr>
            <w:tcW w:w="1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9/21/2018</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1,126</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4"/>
        </w:trPr>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8"/>
              </w:rPr>
              <w:t>7,163</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8,379</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r>
    </w:tbl>
    <w:p>
      <w:pPr>
        <w:spacing w:after="0" w:line="122" w:lineRule="exact"/>
        <w:rPr>
          <w:sz w:val="20"/>
          <w:szCs w:val="20"/>
          <w:color w:val="auto"/>
        </w:rPr>
      </w:pPr>
    </w:p>
    <w:p>
      <w:pPr>
        <w:sectPr>
          <w:pgSz w:w="11900" w:h="16838" w:orient="portrait"/>
          <w:cols w:equalWidth="0" w:num="1">
            <w:col w:w="11280"/>
          </w:cols>
          <w:pgMar w:left="320" w:top="459" w:right="299" w:bottom="1440" w:gutter="0" w:footer="0" w:header="0"/>
        </w:sectPr>
      </w:pPr>
    </w:p>
    <w:p>
      <w:pPr>
        <w:jc w:val="center"/>
        <w:ind w:right="4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80"/>
          </w:cols>
          <w:pgMar w:left="320" w:top="459" w:right="2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100" w:type="dxa"/>
            <w:vAlign w:val="bottom"/>
            <w:gridSpan w:val="2"/>
          </w:tcPr>
          <w:p>
            <w:pPr>
              <w:spacing w:after="0"/>
              <w:rPr>
                <w:sz w:val="20"/>
                <w:szCs w:val="20"/>
                <w:color w:val="auto"/>
              </w:rPr>
            </w:pPr>
            <w:r>
              <w:rPr>
                <w:rFonts w:ascii="Arial" w:cs="Arial" w:eastAsia="Arial" w:hAnsi="Arial"/>
                <w:sz w:val="13"/>
                <w:szCs w:val="13"/>
                <w:b w:val="1"/>
                <w:bCs w:val="1"/>
                <w:color w:val="auto"/>
              </w:rPr>
              <w:t>Portfolio Company (a)(b)</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Arial" w:cs="Arial" w:eastAsia="Arial" w:hAnsi="Arial"/>
                <w:sz w:val="13"/>
                <w:szCs w:val="13"/>
                <w:b w:val="1"/>
                <w:bCs w:val="1"/>
                <w:color w:val="auto"/>
              </w:rPr>
              <w:t>Variable Index</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Rate (e)</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7"/>
              </w:rPr>
              <w:t>Investment</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right"/>
              <w:ind w:right="117"/>
              <w:spacing w:after="0"/>
              <w:rPr>
                <w:sz w:val="20"/>
                <w:szCs w:val="20"/>
                <w:color w:val="auto"/>
              </w:rPr>
            </w:pPr>
            <w:r>
              <w:rPr>
                <w:rFonts w:ascii="Arial" w:cs="Arial" w:eastAsia="Arial" w:hAnsi="Arial"/>
                <w:sz w:val="13"/>
                <w:szCs w:val="13"/>
                <w:b w:val="1"/>
                <w:bCs w:val="1"/>
                <w:color w:val="auto"/>
                <w:w w:val="87"/>
              </w:rPr>
              <w:t>Principal</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4"/>
              </w:rPr>
              <w:t>Percent of</w:t>
            </w:r>
          </w:p>
        </w:tc>
      </w:tr>
      <w:tr>
        <w:trPr>
          <w:trHeight w:val="173"/>
        </w:trPr>
        <w:tc>
          <w:tcPr>
            <w:tcW w:w="1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Investment Type (c)</w:t>
            </w:r>
          </w:p>
        </w:tc>
        <w:tc>
          <w:tcPr>
            <w:tcW w:w="1780" w:type="dxa"/>
            <w:vAlign w:val="bottom"/>
          </w:tcPr>
          <w:p>
            <w:pPr>
              <w:spacing w:after="0"/>
              <w:rPr>
                <w:sz w:val="15"/>
                <w:szCs w:val="15"/>
                <w:color w:val="auto"/>
              </w:rPr>
            </w:pPr>
          </w:p>
        </w:tc>
        <w:tc>
          <w:tcPr>
            <w:tcW w:w="1840" w:type="dxa"/>
            <w:vAlign w:val="bottom"/>
            <w:gridSpan w:val="2"/>
          </w:tcPr>
          <w:p>
            <w:pPr>
              <w:ind w:left="640"/>
              <w:spacing w:after="0"/>
              <w:rPr>
                <w:sz w:val="20"/>
                <w:szCs w:val="20"/>
                <w:color w:val="auto"/>
              </w:rPr>
            </w:pPr>
            <w:r>
              <w:rPr>
                <w:rFonts w:ascii="Arial" w:cs="Arial" w:eastAsia="Arial" w:hAnsi="Arial"/>
                <w:sz w:val="13"/>
                <w:szCs w:val="13"/>
                <w:b w:val="1"/>
                <w:bCs w:val="1"/>
                <w:color w:val="auto"/>
              </w:rPr>
              <w:t>Industry</w:t>
            </w:r>
          </w:p>
        </w:tc>
        <w:tc>
          <w:tcPr>
            <w:tcW w:w="1280" w:type="dxa"/>
            <w:vAlign w:val="bottom"/>
            <w:gridSpan w:val="2"/>
          </w:tcPr>
          <w:p>
            <w:pPr>
              <w:ind w:left="100"/>
              <w:spacing w:after="0"/>
              <w:rPr>
                <w:sz w:val="20"/>
                <w:szCs w:val="20"/>
                <w:color w:val="auto"/>
              </w:rPr>
            </w:pPr>
            <w:r>
              <w:rPr>
                <w:rFonts w:ascii="Arial" w:cs="Arial" w:eastAsia="Arial" w:hAnsi="Arial"/>
                <w:sz w:val="13"/>
                <w:szCs w:val="13"/>
                <w:b w:val="1"/>
                <w:bCs w:val="1"/>
                <w:color w:val="auto"/>
              </w:rPr>
              <w:t>Spread / Floor (d)</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Cash/PIK</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Date (f)</w:t>
            </w: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680" w:type="dxa"/>
            <w:vAlign w:val="bottom"/>
            <w:gridSpan w:val="3"/>
          </w:tcPr>
          <w:p>
            <w:pPr>
              <w:jc w:val="right"/>
              <w:ind w:right="137"/>
              <w:spacing w:after="0"/>
              <w:rPr>
                <w:sz w:val="20"/>
                <w:szCs w:val="20"/>
                <w:color w:val="auto"/>
              </w:rPr>
            </w:pPr>
            <w:r>
              <w:rPr>
                <w:rFonts w:ascii="Arial" w:cs="Arial" w:eastAsia="Arial" w:hAnsi="Arial"/>
                <w:sz w:val="13"/>
                <w:szCs w:val="13"/>
                <w:b w:val="1"/>
                <w:bCs w:val="1"/>
                <w:color w:val="auto"/>
                <w:w w:val="93"/>
              </w:rPr>
              <w:t>Amount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2"/>
              </w:rPr>
              <w:t>Cost</w:t>
            </w:r>
          </w:p>
        </w:tc>
        <w:tc>
          <w:tcPr>
            <w:tcW w:w="580" w:type="dxa"/>
            <w:vAlign w:val="bottom"/>
            <w:gridSpan w:val="3"/>
          </w:tcPr>
          <w:p>
            <w:pPr>
              <w:spacing w:after="0"/>
              <w:rPr>
                <w:sz w:val="20"/>
                <w:szCs w:val="20"/>
                <w:color w:val="auto"/>
              </w:rPr>
            </w:pPr>
            <w:r>
              <w:rPr>
                <w:rFonts w:ascii="Arial" w:cs="Arial" w:eastAsia="Arial" w:hAnsi="Arial"/>
                <w:sz w:val="13"/>
                <w:szCs w:val="13"/>
                <w:b w:val="1"/>
                <w:bCs w:val="1"/>
                <w:color w:val="auto"/>
              </w:rPr>
              <w:t>Value (g)</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0"/>
              </w:rPr>
              <w:t>Net Assets</w:t>
            </w:r>
          </w:p>
        </w:tc>
      </w:tr>
      <w:tr>
        <w:trPr>
          <w:trHeight w:val="122"/>
        </w:trPr>
        <w:tc>
          <w:tcPr>
            <w:tcW w:w="31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3"/>
                <w:szCs w:val="13"/>
                <w:i w:val="1"/>
                <w:iCs w:val="1"/>
                <w:color w:val="auto"/>
              </w:rPr>
              <w:t>Gurobi Optimization, LLC</w:t>
            </w:r>
          </w:p>
        </w:tc>
        <w:tc>
          <w:tcPr>
            <w:tcW w:w="1720" w:type="dxa"/>
            <w:vAlign w:val="bottom"/>
            <w:tcBorders>
              <w:top w:val="single" w:sz="8" w:color="auto"/>
            </w:tcBorders>
            <w:shd w:val="clear" w:color="auto" w:fill="CCEEFF"/>
          </w:tcPr>
          <w:p>
            <w:pPr>
              <w:ind w:left="40"/>
              <w:spacing w:after="0" w:line="122" w:lineRule="exact"/>
              <w:rPr>
                <w:sz w:val="20"/>
                <w:szCs w:val="20"/>
                <w:color w:val="auto"/>
              </w:rPr>
            </w:pPr>
            <w:r>
              <w:rPr>
                <w:rFonts w:ascii="Arial" w:cs="Arial" w:eastAsia="Arial" w:hAnsi="Arial"/>
                <w:sz w:val="13"/>
                <w:szCs w:val="13"/>
                <w:color w:val="auto"/>
                <w:w w:val="87"/>
              </w:rPr>
              <w:t>Information Technology Services</w:t>
            </w:r>
          </w:p>
        </w:tc>
        <w:tc>
          <w:tcPr>
            <w:tcW w:w="120" w:type="dxa"/>
            <w:vAlign w:val="bottom"/>
            <w:tcBorders>
              <w:top w:val="single" w:sz="8" w:color="CCEEFF"/>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r>
      <w:tr>
        <w:trPr>
          <w:trHeight w:val="160"/>
        </w:trPr>
        <w:tc>
          <w:tcPr>
            <w:tcW w:w="3100" w:type="dxa"/>
            <w:vAlign w:val="bottom"/>
            <w:gridSpan w:val="2"/>
          </w:tcPr>
          <w:p>
            <w:pPr>
              <w:ind w:left="240"/>
              <w:spacing w:after="0"/>
              <w:rPr>
                <w:sz w:val="20"/>
                <w:szCs w:val="20"/>
                <w:color w:val="auto"/>
              </w:rPr>
            </w:pPr>
            <w:r>
              <w:rPr>
                <w:rFonts w:ascii="Arial" w:cs="Arial" w:eastAsia="Arial" w:hAnsi="Arial"/>
                <w:sz w:val="13"/>
                <w:szCs w:val="13"/>
                <w:color w:val="auto"/>
              </w:rPr>
              <w:t>Common Equity (3 shares)</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w w:val="92"/>
              </w:rPr>
              <w:t>12/19/2017</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750</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1,671</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0%</w:t>
            </w:r>
          </w:p>
        </w:tc>
      </w:tr>
      <w:tr>
        <w:trPr>
          <w:trHeight w:val="83"/>
        </w:trPr>
        <w:tc>
          <w:tcPr>
            <w:tcW w:w="13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135"/>
        </w:trPr>
        <w:tc>
          <w:tcPr>
            <w:tcW w:w="3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Haematologic Technologies, Inc.</w:t>
            </w:r>
          </w:p>
        </w:tc>
        <w:tc>
          <w:tcPr>
            <w:tcW w:w="18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Healthcare Services</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(x)</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8"/>
              </w:rPr>
              <w:t>(L + 7.25%) / (2.00%)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9.25%/0.00%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10/11/2019</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10/11/2024</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5,500</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5,466</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5,350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(500 units) (h)(j)</w:t>
            </w: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10/11/2019</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253</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5,966</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5,603</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1%</w:t>
            </w:r>
          </w:p>
        </w:tc>
      </w:tr>
      <w:tr>
        <w:trPr>
          <w:trHeight w:val="135"/>
        </w:trPr>
        <w:tc>
          <w:tcPr>
            <w:tcW w:w="3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9"/>
              </w:rPr>
              <w:t>Hilco Plastics Holdings, LLC (dba Hilco Technologies)</w:t>
            </w:r>
          </w:p>
        </w:tc>
        <w:tc>
          <w:tcPr>
            <w:tcW w:w="18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Component Manufacturing</w:t>
            </w: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11.50%/1.50%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9/23/2016</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12/31/2019</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10,207</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0"/>
              </w:rPr>
              <w:t>10,207</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8,613</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Revolving Loan (j)</w:t>
            </w: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8"/>
              </w:rPr>
              <w:t>(L + 6.50%) / (0.00%)</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6.67%/0.00%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12/20/2019</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12/15/2019</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5,962</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5,962</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5,962</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8"/>
              </w:rPr>
              <w:t>(L + 6.95%) / (0.00%)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7.12%/0.00%</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12/20/2019</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2"/>
              </w:rPr>
              <w:t>12/15/2019</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5,859</w:t>
            </w: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5,859</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5,859</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(1,000,000 units) (h)(j)</w:t>
            </w: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4/18/2018</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1,000</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(72,507 units) (h)(j)</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9/23/2016</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473</w:t>
            </w:r>
          </w:p>
        </w:tc>
        <w:tc>
          <w:tcPr>
            <w:tcW w:w="10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3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23,501</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20,434</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w:t>
            </w:r>
          </w:p>
        </w:tc>
      </w:tr>
      <w:tr>
        <w:trPr>
          <w:trHeight w:val="135"/>
        </w:trPr>
        <w:tc>
          <w:tcPr>
            <w:tcW w:w="31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Hoonuit, LLC</w:t>
            </w:r>
          </w:p>
        </w:tc>
        <w:tc>
          <w:tcPr>
            <w:tcW w:w="184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4"/>
              </w:rPr>
              <w:t>Information Technology Services</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w:t>
            </w: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8"/>
              </w:rPr>
              <w:t>(L + 9.25%) / (2.25%)</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11.50%/0.00%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6/7/2019</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6/7/2024</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7,165</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7,126</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7,165</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(610 units) (h)(j)</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6/20/2019</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1/1/2022</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250</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264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3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7,376</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7,429</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r>
      <w:tr>
        <w:trPr>
          <w:trHeight w:val="135"/>
        </w:trPr>
        <w:tc>
          <w:tcPr>
            <w:tcW w:w="31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Hub Acquisition Sub, LLC (dba Hub Pen)</w:t>
            </w:r>
          </w:p>
        </w:tc>
        <w:tc>
          <w:tcPr>
            <w:tcW w:w="18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Promotional products</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12.25%/0.00%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3/23/2016</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9/23/2021</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25,000</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24,963</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22,198</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(3,750 units)</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3/23/2016</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131</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195</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3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25,094</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22,393</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w:t>
            </w:r>
          </w:p>
        </w:tc>
      </w:tr>
      <w:tr>
        <w:trPr>
          <w:trHeight w:val="135"/>
        </w:trPr>
        <w:tc>
          <w:tcPr>
            <w:tcW w:w="31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IBH Holdings, LLC (fka Inflexxion, Inc.)</w:t>
            </w:r>
          </w:p>
        </w:tc>
        <w:tc>
          <w:tcPr>
            <w:tcW w:w="18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Business Services</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(150,000 units)</w:t>
            </w: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6/20/2018</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243"/>
        </w:trPr>
        <w:tc>
          <w:tcPr>
            <w:tcW w:w="3100" w:type="dxa"/>
            <w:vAlign w:val="bottom"/>
            <w:gridSpan w:val="2"/>
          </w:tcPr>
          <w:p>
            <w:pPr>
              <w:spacing w:after="0"/>
              <w:rPr>
                <w:sz w:val="20"/>
                <w:szCs w:val="20"/>
                <w:color w:val="auto"/>
              </w:rPr>
            </w:pPr>
            <w:r>
              <w:rPr>
                <w:rFonts w:ascii="Arial" w:cs="Arial" w:eastAsia="Arial" w:hAnsi="Arial"/>
                <w:sz w:val="13"/>
                <w:szCs w:val="13"/>
                <w:i w:val="1"/>
                <w:iCs w:val="1"/>
                <w:color w:val="auto"/>
              </w:rPr>
              <w:t>Ipro Tech, LLC</w:t>
            </w:r>
          </w:p>
        </w:tc>
        <w:tc>
          <w:tcPr>
            <w:tcW w:w="1840" w:type="dxa"/>
            <w:vAlign w:val="bottom"/>
            <w:gridSpan w:val="2"/>
          </w:tcPr>
          <w:p>
            <w:pPr>
              <w:ind w:left="40"/>
              <w:spacing w:after="0"/>
              <w:rPr>
                <w:sz w:val="20"/>
                <w:szCs w:val="20"/>
                <w:color w:val="auto"/>
              </w:rPr>
            </w:pPr>
            <w:r>
              <w:rPr>
                <w:rFonts w:ascii="Arial" w:cs="Arial" w:eastAsia="Arial" w:hAnsi="Arial"/>
                <w:sz w:val="13"/>
                <w:szCs w:val="13"/>
                <w:color w:val="auto"/>
                <w:w w:val="94"/>
              </w:rPr>
              <w:t>Information Technology Services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35"/>
        </w:trPr>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(j)(ae)</w:t>
            </w: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8"/>
              </w:rPr>
              <w:t>(L + 8.50%) / (2.00%)</w:t>
            </w: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10.50%/0.00%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6/30/2020</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6/30/2025</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2,500</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1,901</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1,901</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r>
      <w:tr>
        <w:trPr>
          <w:trHeight w:val="229"/>
        </w:trPr>
        <w:tc>
          <w:tcPr>
            <w:tcW w:w="3100" w:type="dxa"/>
            <w:vAlign w:val="bottom"/>
            <w:gridSpan w:val="2"/>
          </w:tcPr>
          <w:p>
            <w:pPr>
              <w:spacing w:after="0"/>
              <w:rPr>
                <w:sz w:val="20"/>
                <w:szCs w:val="20"/>
                <w:color w:val="auto"/>
              </w:rPr>
            </w:pPr>
            <w:r>
              <w:rPr>
                <w:rFonts w:ascii="Arial" w:cs="Arial" w:eastAsia="Arial" w:hAnsi="Arial"/>
                <w:sz w:val="13"/>
                <w:szCs w:val="13"/>
                <w:i w:val="1"/>
                <w:iCs w:val="1"/>
                <w:color w:val="auto"/>
              </w:rPr>
              <w:t>K2 Merger Agreement Agent, LLC (fka K2 Industrial</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49"/>
        </w:trPr>
        <w:tc>
          <w:tcPr>
            <w:tcW w:w="3100" w:type="dxa"/>
            <w:vAlign w:val="bottom"/>
            <w:gridSpan w:val="2"/>
          </w:tcPr>
          <w:p>
            <w:pPr>
              <w:spacing w:after="0"/>
              <w:rPr>
                <w:sz w:val="20"/>
                <w:szCs w:val="20"/>
                <w:color w:val="auto"/>
              </w:rPr>
            </w:pPr>
            <w:r>
              <w:rPr>
                <w:rFonts w:ascii="Arial" w:cs="Arial" w:eastAsia="Arial" w:hAnsi="Arial"/>
                <w:sz w:val="13"/>
                <w:szCs w:val="13"/>
                <w:i w:val="1"/>
                <w:iCs w:val="1"/>
                <w:color w:val="auto"/>
              </w:rPr>
              <w:t>Services, Inc.) (n)</w:t>
            </w:r>
          </w:p>
        </w:tc>
        <w:tc>
          <w:tcPr>
            <w:tcW w:w="1840" w:type="dxa"/>
            <w:vAlign w:val="bottom"/>
            <w:gridSpan w:val="2"/>
          </w:tcPr>
          <w:p>
            <w:pPr>
              <w:ind w:left="40"/>
              <w:spacing w:after="0"/>
              <w:rPr>
                <w:sz w:val="20"/>
                <w:szCs w:val="20"/>
                <w:color w:val="auto"/>
              </w:rPr>
            </w:pPr>
            <w:r>
              <w:rPr>
                <w:rFonts w:ascii="Arial" w:cs="Arial" w:eastAsia="Arial" w:hAnsi="Arial"/>
                <w:sz w:val="13"/>
                <w:szCs w:val="13"/>
                <w:color w:val="auto"/>
              </w:rPr>
              <w:t>Industrial Cleaning &amp; Coatings</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0.00%/10.00%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1/28/2019</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1/28/2021</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2,034</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2,034</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2,034</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r>
      <w:tr>
        <w:trPr>
          <w:trHeight w:val="243"/>
        </w:trPr>
        <w:tc>
          <w:tcPr>
            <w:tcW w:w="3100" w:type="dxa"/>
            <w:vAlign w:val="bottom"/>
            <w:gridSpan w:val="2"/>
          </w:tcPr>
          <w:p>
            <w:pPr>
              <w:spacing w:after="0"/>
              <w:rPr>
                <w:sz w:val="20"/>
                <w:szCs w:val="20"/>
                <w:color w:val="auto"/>
              </w:rPr>
            </w:pPr>
            <w:r>
              <w:rPr>
                <w:rFonts w:ascii="Arial" w:cs="Arial" w:eastAsia="Arial" w:hAnsi="Arial"/>
                <w:sz w:val="13"/>
                <w:szCs w:val="13"/>
                <w:i w:val="1"/>
                <w:iCs w:val="1"/>
                <w:color w:val="auto"/>
              </w:rPr>
              <w:t>The Kyjen Company, LLC (dba Outward Hound)</w:t>
            </w:r>
          </w:p>
        </w:tc>
        <w:tc>
          <w:tcPr>
            <w:tcW w:w="1840" w:type="dxa"/>
            <w:vAlign w:val="bottom"/>
            <w:gridSpan w:val="2"/>
          </w:tcPr>
          <w:p>
            <w:pPr>
              <w:ind w:left="40"/>
              <w:spacing w:after="0"/>
              <w:rPr>
                <w:sz w:val="20"/>
                <w:szCs w:val="20"/>
                <w:color w:val="auto"/>
              </w:rPr>
            </w:pPr>
            <w:r>
              <w:rPr>
                <w:rFonts w:ascii="Arial" w:cs="Arial" w:eastAsia="Arial" w:hAnsi="Arial"/>
                <w:sz w:val="13"/>
                <w:szCs w:val="13"/>
                <w:color w:val="auto"/>
              </w:rPr>
              <w:t>Consumer Products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35"/>
        </w:trPr>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12.00%/0.00%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12/8/2017</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6/8/2024</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15,000</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14,954</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14,400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(765 shares) (j)</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12/8/2017</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765</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562</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3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15,719</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14,962</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r>
      <w:tr>
        <w:trPr>
          <w:trHeight w:val="135"/>
        </w:trPr>
        <w:tc>
          <w:tcPr>
            <w:tcW w:w="31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LNG Indy, LLC (dba Kinetrex Energy)</w:t>
            </w:r>
          </w:p>
        </w:tc>
        <w:tc>
          <w:tcPr>
            <w:tcW w:w="18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Oil &amp; Gas Distribution</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11.50%/1.50%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12/28/2016</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11/12/2021</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10,050</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10,021</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10,021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(500 units)</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12/28/2016</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500</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535</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3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10,521</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10,556</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31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Marco Group International OpCo, LLC</w:t>
            </w:r>
          </w:p>
        </w:tc>
        <w:tc>
          <w:tcPr>
            <w:tcW w:w="18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Industrial Cleaning &amp; Coatings</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10.50%/0.75%</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3/2/2020</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9/2/2026</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10,025</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9,930</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9,526</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(570,636 units) (h)(j)</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7/21/2017</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637</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478</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3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10,567</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10,004</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31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Mesa Line Services, LLC</w:t>
            </w:r>
          </w:p>
        </w:tc>
        <w:tc>
          <w:tcPr>
            <w:tcW w:w="18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Utilities: Services</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10.50%/1.75%</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11/30/2017</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8/1/2024</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17,374</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17,296</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17,374</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(981 shares) (j)</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11/30/2017</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8"/>
              </w:rPr>
              <w:t>1,148</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556</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3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18,444</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17,930</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w:t>
            </w:r>
          </w:p>
        </w:tc>
      </w:tr>
      <w:tr>
        <w:trPr>
          <w:trHeight w:val="135"/>
        </w:trPr>
        <w:tc>
          <w:tcPr>
            <w:tcW w:w="31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Microbiology Research Associates, Inc.</w:t>
            </w:r>
          </w:p>
        </w:tc>
        <w:tc>
          <w:tcPr>
            <w:tcW w:w="18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Healthcare Services</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11.00%/1.50%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5/13/2015</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3/13/2022</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8,997</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8,990</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8,997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(812,866 units) (j)</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5/13/2015</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969</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873</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3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9,959</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9,870</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31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Midwest Transit Equipment, Inc.</w:t>
            </w:r>
          </w:p>
        </w:tc>
        <w:tc>
          <w:tcPr>
            <w:tcW w:w="18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Transportation services</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(7,192 shares) (j)(m)</w:t>
            </w: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6/23/2017</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180</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305</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w w:val="95"/>
              </w:rPr>
              <w:t>Warrant (9.59% of Junior Subordinated Notes) (j)(q)</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6/23/2017</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190</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241</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3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370</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546</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135"/>
        </w:trPr>
        <w:tc>
          <w:tcPr>
            <w:tcW w:w="31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w w:val="93"/>
              </w:rPr>
              <w:t>NGT Acquisition Holdings, LLC (dba Techniks Industries)</w:t>
            </w:r>
          </w:p>
        </w:tc>
        <w:tc>
          <w:tcPr>
            <w:tcW w:w="18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Component Manufacturing</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(378 units) (j)</w:t>
            </w: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5/24/2017</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157</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243"/>
        </w:trPr>
        <w:tc>
          <w:tcPr>
            <w:tcW w:w="3100" w:type="dxa"/>
            <w:vAlign w:val="bottom"/>
            <w:gridSpan w:val="2"/>
          </w:tcPr>
          <w:p>
            <w:pPr>
              <w:spacing w:after="0"/>
              <w:rPr>
                <w:sz w:val="20"/>
                <w:szCs w:val="20"/>
                <w:color w:val="auto"/>
              </w:rPr>
            </w:pPr>
            <w:r>
              <w:rPr>
                <w:rFonts w:ascii="Arial" w:cs="Arial" w:eastAsia="Arial" w:hAnsi="Arial"/>
                <w:sz w:val="13"/>
                <w:szCs w:val="13"/>
                <w:i w:val="1"/>
                <w:iCs w:val="1"/>
                <w:color w:val="auto"/>
              </w:rPr>
              <w:t>OMC Investors, LLC (dba Ohio Medical Corporation)</w:t>
            </w:r>
          </w:p>
        </w:tc>
        <w:tc>
          <w:tcPr>
            <w:tcW w:w="1840" w:type="dxa"/>
            <w:vAlign w:val="bottom"/>
            <w:gridSpan w:val="2"/>
          </w:tcPr>
          <w:p>
            <w:pPr>
              <w:ind w:left="40"/>
              <w:spacing w:after="0"/>
              <w:rPr>
                <w:sz w:val="20"/>
                <w:szCs w:val="20"/>
                <w:color w:val="auto"/>
              </w:rPr>
            </w:pPr>
            <w:r>
              <w:rPr>
                <w:rFonts w:ascii="Arial" w:cs="Arial" w:eastAsia="Arial" w:hAnsi="Arial"/>
                <w:sz w:val="13"/>
                <w:szCs w:val="13"/>
                <w:color w:val="auto"/>
              </w:rPr>
              <w:t>Healthcare Products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35"/>
        </w:trPr>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13.00%/0.00%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1/15/2016</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6/30/2022</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10,000</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9,979</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10,000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(5,000 units)</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1/15/2016</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500</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590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3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10,479</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10,590</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31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Palisade Company, LLC</w:t>
            </w:r>
          </w:p>
        </w:tc>
        <w:tc>
          <w:tcPr>
            <w:tcW w:w="184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4"/>
              </w:rPr>
              <w:t>Information Technology Services</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11.75%/0.00%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2"/>
              </w:rPr>
              <w:t>11/15/2018</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5/15/2024</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6,500</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6,477</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6,500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(50 shares) (j)</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2"/>
              </w:rPr>
              <w:t>11/15/2018</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500</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484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3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6,977</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6,984</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r>
      <w:tr>
        <w:trPr>
          <w:trHeight w:val="135"/>
        </w:trPr>
        <w:tc>
          <w:tcPr>
            <w:tcW w:w="31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Palmetto Moon, LLC</w:t>
            </w:r>
          </w:p>
        </w:tc>
        <w:tc>
          <w:tcPr>
            <w:tcW w:w="18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Retail</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11.50%/2.50%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11/3/2016</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10/31/2021</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4,876</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4,866</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4,142</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(499 units) (j)</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11/3/2016</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494</w:t>
            </w:r>
          </w:p>
        </w:tc>
        <w:tc>
          <w:tcPr>
            <w:tcW w:w="10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3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8"/>
              </w:rPr>
              <w:t>5,360</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4,142</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r>
      <w:tr>
        <w:trPr>
          <w:trHeight w:val="135"/>
        </w:trPr>
        <w:tc>
          <w:tcPr>
            <w:tcW w:w="310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Power Grid Components, Inc.</w:t>
            </w:r>
          </w:p>
        </w:tc>
        <w:tc>
          <w:tcPr>
            <w:tcW w:w="18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Specialty Distribution</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2"/>
              </w:rPr>
              <w:t>11.00%/1.00%</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4/12/2018</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12/2/2025</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22,318</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22,235</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22,318</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(392 shares) (j)</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4/12/2018</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392</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483</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(48 shares) (j)</w:t>
            </w: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12/2/2019</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0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(10,622 shares) (j)</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4/12/2018</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462</w:t>
            </w: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694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7"/>
        </w:trPr>
        <w:tc>
          <w:tcPr>
            <w:tcW w:w="1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32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0"/>
              </w:rPr>
              <w:t>23,137</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23,555</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Consolidated Schedule of Investments (unaudited)</w:t>
      </w:r>
    </w:p>
    <w:p>
      <w:pPr>
        <w:spacing w:after="0" w:line="3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140"/>
          </w:cols>
          <w:pgMar w:left="320" w:top="459" w:right="439" w:bottom="1440" w:gutter="0" w:footer="0" w:header="0"/>
        </w:sectPr>
      </w:pPr>
    </w:p>
    <w:p>
      <w:pPr>
        <w:spacing w:after="0" w:line="13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Portfolio Company (a)(b)</w:t>
      </w:r>
    </w:p>
    <w:p>
      <w:pPr>
        <w:ind w:left="120"/>
        <w:spacing w:after="0"/>
        <w:rPr>
          <w:sz w:val="20"/>
          <w:szCs w:val="20"/>
          <w:color w:val="auto"/>
        </w:rPr>
      </w:pPr>
      <w:r>
        <w:rPr>
          <w:rFonts w:ascii="Arial" w:cs="Arial" w:eastAsia="Arial" w:hAnsi="Arial"/>
          <w:sz w:val="13"/>
          <w:szCs w:val="13"/>
          <w:b w:val="1"/>
          <w:bCs w:val="1"/>
          <w:color w:val="auto"/>
        </w:rPr>
        <w:t>Investment Type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8401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3"/>
          <w:szCs w:val="13"/>
          <w:i w:val="1"/>
          <w:iCs w:val="1"/>
          <w:color w:val="auto"/>
        </w:rPr>
        <w:t>Prime AE Group, Inc.</w:t>
      </w:r>
    </w:p>
    <w:p>
      <w:pPr>
        <w:ind w:left="360"/>
        <w:spacing w:after="0" w:line="216" w:lineRule="auto"/>
        <w:rPr>
          <w:sz w:val="20"/>
          <w:szCs w:val="20"/>
          <w:color w:val="auto"/>
        </w:rPr>
      </w:pPr>
      <w:r>
        <w:rPr>
          <w:rFonts w:ascii="Arial" w:cs="Arial" w:eastAsia="Arial" w:hAnsi="Arial"/>
          <w:sz w:val="13"/>
          <w:szCs w:val="13"/>
          <w:color w:val="auto"/>
        </w:rPr>
        <w:t>First Lien Debt (j)</w:t>
      </w:r>
    </w:p>
    <w:p>
      <w:pPr>
        <w:jc w:val="right"/>
        <w:ind w:right="200"/>
        <w:spacing w:after="0"/>
        <w:rPr>
          <w:sz w:val="20"/>
          <w:szCs w:val="20"/>
          <w:color w:val="auto"/>
        </w:rPr>
      </w:pPr>
      <w:r>
        <w:rPr>
          <w:rFonts w:ascii="Arial" w:cs="Arial" w:eastAsia="Arial" w:hAnsi="Arial"/>
          <w:sz w:val="12"/>
          <w:szCs w:val="12"/>
          <w:color w:val="auto"/>
        </w:rPr>
        <w:t>Preferred Equity (500,000 shares) (j)</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Variable Index</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Rate (e)</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Investment</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Principal</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Fair</w:t>
            </w:r>
          </w:p>
        </w:tc>
        <w:tc>
          <w:tcPr>
            <w:tcW w:w="560" w:type="dxa"/>
            <w:vAlign w:val="bottom"/>
          </w:tcPr>
          <w:p>
            <w:pPr>
              <w:ind w:left="20"/>
              <w:spacing w:after="0"/>
              <w:rPr>
                <w:sz w:val="20"/>
                <w:szCs w:val="20"/>
                <w:color w:val="auto"/>
              </w:rPr>
            </w:pPr>
            <w:r>
              <w:rPr>
                <w:rFonts w:ascii="Arial" w:cs="Arial" w:eastAsia="Arial" w:hAnsi="Arial"/>
                <w:sz w:val="13"/>
                <w:szCs w:val="13"/>
                <w:b w:val="1"/>
                <w:bCs w:val="1"/>
                <w:color w:val="auto"/>
                <w:w w:val="81"/>
              </w:rPr>
              <w:t>Percent of</w:t>
            </w:r>
          </w:p>
        </w:tc>
        <w:tc>
          <w:tcPr>
            <w:tcW w:w="0" w:type="dxa"/>
            <w:vAlign w:val="bottom"/>
          </w:tcPr>
          <w:p>
            <w:pPr>
              <w:spacing w:after="0"/>
              <w:rPr>
                <w:sz w:val="1"/>
                <w:szCs w:val="1"/>
                <w:color w:val="auto"/>
              </w:rPr>
            </w:pPr>
          </w:p>
        </w:tc>
      </w:tr>
      <w:tr>
        <w:trPr>
          <w:trHeight w:val="153"/>
        </w:trPr>
        <w:tc>
          <w:tcPr>
            <w:tcW w:w="174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Industry</w:t>
            </w:r>
          </w:p>
        </w:tc>
        <w:tc>
          <w:tcPr>
            <w:tcW w:w="10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Spread / Floor (d)</w:t>
            </w:r>
          </w:p>
        </w:tc>
        <w:tc>
          <w:tcPr>
            <w:tcW w:w="12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Cash/PIK</w:t>
            </w:r>
          </w:p>
        </w:tc>
        <w:tc>
          <w:tcPr>
            <w:tcW w:w="120" w:type="dxa"/>
            <w:vAlign w:val="bottom"/>
          </w:tcPr>
          <w:p>
            <w:pPr>
              <w:spacing w:after="0"/>
              <w:rPr>
                <w:sz w:val="13"/>
                <w:szCs w:val="13"/>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Date (f)</w:t>
            </w:r>
          </w:p>
        </w:tc>
        <w:tc>
          <w:tcPr>
            <w:tcW w:w="100" w:type="dxa"/>
            <w:vAlign w:val="bottom"/>
          </w:tcPr>
          <w:p>
            <w:pPr>
              <w:spacing w:after="0"/>
              <w:rPr>
                <w:sz w:val="13"/>
                <w:szCs w:val="13"/>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Maturity</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Value (g)</w:t>
            </w:r>
          </w:p>
        </w:tc>
        <w:tc>
          <w:tcPr>
            <w:tcW w:w="100" w:type="dxa"/>
            <w:vAlign w:val="bottom"/>
          </w:tcPr>
          <w:p>
            <w:pPr>
              <w:spacing w:after="0"/>
              <w:rPr>
                <w:sz w:val="13"/>
                <w:szCs w:val="13"/>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77"/>
              </w:rPr>
              <w:t>Net Assets</w:t>
            </w:r>
          </w:p>
        </w:tc>
        <w:tc>
          <w:tcPr>
            <w:tcW w:w="0" w:type="dxa"/>
            <w:vAlign w:val="bottom"/>
          </w:tcPr>
          <w:p>
            <w:pPr>
              <w:spacing w:after="0"/>
              <w:rPr>
                <w:sz w:val="1"/>
                <w:szCs w:val="1"/>
                <w:color w:val="auto"/>
              </w:rPr>
            </w:pPr>
          </w:p>
        </w:tc>
      </w:tr>
      <w:tr>
        <w:trPr>
          <w:trHeight w:val="154"/>
        </w:trPr>
        <w:tc>
          <w:tcPr>
            <w:tcW w:w="1740" w:type="dxa"/>
            <w:vAlign w:val="bottom"/>
          </w:tcPr>
          <w:p>
            <w:pPr>
              <w:ind w:left="40"/>
              <w:spacing w:after="0"/>
              <w:rPr>
                <w:sz w:val="20"/>
                <w:szCs w:val="20"/>
                <w:color w:val="auto"/>
              </w:rPr>
            </w:pPr>
            <w:r>
              <w:rPr>
                <w:rFonts w:ascii="Arial" w:cs="Arial" w:eastAsia="Arial" w:hAnsi="Arial"/>
                <w:sz w:val="13"/>
                <w:szCs w:val="13"/>
                <w:color w:val="auto"/>
              </w:rPr>
              <w:t>Business Services</w:t>
            </w:r>
          </w:p>
        </w:tc>
        <w:tc>
          <w:tcPr>
            <w:tcW w:w="10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3"/>
                <w:szCs w:val="13"/>
                <w:color w:val="auto"/>
                <w:w w:val="98"/>
              </w:rPr>
              <w:t>(L + 6.25%) / (2.00%)</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w w:val="98"/>
              </w:rPr>
              <w:t>8.25%/0.00%</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2"/>
              </w:rPr>
              <w:t>11/25/2019</w:t>
            </w: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w w:val="92"/>
              </w:rPr>
              <w:t>11/25/2024</w:t>
            </w:r>
          </w:p>
        </w:tc>
        <w:tc>
          <w:tcPr>
            <w:tcW w:w="660" w:type="dxa"/>
            <w:vAlign w:val="bottom"/>
            <w:gridSpan w:val="3"/>
            <w:vMerge w:val="restart"/>
          </w:tcPr>
          <w:p>
            <w:pPr>
              <w:jc w:val="center"/>
              <w:ind w:right="40"/>
              <w:spacing w:after="0"/>
              <w:rPr>
                <w:sz w:val="20"/>
                <w:szCs w:val="20"/>
                <w:color w:val="auto"/>
              </w:rPr>
            </w:pPr>
            <w:r>
              <w:rPr>
                <w:rFonts w:ascii="Arial" w:cs="Arial" w:eastAsia="Arial" w:hAnsi="Arial"/>
                <w:sz w:val="13"/>
                <w:szCs w:val="13"/>
                <w:color w:val="auto"/>
                <w:w w:val="98"/>
              </w:rPr>
              <w:t>$   7,167</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w w:val="97"/>
              </w:rPr>
              <w:t>$  6,997</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7"/>
              </w:rPr>
              <w:t>$  7,167</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11/25/2019</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500</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550</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-1919605</wp:posOffset>
            </wp:positionH>
            <wp:positionV relativeFrom="paragraph">
              <wp:posOffset>-264795</wp:posOffset>
            </wp:positionV>
            <wp:extent cx="6995160" cy="93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-1919605</wp:posOffset>
            </wp:positionH>
            <wp:positionV relativeFrom="paragraph">
              <wp:posOffset>-85090</wp:posOffset>
            </wp:positionV>
            <wp:extent cx="6995160"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420" w:space="720"/>
            <w:col w:w="80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42"/>
        </w:trPr>
        <w:tc>
          <w:tcPr>
            <w:tcW w:w="29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3"/>
                <w:szCs w:val="13"/>
                <w:color w:val="auto"/>
              </w:rPr>
              <w:t>7,497</w:t>
            </w: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7,717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2%</w:t>
            </w: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Pugh Lubricants, LLC</w:t>
            </w:r>
          </w:p>
        </w:tc>
        <w:tc>
          <w:tcPr>
            <w:tcW w:w="31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Specialty Distribution</w:t>
            </w: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35"/>
        </w:trPr>
        <w:tc>
          <w:tcPr>
            <w:tcW w:w="2960" w:type="dxa"/>
            <w:vAlign w:val="bottom"/>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316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4"/>
              </w:rPr>
              <w:t>12.25%/0.00%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8"/>
              </w:rPr>
              <w:t>11/10/2016</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5/10/2022</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26,581</w:t>
            </w:r>
          </w:p>
        </w:tc>
        <w:tc>
          <w:tcPr>
            <w:tcW w:w="6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26,522</w:t>
            </w:r>
          </w:p>
        </w:tc>
        <w:tc>
          <w:tcPr>
            <w:tcW w:w="72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26,581</w:t>
            </w:r>
          </w:p>
        </w:tc>
        <w:tc>
          <w:tcPr>
            <w:tcW w:w="580" w:type="dxa"/>
            <w:vAlign w:val="bottom"/>
          </w:tcPr>
          <w:p>
            <w:pPr>
              <w:spacing w:after="0"/>
              <w:rPr>
                <w:sz w:val="11"/>
                <w:szCs w:val="11"/>
                <w:color w:val="auto"/>
              </w:rPr>
            </w:pPr>
          </w:p>
        </w:tc>
      </w:tr>
      <w:tr>
        <w:trPr>
          <w:trHeight w:val="135"/>
        </w:trPr>
        <w:tc>
          <w:tcPr>
            <w:tcW w:w="29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(3,062 units) (h)(j)</w:t>
            </w:r>
          </w:p>
        </w:tc>
        <w:tc>
          <w:tcPr>
            <w:tcW w:w="3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8"/>
              </w:rPr>
              <w:t>11/10/2016</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284</w:t>
            </w:r>
          </w:p>
        </w:tc>
        <w:tc>
          <w:tcPr>
            <w:tcW w:w="72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652</w:t>
            </w:r>
          </w:p>
        </w:tc>
        <w:tc>
          <w:tcPr>
            <w:tcW w:w="580" w:type="dxa"/>
            <w:vAlign w:val="bottom"/>
            <w:shd w:val="clear" w:color="auto" w:fill="CCEEFF"/>
          </w:tcPr>
          <w:p>
            <w:pPr>
              <w:spacing w:after="0"/>
              <w:rPr>
                <w:sz w:val="11"/>
                <w:szCs w:val="11"/>
                <w:color w:val="auto"/>
              </w:rPr>
            </w:pPr>
          </w:p>
        </w:tc>
      </w:tr>
      <w:tr>
        <w:trPr>
          <w:trHeight w:val="142"/>
        </w:trPr>
        <w:tc>
          <w:tcPr>
            <w:tcW w:w="29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26,806</w:t>
            </w:r>
          </w:p>
        </w:tc>
        <w:tc>
          <w:tcPr>
            <w:tcW w:w="120" w:type="dxa"/>
            <w:vAlign w:val="bottom"/>
            <w:gridSpan w:val="2"/>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27,233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7%</w:t>
            </w: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Revenue Management Solutions, LLC</w:t>
            </w:r>
          </w:p>
        </w:tc>
        <w:tc>
          <w:tcPr>
            <w:tcW w:w="31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Information Technology Services</w:t>
            </w: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60"/>
        </w:trPr>
        <w:tc>
          <w:tcPr>
            <w:tcW w:w="2960" w:type="dxa"/>
            <w:vAlign w:val="bottom"/>
          </w:tcPr>
          <w:p>
            <w:pPr>
              <w:ind w:left="240"/>
              <w:spacing w:after="0"/>
              <w:rPr>
                <w:sz w:val="20"/>
                <w:szCs w:val="20"/>
                <w:color w:val="auto"/>
              </w:rPr>
            </w:pPr>
            <w:r>
              <w:rPr>
                <w:rFonts w:ascii="Arial" w:cs="Arial" w:eastAsia="Arial" w:hAnsi="Arial"/>
                <w:sz w:val="13"/>
                <w:szCs w:val="13"/>
                <w:color w:val="auto"/>
              </w:rPr>
              <w:t>Common Equity (113 shares)</w:t>
            </w:r>
          </w:p>
        </w:tc>
        <w:tc>
          <w:tcPr>
            <w:tcW w:w="3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1/4/2017</w:t>
            </w: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1,125</w:t>
            </w:r>
          </w:p>
        </w:tc>
        <w:tc>
          <w:tcPr>
            <w:tcW w:w="10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2,852</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83"/>
        </w:trPr>
        <w:tc>
          <w:tcPr>
            <w:tcW w:w="2960" w:type="dxa"/>
            <w:vAlign w:val="bottom"/>
          </w:tcPr>
          <w:p>
            <w:pPr>
              <w:spacing w:after="0"/>
              <w:rPr>
                <w:sz w:val="7"/>
                <w:szCs w:val="7"/>
                <w:color w:val="auto"/>
              </w:rPr>
            </w:pPr>
          </w:p>
        </w:tc>
        <w:tc>
          <w:tcPr>
            <w:tcW w:w="3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Rhino Assembly Company, LLC</w:t>
            </w:r>
          </w:p>
        </w:tc>
        <w:tc>
          <w:tcPr>
            <w:tcW w:w="31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Specialty Distribution</w:t>
            </w: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35"/>
        </w:trPr>
        <w:tc>
          <w:tcPr>
            <w:tcW w:w="2960" w:type="dxa"/>
            <w:vAlign w:val="bottom"/>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316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4"/>
              </w:rPr>
              <w:t>12.00%/1.00%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8/11/2017</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2/11/2023</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11,498</w:t>
            </w:r>
          </w:p>
        </w:tc>
        <w:tc>
          <w:tcPr>
            <w:tcW w:w="6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11,466</w:t>
            </w:r>
          </w:p>
        </w:tc>
        <w:tc>
          <w:tcPr>
            <w:tcW w:w="72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10,140</w:t>
            </w:r>
          </w:p>
        </w:tc>
        <w:tc>
          <w:tcPr>
            <w:tcW w:w="580" w:type="dxa"/>
            <w:vAlign w:val="bottom"/>
          </w:tcPr>
          <w:p>
            <w:pPr>
              <w:spacing w:after="0"/>
              <w:rPr>
                <w:sz w:val="11"/>
                <w:szCs w:val="11"/>
                <w:color w:val="auto"/>
              </w:rPr>
            </w:pPr>
          </w:p>
        </w:tc>
      </w:tr>
      <w:tr>
        <w:trPr>
          <w:trHeight w:val="121"/>
        </w:trPr>
        <w:tc>
          <w:tcPr>
            <w:tcW w:w="296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w w:val="93"/>
              </w:rPr>
              <w:t>Delayed Draw Commitment ($875 commitment) (i)</w:t>
            </w:r>
          </w:p>
        </w:tc>
        <w:tc>
          <w:tcPr>
            <w:tcW w:w="3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9"/>
        </w:trPr>
        <w:tc>
          <w:tcPr>
            <w:tcW w:w="29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(j)</w:t>
            </w:r>
          </w:p>
        </w:tc>
        <w:tc>
          <w:tcPr>
            <w:tcW w:w="3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4"/>
              </w:rPr>
              <w:t>12.00%/1.00%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8/11/2017</w:t>
            </w: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5/17/2022</w:t>
            </w:r>
          </w:p>
        </w:tc>
        <w:tc>
          <w:tcPr>
            <w:tcW w:w="5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2"/>
                <w:szCs w:val="12"/>
                <w:color w:val="auto"/>
              </w:rPr>
            </w:pPr>
          </w:p>
        </w:tc>
      </w:tr>
      <w:tr>
        <w:trPr>
          <w:trHeight w:val="135"/>
        </w:trPr>
        <w:tc>
          <w:tcPr>
            <w:tcW w:w="2960" w:type="dxa"/>
            <w:vAlign w:val="bottom"/>
          </w:tcPr>
          <w:p>
            <w:pPr>
              <w:ind w:left="240"/>
              <w:spacing w:after="0" w:line="135" w:lineRule="exact"/>
              <w:rPr>
                <w:sz w:val="20"/>
                <w:szCs w:val="20"/>
                <w:color w:val="auto"/>
              </w:rPr>
            </w:pPr>
            <w:r>
              <w:rPr>
                <w:rFonts w:ascii="Arial" w:cs="Arial" w:eastAsia="Arial" w:hAnsi="Arial"/>
                <w:sz w:val="13"/>
                <w:szCs w:val="13"/>
                <w:color w:val="auto"/>
              </w:rPr>
              <w:t>Preferred Equity (8,864 units) (h)(j)</w:t>
            </w:r>
          </w:p>
        </w:tc>
        <w:tc>
          <w:tcPr>
            <w:tcW w:w="3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8/11/2017</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944</w:t>
            </w:r>
          </w:p>
        </w:tc>
        <w:tc>
          <w:tcPr>
            <w:tcW w:w="72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183</w:t>
            </w:r>
          </w:p>
        </w:tc>
        <w:tc>
          <w:tcPr>
            <w:tcW w:w="580" w:type="dxa"/>
            <w:vAlign w:val="bottom"/>
          </w:tcPr>
          <w:p>
            <w:pPr>
              <w:spacing w:after="0"/>
              <w:rPr>
                <w:sz w:val="11"/>
                <w:szCs w:val="11"/>
                <w:color w:val="auto"/>
              </w:rPr>
            </w:pPr>
          </w:p>
        </w:tc>
      </w:tr>
      <w:tr>
        <w:trPr>
          <w:trHeight w:val="27"/>
        </w:trPr>
        <w:tc>
          <w:tcPr>
            <w:tcW w:w="29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35"/>
        </w:trPr>
        <w:tc>
          <w:tcPr>
            <w:tcW w:w="296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12,410</w:t>
            </w:r>
          </w:p>
        </w:tc>
        <w:tc>
          <w:tcPr>
            <w:tcW w:w="72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10,323</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i w:val="1"/>
                <w:iCs w:val="1"/>
                <w:color w:val="auto"/>
              </w:rPr>
              <w:t>Road Safety Services, Inc.</w:t>
            </w:r>
          </w:p>
        </w:tc>
        <w:tc>
          <w:tcPr>
            <w:tcW w:w="3160" w:type="dxa"/>
            <w:vAlign w:val="bottom"/>
          </w:tcPr>
          <w:p>
            <w:pPr>
              <w:ind w:left="100"/>
              <w:spacing w:after="0" w:line="135" w:lineRule="exact"/>
              <w:rPr>
                <w:sz w:val="20"/>
                <w:szCs w:val="20"/>
                <w:color w:val="auto"/>
              </w:rPr>
            </w:pPr>
            <w:r>
              <w:rPr>
                <w:rFonts w:ascii="Arial" w:cs="Arial" w:eastAsia="Arial" w:hAnsi="Arial"/>
                <w:sz w:val="13"/>
                <w:szCs w:val="13"/>
                <w:color w:val="auto"/>
              </w:rPr>
              <w:t>Business Services</w:t>
            </w: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5"/>
        </w:trPr>
        <w:tc>
          <w:tcPr>
            <w:tcW w:w="29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31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4"/>
              </w:rPr>
              <w:t>11.25%/1.50%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9/18/2018</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3/18/2024</w:t>
            </w:r>
          </w:p>
        </w:tc>
        <w:tc>
          <w:tcPr>
            <w:tcW w:w="5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10,300</w:t>
            </w:r>
          </w:p>
        </w:tc>
        <w:tc>
          <w:tcPr>
            <w:tcW w:w="6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10,267</w:t>
            </w:r>
          </w:p>
        </w:tc>
        <w:tc>
          <w:tcPr>
            <w:tcW w:w="72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10,300</w:t>
            </w:r>
          </w:p>
        </w:tc>
        <w:tc>
          <w:tcPr>
            <w:tcW w:w="580" w:type="dxa"/>
            <w:vAlign w:val="bottom"/>
            <w:shd w:val="clear" w:color="auto" w:fill="CCEEFF"/>
          </w:tcPr>
          <w:p>
            <w:pPr>
              <w:spacing w:after="0"/>
              <w:rPr>
                <w:sz w:val="11"/>
                <w:szCs w:val="11"/>
                <w:color w:val="auto"/>
              </w:rPr>
            </w:pPr>
          </w:p>
        </w:tc>
      </w:tr>
      <w:tr>
        <w:trPr>
          <w:trHeight w:val="135"/>
        </w:trPr>
        <w:tc>
          <w:tcPr>
            <w:tcW w:w="2960" w:type="dxa"/>
            <w:vAlign w:val="bottom"/>
          </w:tcPr>
          <w:p>
            <w:pPr>
              <w:ind w:left="240"/>
              <w:spacing w:after="0" w:line="135" w:lineRule="exact"/>
              <w:rPr>
                <w:sz w:val="20"/>
                <w:szCs w:val="20"/>
                <w:color w:val="auto"/>
              </w:rPr>
            </w:pPr>
            <w:r>
              <w:rPr>
                <w:rFonts w:ascii="Arial" w:cs="Arial" w:eastAsia="Arial" w:hAnsi="Arial"/>
                <w:sz w:val="13"/>
                <w:szCs w:val="13"/>
                <w:color w:val="auto"/>
              </w:rPr>
              <w:t>Common Equity (655 units)</w:t>
            </w:r>
          </w:p>
        </w:tc>
        <w:tc>
          <w:tcPr>
            <w:tcW w:w="3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9/18/2018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621</w:t>
            </w:r>
          </w:p>
        </w:tc>
        <w:tc>
          <w:tcPr>
            <w:tcW w:w="72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820</w:t>
            </w:r>
          </w:p>
        </w:tc>
        <w:tc>
          <w:tcPr>
            <w:tcW w:w="580" w:type="dxa"/>
            <w:vAlign w:val="bottom"/>
          </w:tcPr>
          <w:p>
            <w:pPr>
              <w:spacing w:after="0"/>
              <w:rPr>
                <w:sz w:val="11"/>
                <w:szCs w:val="11"/>
                <w:color w:val="auto"/>
              </w:rPr>
            </w:pPr>
          </w:p>
        </w:tc>
      </w:tr>
      <w:tr>
        <w:trPr>
          <w:trHeight w:val="27"/>
        </w:trPr>
        <w:tc>
          <w:tcPr>
            <w:tcW w:w="29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35"/>
        </w:trPr>
        <w:tc>
          <w:tcPr>
            <w:tcW w:w="296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10,888</w:t>
            </w:r>
          </w:p>
        </w:tc>
        <w:tc>
          <w:tcPr>
            <w:tcW w:w="72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11,120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i w:val="1"/>
                <w:iCs w:val="1"/>
                <w:color w:val="auto"/>
              </w:rPr>
              <w:t>Rohrer Corporation</w:t>
            </w:r>
          </w:p>
        </w:tc>
        <w:tc>
          <w:tcPr>
            <w:tcW w:w="3160" w:type="dxa"/>
            <w:vAlign w:val="bottom"/>
          </w:tcPr>
          <w:p>
            <w:pPr>
              <w:ind w:left="100"/>
              <w:spacing w:after="0" w:line="135" w:lineRule="exact"/>
              <w:rPr>
                <w:sz w:val="20"/>
                <w:szCs w:val="20"/>
                <w:color w:val="auto"/>
              </w:rPr>
            </w:pPr>
            <w:r>
              <w:rPr>
                <w:rFonts w:ascii="Arial" w:cs="Arial" w:eastAsia="Arial" w:hAnsi="Arial"/>
                <w:sz w:val="13"/>
                <w:szCs w:val="13"/>
                <w:color w:val="auto"/>
              </w:rPr>
              <w:t>Packaging</w:t>
            </w: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5"/>
        </w:trPr>
        <w:tc>
          <w:tcPr>
            <w:tcW w:w="29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31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4"/>
              </w:rPr>
              <w:t>10.50%/1.00%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10/1/2018</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4/1/2024</w:t>
            </w:r>
          </w:p>
        </w:tc>
        <w:tc>
          <w:tcPr>
            <w:tcW w:w="5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13,945</w:t>
            </w:r>
          </w:p>
        </w:tc>
        <w:tc>
          <w:tcPr>
            <w:tcW w:w="6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13,898</w:t>
            </w:r>
          </w:p>
        </w:tc>
        <w:tc>
          <w:tcPr>
            <w:tcW w:w="72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13,945</w:t>
            </w:r>
          </w:p>
        </w:tc>
        <w:tc>
          <w:tcPr>
            <w:tcW w:w="580" w:type="dxa"/>
            <w:vAlign w:val="bottom"/>
            <w:shd w:val="clear" w:color="auto" w:fill="CCEEFF"/>
          </w:tcPr>
          <w:p>
            <w:pPr>
              <w:spacing w:after="0"/>
              <w:rPr>
                <w:sz w:val="11"/>
                <w:szCs w:val="11"/>
                <w:color w:val="auto"/>
              </w:rPr>
            </w:pPr>
          </w:p>
        </w:tc>
      </w:tr>
      <w:tr>
        <w:trPr>
          <w:trHeight w:val="135"/>
        </w:trPr>
        <w:tc>
          <w:tcPr>
            <w:tcW w:w="2960" w:type="dxa"/>
            <w:vAlign w:val="bottom"/>
          </w:tcPr>
          <w:p>
            <w:pPr>
              <w:ind w:left="240"/>
              <w:spacing w:after="0" w:line="135" w:lineRule="exact"/>
              <w:rPr>
                <w:sz w:val="20"/>
                <w:szCs w:val="20"/>
                <w:color w:val="auto"/>
              </w:rPr>
            </w:pPr>
            <w:r>
              <w:rPr>
                <w:rFonts w:ascii="Arial" w:cs="Arial" w:eastAsia="Arial" w:hAnsi="Arial"/>
                <w:sz w:val="13"/>
                <w:szCs w:val="13"/>
                <w:color w:val="auto"/>
              </w:rPr>
              <w:t>Common Equity (400 shares) (j)</w:t>
            </w:r>
          </w:p>
        </w:tc>
        <w:tc>
          <w:tcPr>
            <w:tcW w:w="3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7/18/2016</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780</w:t>
            </w:r>
          </w:p>
        </w:tc>
        <w:tc>
          <w:tcPr>
            <w:tcW w:w="5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1,099</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27"/>
        </w:trPr>
        <w:tc>
          <w:tcPr>
            <w:tcW w:w="29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35"/>
        </w:trPr>
        <w:tc>
          <w:tcPr>
            <w:tcW w:w="296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14,678</w:t>
            </w:r>
          </w:p>
        </w:tc>
        <w:tc>
          <w:tcPr>
            <w:tcW w:w="72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15,044</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i w:val="1"/>
                <w:iCs w:val="1"/>
                <w:color w:val="auto"/>
              </w:rPr>
              <w:t>Routeware, Inc.</w:t>
            </w:r>
          </w:p>
        </w:tc>
        <w:tc>
          <w:tcPr>
            <w:tcW w:w="3160" w:type="dxa"/>
            <w:vAlign w:val="bottom"/>
          </w:tcPr>
          <w:p>
            <w:pPr>
              <w:ind w:left="100"/>
              <w:spacing w:after="0" w:line="135" w:lineRule="exact"/>
              <w:rPr>
                <w:sz w:val="20"/>
                <w:szCs w:val="20"/>
                <w:color w:val="auto"/>
              </w:rPr>
            </w:pPr>
            <w:r>
              <w:rPr>
                <w:rFonts w:ascii="Arial" w:cs="Arial" w:eastAsia="Arial" w:hAnsi="Arial"/>
                <w:sz w:val="13"/>
                <w:szCs w:val="13"/>
                <w:color w:val="auto"/>
              </w:rPr>
              <w:t>Information Technology Services</w:t>
            </w: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5"/>
        </w:trPr>
        <w:tc>
          <w:tcPr>
            <w:tcW w:w="29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(k)(aa)</w:t>
            </w:r>
          </w:p>
        </w:tc>
        <w:tc>
          <w:tcPr>
            <w:tcW w:w="3160" w:type="dxa"/>
            <w:vAlign w:val="bottom"/>
            <w:shd w:val="clear" w:color="auto" w:fill="CCEEFF"/>
          </w:tcPr>
          <w:p>
            <w:pPr>
              <w:ind w:left="1960"/>
              <w:spacing w:after="0" w:line="135" w:lineRule="exact"/>
              <w:rPr>
                <w:sz w:val="20"/>
                <w:szCs w:val="20"/>
                <w:color w:val="auto"/>
              </w:rPr>
            </w:pPr>
            <w:r>
              <w:rPr>
                <w:rFonts w:ascii="Arial" w:cs="Arial" w:eastAsia="Arial" w:hAnsi="Arial"/>
                <w:sz w:val="13"/>
                <w:szCs w:val="13"/>
                <w:color w:val="auto"/>
                <w:w w:val="95"/>
              </w:rPr>
              <w:t>(L + 7.00%) / (1.75%)</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8.75%/0.00%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2/7/2020</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2/7/2025</w:t>
            </w:r>
          </w:p>
        </w:tc>
        <w:tc>
          <w:tcPr>
            <w:tcW w:w="5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14,962</w:t>
            </w:r>
          </w:p>
        </w:tc>
        <w:tc>
          <w:tcPr>
            <w:tcW w:w="6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14,880</w:t>
            </w:r>
          </w:p>
        </w:tc>
        <w:tc>
          <w:tcPr>
            <w:tcW w:w="72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14,880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r>
      <w:tr>
        <w:trPr>
          <w:trHeight w:val="243"/>
        </w:trPr>
        <w:tc>
          <w:tcPr>
            <w:tcW w:w="2960" w:type="dxa"/>
            <w:vAlign w:val="bottom"/>
          </w:tcPr>
          <w:p>
            <w:pPr>
              <w:spacing w:after="0"/>
              <w:rPr>
                <w:sz w:val="20"/>
                <w:szCs w:val="20"/>
                <w:color w:val="auto"/>
              </w:rPr>
            </w:pPr>
            <w:r>
              <w:rPr>
                <w:rFonts w:ascii="Arial" w:cs="Arial" w:eastAsia="Arial" w:hAnsi="Arial"/>
                <w:sz w:val="13"/>
                <w:szCs w:val="13"/>
                <w:i w:val="1"/>
                <w:iCs w:val="1"/>
                <w:color w:val="auto"/>
              </w:rPr>
              <w:t>SES Investors, LLC (dba SES Foam)</w:t>
            </w:r>
          </w:p>
        </w:tc>
        <w:tc>
          <w:tcPr>
            <w:tcW w:w="3160" w:type="dxa"/>
            <w:vAlign w:val="bottom"/>
          </w:tcPr>
          <w:p>
            <w:pPr>
              <w:ind w:left="100"/>
              <w:spacing w:after="0"/>
              <w:rPr>
                <w:sz w:val="20"/>
                <w:szCs w:val="20"/>
                <w:color w:val="auto"/>
              </w:rPr>
            </w:pPr>
            <w:r>
              <w:rPr>
                <w:rFonts w:ascii="Arial" w:cs="Arial" w:eastAsia="Arial" w:hAnsi="Arial"/>
                <w:sz w:val="13"/>
                <w:szCs w:val="13"/>
                <w:color w:val="auto"/>
              </w:rPr>
              <w:t>Building Products Manufacturing</w:t>
            </w: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135"/>
        </w:trPr>
        <w:tc>
          <w:tcPr>
            <w:tcW w:w="29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31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4"/>
              </w:rPr>
              <w:t>13.00%/0.00%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9/8/2016</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w w:val="95"/>
              </w:rPr>
              <w:t>12/29/2020</w:t>
            </w:r>
          </w:p>
        </w:tc>
        <w:tc>
          <w:tcPr>
            <w:tcW w:w="5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3,095</w:t>
            </w:r>
          </w:p>
        </w:tc>
        <w:tc>
          <w:tcPr>
            <w:tcW w:w="5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3,089</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3,095</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42"/>
        </w:trPr>
        <w:tc>
          <w:tcPr>
            <w:tcW w:w="2960" w:type="dxa"/>
            <w:vAlign w:val="bottom"/>
          </w:tcPr>
          <w:p>
            <w:pPr>
              <w:ind w:left="240"/>
              <w:spacing w:after="0" w:line="135" w:lineRule="exact"/>
              <w:rPr>
                <w:sz w:val="20"/>
                <w:szCs w:val="20"/>
                <w:color w:val="auto"/>
              </w:rPr>
            </w:pPr>
            <w:r>
              <w:rPr>
                <w:rFonts w:ascii="Arial" w:cs="Arial" w:eastAsia="Arial" w:hAnsi="Arial"/>
                <w:sz w:val="13"/>
                <w:szCs w:val="13"/>
                <w:color w:val="auto"/>
              </w:rPr>
              <w:t>Common Equity (6,000 units) (h)(j)</w:t>
            </w:r>
          </w:p>
        </w:tc>
        <w:tc>
          <w:tcPr>
            <w:tcW w:w="3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9/8/2016</w:t>
            </w: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544</w:t>
            </w:r>
          </w:p>
        </w:tc>
        <w:tc>
          <w:tcPr>
            <w:tcW w:w="5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1,195</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35"/>
        </w:trPr>
        <w:tc>
          <w:tcPr>
            <w:tcW w:w="296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3,633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4,290</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i w:val="1"/>
                <w:iCs w:val="1"/>
                <w:color w:val="auto"/>
              </w:rPr>
              <w:t>Software Technology, LLC</w:t>
            </w:r>
          </w:p>
        </w:tc>
        <w:tc>
          <w:tcPr>
            <w:tcW w:w="3160" w:type="dxa"/>
            <w:vAlign w:val="bottom"/>
          </w:tcPr>
          <w:p>
            <w:pPr>
              <w:ind w:left="100"/>
              <w:spacing w:after="0" w:line="135" w:lineRule="exact"/>
              <w:rPr>
                <w:sz w:val="20"/>
                <w:szCs w:val="20"/>
                <w:color w:val="auto"/>
              </w:rPr>
            </w:pPr>
            <w:r>
              <w:rPr>
                <w:rFonts w:ascii="Arial" w:cs="Arial" w:eastAsia="Arial" w:hAnsi="Arial"/>
                <w:sz w:val="13"/>
                <w:szCs w:val="13"/>
                <w:color w:val="auto"/>
              </w:rPr>
              <w:t>Information Technology Services</w:t>
            </w: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5"/>
        </w:trPr>
        <w:tc>
          <w:tcPr>
            <w:tcW w:w="29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31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4"/>
              </w:rPr>
              <w:t>11.00%/0.00%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8"/>
              </w:rPr>
              <w:t>12/23/2016</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6/23/2023</w:t>
            </w:r>
          </w:p>
        </w:tc>
        <w:tc>
          <w:tcPr>
            <w:tcW w:w="5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10,000</w:t>
            </w:r>
          </w:p>
        </w:tc>
        <w:tc>
          <w:tcPr>
            <w:tcW w:w="5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9,976</w:t>
            </w:r>
          </w:p>
        </w:tc>
        <w:tc>
          <w:tcPr>
            <w:tcW w:w="10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10,000</w:t>
            </w:r>
          </w:p>
        </w:tc>
        <w:tc>
          <w:tcPr>
            <w:tcW w:w="580" w:type="dxa"/>
            <w:vAlign w:val="bottom"/>
            <w:shd w:val="clear" w:color="auto" w:fill="CCEEFF"/>
          </w:tcPr>
          <w:p>
            <w:pPr>
              <w:spacing w:after="0"/>
              <w:rPr>
                <w:sz w:val="11"/>
                <w:szCs w:val="11"/>
                <w:color w:val="auto"/>
              </w:rPr>
            </w:pPr>
          </w:p>
        </w:tc>
      </w:tr>
      <w:tr>
        <w:trPr>
          <w:trHeight w:val="135"/>
        </w:trPr>
        <w:tc>
          <w:tcPr>
            <w:tcW w:w="2960" w:type="dxa"/>
            <w:vAlign w:val="bottom"/>
          </w:tcPr>
          <w:p>
            <w:pPr>
              <w:ind w:left="240"/>
              <w:spacing w:after="0" w:line="135" w:lineRule="exact"/>
              <w:rPr>
                <w:sz w:val="20"/>
                <w:szCs w:val="20"/>
                <w:color w:val="auto"/>
              </w:rPr>
            </w:pPr>
            <w:r>
              <w:rPr>
                <w:rFonts w:ascii="Arial" w:cs="Arial" w:eastAsia="Arial" w:hAnsi="Arial"/>
                <w:sz w:val="13"/>
                <w:szCs w:val="13"/>
                <w:color w:val="auto"/>
              </w:rPr>
              <w:t>Common Equity (6 shares)</w:t>
            </w:r>
          </w:p>
        </w:tc>
        <w:tc>
          <w:tcPr>
            <w:tcW w:w="3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8"/>
              </w:rPr>
              <w:t>12/23/2016</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646</w:t>
            </w:r>
          </w:p>
        </w:tc>
        <w:tc>
          <w:tcPr>
            <w:tcW w:w="72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823</w:t>
            </w:r>
          </w:p>
        </w:tc>
        <w:tc>
          <w:tcPr>
            <w:tcW w:w="580" w:type="dxa"/>
            <w:vAlign w:val="bottom"/>
          </w:tcPr>
          <w:p>
            <w:pPr>
              <w:spacing w:after="0"/>
              <w:rPr>
                <w:sz w:val="11"/>
                <w:szCs w:val="11"/>
                <w:color w:val="auto"/>
              </w:rPr>
            </w:pPr>
          </w:p>
        </w:tc>
      </w:tr>
      <w:tr>
        <w:trPr>
          <w:trHeight w:val="27"/>
        </w:trPr>
        <w:tc>
          <w:tcPr>
            <w:tcW w:w="29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35"/>
        </w:trPr>
        <w:tc>
          <w:tcPr>
            <w:tcW w:w="296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10,622</w:t>
            </w:r>
          </w:p>
        </w:tc>
        <w:tc>
          <w:tcPr>
            <w:tcW w:w="72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10,823</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i w:val="1"/>
                <w:iCs w:val="1"/>
                <w:color w:val="auto"/>
              </w:rPr>
              <w:t>Specialized Elevator Services Holdings, LLC</w:t>
            </w:r>
          </w:p>
        </w:tc>
        <w:tc>
          <w:tcPr>
            <w:tcW w:w="3160" w:type="dxa"/>
            <w:vAlign w:val="bottom"/>
          </w:tcPr>
          <w:p>
            <w:pPr>
              <w:ind w:left="100"/>
              <w:spacing w:after="0" w:line="135" w:lineRule="exact"/>
              <w:rPr>
                <w:sz w:val="20"/>
                <w:szCs w:val="20"/>
                <w:color w:val="auto"/>
              </w:rPr>
            </w:pPr>
            <w:r>
              <w:rPr>
                <w:rFonts w:ascii="Arial" w:cs="Arial" w:eastAsia="Arial" w:hAnsi="Arial"/>
                <w:sz w:val="13"/>
                <w:szCs w:val="13"/>
                <w:color w:val="auto"/>
              </w:rPr>
              <w:t>Business Services</w:t>
            </w: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5"/>
        </w:trPr>
        <w:tc>
          <w:tcPr>
            <w:tcW w:w="29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(j)(y)</w:t>
            </w:r>
          </w:p>
        </w:tc>
        <w:tc>
          <w:tcPr>
            <w:tcW w:w="3160" w:type="dxa"/>
            <w:vAlign w:val="bottom"/>
            <w:shd w:val="clear" w:color="auto" w:fill="CCEEFF"/>
          </w:tcPr>
          <w:p>
            <w:pPr>
              <w:ind w:left="1960"/>
              <w:spacing w:after="0" w:line="135" w:lineRule="exact"/>
              <w:rPr>
                <w:sz w:val="20"/>
                <w:szCs w:val="20"/>
                <w:color w:val="auto"/>
              </w:rPr>
            </w:pPr>
            <w:r>
              <w:rPr>
                <w:rFonts w:ascii="Arial" w:cs="Arial" w:eastAsia="Arial" w:hAnsi="Arial"/>
                <w:sz w:val="13"/>
                <w:szCs w:val="13"/>
                <w:color w:val="auto"/>
                <w:w w:val="95"/>
              </w:rPr>
              <w:t>(L + 5.50%) / (2.00%)</w:t>
            </w: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7.50%/0.00%</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5/7/2019</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5/3/2024</w:t>
            </w:r>
          </w:p>
        </w:tc>
        <w:tc>
          <w:tcPr>
            <w:tcW w:w="5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12,889</w:t>
            </w:r>
          </w:p>
        </w:tc>
        <w:tc>
          <w:tcPr>
            <w:tcW w:w="6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12,766</w:t>
            </w:r>
          </w:p>
        </w:tc>
        <w:tc>
          <w:tcPr>
            <w:tcW w:w="72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12,889</w:t>
            </w:r>
          </w:p>
        </w:tc>
        <w:tc>
          <w:tcPr>
            <w:tcW w:w="580" w:type="dxa"/>
            <w:vAlign w:val="bottom"/>
            <w:shd w:val="clear" w:color="auto" w:fill="CCEEFF"/>
          </w:tcPr>
          <w:p>
            <w:pPr>
              <w:spacing w:after="0"/>
              <w:rPr>
                <w:sz w:val="11"/>
                <w:szCs w:val="11"/>
                <w:color w:val="auto"/>
              </w:rPr>
            </w:pPr>
          </w:p>
        </w:tc>
      </w:tr>
      <w:tr>
        <w:trPr>
          <w:trHeight w:val="135"/>
        </w:trPr>
        <w:tc>
          <w:tcPr>
            <w:tcW w:w="2960" w:type="dxa"/>
            <w:vAlign w:val="bottom"/>
          </w:tcPr>
          <w:p>
            <w:pPr>
              <w:ind w:left="240"/>
              <w:spacing w:after="0" w:line="135" w:lineRule="exact"/>
              <w:rPr>
                <w:sz w:val="20"/>
                <w:szCs w:val="20"/>
                <w:color w:val="auto"/>
              </w:rPr>
            </w:pPr>
            <w:r>
              <w:rPr>
                <w:rFonts w:ascii="Arial" w:cs="Arial" w:eastAsia="Arial" w:hAnsi="Arial"/>
                <w:sz w:val="13"/>
                <w:szCs w:val="13"/>
                <w:color w:val="auto"/>
              </w:rPr>
              <w:t>Common Equity (500 units) (j)</w:t>
            </w:r>
          </w:p>
        </w:tc>
        <w:tc>
          <w:tcPr>
            <w:tcW w:w="3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5/8/2019</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596</w:t>
            </w:r>
          </w:p>
        </w:tc>
        <w:tc>
          <w:tcPr>
            <w:tcW w:w="72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615</w:t>
            </w:r>
          </w:p>
        </w:tc>
        <w:tc>
          <w:tcPr>
            <w:tcW w:w="580" w:type="dxa"/>
            <w:vAlign w:val="bottom"/>
          </w:tcPr>
          <w:p>
            <w:pPr>
              <w:spacing w:after="0"/>
              <w:rPr>
                <w:sz w:val="11"/>
                <w:szCs w:val="11"/>
                <w:color w:val="auto"/>
              </w:rPr>
            </w:pPr>
          </w:p>
        </w:tc>
      </w:tr>
      <w:tr>
        <w:trPr>
          <w:trHeight w:val="27"/>
        </w:trPr>
        <w:tc>
          <w:tcPr>
            <w:tcW w:w="29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35"/>
        </w:trPr>
        <w:tc>
          <w:tcPr>
            <w:tcW w:w="296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13,362</w:t>
            </w:r>
          </w:p>
        </w:tc>
        <w:tc>
          <w:tcPr>
            <w:tcW w:w="72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13,504</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i w:val="1"/>
                <w:iCs w:val="1"/>
                <w:color w:val="auto"/>
              </w:rPr>
              <w:t>SpendMend LLC</w:t>
            </w:r>
          </w:p>
        </w:tc>
        <w:tc>
          <w:tcPr>
            <w:tcW w:w="3160" w:type="dxa"/>
            <w:vAlign w:val="bottom"/>
          </w:tcPr>
          <w:p>
            <w:pPr>
              <w:ind w:left="100"/>
              <w:spacing w:after="0" w:line="135" w:lineRule="exact"/>
              <w:rPr>
                <w:sz w:val="20"/>
                <w:szCs w:val="20"/>
                <w:color w:val="auto"/>
              </w:rPr>
            </w:pPr>
            <w:r>
              <w:rPr>
                <w:rFonts w:ascii="Arial" w:cs="Arial" w:eastAsia="Arial" w:hAnsi="Arial"/>
                <w:sz w:val="13"/>
                <w:szCs w:val="13"/>
                <w:color w:val="auto"/>
              </w:rPr>
              <w:t>Business Services</w:t>
            </w: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5"/>
        </w:trPr>
        <w:tc>
          <w:tcPr>
            <w:tcW w:w="29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31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4"/>
              </w:rPr>
              <w:t>11.00%/0.75%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1/8/2018</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7/8/2023</w:t>
            </w:r>
          </w:p>
        </w:tc>
        <w:tc>
          <w:tcPr>
            <w:tcW w:w="5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10,535</w:t>
            </w:r>
          </w:p>
        </w:tc>
        <w:tc>
          <w:tcPr>
            <w:tcW w:w="6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10,505</w:t>
            </w:r>
          </w:p>
        </w:tc>
        <w:tc>
          <w:tcPr>
            <w:tcW w:w="72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10,535</w:t>
            </w:r>
          </w:p>
        </w:tc>
        <w:tc>
          <w:tcPr>
            <w:tcW w:w="580" w:type="dxa"/>
            <w:vAlign w:val="bottom"/>
            <w:shd w:val="clear" w:color="auto" w:fill="CCEEFF"/>
          </w:tcPr>
          <w:p>
            <w:pPr>
              <w:spacing w:after="0"/>
              <w:rPr>
                <w:sz w:val="11"/>
                <w:szCs w:val="11"/>
                <w:color w:val="auto"/>
              </w:rPr>
            </w:pPr>
          </w:p>
        </w:tc>
      </w:tr>
      <w:tr>
        <w:trPr>
          <w:trHeight w:val="142"/>
        </w:trPr>
        <w:tc>
          <w:tcPr>
            <w:tcW w:w="2960" w:type="dxa"/>
            <w:vAlign w:val="bottom"/>
          </w:tcPr>
          <w:p>
            <w:pPr>
              <w:ind w:left="240"/>
              <w:spacing w:after="0" w:line="135" w:lineRule="exact"/>
              <w:rPr>
                <w:sz w:val="20"/>
                <w:szCs w:val="20"/>
                <w:color w:val="auto"/>
              </w:rPr>
            </w:pPr>
            <w:r>
              <w:rPr>
                <w:rFonts w:ascii="Arial" w:cs="Arial" w:eastAsia="Arial" w:hAnsi="Arial"/>
                <w:sz w:val="13"/>
                <w:szCs w:val="13"/>
                <w:color w:val="auto"/>
              </w:rPr>
              <w:t>Common Equity (1,000,000 units)</w:t>
            </w:r>
          </w:p>
        </w:tc>
        <w:tc>
          <w:tcPr>
            <w:tcW w:w="3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1/8/2018</w:t>
            </w: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1,638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35"/>
        </w:trPr>
        <w:tc>
          <w:tcPr>
            <w:tcW w:w="296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11,505</w:t>
            </w:r>
          </w:p>
        </w:tc>
        <w:tc>
          <w:tcPr>
            <w:tcW w:w="72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12,173</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2960" w:type="dxa"/>
            <w:vAlign w:val="bottom"/>
          </w:tcPr>
          <w:p>
            <w:pPr>
              <w:spacing w:after="0" w:line="135" w:lineRule="exact"/>
              <w:rPr>
                <w:sz w:val="20"/>
                <w:szCs w:val="20"/>
                <w:color w:val="auto"/>
              </w:rPr>
            </w:pPr>
            <w:r>
              <w:rPr>
                <w:rFonts w:ascii="Arial" w:cs="Arial" w:eastAsia="Arial" w:hAnsi="Arial"/>
                <w:sz w:val="13"/>
                <w:szCs w:val="13"/>
                <w:i w:val="1"/>
                <w:iCs w:val="1"/>
                <w:color w:val="auto"/>
              </w:rPr>
              <w:t>TransGo, LLC</w:t>
            </w:r>
          </w:p>
        </w:tc>
        <w:tc>
          <w:tcPr>
            <w:tcW w:w="3160" w:type="dxa"/>
            <w:vAlign w:val="bottom"/>
          </w:tcPr>
          <w:p>
            <w:pPr>
              <w:ind w:left="100"/>
              <w:spacing w:after="0" w:line="135" w:lineRule="exact"/>
              <w:rPr>
                <w:sz w:val="20"/>
                <w:szCs w:val="20"/>
                <w:color w:val="auto"/>
              </w:rPr>
            </w:pPr>
            <w:r>
              <w:rPr>
                <w:rFonts w:ascii="Arial" w:cs="Arial" w:eastAsia="Arial" w:hAnsi="Arial"/>
                <w:sz w:val="13"/>
                <w:szCs w:val="13"/>
                <w:color w:val="auto"/>
              </w:rPr>
              <w:t>Component Manufacturing</w:t>
            </w: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5"/>
        </w:trPr>
        <w:tc>
          <w:tcPr>
            <w:tcW w:w="29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(500 units) (j)</w:t>
            </w:r>
          </w:p>
        </w:tc>
        <w:tc>
          <w:tcPr>
            <w:tcW w:w="3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2/28/2017</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499</w:t>
            </w:r>
          </w:p>
        </w:tc>
        <w:tc>
          <w:tcPr>
            <w:tcW w:w="72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568</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r>
      <w:tr>
        <w:trPr>
          <w:trHeight w:val="243"/>
        </w:trPr>
        <w:tc>
          <w:tcPr>
            <w:tcW w:w="2960" w:type="dxa"/>
            <w:vAlign w:val="bottom"/>
          </w:tcPr>
          <w:p>
            <w:pPr>
              <w:spacing w:after="0"/>
              <w:rPr>
                <w:sz w:val="20"/>
                <w:szCs w:val="20"/>
                <w:color w:val="auto"/>
              </w:rPr>
            </w:pPr>
            <w:r>
              <w:rPr>
                <w:rFonts w:ascii="Arial" w:cs="Arial" w:eastAsia="Arial" w:hAnsi="Arial"/>
                <w:sz w:val="13"/>
                <w:szCs w:val="13"/>
                <w:i w:val="1"/>
                <w:iCs w:val="1"/>
                <w:color w:val="auto"/>
              </w:rPr>
              <w:t>The Tranzonic Companies</w:t>
            </w:r>
          </w:p>
        </w:tc>
        <w:tc>
          <w:tcPr>
            <w:tcW w:w="3160" w:type="dxa"/>
            <w:vAlign w:val="bottom"/>
          </w:tcPr>
          <w:p>
            <w:pPr>
              <w:ind w:left="100"/>
              <w:spacing w:after="0"/>
              <w:rPr>
                <w:sz w:val="20"/>
                <w:szCs w:val="20"/>
                <w:color w:val="auto"/>
              </w:rPr>
            </w:pPr>
            <w:r>
              <w:rPr>
                <w:rFonts w:ascii="Arial" w:cs="Arial" w:eastAsia="Arial" w:hAnsi="Arial"/>
                <w:sz w:val="13"/>
                <w:szCs w:val="13"/>
                <w:color w:val="auto"/>
              </w:rPr>
              <w:t>Specialty Distribution</w:t>
            </w: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135"/>
        </w:trPr>
        <w:tc>
          <w:tcPr>
            <w:tcW w:w="29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31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4"/>
              </w:rPr>
              <w:t>10.00%/1.25%</w:t>
            </w: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3/27/2018</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3/27/2025</w:t>
            </w:r>
          </w:p>
        </w:tc>
        <w:tc>
          <w:tcPr>
            <w:tcW w:w="5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6,966</w:t>
            </w:r>
          </w:p>
        </w:tc>
        <w:tc>
          <w:tcPr>
            <w:tcW w:w="5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6,919</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6,966</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35"/>
        </w:trPr>
        <w:tc>
          <w:tcPr>
            <w:tcW w:w="2960" w:type="dxa"/>
            <w:vAlign w:val="bottom"/>
          </w:tcPr>
          <w:p>
            <w:pPr>
              <w:ind w:left="240"/>
              <w:spacing w:after="0" w:line="135" w:lineRule="exact"/>
              <w:rPr>
                <w:sz w:val="20"/>
                <w:szCs w:val="20"/>
                <w:color w:val="auto"/>
              </w:rPr>
            </w:pPr>
            <w:r>
              <w:rPr>
                <w:rFonts w:ascii="Arial" w:cs="Arial" w:eastAsia="Arial" w:hAnsi="Arial"/>
                <w:sz w:val="13"/>
                <w:szCs w:val="13"/>
                <w:color w:val="auto"/>
              </w:rPr>
              <w:t>Preferred Equity (5,653 units) (j)</w:t>
            </w:r>
          </w:p>
        </w:tc>
        <w:tc>
          <w:tcPr>
            <w:tcW w:w="3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3/27/2018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565</w:t>
            </w:r>
          </w:p>
        </w:tc>
        <w:tc>
          <w:tcPr>
            <w:tcW w:w="72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695</w:t>
            </w:r>
          </w:p>
        </w:tc>
        <w:tc>
          <w:tcPr>
            <w:tcW w:w="580" w:type="dxa"/>
            <w:vAlign w:val="bottom"/>
          </w:tcPr>
          <w:p>
            <w:pPr>
              <w:spacing w:after="0"/>
              <w:rPr>
                <w:sz w:val="11"/>
                <w:szCs w:val="11"/>
                <w:color w:val="auto"/>
              </w:rPr>
            </w:pPr>
          </w:p>
        </w:tc>
      </w:tr>
      <w:tr>
        <w:trPr>
          <w:trHeight w:val="135"/>
        </w:trPr>
        <w:tc>
          <w:tcPr>
            <w:tcW w:w="29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 units) (j)</w:t>
            </w:r>
          </w:p>
        </w:tc>
        <w:tc>
          <w:tcPr>
            <w:tcW w:w="3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3/27/2018</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ind w:left="3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166</w:t>
            </w:r>
          </w:p>
        </w:tc>
        <w:tc>
          <w:tcPr>
            <w:tcW w:w="580" w:type="dxa"/>
            <w:vAlign w:val="bottom"/>
            <w:shd w:val="clear" w:color="auto" w:fill="CCEEFF"/>
          </w:tcPr>
          <w:p>
            <w:pPr>
              <w:spacing w:after="0"/>
              <w:rPr>
                <w:sz w:val="11"/>
                <w:szCs w:val="11"/>
                <w:color w:val="auto"/>
              </w:rPr>
            </w:pPr>
          </w:p>
        </w:tc>
      </w:tr>
      <w:tr>
        <w:trPr>
          <w:trHeight w:val="142"/>
        </w:trPr>
        <w:tc>
          <w:tcPr>
            <w:tcW w:w="29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7,484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7,827</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2%</w:t>
            </w: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UBEO, LLC</w:t>
            </w:r>
          </w:p>
        </w:tc>
        <w:tc>
          <w:tcPr>
            <w:tcW w:w="31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Business Services</w:t>
            </w: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35"/>
        </w:trPr>
        <w:tc>
          <w:tcPr>
            <w:tcW w:w="2960" w:type="dxa"/>
            <w:vAlign w:val="bottom"/>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316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4"/>
              </w:rPr>
              <w:t>11.00%/0.00%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4/3/2018</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10/3/2024</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13,893</w:t>
            </w:r>
          </w:p>
        </w:tc>
        <w:tc>
          <w:tcPr>
            <w:tcW w:w="6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13,804</w:t>
            </w:r>
          </w:p>
        </w:tc>
        <w:tc>
          <w:tcPr>
            <w:tcW w:w="72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12,236</w:t>
            </w:r>
          </w:p>
        </w:tc>
        <w:tc>
          <w:tcPr>
            <w:tcW w:w="580" w:type="dxa"/>
            <w:vAlign w:val="bottom"/>
          </w:tcPr>
          <w:p>
            <w:pPr>
              <w:spacing w:after="0"/>
              <w:rPr>
                <w:sz w:val="11"/>
                <w:szCs w:val="11"/>
                <w:color w:val="auto"/>
              </w:rPr>
            </w:pPr>
          </w:p>
        </w:tc>
      </w:tr>
      <w:tr>
        <w:trPr>
          <w:trHeight w:val="135"/>
        </w:trPr>
        <w:tc>
          <w:tcPr>
            <w:tcW w:w="29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(705,000 units) (h)(j)</w:t>
            </w:r>
          </w:p>
        </w:tc>
        <w:tc>
          <w:tcPr>
            <w:tcW w:w="3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4/3/2018</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668</w:t>
            </w:r>
          </w:p>
        </w:tc>
        <w:tc>
          <w:tcPr>
            <w:tcW w:w="72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486</w:t>
            </w:r>
          </w:p>
        </w:tc>
        <w:tc>
          <w:tcPr>
            <w:tcW w:w="580" w:type="dxa"/>
            <w:vAlign w:val="bottom"/>
            <w:shd w:val="clear" w:color="auto" w:fill="CCEEFF"/>
          </w:tcPr>
          <w:p>
            <w:pPr>
              <w:spacing w:after="0"/>
              <w:rPr>
                <w:sz w:val="11"/>
                <w:szCs w:val="11"/>
                <w:color w:val="auto"/>
              </w:rPr>
            </w:pPr>
          </w:p>
        </w:tc>
      </w:tr>
      <w:tr>
        <w:trPr>
          <w:trHeight w:val="142"/>
        </w:trPr>
        <w:tc>
          <w:tcPr>
            <w:tcW w:w="29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14,472</w:t>
            </w:r>
          </w:p>
        </w:tc>
        <w:tc>
          <w:tcPr>
            <w:tcW w:w="120" w:type="dxa"/>
            <w:vAlign w:val="bottom"/>
            <w:gridSpan w:val="2"/>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12,722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3%</w:t>
            </w: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United Biologics, LLC</w:t>
            </w:r>
          </w:p>
        </w:tc>
        <w:tc>
          <w:tcPr>
            <w:tcW w:w="31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Healthcare Services</w:t>
            </w: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35"/>
        </w:trPr>
        <w:tc>
          <w:tcPr>
            <w:tcW w:w="2960" w:type="dxa"/>
            <w:vAlign w:val="bottom"/>
          </w:tcPr>
          <w:p>
            <w:pPr>
              <w:ind w:left="240"/>
              <w:spacing w:after="0" w:line="135" w:lineRule="exact"/>
              <w:rPr>
                <w:sz w:val="20"/>
                <w:szCs w:val="20"/>
                <w:color w:val="auto"/>
              </w:rPr>
            </w:pPr>
            <w:r>
              <w:rPr>
                <w:rFonts w:ascii="Arial" w:cs="Arial" w:eastAsia="Arial" w:hAnsi="Arial"/>
                <w:sz w:val="13"/>
                <w:szCs w:val="13"/>
                <w:color w:val="auto"/>
              </w:rPr>
              <w:t>Preferred Equity (98,377 units) (h)(j)</w:t>
            </w:r>
          </w:p>
        </w:tc>
        <w:tc>
          <w:tcPr>
            <w:tcW w:w="3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4/1/2012</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1,008</w:t>
            </w:r>
          </w:p>
        </w:tc>
        <w:tc>
          <w:tcPr>
            <w:tcW w:w="100" w:type="dxa"/>
            <w:vAlign w:val="bottom"/>
          </w:tcPr>
          <w:p>
            <w:pPr>
              <w:spacing w:after="0"/>
              <w:rPr>
                <w:sz w:val="11"/>
                <w:szCs w:val="11"/>
                <w:color w:val="auto"/>
              </w:rPr>
            </w:pPr>
          </w:p>
        </w:tc>
        <w:tc>
          <w:tcPr>
            <w:tcW w:w="5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21</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5"/>
        </w:trPr>
        <w:tc>
          <w:tcPr>
            <w:tcW w:w="29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(57,469 units) (j)(m)</w:t>
            </w:r>
          </w:p>
        </w:tc>
        <w:tc>
          <w:tcPr>
            <w:tcW w:w="3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3/5/2012</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566</w:t>
            </w:r>
          </w:p>
        </w:tc>
        <w:tc>
          <w:tcPr>
            <w:tcW w:w="5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17</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42"/>
        </w:trPr>
        <w:tc>
          <w:tcPr>
            <w:tcW w:w="29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1,574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0%</w:t>
            </w: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Virginia Tile Company, LLC</w:t>
            </w:r>
          </w:p>
        </w:tc>
        <w:tc>
          <w:tcPr>
            <w:tcW w:w="31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Specialty Distribution</w:t>
            </w: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35"/>
        </w:trPr>
        <w:tc>
          <w:tcPr>
            <w:tcW w:w="2960" w:type="dxa"/>
            <w:vAlign w:val="bottom"/>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3160" w:type="dxa"/>
            <w:vAlign w:val="bottom"/>
          </w:tcPr>
          <w:p>
            <w:pPr>
              <w:spacing w:after="0"/>
              <w:rPr>
                <w:sz w:val="11"/>
                <w:szCs w:val="11"/>
                <w:color w:val="auto"/>
              </w:rPr>
            </w:pP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4"/>
              </w:rPr>
              <w:t>12.25%/0.00%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8"/>
              </w:rPr>
              <w:t>12/19/2014</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4/7/2022</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12,000</w:t>
            </w:r>
          </w:p>
        </w:tc>
        <w:tc>
          <w:tcPr>
            <w:tcW w:w="6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11,993</w:t>
            </w:r>
          </w:p>
        </w:tc>
        <w:tc>
          <w:tcPr>
            <w:tcW w:w="72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10,498</w:t>
            </w:r>
          </w:p>
        </w:tc>
        <w:tc>
          <w:tcPr>
            <w:tcW w:w="580" w:type="dxa"/>
            <w:vAlign w:val="bottom"/>
          </w:tcPr>
          <w:p>
            <w:pPr>
              <w:spacing w:after="0"/>
              <w:rPr>
                <w:sz w:val="11"/>
                <w:szCs w:val="11"/>
                <w:color w:val="auto"/>
              </w:rPr>
            </w:pPr>
          </w:p>
        </w:tc>
      </w:tr>
      <w:tr>
        <w:trPr>
          <w:trHeight w:val="135"/>
        </w:trPr>
        <w:tc>
          <w:tcPr>
            <w:tcW w:w="29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(17 units) (j)</w:t>
            </w:r>
          </w:p>
        </w:tc>
        <w:tc>
          <w:tcPr>
            <w:tcW w:w="3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8"/>
              </w:rPr>
              <w:t>12/19/2014</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342</w:t>
            </w:r>
          </w:p>
        </w:tc>
        <w:tc>
          <w:tcPr>
            <w:tcW w:w="72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272</w:t>
            </w:r>
          </w:p>
        </w:tc>
        <w:tc>
          <w:tcPr>
            <w:tcW w:w="580" w:type="dxa"/>
            <w:vAlign w:val="bottom"/>
            <w:shd w:val="clear" w:color="auto" w:fill="CCEEFF"/>
          </w:tcPr>
          <w:p>
            <w:pPr>
              <w:spacing w:after="0"/>
              <w:rPr>
                <w:sz w:val="11"/>
                <w:szCs w:val="11"/>
                <w:color w:val="auto"/>
              </w:rPr>
            </w:pPr>
          </w:p>
        </w:tc>
      </w:tr>
      <w:tr>
        <w:trPr>
          <w:trHeight w:val="142"/>
        </w:trPr>
        <w:tc>
          <w:tcPr>
            <w:tcW w:w="29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12,335</w:t>
            </w:r>
          </w:p>
        </w:tc>
        <w:tc>
          <w:tcPr>
            <w:tcW w:w="120" w:type="dxa"/>
            <w:vAlign w:val="bottom"/>
            <w:gridSpan w:val="2"/>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10,770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3%</w:t>
            </w: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Western’s Smokehouse, LLC</w:t>
            </w:r>
          </w:p>
        </w:tc>
        <w:tc>
          <w:tcPr>
            <w:tcW w:w="31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Consumer Products</w:t>
            </w: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60"/>
        </w:trPr>
        <w:tc>
          <w:tcPr>
            <w:tcW w:w="2960" w:type="dxa"/>
            <w:vAlign w:val="bottom"/>
          </w:tcPr>
          <w:p>
            <w:pPr>
              <w:ind w:left="240"/>
              <w:spacing w:after="0"/>
              <w:rPr>
                <w:sz w:val="20"/>
                <w:szCs w:val="20"/>
                <w:color w:val="auto"/>
              </w:rPr>
            </w:pPr>
            <w:r>
              <w:rPr>
                <w:rFonts w:ascii="Arial" w:cs="Arial" w:eastAsia="Arial" w:hAnsi="Arial"/>
                <w:sz w:val="13"/>
                <w:szCs w:val="13"/>
                <w:color w:val="auto"/>
              </w:rPr>
              <w:t>First Lien Debt (j)(ab)</w:t>
            </w:r>
          </w:p>
        </w:tc>
        <w:tc>
          <w:tcPr>
            <w:tcW w:w="3160" w:type="dxa"/>
            <w:vAlign w:val="bottom"/>
          </w:tcPr>
          <w:p>
            <w:pPr>
              <w:ind w:left="1960"/>
              <w:spacing w:after="0"/>
              <w:rPr>
                <w:sz w:val="20"/>
                <w:szCs w:val="20"/>
                <w:color w:val="auto"/>
              </w:rPr>
            </w:pPr>
            <w:r>
              <w:rPr>
                <w:rFonts w:ascii="Arial" w:cs="Arial" w:eastAsia="Arial" w:hAnsi="Arial"/>
                <w:sz w:val="13"/>
                <w:szCs w:val="13"/>
                <w:color w:val="auto"/>
                <w:w w:val="95"/>
              </w:rPr>
              <w:t>(L + 6.50%) / (1.25%)</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7.75%/0.00%</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2/28/2020</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w w:val="95"/>
              </w:rPr>
              <w:t>12/23/2024</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10,000</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9,860</w:t>
            </w:r>
          </w:p>
        </w:tc>
        <w:tc>
          <w:tcPr>
            <w:tcW w:w="10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9,860</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83"/>
        </w:trPr>
        <w:tc>
          <w:tcPr>
            <w:tcW w:w="2960" w:type="dxa"/>
            <w:vAlign w:val="bottom"/>
          </w:tcPr>
          <w:p>
            <w:pPr>
              <w:spacing w:after="0"/>
              <w:rPr>
                <w:sz w:val="7"/>
                <w:szCs w:val="7"/>
                <w:color w:val="auto"/>
              </w:rPr>
            </w:pPr>
          </w:p>
        </w:tc>
        <w:tc>
          <w:tcPr>
            <w:tcW w:w="3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Wheel Pros, Inc.</w:t>
            </w:r>
          </w:p>
        </w:tc>
        <w:tc>
          <w:tcPr>
            <w:tcW w:w="31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Specialty Distribution</w:t>
            </w: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35"/>
        </w:trPr>
        <w:tc>
          <w:tcPr>
            <w:tcW w:w="2960" w:type="dxa"/>
            <w:vAlign w:val="bottom"/>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3160" w:type="dxa"/>
            <w:vAlign w:val="bottom"/>
          </w:tcPr>
          <w:p>
            <w:pPr>
              <w:ind w:left="1960"/>
              <w:spacing w:after="0" w:line="135" w:lineRule="exact"/>
              <w:rPr>
                <w:sz w:val="20"/>
                <w:szCs w:val="20"/>
                <w:color w:val="auto"/>
              </w:rPr>
            </w:pPr>
            <w:r>
              <w:rPr>
                <w:rFonts w:ascii="Arial" w:cs="Arial" w:eastAsia="Arial" w:hAnsi="Arial"/>
                <w:sz w:val="13"/>
                <w:szCs w:val="13"/>
                <w:color w:val="auto"/>
                <w:w w:val="95"/>
              </w:rPr>
              <w:t>(L + 8.50%) / (0.00%)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9.57%/0.00%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5/17/2019</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4/4/2026</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20,000</w:t>
            </w:r>
          </w:p>
        </w:tc>
        <w:tc>
          <w:tcPr>
            <w:tcW w:w="6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19,833</w:t>
            </w:r>
          </w:p>
        </w:tc>
        <w:tc>
          <w:tcPr>
            <w:tcW w:w="72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19,379</w:t>
            </w:r>
          </w:p>
        </w:tc>
        <w:tc>
          <w:tcPr>
            <w:tcW w:w="580" w:type="dxa"/>
            <w:vAlign w:val="bottom"/>
          </w:tcPr>
          <w:p>
            <w:pPr>
              <w:spacing w:after="0"/>
              <w:rPr>
                <w:sz w:val="11"/>
                <w:szCs w:val="11"/>
                <w:color w:val="auto"/>
              </w:rPr>
            </w:pPr>
          </w:p>
        </w:tc>
      </w:tr>
      <w:tr>
        <w:trPr>
          <w:trHeight w:val="135"/>
        </w:trPr>
        <w:tc>
          <w:tcPr>
            <w:tcW w:w="29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(347,222 units) (j)</w:t>
            </w:r>
          </w:p>
        </w:tc>
        <w:tc>
          <w:tcPr>
            <w:tcW w:w="3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5/15/2019</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750</w:t>
            </w:r>
          </w:p>
        </w:tc>
        <w:tc>
          <w:tcPr>
            <w:tcW w:w="72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620</w:t>
            </w:r>
          </w:p>
        </w:tc>
        <w:tc>
          <w:tcPr>
            <w:tcW w:w="580" w:type="dxa"/>
            <w:vAlign w:val="bottom"/>
            <w:shd w:val="clear" w:color="auto" w:fill="CCEEFF"/>
          </w:tcPr>
          <w:p>
            <w:pPr>
              <w:spacing w:after="0"/>
              <w:rPr>
                <w:sz w:val="11"/>
                <w:szCs w:val="11"/>
                <w:color w:val="auto"/>
              </w:rPr>
            </w:pPr>
          </w:p>
        </w:tc>
      </w:tr>
      <w:tr>
        <w:trPr>
          <w:trHeight w:val="142"/>
        </w:trPr>
        <w:tc>
          <w:tcPr>
            <w:tcW w:w="29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20,583</w:t>
            </w:r>
          </w:p>
        </w:tc>
        <w:tc>
          <w:tcPr>
            <w:tcW w:w="120" w:type="dxa"/>
            <w:vAlign w:val="bottom"/>
            <w:gridSpan w:val="2"/>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19,999</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5%</w:t>
            </w: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Worldwide Express Operations, LLC</w:t>
            </w:r>
          </w:p>
        </w:tc>
        <w:tc>
          <w:tcPr>
            <w:tcW w:w="31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Transportation services</w:t>
            </w: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35"/>
        </w:trPr>
        <w:tc>
          <w:tcPr>
            <w:tcW w:w="2960" w:type="dxa"/>
            <w:vAlign w:val="bottom"/>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3160" w:type="dxa"/>
            <w:vAlign w:val="bottom"/>
          </w:tcPr>
          <w:p>
            <w:pPr>
              <w:ind w:left="1960"/>
              <w:spacing w:after="0" w:line="135" w:lineRule="exact"/>
              <w:rPr>
                <w:sz w:val="20"/>
                <w:szCs w:val="20"/>
                <w:color w:val="auto"/>
              </w:rPr>
            </w:pPr>
            <w:r>
              <w:rPr>
                <w:rFonts w:ascii="Arial" w:cs="Arial" w:eastAsia="Arial" w:hAnsi="Arial"/>
                <w:sz w:val="13"/>
                <w:szCs w:val="13"/>
                <w:color w:val="auto"/>
                <w:w w:val="95"/>
              </w:rPr>
              <w:t>(L + 8.00%) / (1.00%)</w:t>
            </w:r>
          </w:p>
        </w:tc>
        <w:tc>
          <w:tcPr>
            <w:tcW w:w="9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9.00%/0.00%</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2/27/2017</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2/3/2025</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20,000</w:t>
            </w:r>
          </w:p>
        </w:tc>
        <w:tc>
          <w:tcPr>
            <w:tcW w:w="6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19,766</w:t>
            </w:r>
          </w:p>
        </w:tc>
        <w:tc>
          <w:tcPr>
            <w:tcW w:w="72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19,015</w:t>
            </w:r>
          </w:p>
        </w:tc>
        <w:tc>
          <w:tcPr>
            <w:tcW w:w="580" w:type="dxa"/>
            <w:vAlign w:val="bottom"/>
          </w:tcPr>
          <w:p>
            <w:pPr>
              <w:spacing w:after="0"/>
              <w:rPr>
                <w:sz w:val="11"/>
                <w:szCs w:val="11"/>
                <w:color w:val="auto"/>
              </w:rPr>
            </w:pPr>
          </w:p>
        </w:tc>
      </w:tr>
      <w:tr>
        <w:trPr>
          <w:trHeight w:val="135"/>
        </w:trPr>
        <w:tc>
          <w:tcPr>
            <w:tcW w:w="29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(2,000 units) (h)(j)</w:t>
            </w:r>
          </w:p>
        </w:tc>
        <w:tc>
          <w:tcPr>
            <w:tcW w:w="3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2/27/2017</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1,478</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1,808</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49"/>
        </w:trPr>
        <w:tc>
          <w:tcPr>
            <w:tcW w:w="29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21,244</w:t>
            </w:r>
          </w:p>
        </w:tc>
        <w:tc>
          <w:tcPr>
            <w:tcW w:w="120" w:type="dxa"/>
            <w:vAlign w:val="bottom"/>
            <w:gridSpan w:val="2"/>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20,823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5%</w:t>
            </w:r>
          </w:p>
        </w:tc>
      </w:tr>
      <w:tr>
        <w:trPr>
          <w:trHeight w:val="135"/>
        </w:trPr>
        <w:tc>
          <w:tcPr>
            <w:tcW w:w="29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Non-control/Non-affiliate Investments</w:t>
            </w:r>
          </w:p>
        </w:tc>
        <w:tc>
          <w:tcPr>
            <w:tcW w:w="3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w w:val="84"/>
              </w:rPr>
              <w:t>$</w:t>
            </w:r>
            <w:r>
              <w:rPr>
                <w:rFonts w:ascii="Arial" w:cs="Arial" w:eastAsia="Arial" w:hAnsi="Arial"/>
                <w:sz w:val="13"/>
                <w:szCs w:val="13"/>
                <w:color w:val="auto"/>
                <w:w w:val="84"/>
              </w:rPr>
              <w:t>675,915</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w w:val="84"/>
              </w:rPr>
              <w:t>$</w:t>
            </w:r>
            <w:r>
              <w:rPr>
                <w:rFonts w:ascii="Arial" w:cs="Arial" w:eastAsia="Arial" w:hAnsi="Arial"/>
                <w:sz w:val="13"/>
                <w:szCs w:val="13"/>
                <w:color w:val="auto"/>
                <w:w w:val="84"/>
              </w:rPr>
              <w:t>640,125</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170%</w:t>
            </w:r>
          </w:p>
        </w:tc>
      </w:tr>
      <w:tr>
        <w:trPr>
          <w:trHeight w:val="20"/>
        </w:trPr>
        <w:tc>
          <w:tcPr>
            <w:tcW w:w="29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29"/>
        </w:trPr>
        <w:tc>
          <w:tcPr>
            <w:tcW w:w="2960" w:type="dxa"/>
            <w:vAlign w:val="bottom"/>
          </w:tcPr>
          <w:p>
            <w:pPr>
              <w:spacing w:after="0" w:line="129" w:lineRule="exact"/>
              <w:rPr>
                <w:sz w:val="20"/>
                <w:szCs w:val="20"/>
                <w:color w:val="auto"/>
              </w:rPr>
            </w:pPr>
            <w:r>
              <w:rPr>
                <w:rFonts w:ascii="Arial" w:cs="Arial" w:eastAsia="Arial" w:hAnsi="Arial"/>
                <w:sz w:val="13"/>
                <w:szCs w:val="13"/>
                <w:b w:val="1"/>
                <w:bCs w:val="1"/>
                <w:color w:val="auto"/>
              </w:rPr>
              <w:t>Total Investments</w:t>
            </w:r>
          </w:p>
        </w:tc>
        <w:tc>
          <w:tcPr>
            <w:tcW w:w="3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u w:val="single" w:color="auto"/>
                <w:color w:val="auto"/>
                <w:w w:val="84"/>
              </w:rPr>
              <w:t>$</w:t>
            </w:r>
            <w:r>
              <w:rPr>
                <w:rFonts w:ascii="Arial" w:cs="Arial" w:eastAsia="Arial" w:hAnsi="Arial"/>
                <w:sz w:val="13"/>
                <w:szCs w:val="13"/>
                <w:color w:val="auto"/>
                <w:w w:val="84"/>
              </w:rPr>
              <w:t>746,298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u w:val="single" w:color="auto"/>
                <w:color w:val="auto"/>
                <w:w w:val="84"/>
              </w:rPr>
              <w:t>$</w:t>
            </w:r>
            <w:r>
              <w:rPr>
                <w:rFonts w:ascii="Arial" w:cs="Arial" w:eastAsia="Arial" w:hAnsi="Arial"/>
                <w:sz w:val="13"/>
                <w:szCs w:val="13"/>
                <w:color w:val="auto"/>
                <w:w w:val="84"/>
              </w:rPr>
              <w:t>732,620</w:t>
            </w: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195%</w:t>
            </w:r>
          </w:p>
        </w:tc>
      </w:tr>
      <w:tr>
        <w:trPr>
          <w:trHeight w:val="20"/>
        </w:trPr>
        <w:tc>
          <w:tcPr>
            <w:tcW w:w="29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77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76" w:lineRule="exact"/>
        <w:rPr>
          <w:sz w:val="20"/>
          <w:szCs w:val="20"/>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Note 3 to the consolidated financial statements for portfolio composition by geographic location.</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 ownership may be held in shares or units of companies related to the portfolio companies.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debt investments are income producing, unless otherwise indicated. Equity investments are non-income producing unless otherwise noted.</w:t>
      </w:r>
    </w:p>
    <w:p>
      <w:pPr>
        <w:spacing w:after="0" w:line="32" w:lineRule="exact"/>
        <w:rPr>
          <w:rFonts w:ascii="Arial" w:cs="Arial" w:eastAsia="Arial" w:hAnsi="Arial"/>
          <w:sz w:val="16"/>
          <w:szCs w:val="16"/>
          <w:color w:val="auto"/>
        </w:rPr>
      </w:pPr>
    </w:p>
    <w:p>
      <w:pPr>
        <w:ind w:left="540" w:right="200" w:hanging="424"/>
        <w:spacing w:after="0" w:line="255"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Variable rate investments bear interest at a rate indexed to LIBOR (L), which is reset monthly, bimonthly, quarterly, or semi-annually. Certain variable rate investments also include a LIBOR interest rate floor. For each investment, the Company has provided the spread over the reference rate and the LIBOR floor, if any, as of June 30, 2020.</w:t>
      </w:r>
    </w:p>
    <w:p>
      <w:pPr>
        <w:sectPr>
          <w:pgSz w:w="11900" w:h="16838" w:orient="portrait"/>
          <w:cols w:equalWidth="0" w:num="1">
            <w:col w:w="11140"/>
          </w:cols>
          <w:pgMar w:left="320" w:top="459" w:right="439" w:bottom="1440" w:gutter="0" w:footer="0" w:header="0"/>
          <w:type w:val="continuous"/>
        </w:sectPr>
      </w:pP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40"/>
          </w:cols>
          <w:pgMar w:left="320" w:top="459" w:right="439" w:bottom="1440" w:gutter="0" w:footer="0" w:header="0"/>
          <w:type w:val="continuous"/>
        </w:sectPr>
      </w:pPr>
    </w:p>
    <w:bookmarkStart w:id="11" w:name="page12"/>
    <w:bookmarkEnd w:id="11"/>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shares)</w:t>
      </w:r>
    </w:p>
    <w:p>
      <w:pPr>
        <w:spacing w:after="0" w:line="143" w:lineRule="exact"/>
        <w:rPr>
          <w:sz w:val="20"/>
          <w:szCs w:val="20"/>
          <w:color w:val="auto"/>
        </w:rPr>
      </w:pPr>
    </w:p>
    <w:p>
      <w:pPr>
        <w:ind w:left="540" w:right="120" w:hanging="424"/>
        <w:spacing w:after="0" w:line="258"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Rate includes the cash interest or dividend rate and paid-in-kind interest or dividend rate, if any, as of June 30, 2020. Generally, payment-in-kind interest can be paid-in-kind or all in cash.</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date represents the date of the initial investment in the security.</w:t>
      </w:r>
    </w:p>
    <w:p>
      <w:pPr>
        <w:spacing w:after="0" w:line="9"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is held by a Taxable Subsidiary of the Company.</w:t>
      </w:r>
    </w:p>
    <w:p>
      <w:pPr>
        <w:spacing w:after="0" w:line="9" w:lineRule="exact"/>
        <w:rPr>
          <w:rFonts w:ascii="Arial" w:cs="Arial" w:eastAsia="Arial" w:hAnsi="Arial"/>
          <w:sz w:val="18"/>
          <w:szCs w:val="18"/>
          <w:color w:val="auto"/>
        </w:rPr>
      </w:pPr>
    </w:p>
    <w:p>
      <w:pPr>
        <w:ind w:left="540" w:right="40" w:hanging="424"/>
        <w:spacing w:after="0" w:line="265"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disclosed commitment represents the unfunded amount as of June 30, 2020. The Company is earning 0.50% interest on the unfunded balance of the commitment. The interest rate disclosed represents the rate which will be earned if the commitment is funded.</w:t>
      </w:r>
    </w:p>
    <w:p>
      <w:pPr>
        <w:ind w:left="540" w:right="120" w:hanging="424"/>
        <w:spacing w:after="0" w:line="281"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6"/>
          <w:szCs w:val="16"/>
          <w:color w:val="auto"/>
        </w:rPr>
      </w:pPr>
    </w:p>
    <w:p>
      <w:pPr>
        <w:ind w:left="540" w:right="4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spacing w:after="0" w:line="1" w:lineRule="exact"/>
        <w:rPr>
          <w:rFonts w:ascii="Arial" w:cs="Arial" w:eastAsia="Arial" w:hAnsi="Arial"/>
          <w:sz w:val="18"/>
          <w:szCs w:val="18"/>
          <w:color w:val="auto"/>
        </w:rPr>
      </w:pPr>
    </w:p>
    <w:p>
      <w:pPr>
        <w:ind w:left="540" w:right="300" w:hanging="424"/>
        <w:spacing w:after="0" w:line="281"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spacing w:after="0" w:line="1" w:lineRule="exact"/>
        <w:rPr>
          <w:rFonts w:ascii="Arial" w:cs="Arial" w:eastAsia="Arial" w:hAnsi="Arial"/>
          <w:sz w:val="16"/>
          <w:szCs w:val="16"/>
          <w:color w:val="auto"/>
        </w:rPr>
      </w:pPr>
    </w:p>
    <w:p>
      <w:pPr>
        <w:ind w:left="540" w:right="420" w:hanging="424"/>
        <w:spacing w:after="0" w:line="281"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in portfolio company that has sold its operations and is in the process of winding down.</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producing. Maturity date, if any, represents mandatory redemption date.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Investment was on non-accrual status as of June 30, 2020, meaning the Company has ceased recognizing interest income on the investment.</w:t>
      </w:r>
    </w:p>
    <w:p>
      <w:pPr>
        <w:spacing w:after="0" w:line="32" w:lineRule="exact"/>
        <w:rPr>
          <w:rFonts w:ascii="Arial" w:cs="Arial" w:eastAsia="Arial" w:hAnsi="Arial"/>
          <w:sz w:val="16"/>
          <w:szCs w:val="16"/>
          <w:color w:val="auto"/>
        </w:rPr>
      </w:pPr>
    </w:p>
    <w:p>
      <w:pPr>
        <w:ind w:left="540" w:right="18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 entitles the Company to purchase 9.59% of the outstanding principal of Junior Subordinated Notes prior to exercise, and is non-income producing.</w:t>
      </w:r>
    </w:p>
    <w:p>
      <w:pPr>
        <w:ind w:left="54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5.05%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3.84%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jc w:val="both"/>
        <w:ind w:left="540" w:right="16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spacing w:after="0" w:line="1" w:lineRule="exact"/>
        <w:rPr>
          <w:rFonts w:ascii="Arial" w:cs="Arial" w:eastAsia="Arial" w:hAnsi="Arial"/>
          <w:sz w:val="18"/>
          <w:szCs w:val="18"/>
          <w:color w:val="auto"/>
        </w:rPr>
      </w:pPr>
    </w:p>
    <w:p>
      <w:pPr>
        <w:ind w:left="540" w:right="40" w:hanging="424"/>
        <w:spacing w:after="0" w:line="265"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disclosed commitment represents the unfunded amount as of June 30, 2020. The Company is earning 0.75% interest on the unfunded balance of the commitment. The interest rate disclosed represents the rate earned on the outstanding, funded balance of the commitment.</w:t>
      </w:r>
    </w:p>
    <w:p>
      <w:pPr>
        <w:ind w:left="54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3.41%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2.71%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security, the Company is entitled to receive an additional interest amount of 4.01%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addition to the interest earned based on the stated interest rate of this security, the Company is entitled to receive an additional interest amount of 4.63% on its “last out” tranche of the portfolio company’s senior term debt, which was previously syndicated into “first out” and “last out” tranches, whereby the “first out” tranche will have priority as to the “last out” tranche with respect to payments of principal, interest and any other</w:t>
      </w:r>
    </w:p>
    <w:p>
      <w:pPr>
        <w:sectPr>
          <w:pgSz w:w="11900" w:h="16882" w:orient="portrait"/>
          <w:cols w:equalWidth="0" w:num="1">
            <w:col w:w="11080"/>
          </w:cols>
          <w:pgMar w:left="320" w:top="459" w:right="499" w:bottom="0" w:gutter="0" w:footer="0" w:header="0"/>
        </w:sect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(aa)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(ab)</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amounts due thereunder.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interest earned based on the stated interest rate of this security, the Company is entitled to receive an additional interest amount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2.87% on its “last out” tranche of the portfolio company’s senior term debt, which was previously syndicated into “first out” and “last out”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interest earned based on the stated interest rate of this security, the Company is entitled to receive an additional interest amount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3.18% on its “last out” tranche of the portfolio company’s senior term debt, which was previously syndicated into “first out” and “last out”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disclosed commitment represents the unfunded amount as of June 30, 2020. The Company is earning 1.00% interest on the unfunded balance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commitment. The interest rate disclosed represents the rate earned on the outstanding, funded balance of the commitment.</w:t>
      </w:r>
    </w:p>
    <w:p>
      <w:pPr>
        <w:sectPr>
          <w:pgSz w:w="11900" w:h="16882" w:orient="portrait"/>
          <w:cols w:equalWidth="0" w:num="2">
            <w:col w:w="400" w:space="140"/>
            <w:col w:w="10540"/>
          </w:cols>
          <w:pgMar w:left="320" w:top="459" w:right="499" w:bottom="0" w:gutter="0" w:footer="0" w:header="0"/>
          <w:type w:val="continuous"/>
        </w:sectPr>
      </w:pPr>
    </w:p>
    <w:bookmarkStart w:id="12" w:name="page13"/>
    <w:bookmarkEnd w:id="12"/>
    <w:p>
      <w:pPr>
        <w:spacing w:after="0"/>
        <w:rPr>
          <w:sz w:val="20"/>
          <w:szCs w:val="20"/>
          <w:color w:val="auto"/>
        </w:rPr>
      </w:pPr>
      <w:r>
        <w:rPr>
          <w:rFonts w:ascii="Arial" w:cs="Arial" w:eastAsia="Arial" w:hAnsi="Arial"/>
          <w:sz w:val="15"/>
          <w:szCs w:val="15"/>
          <w:color w:val="auto"/>
        </w:rPr>
        <w:t>(ad)</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(ae)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Investment was on PIK-only non-accrual status as of June 30, 2020, meaning the Company has ceased recognizing PIK interest income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interest earned based on the stated interest rate of this security, the Company is entitled to receive an additional interest amount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4.50% on its “last out” tranche of the portfolio company’s senior term debt, which was previously syndicated into “first out” and “last out”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tranches, whereby the “first out” tranche will have priority as to the “last out” tranche with respect to payments of principal, interest and any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amounts due thereunder.</w:t>
      </w:r>
    </w:p>
    <w:p>
      <w:pPr>
        <w:spacing w:after="0" w:line="200" w:lineRule="exact"/>
        <w:rPr>
          <w:sz w:val="20"/>
          <w:szCs w:val="20"/>
          <w:color w:val="auto"/>
        </w:rPr>
      </w:pPr>
    </w:p>
    <w:p>
      <w:pPr>
        <w:sectPr>
          <w:pgSz w:w="11900" w:h="16838" w:orient="portrait"/>
          <w:cols w:equalWidth="0" w:num="2">
            <w:col w:w="280" w:space="140"/>
            <w:col w:w="10540"/>
          </w:cols>
          <w:pgMar w:left="440" w:top="125" w:right="499" w:bottom="1440" w:gutter="0" w:footer="0" w:header="0"/>
        </w:sectPr>
      </w:pP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See Notes to Consolidated Financial Statements (unaudited).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125" w:right="4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240" w:type="dxa"/>
            <w:vAlign w:val="bottom"/>
            <w:gridSpan w:val="3"/>
          </w:tcPr>
          <w:p>
            <w:pPr>
              <w:spacing w:after="0"/>
              <w:rPr>
                <w:sz w:val="20"/>
                <w:szCs w:val="20"/>
                <w:color w:val="auto"/>
              </w:rPr>
            </w:pPr>
            <w:r>
              <w:rPr>
                <w:rFonts w:ascii="Arial" w:cs="Arial" w:eastAsia="Arial" w:hAnsi="Arial"/>
                <w:sz w:val="13"/>
                <w:szCs w:val="13"/>
                <w:b w:val="1"/>
                <w:bCs w:val="1"/>
                <w:color w:val="auto"/>
              </w:rPr>
              <w:t>Portfolio Company (a)(b)</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Variable Index</w:t>
            </w: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Rate (e)</w:t>
            </w: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w w:val="99"/>
              </w:rPr>
              <w:t>Investment</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3"/>
                <w:szCs w:val="13"/>
                <w:b w:val="1"/>
                <w:bCs w:val="1"/>
                <w:color w:val="auto"/>
                <w:w w:val="98"/>
              </w:rPr>
              <w:t>Principal</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4"/>
              </w:rPr>
              <w:t>Percent of</w:t>
            </w:r>
          </w:p>
        </w:tc>
      </w:tr>
      <w:tr>
        <w:trPr>
          <w:trHeight w:val="168"/>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6"/>
              </w:rPr>
              <w:t>Investment Type (c)</w:t>
            </w:r>
          </w:p>
        </w:tc>
        <w:tc>
          <w:tcPr>
            <w:tcW w:w="2160" w:type="dxa"/>
            <w:vAlign w:val="bottom"/>
            <w:gridSpan w:val="2"/>
          </w:tcPr>
          <w:p>
            <w:pPr>
              <w:spacing w:after="0"/>
              <w:rPr>
                <w:sz w:val="14"/>
                <w:szCs w:val="14"/>
                <w:color w:val="auto"/>
              </w:rPr>
            </w:pPr>
          </w:p>
        </w:tc>
        <w:tc>
          <w:tcPr>
            <w:tcW w:w="1880" w:type="dxa"/>
            <w:vAlign w:val="bottom"/>
            <w:gridSpan w:val="3"/>
          </w:tcPr>
          <w:p>
            <w:pPr>
              <w:ind w:left="620"/>
              <w:spacing w:after="0"/>
              <w:rPr>
                <w:sz w:val="20"/>
                <w:szCs w:val="20"/>
                <w:color w:val="auto"/>
              </w:rPr>
            </w:pPr>
            <w:r>
              <w:rPr>
                <w:rFonts w:ascii="Arial" w:cs="Arial" w:eastAsia="Arial" w:hAnsi="Arial"/>
                <w:sz w:val="13"/>
                <w:szCs w:val="13"/>
                <w:b w:val="1"/>
                <w:bCs w:val="1"/>
                <w:color w:val="auto"/>
              </w:rPr>
              <w:t>Industry</w:t>
            </w: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Spread / Floor (d)</w:t>
            </w: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Cash/PIK</w:t>
            </w:r>
          </w:p>
        </w:tc>
        <w:tc>
          <w:tcPr>
            <w:tcW w:w="700" w:type="dxa"/>
            <w:vAlign w:val="bottom"/>
            <w:gridSpan w:val="2"/>
          </w:tcPr>
          <w:p>
            <w:pPr>
              <w:ind w:left="100"/>
              <w:spacing w:after="0"/>
              <w:rPr>
                <w:sz w:val="20"/>
                <w:szCs w:val="20"/>
                <w:color w:val="auto"/>
              </w:rPr>
            </w:pPr>
            <w:r>
              <w:rPr>
                <w:rFonts w:ascii="Arial" w:cs="Arial" w:eastAsia="Arial" w:hAnsi="Arial"/>
                <w:sz w:val="13"/>
                <w:szCs w:val="13"/>
                <w:b w:val="1"/>
                <w:bCs w:val="1"/>
                <w:color w:val="auto"/>
              </w:rPr>
              <w:t>Date (f)</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Maturity</w:t>
            </w:r>
          </w:p>
        </w:tc>
        <w:tc>
          <w:tcPr>
            <w:tcW w:w="5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3"/>
                <w:szCs w:val="13"/>
                <w:b w:val="1"/>
                <w:bCs w:val="1"/>
                <w:color w:val="auto"/>
              </w:rPr>
              <w:t>Cost</w:t>
            </w:r>
          </w:p>
        </w:tc>
        <w:tc>
          <w:tcPr>
            <w:tcW w:w="620" w:type="dxa"/>
            <w:vAlign w:val="bottom"/>
            <w:gridSpan w:val="3"/>
          </w:tcPr>
          <w:p>
            <w:pPr>
              <w:ind w:left="20"/>
              <w:spacing w:after="0"/>
              <w:rPr>
                <w:sz w:val="20"/>
                <w:szCs w:val="20"/>
                <w:color w:val="auto"/>
              </w:rPr>
            </w:pPr>
            <w:r>
              <w:rPr>
                <w:rFonts w:ascii="Arial" w:cs="Arial" w:eastAsia="Arial" w:hAnsi="Arial"/>
                <w:sz w:val="13"/>
                <w:szCs w:val="13"/>
                <w:b w:val="1"/>
                <w:bCs w:val="1"/>
                <w:color w:val="auto"/>
              </w:rPr>
              <w:t>Value (g)</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0"/>
              </w:rPr>
              <w:t>Net Assets</w:t>
            </w:r>
          </w:p>
        </w:tc>
      </w:tr>
      <w:tr>
        <w:trPr>
          <w:trHeight w:val="102"/>
        </w:trPr>
        <w:tc>
          <w:tcPr>
            <w:tcW w:w="1260" w:type="dxa"/>
            <w:vAlign w:val="bottom"/>
            <w:tcBorders>
              <w:top w:val="single" w:sz="8" w:color="CCEEFF"/>
              <w:bottom w:val="single" w:sz="8" w:color="auto"/>
            </w:tcBorders>
            <w:gridSpan w:val="2"/>
            <w:shd w:val="clear" w:color="auto" w:fill="CCEEFF"/>
          </w:tcPr>
          <w:p>
            <w:pPr>
              <w:spacing w:after="0" w:line="95" w:lineRule="exact"/>
              <w:rPr>
                <w:sz w:val="20"/>
                <w:szCs w:val="20"/>
                <w:color w:val="auto"/>
              </w:rPr>
            </w:pPr>
            <w:r>
              <w:rPr>
                <w:rFonts w:ascii="Arial" w:cs="Arial" w:eastAsia="Arial" w:hAnsi="Arial"/>
                <w:sz w:val="10"/>
                <w:szCs w:val="10"/>
                <w:b w:val="1"/>
                <w:bCs w:val="1"/>
                <w:color w:val="auto"/>
              </w:rPr>
              <w:t>Control Investments (t)</w:t>
            </w:r>
          </w:p>
        </w:tc>
        <w:tc>
          <w:tcPr>
            <w:tcW w:w="1980" w:type="dxa"/>
            <w:vAlign w:val="bottom"/>
            <w:tcBorders>
              <w:top w:val="single" w:sz="8" w:color="CCEEFF"/>
              <w:bottom w:val="single" w:sz="8" w:color="CCEEFF"/>
            </w:tcBorders>
            <w:shd w:val="clear" w:color="auto" w:fill="CCEEFF"/>
          </w:tcPr>
          <w:p>
            <w:pPr>
              <w:spacing w:after="0"/>
              <w:rPr>
                <w:sz w:val="8"/>
                <w:szCs w:val="8"/>
                <w:color w:val="auto"/>
              </w:rPr>
            </w:pPr>
          </w:p>
        </w:tc>
        <w:tc>
          <w:tcPr>
            <w:tcW w:w="170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CCEEFF"/>
            </w:tcBorders>
            <w:shd w:val="clear" w:color="auto" w:fill="CCEEFF"/>
          </w:tcPr>
          <w:p>
            <w:pPr>
              <w:spacing w:after="0"/>
              <w:rPr>
                <w:sz w:val="8"/>
                <w:szCs w:val="8"/>
                <w:color w:val="auto"/>
              </w:rPr>
            </w:pPr>
          </w:p>
        </w:tc>
        <w:tc>
          <w:tcPr>
            <w:tcW w:w="104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76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2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58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CCEEFF"/>
            </w:tcBorders>
            <w:shd w:val="clear" w:color="auto" w:fill="CCEEFF"/>
          </w:tcPr>
          <w:p>
            <w:pPr>
              <w:spacing w:after="0"/>
              <w:rPr>
                <w:sz w:val="8"/>
                <w:szCs w:val="8"/>
                <w:color w:val="auto"/>
              </w:rPr>
            </w:pPr>
          </w:p>
        </w:tc>
        <w:tc>
          <w:tcPr>
            <w:tcW w:w="400" w:type="dxa"/>
            <w:vAlign w:val="bottom"/>
            <w:tcBorders>
              <w:top w:val="single" w:sz="8" w:color="auto"/>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CCEEFF"/>
            </w:tcBorders>
            <w:shd w:val="clear" w:color="auto" w:fill="CCEEFF"/>
          </w:tcPr>
          <w:p>
            <w:pPr>
              <w:spacing w:after="0"/>
              <w:rPr>
                <w:sz w:val="8"/>
                <w:szCs w:val="8"/>
                <w:color w:val="auto"/>
              </w:rPr>
            </w:pPr>
          </w:p>
        </w:tc>
        <w:tc>
          <w:tcPr>
            <w:tcW w:w="360" w:type="dxa"/>
            <w:vAlign w:val="bottom"/>
            <w:tcBorders>
              <w:top w:val="single" w:sz="8" w:color="auto"/>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CCEEFF"/>
            </w:tcBorders>
            <w:shd w:val="clear" w:color="auto" w:fill="CCEEFF"/>
          </w:tcPr>
          <w:p>
            <w:pPr>
              <w:spacing w:after="0"/>
              <w:rPr>
                <w:sz w:val="8"/>
                <w:szCs w:val="8"/>
                <w:color w:val="auto"/>
              </w:rPr>
            </w:pPr>
          </w:p>
        </w:tc>
        <w:tc>
          <w:tcPr>
            <w:tcW w:w="420" w:type="dxa"/>
            <w:vAlign w:val="bottom"/>
            <w:tcBorders>
              <w:top w:val="single" w:sz="8" w:color="auto"/>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r>
      <w:tr>
        <w:trPr>
          <w:trHeight w:val="135"/>
        </w:trPr>
        <w:tc>
          <w:tcPr>
            <w:tcW w:w="32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FDS Avionics Corp. (dba Flight Display Systems)</w:t>
            </w:r>
          </w:p>
        </w:tc>
        <w:tc>
          <w:tcPr>
            <w:tcW w:w="1880" w:type="dxa"/>
            <w:vAlign w:val="bottom"/>
            <w:gridSpan w:val="3"/>
          </w:tcPr>
          <w:p>
            <w:pPr>
              <w:spacing w:after="0" w:line="135" w:lineRule="exact"/>
              <w:rPr>
                <w:sz w:val="20"/>
                <w:szCs w:val="20"/>
                <w:color w:val="auto"/>
              </w:rPr>
            </w:pPr>
            <w:r>
              <w:rPr>
                <w:rFonts w:ascii="Arial" w:cs="Arial" w:eastAsia="Arial" w:hAnsi="Arial"/>
                <w:sz w:val="13"/>
                <w:szCs w:val="13"/>
                <w:color w:val="auto"/>
                <w:w w:val="87"/>
              </w:rPr>
              <w:t>Aerospace &amp; Defense Manufacturing</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6.00%/9.00%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11/5/2014</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6"/>
              </w:rPr>
              <w:t>12/31/2021</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4,420</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4,418</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4,277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2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Revolving Loan ($30 commitment)</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6.00%/9.00%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4/12/2018</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6"/>
              </w:rPr>
              <w:t>12/31/2021</w:t>
            </w:r>
          </w:p>
        </w:tc>
        <w:tc>
          <w:tcPr>
            <w:tcW w:w="100" w:type="dxa"/>
            <w:vAlign w:val="bottom"/>
          </w:tcPr>
          <w:p>
            <w:pPr>
              <w:spacing w:after="0"/>
              <w:rPr>
                <w:sz w:val="11"/>
                <w:szCs w:val="11"/>
                <w:color w:val="auto"/>
              </w:rPr>
            </w:pPr>
          </w:p>
        </w:tc>
        <w:tc>
          <w:tcPr>
            <w:tcW w:w="4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261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261</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261</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(7,478 shares) (j)</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11/10/2017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748</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32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(2,550 shares)</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w w:val="92"/>
              </w:rPr>
              <w:t>12/26/2019</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2,550</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915</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7,977</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5,403</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r>
      <w:tr>
        <w:trPr>
          <w:trHeight w:val="135"/>
        </w:trPr>
        <w:tc>
          <w:tcPr>
            <w:tcW w:w="32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US GreenFiber, LLC</w:t>
            </w:r>
          </w:p>
        </w:tc>
        <w:tc>
          <w:tcPr>
            <w:tcW w:w="1880" w:type="dxa"/>
            <w:vAlign w:val="bottom"/>
            <w:gridSpan w:val="3"/>
          </w:tcPr>
          <w:p>
            <w:pPr>
              <w:spacing w:after="0" w:line="135" w:lineRule="exact"/>
              <w:rPr>
                <w:sz w:val="20"/>
                <w:szCs w:val="20"/>
                <w:color w:val="auto"/>
              </w:rPr>
            </w:pPr>
            <w:r>
              <w:rPr>
                <w:rFonts w:ascii="Arial" w:cs="Arial" w:eastAsia="Arial" w:hAnsi="Arial"/>
                <w:sz w:val="13"/>
                <w:szCs w:val="13"/>
                <w:color w:val="auto"/>
                <w:w w:val="99"/>
              </w:rPr>
              <w:t>Building Products Manufacturing</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7.00%/6.00%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7/3/2014</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8/30/2024</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14,498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5"/>
              </w:rPr>
              <w:t>14,494</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11,757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2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7.50%/7.50%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11/9/2018</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8/30/2024</w:t>
            </w:r>
          </w:p>
        </w:tc>
        <w:tc>
          <w:tcPr>
            <w:tcW w:w="100" w:type="dxa"/>
            <w:vAlign w:val="bottom"/>
          </w:tcPr>
          <w:p>
            <w:pPr>
              <w:spacing w:after="0"/>
              <w:rPr>
                <w:sz w:val="11"/>
                <w:szCs w:val="11"/>
                <w:color w:val="auto"/>
              </w:rPr>
            </w:pPr>
          </w:p>
        </w:tc>
        <w:tc>
          <w:tcPr>
            <w:tcW w:w="4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4,660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4,660</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4,660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(2,522 units) (h)(j)</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7/3/2014</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586</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32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(425,508 units) (j)</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8/30/2019</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5"/>
              </w:rPr>
              <w:t>19,741</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16,417</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r>
      <w:tr>
        <w:trPr>
          <w:trHeight w:val="142"/>
        </w:trPr>
        <w:tc>
          <w:tcPr>
            <w:tcW w:w="324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Total Control Investments</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27,718</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21,820</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5%</w:t>
            </w: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3"/>
        </w:trPr>
        <w:tc>
          <w:tcPr>
            <w:tcW w:w="3240" w:type="dxa"/>
            <w:vAlign w:val="bottom"/>
            <w:gridSpan w:val="3"/>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Affiliate Investments (l)</w:t>
            </w:r>
          </w:p>
        </w:tc>
        <w:tc>
          <w:tcPr>
            <w:tcW w:w="1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35"/>
        </w:trPr>
        <w:tc>
          <w:tcPr>
            <w:tcW w:w="1260" w:type="dxa"/>
            <w:vAlign w:val="bottom"/>
            <w:tcBorders>
              <w:top w:val="single" w:sz="8" w:color="auto"/>
            </w:tcBorders>
            <w:gridSpan w:val="2"/>
          </w:tcPr>
          <w:p>
            <w:pPr>
              <w:spacing w:after="0" w:line="135" w:lineRule="exact"/>
              <w:rPr>
                <w:sz w:val="20"/>
                <w:szCs w:val="20"/>
                <w:color w:val="auto"/>
              </w:rPr>
            </w:pPr>
            <w:r>
              <w:rPr>
                <w:rFonts w:ascii="Arial" w:cs="Arial" w:eastAsia="Arial" w:hAnsi="Arial"/>
                <w:sz w:val="13"/>
                <w:szCs w:val="13"/>
                <w:i w:val="1"/>
                <w:iCs w:val="1"/>
                <w:color w:val="auto"/>
                <w:w w:val="95"/>
              </w:rPr>
              <w:t>FAR Research Inc. (n)</w:t>
            </w:r>
          </w:p>
        </w:tc>
        <w:tc>
          <w:tcPr>
            <w:tcW w:w="1980" w:type="dxa"/>
            <w:vAlign w:val="bottom"/>
            <w:tcBorders>
              <w:top w:val="single" w:sz="8" w:color="CCEEFF"/>
            </w:tcBorders>
          </w:tcPr>
          <w:p>
            <w:pPr>
              <w:spacing w:after="0"/>
              <w:rPr>
                <w:sz w:val="11"/>
                <w:szCs w:val="11"/>
                <w:color w:val="auto"/>
              </w:rPr>
            </w:pPr>
          </w:p>
        </w:tc>
        <w:tc>
          <w:tcPr>
            <w:tcW w:w="1880" w:type="dxa"/>
            <w:vAlign w:val="bottom"/>
            <w:tcBorders>
              <w:top w:val="single" w:sz="8" w:color="CCEEFF"/>
            </w:tcBorders>
            <w:gridSpan w:val="3"/>
          </w:tcPr>
          <w:p>
            <w:pPr>
              <w:spacing w:after="0" w:line="135" w:lineRule="exact"/>
              <w:rPr>
                <w:sz w:val="20"/>
                <w:szCs w:val="20"/>
                <w:color w:val="auto"/>
              </w:rPr>
            </w:pPr>
            <w:r>
              <w:rPr>
                <w:rFonts w:ascii="Arial" w:cs="Arial" w:eastAsia="Arial" w:hAnsi="Arial"/>
                <w:sz w:val="13"/>
                <w:szCs w:val="13"/>
                <w:color w:val="auto"/>
              </w:rPr>
              <w:t>Specialty Chemicals</w:t>
            </w:r>
          </w:p>
        </w:tc>
        <w:tc>
          <w:tcPr>
            <w:tcW w:w="10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r>
      <w:tr>
        <w:trPr>
          <w:trHeight w:val="135"/>
        </w:trPr>
        <w:tc>
          <w:tcPr>
            <w:tcW w:w="32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(1,396 units)</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3/31/2014</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28</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243"/>
        </w:trPr>
        <w:tc>
          <w:tcPr>
            <w:tcW w:w="3240" w:type="dxa"/>
            <w:vAlign w:val="bottom"/>
            <w:gridSpan w:val="3"/>
          </w:tcPr>
          <w:p>
            <w:pPr>
              <w:spacing w:after="0"/>
              <w:rPr>
                <w:sz w:val="20"/>
                <w:szCs w:val="20"/>
                <w:color w:val="auto"/>
              </w:rPr>
            </w:pPr>
            <w:r>
              <w:rPr>
                <w:rFonts w:ascii="Arial" w:cs="Arial" w:eastAsia="Arial" w:hAnsi="Arial"/>
                <w:sz w:val="13"/>
                <w:szCs w:val="13"/>
                <w:i w:val="1"/>
                <w:iCs w:val="1"/>
                <w:color w:val="auto"/>
              </w:rPr>
              <w:t>Fiber Materials, Inc.</w:t>
            </w:r>
          </w:p>
        </w:tc>
        <w:tc>
          <w:tcPr>
            <w:tcW w:w="1880" w:type="dxa"/>
            <w:vAlign w:val="bottom"/>
            <w:gridSpan w:val="3"/>
          </w:tcPr>
          <w:p>
            <w:pPr>
              <w:spacing w:after="0"/>
              <w:rPr>
                <w:sz w:val="20"/>
                <w:szCs w:val="20"/>
                <w:color w:val="auto"/>
              </w:rPr>
            </w:pPr>
            <w:r>
              <w:rPr>
                <w:rFonts w:ascii="Arial" w:cs="Arial" w:eastAsia="Arial" w:hAnsi="Arial"/>
                <w:sz w:val="13"/>
                <w:szCs w:val="13"/>
                <w:color w:val="auto"/>
                <w:w w:val="87"/>
              </w:rPr>
              <w:t>Aerospace &amp; Defense Manufacturing</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35"/>
        </w:trPr>
        <w:tc>
          <w:tcPr>
            <w:tcW w:w="32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 units)</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11/30/2016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645</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10,449</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243"/>
        </w:trPr>
        <w:tc>
          <w:tcPr>
            <w:tcW w:w="3240" w:type="dxa"/>
            <w:vAlign w:val="bottom"/>
            <w:gridSpan w:val="3"/>
          </w:tcPr>
          <w:p>
            <w:pPr>
              <w:spacing w:after="0"/>
              <w:rPr>
                <w:sz w:val="20"/>
                <w:szCs w:val="20"/>
                <w:color w:val="auto"/>
              </w:rPr>
            </w:pPr>
            <w:r>
              <w:rPr>
                <w:rFonts w:ascii="Arial" w:cs="Arial" w:eastAsia="Arial" w:hAnsi="Arial"/>
                <w:sz w:val="13"/>
                <w:szCs w:val="13"/>
                <w:i w:val="1"/>
                <w:iCs w:val="1"/>
                <w:color w:val="auto"/>
              </w:rPr>
              <w:t>Medsurant Holdings, LLC</w:t>
            </w:r>
          </w:p>
        </w:tc>
        <w:tc>
          <w:tcPr>
            <w:tcW w:w="1880" w:type="dxa"/>
            <w:vAlign w:val="bottom"/>
            <w:gridSpan w:val="3"/>
          </w:tcPr>
          <w:p>
            <w:pPr>
              <w:spacing w:after="0"/>
              <w:rPr>
                <w:sz w:val="20"/>
                <w:szCs w:val="20"/>
                <w:color w:val="auto"/>
              </w:rPr>
            </w:pPr>
            <w:r>
              <w:rPr>
                <w:rFonts w:ascii="Arial" w:cs="Arial" w:eastAsia="Arial" w:hAnsi="Arial"/>
                <w:sz w:val="13"/>
                <w:szCs w:val="13"/>
                <w:color w:val="auto"/>
              </w:rPr>
              <w:t>Healthcare Services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35"/>
        </w:trPr>
        <w:tc>
          <w:tcPr>
            <w:tcW w:w="32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13.00%/0.00%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12/18/2015</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6/30/2020</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8,823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8,814</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8,823</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2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(126,662 units) (h)</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4/12/2011</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1,346</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1,780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(505,176 units) (h)(m)</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4/12/2011</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4,516</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6,377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14,676</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16,980</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4%</w:t>
            </w:r>
          </w:p>
        </w:tc>
      </w:tr>
      <w:tr>
        <w:trPr>
          <w:trHeight w:val="135"/>
        </w:trPr>
        <w:tc>
          <w:tcPr>
            <w:tcW w:w="32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Microbiology Research Associates, Inc.</w:t>
            </w:r>
          </w:p>
        </w:tc>
        <w:tc>
          <w:tcPr>
            <w:tcW w:w="18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Healthcare Services</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2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11.00%/1.50%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5/13/2015</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3/13/2022</w:t>
            </w:r>
          </w:p>
        </w:tc>
        <w:tc>
          <w:tcPr>
            <w:tcW w:w="100" w:type="dxa"/>
            <w:vAlign w:val="bottom"/>
          </w:tcPr>
          <w:p>
            <w:pPr>
              <w:spacing w:after="0"/>
              <w:rPr>
                <w:sz w:val="11"/>
                <w:szCs w:val="11"/>
                <w:color w:val="auto"/>
              </w:rPr>
            </w:pPr>
          </w:p>
        </w:tc>
        <w:tc>
          <w:tcPr>
            <w:tcW w:w="4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8,930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8,921</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8,930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(1,625,731 units) (j)</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5/13/2015</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1,939</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2,681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10,860</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11,611</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r>
      <w:tr>
        <w:trPr>
          <w:trHeight w:val="135"/>
        </w:trPr>
        <w:tc>
          <w:tcPr>
            <w:tcW w:w="32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Mirage Trailers LLC</w:t>
            </w:r>
          </w:p>
        </w:tc>
        <w:tc>
          <w:tcPr>
            <w:tcW w:w="18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Utility Equipment Manufacturing</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2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3"/>
                <w:szCs w:val="13"/>
                <w:color w:val="auto"/>
                <w:w w:val="90"/>
              </w:rPr>
              <w:t>(L + 8.50%) / (1.00%)</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10.20%/4.50%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w w:val="92"/>
              </w:rPr>
              <w:t>11/25/2015</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6"/>
              </w:rPr>
              <w:t>11/25/2020</w:t>
            </w:r>
          </w:p>
        </w:tc>
        <w:tc>
          <w:tcPr>
            <w:tcW w:w="100" w:type="dxa"/>
            <w:vAlign w:val="bottom"/>
          </w:tcPr>
          <w:p>
            <w:pPr>
              <w:spacing w:after="0"/>
              <w:rPr>
                <w:sz w:val="11"/>
                <w:szCs w:val="11"/>
                <w:color w:val="auto"/>
              </w:rPr>
            </w:pPr>
          </w:p>
        </w:tc>
        <w:tc>
          <w:tcPr>
            <w:tcW w:w="4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6,250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6,253</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6,250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(2,500,000 shares) (o)</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11/25/2015</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2,184</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968</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8,437</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7,218</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35"/>
        </w:trPr>
        <w:tc>
          <w:tcPr>
            <w:tcW w:w="32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Pfanstiehl, Inc.</w:t>
            </w:r>
          </w:p>
        </w:tc>
        <w:tc>
          <w:tcPr>
            <w:tcW w:w="18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Healthcare Products</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2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10.50%/0.00%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3/29/2013</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9/29/2022</w:t>
            </w:r>
          </w:p>
        </w:tc>
        <w:tc>
          <w:tcPr>
            <w:tcW w:w="100" w:type="dxa"/>
            <w:vAlign w:val="bottom"/>
          </w:tcPr>
          <w:p>
            <w:pPr>
              <w:spacing w:after="0"/>
              <w:rPr>
                <w:sz w:val="11"/>
                <w:szCs w:val="11"/>
                <w:color w:val="auto"/>
              </w:rPr>
            </w:pPr>
          </w:p>
        </w:tc>
        <w:tc>
          <w:tcPr>
            <w:tcW w:w="4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6,208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6,201</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6,208</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(8,500 units) (j)</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3/29/2013</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850</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26,614</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7,051</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32,822</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8%</w:t>
            </w:r>
          </w:p>
        </w:tc>
      </w:tr>
      <w:tr>
        <w:trPr>
          <w:trHeight w:val="135"/>
        </w:trPr>
        <w:tc>
          <w:tcPr>
            <w:tcW w:w="32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Pinnergy, Ltd.</w:t>
            </w:r>
          </w:p>
        </w:tc>
        <w:tc>
          <w:tcPr>
            <w:tcW w:w="18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Oil &amp; Gas Services</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2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 Class A-2 (42,500 units) (k)</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w w:val="92"/>
              </w:rPr>
              <w:t>10/13/2016</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3,000</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29,831</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 Class B (1,000 units) (k)</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10/13/2016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3,000</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3,147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6,000</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32,978</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8%</w:t>
            </w:r>
          </w:p>
        </w:tc>
      </w:tr>
      <w:tr>
        <w:trPr>
          <w:trHeight w:val="135"/>
        </w:trPr>
        <w:tc>
          <w:tcPr>
            <w:tcW w:w="32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8"/>
              </w:rPr>
              <w:t>Steward Holding LLC (dba Steward Advanced Materials)</w:t>
            </w:r>
          </w:p>
        </w:tc>
        <w:tc>
          <w:tcPr>
            <w:tcW w:w="18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w w:val="87"/>
              </w:rPr>
              <w:t>Aerospace &amp; Defense Manufacturing</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2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12.00%/1.50%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w w:val="92"/>
              </w:rPr>
              <w:t>11/12/2015</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5/12/2021</w:t>
            </w:r>
          </w:p>
        </w:tc>
        <w:tc>
          <w:tcPr>
            <w:tcW w:w="100" w:type="dxa"/>
            <w:vAlign w:val="bottom"/>
          </w:tcPr>
          <w:p>
            <w:pPr>
              <w:spacing w:after="0"/>
              <w:rPr>
                <w:sz w:val="11"/>
                <w:szCs w:val="11"/>
                <w:color w:val="auto"/>
              </w:rPr>
            </w:pPr>
          </w:p>
        </w:tc>
        <w:tc>
          <w:tcPr>
            <w:tcW w:w="4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7,667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7,659</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7,667</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2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(1,000,000 units)</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11/12/2015</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1,802</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8,659</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9,469</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35"/>
        </w:trPr>
        <w:tc>
          <w:tcPr>
            <w:tcW w:w="32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Affiliate Investments</w:t>
            </w: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5"/>
              </w:rPr>
              <w:t>56,328</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u w:val="single" w:color="auto"/>
                <w:color w:val="auto"/>
                <w:w w:val="82"/>
              </w:rPr>
              <w:t>$</w:t>
            </w: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5"/>
              </w:rPr>
              <w:t>121,555</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30%</w:t>
            </w: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840" w:type="dxa"/>
            <w:vAlign w:val="bottom"/>
            <w:gridSpan w:val="3"/>
          </w:tcPr>
          <w:p>
            <w:pPr>
              <w:spacing w:after="0"/>
              <w:rPr>
                <w:sz w:val="20"/>
                <w:szCs w:val="20"/>
                <w:color w:val="auto"/>
              </w:rPr>
            </w:pPr>
            <w:r>
              <w:rPr>
                <w:rFonts w:ascii="Arial" w:cs="Arial" w:eastAsia="Arial" w:hAnsi="Arial"/>
                <w:sz w:val="13"/>
                <w:szCs w:val="13"/>
                <w:b w:val="1"/>
                <w:bCs w:val="1"/>
                <w:color w:val="auto"/>
              </w:rPr>
              <w:t>Portfolio Company (a)(b)</w:t>
            </w: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Variable Index</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Rate (e)</w:t>
            </w: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w w:val="99"/>
              </w:rPr>
              <w:t>Investment</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87"/>
              </w:rPr>
              <w:t>Principal</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Fair</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4"/>
              </w:rPr>
              <w:t>Percent of</w:t>
            </w:r>
          </w:p>
        </w:tc>
      </w:tr>
      <w:tr>
        <w:trPr>
          <w:trHeight w:val="168"/>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6"/>
              </w:rPr>
              <w:t>Investment Type (c)</w:t>
            </w:r>
          </w:p>
        </w:tc>
        <w:tc>
          <w:tcPr>
            <w:tcW w:w="17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ind w:left="720"/>
              <w:spacing w:after="0"/>
              <w:rPr>
                <w:sz w:val="20"/>
                <w:szCs w:val="20"/>
                <w:color w:val="auto"/>
              </w:rPr>
            </w:pPr>
            <w:r>
              <w:rPr>
                <w:rFonts w:ascii="Arial" w:cs="Arial" w:eastAsia="Arial" w:hAnsi="Arial"/>
                <w:sz w:val="13"/>
                <w:szCs w:val="13"/>
                <w:b w:val="1"/>
                <w:bCs w:val="1"/>
                <w:color w:val="auto"/>
              </w:rPr>
              <w:t>Industry</w:t>
            </w:r>
          </w:p>
        </w:tc>
        <w:tc>
          <w:tcPr>
            <w:tcW w:w="12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Spread / Floor (d)</w:t>
            </w: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1"/>
              </w:rPr>
              <w:t>Cash/PIK</w:t>
            </w:r>
          </w:p>
        </w:tc>
        <w:tc>
          <w:tcPr>
            <w:tcW w:w="700" w:type="dxa"/>
            <w:vAlign w:val="bottom"/>
            <w:gridSpan w:val="2"/>
          </w:tcPr>
          <w:p>
            <w:pPr>
              <w:ind w:left="100"/>
              <w:spacing w:after="0"/>
              <w:rPr>
                <w:sz w:val="20"/>
                <w:szCs w:val="20"/>
                <w:color w:val="auto"/>
              </w:rPr>
            </w:pPr>
            <w:r>
              <w:rPr>
                <w:rFonts w:ascii="Arial" w:cs="Arial" w:eastAsia="Arial" w:hAnsi="Arial"/>
                <w:sz w:val="13"/>
                <w:szCs w:val="13"/>
                <w:b w:val="1"/>
                <w:bCs w:val="1"/>
                <w:color w:val="auto"/>
              </w:rPr>
              <w:t>Date (f)</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Maturity</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4"/>
                <w:szCs w:val="14"/>
                <w:color w:val="auto"/>
              </w:rPr>
            </w:pPr>
          </w:p>
        </w:tc>
        <w:tc>
          <w:tcPr>
            <w:tcW w:w="540" w:type="dxa"/>
            <w:vAlign w:val="bottom"/>
            <w:gridSpan w:val="2"/>
          </w:tcPr>
          <w:p>
            <w:pPr>
              <w:ind w:left="80"/>
              <w:spacing w:after="0"/>
              <w:rPr>
                <w:sz w:val="20"/>
                <w:szCs w:val="20"/>
                <w:color w:val="auto"/>
              </w:rPr>
            </w:pPr>
            <w:r>
              <w:rPr>
                <w:rFonts w:ascii="Arial" w:cs="Arial" w:eastAsia="Arial" w:hAnsi="Arial"/>
                <w:sz w:val="13"/>
                <w:szCs w:val="13"/>
                <w:b w:val="1"/>
                <w:bCs w:val="1"/>
                <w:color w:val="auto"/>
              </w:rPr>
              <w:t>Cost</w:t>
            </w:r>
          </w:p>
        </w:tc>
        <w:tc>
          <w:tcPr>
            <w:tcW w:w="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Value (g)</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0"/>
              </w:rPr>
              <w:t>Net Assets</w:t>
            </w:r>
          </w:p>
        </w:tc>
      </w:tr>
      <w:tr>
        <w:trPr>
          <w:trHeight w:val="108"/>
        </w:trPr>
        <w:tc>
          <w:tcPr>
            <w:tcW w:w="2340" w:type="dxa"/>
            <w:vAlign w:val="bottom"/>
            <w:tcBorders>
              <w:top w:val="single" w:sz="8" w:color="CCEEFF"/>
              <w:bottom w:val="single" w:sz="8" w:color="auto"/>
            </w:tcBorders>
            <w:gridSpan w:val="2"/>
            <w:shd w:val="clear" w:color="auto" w:fill="CCEEFF"/>
          </w:tcPr>
          <w:p>
            <w:pPr>
              <w:spacing w:after="0" w:line="109" w:lineRule="exact"/>
              <w:rPr>
                <w:sz w:val="20"/>
                <w:szCs w:val="20"/>
                <w:color w:val="auto"/>
              </w:rPr>
            </w:pPr>
            <w:r>
              <w:rPr>
                <w:rFonts w:ascii="Arial" w:cs="Arial" w:eastAsia="Arial" w:hAnsi="Arial"/>
                <w:sz w:val="12"/>
                <w:szCs w:val="12"/>
                <w:b w:val="1"/>
                <w:bCs w:val="1"/>
                <w:color w:val="auto"/>
              </w:rPr>
              <w:t>Non-control/Non-affiliate Investments</w:t>
            </w:r>
          </w:p>
        </w:tc>
        <w:tc>
          <w:tcPr>
            <w:tcW w:w="50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90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20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78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62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500" w:type="dxa"/>
            <w:vAlign w:val="bottom"/>
            <w:tcBorders>
              <w:top w:val="single" w:sz="8" w:color="auto"/>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42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500" w:type="dxa"/>
            <w:vAlign w:val="bottom"/>
            <w:tcBorders>
              <w:top w:val="single" w:sz="8" w:color="auto"/>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r>
      <w:tr>
        <w:trPr>
          <w:trHeight w:val="128"/>
        </w:trPr>
        <w:tc>
          <w:tcPr>
            <w:tcW w:w="2840" w:type="dxa"/>
            <w:vAlign w:val="bottom"/>
            <w:gridSpan w:val="3"/>
          </w:tcPr>
          <w:p>
            <w:pPr>
              <w:spacing w:after="0" w:line="129" w:lineRule="exact"/>
              <w:rPr>
                <w:sz w:val="20"/>
                <w:szCs w:val="20"/>
                <w:color w:val="auto"/>
              </w:rPr>
            </w:pPr>
            <w:r>
              <w:rPr>
                <w:rFonts w:ascii="Arial" w:cs="Arial" w:eastAsia="Arial" w:hAnsi="Arial"/>
                <w:sz w:val="13"/>
                <w:szCs w:val="13"/>
                <w:i w:val="1"/>
                <w:iCs w:val="1"/>
                <w:color w:val="auto"/>
              </w:rPr>
              <w:t>Accent Food Services, LLC</w:t>
            </w:r>
          </w:p>
        </w:tc>
        <w:tc>
          <w:tcPr>
            <w:tcW w:w="2120" w:type="dxa"/>
            <w:vAlign w:val="bottom"/>
            <w:gridSpan w:val="3"/>
          </w:tcPr>
          <w:p>
            <w:pPr>
              <w:ind w:left="120"/>
              <w:spacing w:after="0" w:line="129" w:lineRule="exact"/>
              <w:rPr>
                <w:sz w:val="20"/>
                <w:szCs w:val="20"/>
                <w:color w:val="auto"/>
              </w:rPr>
            </w:pPr>
            <w:r>
              <w:rPr>
                <w:rFonts w:ascii="Arial" w:cs="Arial" w:eastAsia="Arial" w:hAnsi="Arial"/>
                <w:sz w:val="13"/>
                <w:szCs w:val="13"/>
                <w:color w:val="auto"/>
                <w:w w:val="99"/>
              </w:rPr>
              <w:t>Vending Equipment Manufacturing</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(k)(p)</w:t>
            </w: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10.00%/5.00%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11/30/2016</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5/30/2022</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8"/>
              </w:rPr>
              <w:t>$  33,842</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$33,760</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4"/>
              </w:rPr>
              <w:t>$ 31,626</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(j)(p)</w:t>
            </w:r>
          </w:p>
        </w:tc>
        <w:tc>
          <w:tcPr>
            <w:tcW w:w="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8"/>
              </w:rPr>
              <w:t>000%/17.00%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6/28/2019</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5/30/2022</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1,567</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1,567</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1,441</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(7,885 units) (h)(j)</w:t>
            </w: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11/30/2016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800</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227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36,127</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33,294</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8%</w:t>
            </w:r>
          </w:p>
        </w:tc>
      </w:tr>
      <w:tr>
        <w:trPr>
          <w:trHeight w:val="135"/>
        </w:trPr>
        <w:tc>
          <w:tcPr>
            <w:tcW w:w="28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Allied 100 Group, Inc.</w:t>
            </w:r>
          </w:p>
        </w:tc>
        <w:tc>
          <w:tcPr>
            <w:tcW w:w="212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Healthcare Products</w:t>
            </w: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9"/>
              </w:rPr>
              <w:t>11.25%/0.00%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7/31/2019</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5/26/2023</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21,500</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21,405</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21,405</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(1,250,000 units) (j)</w:t>
            </w: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11/26/2014</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1,250</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1,465</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22,655</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22,870</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6%</w:t>
            </w:r>
          </w:p>
        </w:tc>
      </w:tr>
      <w:tr>
        <w:trPr>
          <w:trHeight w:val="135"/>
        </w:trPr>
        <w:tc>
          <w:tcPr>
            <w:tcW w:w="28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w w:val="97"/>
              </w:rPr>
              <w:t>Alzheimer’s Research and Treatment Center, LLC</w:t>
            </w:r>
          </w:p>
        </w:tc>
        <w:tc>
          <w:tcPr>
            <w:tcW w:w="212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Healthcare Services</w:t>
            </w: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(j)(w)</w:t>
            </w:r>
          </w:p>
        </w:tc>
        <w:tc>
          <w:tcPr>
            <w:tcW w:w="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90"/>
              </w:rPr>
              <w:t>(L + 5.75%) / (2.00%)</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7.75%/0.00%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w w:val="92"/>
              </w:rPr>
              <w:t>10/23/2018</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6"/>
              </w:rPr>
              <w:t>10/23/2023</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6,500</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6,461</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6,500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 units) (h)(j)</w:t>
            </w: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10/23/2018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1,000</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1,406</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7,461</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7,906</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21"/>
        </w:trPr>
        <w:tc>
          <w:tcPr>
            <w:tcW w:w="284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i w:val="1"/>
                <w:iCs w:val="1"/>
                <w:color w:val="auto"/>
                <w:w w:val="93"/>
              </w:rPr>
              <w:t>American AllWaste LLC (dba WasteWater Transport</w:t>
            </w:r>
          </w:p>
        </w:tc>
        <w:tc>
          <w:tcPr>
            <w:tcW w:w="2120" w:type="dxa"/>
            <w:vAlign w:val="bottom"/>
            <w:gridSpan w:val="3"/>
            <w:shd w:val="clear" w:color="auto" w:fill="CCEEFF"/>
          </w:tcPr>
          <w:p>
            <w:pPr>
              <w:ind w:left="120"/>
              <w:spacing w:after="0" w:line="121" w:lineRule="exact"/>
              <w:rPr>
                <w:sz w:val="20"/>
                <w:szCs w:val="20"/>
                <w:color w:val="auto"/>
              </w:rPr>
            </w:pPr>
            <w:r>
              <w:rPr>
                <w:rFonts w:ascii="Arial" w:cs="Arial" w:eastAsia="Arial" w:hAnsi="Arial"/>
                <w:sz w:val="13"/>
                <w:szCs w:val="13"/>
                <w:color w:val="auto"/>
              </w:rPr>
              <w:t>Environmental Industries</w:t>
            </w: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49"/>
        </w:trPr>
        <w:tc>
          <w:tcPr>
            <w:tcW w:w="2840" w:type="dxa"/>
            <w:vAlign w:val="bottom"/>
            <w:gridSpan w:val="3"/>
            <w:shd w:val="clear" w:color="auto" w:fill="CCEEFF"/>
          </w:tcPr>
          <w:p>
            <w:pPr>
              <w:ind w:left="120"/>
              <w:spacing w:after="0"/>
              <w:rPr>
                <w:sz w:val="20"/>
                <w:szCs w:val="20"/>
                <w:color w:val="auto"/>
              </w:rPr>
            </w:pPr>
            <w:r>
              <w:rPr>
                <w:rFonts w:ascii="Arial" w:cs="Arial" w:eastAsia="Arial" w:hAnsi="Arial"/>
                <w:sz w:val="13"/>
                <w:szCs w:val="13"/>
                <w:i w:val="1"/>
                <w:iCs w:val="1"/>
                <w:color w:val="auto"/>
              </w:rPr>
              <w:t>Services)</w:t>
            </w:r>
          </w:p>
        </w:tc>
        <w:tc>
          <w:tcPr>
            <w:tcW w:w="1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35"/>
        </w:trPr>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9"/>
              </w:rPr>
              <w:t>(L + 11.00%) / (2.00%)</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9"/>
              </w:rPr>
              <w:t>13.00%/0.00%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5/31/2018</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6"/>
              </w:rPr>
              <w:t>11/30/2023</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17,503</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17,411</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17,503</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(500 units) (h)(j)</w:t>
            </w: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5/31/2018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500</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540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(207 units) (h)(j)</w:t>
            </w:r>
          </w:p>
        </w:tc>
        <w:tc>
          <w:tcPr>
            <w:tcW w:w="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8/6/2019</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250</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250</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18,161</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18,293</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r>
      <w:tr>
        <w:trPr>
          <w:trHeight w:val="135"/>
        </w:trPr>
        <w:tc>
          <w:tcPr>
            <w:tcW w:w="28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Argo Turboserve Corporation</w:t>
            </w:r>
          </w:p>
        </w:tc>
        <w:tc>
          <w:tcPr>
            <w:tcW w:w="212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Business Services</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89"/>
              </w:rPr>
              <w:t>(L + 9.75%) / (200%)</w:t>
            </w: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11.84%/0.00%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12/26/2018</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6/28/2023</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14,156</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14,098</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14,156</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243"/>
        </w:trPr>
        <w:tc>
          <w:tcPr>
            <w:tcW w:w="2840" w:type="dxa"/>
            <w:vAlign w:val="bottom"/>
            <w:gridSpan w:val="3"/>
          </w:tcPr>
          <w:p>
            <w:pPr>
              <w:spacing w:after="0"/>
              <w:rPr>
                <w:sz w:val="20"/>
                <w:szCs w:val="20"/>
                <w:color w:val="auto"/>
              </w:rPr>
            </w:pPr>
            <w:r>
              <w:rPr>
                <w:rFonts w:ascii="Arial" w:cs="Arial" w:eastAsia="Arial" w:hAnsi="Arial"/>
                <w:sz w:val="13"/>
                <w:szCs w:val="13"/>
                <w:i w:val="1"/>
                <w:iCs w:val="1"/>
                <w:color w:val="auto"/>
              </w:rPr>
              <w:t>AVC Investors, LLC (dba Auveco)</w:t>
            </w:r>
          </w:p>
        </w:tc>
        <w:tc>
          <w:tcPr>
            <w:tcW w:w="2120" w:type="dxa"/>
            <w:vAlign w:val="bottom"/>
            <w:gridSpan w:val="3"/>
          </w:tcPr>
          <w:p>
            <w:pPr>
              <w:ind w:left="120"/>
              <w:spacing w:after="0"/>
              <w:rPr>
                <w:sz w:val="20"/>
                <w:szCs w:val="20"/>
                <w:color w:val="auto"/>
              </w:rPr>
            </w:pPr>
            <w:r>
              <w:rPr>
                <w:rFonts w:ascii="Arial" w:cs="Arial" w:eastAsia="Arial" w:hAnsi="Arial"/>
                <w:sz w:val="13"/>
                <w:szCs w:val="13"/>
                <w:color w:val="auto"/>
              </w:rPr>
              <w:t>Specialty Distribution</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35"/>
        </w:trPr>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11.50%/0.00%.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1/3/2018</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7/3/2023</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22,500</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22,427</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22,500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(5,000 units) (j)</w:t>
            </w:r>
          </w:p>
        </w:tc>
        <w:tc>
          <w:tcPr>
            <w:tcW w:w="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1/3/2018</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490</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776</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22,917</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23,276</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w:t>
            </w:r>
          </w:p>
        </w:tc>
      </w:tr>
      <w:tr>
        <w:trPr>
          <w:trHeight w:val="135"/>
        </w:trPr>
        <w:tc>
          <w:tcPr>
            <w:tcW w:w="28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B&amp;B Roadway and Security Solutions, LLC</w:t>
            </w:r>
          </w:p>
        </w:tc>
        <w:tc>
          <w:tcPr>
            <w:tcW w:w="212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Component Manufacturing</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10.50%/3.50%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2/27/2018</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8/27/2023</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10,493</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10,456</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9,569</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(50,000 units) (h)(j)</w:t>
            </w:r>
          </w:p>
        </w:tc>
        <w:tc>
          <w:tcPr>
            <w:tcW w:w="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2/27/2018</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200</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10,956</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9,769</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r>
      <w:tr>
        <w:trPr>
          <w:trHeight w:val="135"/>
        </w:trPr>
        <w:tc>
          <w:tcPr>
            <w:tcW w:w="28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Bandon Fitness (Texas), Inc.</w:t>
            </w:r>
          </w:p>
        </w:tc>
        <w:tc>
          <w:tcPr>
            <w:tcW w:w="212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Retail</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(j)(z)</w:t>
            </w: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90"/>
              </w:rPr>
              <w:t>(L + 6.00%) / (2.25%)</w:t>
            </w: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8.25%/0.00%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8/9/2019</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8/9/2024</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13,250</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12,785</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12,785</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(497,549 units) (j)</w:t>
            </w:r>
          </w:p>
        </w:tc>
        <w:tc>
          <w:tcPr>
            <w:tcW w:w="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8/9/2019</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849</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849</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13,634</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13,634</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28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BCC Group Holdings, Inc.</w:t>
            </w:r>
          </w:p>
        </w:tc>
        <w:tc>
          <w:tcPr>
            <w:tcW w:w="212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Information Technology Services</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w:t>
            </w: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11.00%/1.00%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1/28/2019</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4/11/2023</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18,167</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18,027</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18,167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Equity(451 shares)</w:t>
            </w:r>
          </w:p>
        </w:tc>
        <w:tc>
          <w:tcPr>
            <w:tcW w:w="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1/28/2019</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232</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167</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(14 shares)</w:t>
            </w: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1/28/2019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143</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143</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18,402</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18,477</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4%</w:t>
            </w:r>
          </w:p>
        </w:tc>
      </w:tr>
      <w:tr>
        <w:trPr>
          <w:trHeight w:val="135"/>
        </w:trPr>
        <w:tc>
          <w:tcPr>
            <w:tcW w:w="28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BCM One Group Holdings, Inc.</w:t>
            </w:r>
          </w:p>
        </w:tc>
        <w:tc>
          <w:tcPr>
            <w:tcW w:w="212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Information Technology Services</w:t>
            </w: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9"/>
              </w:rPr>
              <w:t>11.00%/0.00%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1/3/2019</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7/3/2024</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27,000</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26,888</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27,000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(2,286 shares)</w:t>
            </w: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1/3/2019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332</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(133 shares)</w:t>
            </w:r>
          </w:p>
        </w:tc>
        <w:tc>
          <w:tcPr>
            <w:tcW w:w="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1/3/2019</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1,330</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1,330</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28,220</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28,662</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w:t>
            </w:r>
          </w:p>
        </w:tc>
      </w:tr>
      <w:tr>
        <w:trPr>
          <w:trHeight w:val="135"/>
        </w:trPr>
        <w:tc>
          <w:tcPr>
            <w:tcW w:w="28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Bedford Precision Parts LLC</w:t>
            </w:r>
          </w:p>
        </w:tc>
        <w:tc>
          <w:tcPr>
            <w:tcW w:w="212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Specialty Distribution</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(j)(s)</w:t>
            </w: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90"/>
              </w:rPr>
              <w:t>(L + 6.25%) / (2.00%)</w:t>
            </w: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8.25%/0.00%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3/12/2019</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3/12/2024</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5,000</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4,969</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(500,000 units)(h)(j)</w:t>
            </w:r>
          </w:p>
        </w:tc>
        <w:tc>
          <w:tcPr>
            <w:tcW w:w="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3/12/2019</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445</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5,469</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5,445</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r>
      <w:tr>
        <w:trPr>
          <w:trHeight w:val="135"/>
        </w:trPr>
        <w:tc>
          <w:tcPr>
            <w:tcW w:w="28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w w:val="91"/>
              </w:rPr>
              <w:t>Cardboard Box LLC (dba Anthony’s Coal Fired Pizza)</w:t>
            </w:r>
          </w:p>
        </w:tc>
        <w:tc>
          <w:tcPr>
            <w:tcW w:w="212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Restaurants</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(521,021 units) (j)</w:t>
            </w: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12/15/2015</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521</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113</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Preferred Equity (99,889 units)(j)</w:t>
            </w:r>
          </w:p>
        </w:tc>
        <w:tc>
          <w:tcPr>
            <w:tcW w:w="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12/6/2019</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49</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146</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570</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259</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135"/>
        </w:trPr>
        <w:tc>
          <w:tcPr>
            <w:tcW w:w="2840" w:type="dxa"/>
            <w:vAlign w:val="bottom"/>
            <w:gridSpan w:val="3"/>
          </w:tcPr>
          <w:p>
            <w:pPr>
              <w:spacing w:after="0" w:line="135" w:lineRule="exact"/>
              <w:rPr>
                <w:sz w:val="20"/>
                <w:szCs w:val="20"/>
                <w:color w:val="auto"/>
              </w:rPr>
            </w:pPr>
            <w:r>
              <w:rPr>
                <w:rFonts w:ascii="Arial" w:cs="Arial" w:eastAsia="Arial" w:hAnsi="Arial"/>
                <w:sz w:val="13"/>
                <w:szCs w:val="13"/>
                <w:i w:val="1"/>
                <w:iCs w:val="1"/>
                <w:color w:val="auto"/>
              </w:rPr>
              <w:t>Control Scan, Inc.</w:t>
            </w:r>
          </w:p>
        </w:tc>
        <w:tc>
          <w:tcPr>
            <w:tcW w:w="212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Information Technology Services</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11.00%/0.00%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7/28/2017</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1/28/2023</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6,750</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6,731</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6,750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Common Equity (3,704 shares)(j)</w:t>
            </w:r>
          </w:p>
        </w:tc>
        <w:tc>
          <w:tcPr>
            <w:tcW w:w="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7/28/2017</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4</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624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(100 shares) (j)</w:t>
            </w: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7/28/2017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996</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996</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7,731</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8,370</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35"/>
        </w:trPr>
        <w:tc>
          <w:tcPr>
            <w:tcW w:w="28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CRS Solutions Holdings, LLC (dba CRS Texas)</w:t>
            </w:r>
          </w:p>
        </w:tc>
        <w:tc>
          <w:tcPr>
            <w:tcW w:w="212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Business Services</w:t>
            </w: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9"/>
              </w:rPr>
              <w:t>10.50%/1.00%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3/14/2018</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9/14/2023</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9,166</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9,136</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9,166</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(750,000 units) (h)(j)</w:t>
            </w: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3/14/2018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750</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822</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9,886</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9,988</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35"/>
        </w:trPr>
        <w:tc>
          <w:tcPr>
            <w:tcW w:w="28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Diversified Search LLC</w:t>
            </w:r>
          </w:p>
        </w:tc>
        <w:tc>
          <w:tcPr>
            <w:tcW w:w="212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Business Services</w:t>
            </w: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First Lien Debt (k)(r)</w:t>
            </w:r>
          </w:p>
        </w:tc>
        <w:tc>
          <w:tcPr>
            <w:tcW w:w="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80"/>
              <w:spacing w:after="0" w:line="135" w:lineRule="exact"/>
              <w:rPr>
                <w:sz w:val="20"/>
                <w:szCs w:val="20"/>
                <w:color w:val="auto"/>
              </w:rPr>
            </w:pPr>
            <w:r>
              <w:rPr>
                <w:rFonts w:ascii="Arial" w:cs="Arial" w:eastAsia="Arial" w:hAnsi="Arial"/>
                <w:sz w:val="13"/>
                <w:szCs w:val="13"/>
                <w:color w:val="auto"/>
                <w:w w:val="90"/>
              </w:rPr>
              <w:t>(L + 5.75%) / (1.75%)</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7.69%/0.00%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2/7/2019</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2/7/2024</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15,155</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14,939</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15,155</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(573 units) (h)(j)</w:t>
            </w: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2/7/2019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593</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724</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15,532</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15,879</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4%</w:t>
            </w:r>
          </w:p>
        </w:tc>
      </w:tr>
      <w:tr>
        <w:trPr>
          <w:trHeight w:val="135"/>
        </w:trPr>
        <w:tc>
          <w:tcPr>
            <w:tcW w:w="28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EBL, LLC (Eb Lens)</w:t>
            </w:r>
          </w:p>
        </w:tc>
        <w:tc>
          <w:tcPr>
            <w:tcW w:w="212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Retail</w:t>
            </w: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284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9"/>
              </w:rPr>
              <w:t>12.00%/1.00%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7/13/2017</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1/13/2023</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9,484</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9,433</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9,484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2840" w:type="dxa"/>
            <w:vAlign w:val="bottom"/>
            <w:gridSpan w:val="3"/>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(75,000 units) (j)</w:t>
            </w:r>
          </w:p>
        </w:tc>
        <w:tc>
          <w:tcPr>
            <w:tcW w:w="1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7/13/2017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750</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669</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4"/>
        </w:trPr>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10,183</w:t>
            </w:r>
          </w:p>
        </w:tc>
        <w:tc>
          <w:tcPr>
            <w:tcW w:w="12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10,153</w:t>
            </w:r>
          </w:p>
        </w:tc>
        <w:tc>
          <w:tcPr>
            <w:tcW w:w="12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3%</w:t>
            </w:r>
          </w:p>
        </w:tc>
      </w:tr>
    </w:tbl>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Consolidated Schedule of Investments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ectPr>
          <w:pgSz w:w="11900" w:h="16838" w:orient="portrait"/>
          <w:cols w:equalWidth="0" w:num="1">
            <w:col w:w="11140"/>
          </w:cols>
          <w:pgMar w:left="320" w:top="459" w:right="439" w:bottom="1440" w:gutter="0" w:footer="0" w:header="0"/>
        </w:sect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Portfolio Company (a)(b)</w:t>
      </w:r>
    </w:p>
    <w:p>
      <w:pPr>
        <w:ind w:left="120"/>
        <w:spacing w:after="0"/>
        <w:rPr>
          <w:sz w:val="20"/>
          <w:szCs w:val="20"/>
          <w:color w:val="auto"/>
        </w:rPr>
      </w:pPr>
      <w:r>
        <w:rPr>
          <w:rFonts w:ascii="Arial" w:cs="Arial" w:eastAsia="Arial" w:hAnsi="Arial"/>
          <w:sz w:val="13"/>
          <w:szCs w:val="13"/>
          <w:b w:val="1"/>
          <w:bCs w:val="1"/>
          <w:u w:val="single" w:color="auto"/>
          <w:color w:val="auto"/>
        </w:rPr>
        <w:t>Investment Type (c)</w:t>
      </w:r>
    </w:p>
    <w:p>
      <w:pPr>
        <w:ind w:left="120"/>
        <w:spacing w:after="0"/>
        <w:rPr>
          <w:sz w:val="20"/>
          <w:szCs w:val="20"/>
          <w:color w:val="auto"/>
        </w:rPr>
      </w:pPr>
      <w:r>
        <w:rPr>
          <w:rFonts w:ascii="Arial" w:cs="Arial" w:eastAsia="Arial" w:hAnsi="Arial"/>
          <w:sz w:val="13"/>
          <w:szCs w:val="13"/>
          <w:i w:val="1"/>
          <w:iCs w:val="1"/>
          <w:color w:val="auto"/>
        </w:rPr>
        <w:t>French Transit, LLC</w:t>
      </w:r>
    </w:p>
    <w:p>
      <w:pPr>
        <w:ind w:left="360"/>
        <w:spacing w:after="0" w:line="216" w:lineRule="auto"/>
        <w:rPr>
          <w:sz w:val="20"/>
          <w:szCs w:val="20"/>
          <w:color w:val="auto"/>
        </w:rPr>
      </w:pPr>
      <w:r>
        <w:rPr>
          <w:rFonts w:ascii="Arial" w:cs="Arial" w:eastAsia="Arial" w:hAnsi="Arial"/>
          <w:sz w:val="13"/>
          <w:szCs w:val="13"/>
          <w:color w:val="auto"/>
        </w:rPr>
        <w:t>First Lien Debt (j)</w:t>
      </w:r>
    </w:p>
    <w:p>
      <w:pPr>
        <w:jc w:val="right"/>
        <w:spacing w:after="0" w:line="224" w:lineRule="auto"/>
        <w:rPr>
          <w:sz w:val="20"/>
          <w:szCs w:val="20"/>
          <w:color w:val="auto"/>
        </w:rPr>
      </w:pPr>
      <w:r>
        <w:rPr>
          <w:rFonts w:ascii="Arial" w:cs="Arial" w:eastAsia="Arial" w:hAnsi="Arial"/>
          <w:sz w:val="13"/>
          <w:szCs w:val="13"/>
          <w:color w:val="auto"/>
        </w:rPr>
        <w:t>Revolving Loan ($1,000 commitment) (j)(u)</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740" w:type="dxa"/>
            <w:vAlign w:val="bottom"/>
            <w:gridSpan w:val="2"/>
          </w:tcPr>
          <w:p>
            <w:pPr>
              <w:jc w:val="center"/>
              <w:ind w:left="217"/>
              <w:spacing w:after="0"/>
              <w:rPr>
                <w:sz w:val="20"/>
                <w:szCs w:val="20"/>
                <w:color w:val="auto"/>
              </w:rPr>
            </w:pPr>
            <w:r>
              <w:rPr>
                <w:rFonts w:ascii="Arial" w:cs="Arial" w:eastAsia="Arial" w:hAnsi="Arial"/>
                <w:sz w:val="13"/>
                <w:szCs w:val="13"/>
                <w:b w:val="1"/>
                <w:bCs w:val="1"/>
                <w:color w:val="auto"/>
                <w:w w:val="88"/>
              </w:rPr>
              <w:t>Variable Index</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8"/>
              </w:rPr>
              <w:t>Rate (e)</w:t>
            </w:r>
          </w:p>
        </w:tc>
        <w:tc>
          <w:tcPr>
            <w:tcW w:w="10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w w:val="99"/>
              </w:rPr>
              <w:t>Investment</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Principal</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Fair</w:t>
            </w:r>
          </w:p>
        </w:tc>
        <w:tc>
          <w:tcPr>
            <w:tcW w:w="560" w:type="dxa"/>
            <w:vAlign w:val="bottom"/>
          </w:tcPr>
          <w:p>
            <w:pPr>
              <w:ind w:left="20"/>
              <w:spacing w:after="0"/>
              <w:rPr>
                <w:sz w:val="20"/>
                <w:szCs w:val="20"/>
                <w:color w:val="auto"/>
              </w:rPr>
            </w:pPr>
            <w:r>
              <w:rPr>
                <w:rFonts w:ascii="Arial" w:cs="Arial" w:eastAsia="Arial" w:hAnsi="Arial"/>
                <w:sz w:val="13"/>
                <w:szCs w:val="13"/>
                <w:b w:val="1"/>
                <w:bCs w:val="1"/>
                <w:color w:val="auto"/>
                <w:w w:val="81"/>
              </w:rPr>
              <w:t>Percent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40" w:type="dxa"/>
            <w:vAlign w:val="bottom"/>
            <w:tcBorders>
              <w:bottom w:val="single" w:sz="8" w:color="auto"/>
            </w:tcBorders>
          </w:tcPr>
          <w:p>
            <w:pPr>
              <w:ind w:left="720"/>
              <w:spacing w:after="0"/>
              <w:rPr>
                <w:sz w:val="20"/>
                <w:szCs w:val="20"/>
                <w:color w:val="auto"/>
              </w:rPr>
            </w:pPr>
            <w:r>
              <w:rPr>
                <w:rFonts w:ascii="Arial" w:cs="Arial" w:eastAsia="Arial" w:hAnsi="Arial"/>
                <w:sz w:val="13"/>
                <w:szCs w:val="13"/>
                <w:b w:val="1"/>
                <w:bCs w:val="1"/>
                <w:color w:val="auto"/>
              </w:rPr>
              <w:t>Industry</w:t>
            </w:r>
          </w:p>
        </w:tc>
        <w:tc>
          <w:tcPr>
            <w:tcW w:w="1640" w:type="dxa"/>
            <w:vAlign w:val="bottom"/>
            <w:tcBorders>
              <w:bottom w:val="single" w:sz="8" w:color="auto"/>
            </w:tcBorders>
          </w:tcPr>
          <w:p>
            <w:pPr>
              <w:jc w:val="center"/>
              <w:ind w:left="317"/>
              <w:spacing w:after="0"/>
              <w:rPr>
                <w:sz w:val="20"/>
                <w:szCs w:val="20"/>
                <w:color w:val="auto"/>
              </w:rPr>
            </w:pPr>
            <w:r>
              <w:rPr>
                <w:rFonts w:ascii="Arial" w:cs="Arial" w:eastAsia="Arial" w:hAnsi="Arial"/>
                <w:sz w:val="13"/>
                <w:szCs w:val="13"/>
                <w:b w:val="1"/>
                <w:bCs w:val="1"/>
                <w:color w:val="auto"/>
                <w:w w:val="87"/>
              </w:rPr>
              <w:t>Spread / Floor (d)</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Cash/PIK</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Date (f)</w:t>
            </w:r>
          </w:p>
        </w:tc>
        <w:tc>
          <w:tcPr>
            <w:tcW w:w="80" w:type="dxa"/>
            <w:vAlign w:val="bottom"/>
          </w:tcPr>
          <w:p>
            <w:pPr>
              <w:spacing w:after="0"/>
              <w:rPr>
                <w:sz w:val="14"/>
                <w:szCs w:val="14"/>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8"/>
              </w:rPr>
              <w:t>Maturity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4"/>
                <w:szCs w:val="14"/>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Value (g)</w:t>
            </w:r>
          </w:p>
        </w:tc>
        <w:tc>
          <w:tcPr>
            <w:tcW w:w="120" w:type="dxa"/>
            <w:vAlign w:val="bottom"/>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77"/>
              </w:rPr>
              <w:t>Net Assets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40" w:type="dxa"/>
            <w:vAlign w:val="bottom"/>
          </w:tcPr>
          <w:p>
            <w:pPr>
              <w:spacing w:after="0"/>
              <w:rPr>
                <w:sz w:val="20"/>
                <w:szCs w:val="20"/>
                <w:color w:val="auto"/>
              </w:rPr>
            </w:pPr>
            <w:r>
              <w:rPr>
                <w:rFonts w:ascii="Arial" w:cs="Arial" w:eastAsia="Arial" w:hAnsi="Arial"/>
                <w:sz w:val="13"/>
                <w:szCs w:val="13"/>
                <w:color w:val="auto"/>
              </w:rPr>
              <w:t>Consumer Products</w:t>
            </w:r>
          </w:p>
        </w:tc>
        <w:tc>
          <w:tcPr>
            <w:tcW w:w="1740" w:type="dxa"/>
            <w:vAlign w:val="bottom"/>
            <w:gridSpan w:val="2"/>
            <w:vMerge w:val="restart"/>
          </w:tcPr>
          <w:p>
            <w:pPr>
              <w:jc w:val="center"/>
              <w:ind w:left="217"/>
              <w:spacing w:after="0"/>
              <w:rPr>
                <w:sz w:val="20"/>
                <w:szCs w:val="20"/>
                <w:color w:val="auto"/>
              </w:rPr>
            </w:pPr>
            <w:r>
              <w:rPr>
                <w:rFonts w:ascii="Arial" w:cs="Arial" w:eastAsia="Arial" w:hAnsi="Arial"/>
                <w:sz w:val="13"/>
                <w:szCs w:val="13"/>
                <w:color w:val="auto"/>
                <w:w w:val="91"/>
              </w:rPr>
              <w:t>(L + 9.00%) / (2.25%)</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7"/>
              </w:rPr>
              <w:t>11.25%/0.00%</w:t>
            </w:r>
          </w:p>
        </w:tc>
        <w:tc>
          <w:tcPr>
            <w:tcW w:w="720" w:type="dxa"/>
            <w:vAlign w:val="bottom"/>
            <w:gridSpan w:val="2"/>
            <w:vMerge w:val="restart"/>
          </w:tcPr>
          <w:p>
            <w:pPr>
              <w:jc w:val="right"/>
              <w:ind w:right="37"/>
              <w:spacing w:after="0"/>
              <w:rPr>
                <w:sz w:val="20"/>
                <w:szCs w:val="20"/>
                <w:color w:val="auto"/>
              </w:rPr>
            </w:pPr>
            <w:r>
              <w:rPr>
                <w:rFonts w:ascii="Arial" w:cs="Arial" w:eastAsia="Arial" w:hAnsi="Arial"/>
                <w:sz w:val="13"/>
                <w:szCs w:val="13"/>
                <w:color w:val="auto"/>
              </w:rPr>
              <w:t>6/21/2019</w:t>
            </w:r>
          </w:p>
        </w:tc>
        <w:tc>
          <w:tcPr>
            <w:tcW w:w="80" w:type="dxa"/>
            <w:vAlign w:val="bottom"/>
          </w:tcPr>
          <w:p>
            <w:pPr>
              <w:spacing w:after="0"/>
              <w:rPr>
                <w:sz w:val="13"/>
                <w:szCs w:val="13"/>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w w:val="96"/>
              </w:rPr>
              <w:t>6/21/2024</w:t>
            </w:r>
          </w:p>
        </w:tc>
        <w:tc>
          <w:tcPr>
            <w:tcW w:w="680" w:type="dxa"/>
            <w:vAlign w:val="bottom"/>
            <w:gridSpan w:val="3"/>
            <w:vMerge w:val="restart"/>
          </w:tcPr>
          <w:p>
            <w:pPr>
              <w:jc w:val="center"/>
              <w:ind w:right="100"/>
              <w:spacing w:after="0"/>
              <w:rPr>
                <w:sz w:val="20"/>
                <w:szCs w:val="20"/>
                <w:color w:val="auto"/>
              </w:rPr>
            </w:pPr>
            <w:r>
              <w:rPr>
                <w:rFonts w:ascii="Arial" w:cs="Arial" w:eastAsia="Arial" w:hAnsi="Arial"/>
                <w:sz w:val="13"/>
                <w:szCs w:val="13"/>
                <w:color w:val="auto"/>
                <w:w w:val="98"/>
              </w:rPr>
              <w:t>$   8,000</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w w:val="92"/>
              </w:rPr>
              <w:t>$ 7,964</w:t>
            </w: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rPr>
              <w:t>$  8,000</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740" w:type="dxa"/>
            <w:vAlign w:val="bottom"/>
            <w:gridSpan w:val="2"/>
          </w:tcPr>
          <w:p>
            <w:pPr>
              <w:jc w:val="center"/>
              <w:ind w:left="217"/>
              <w:spacing w:after="0"/>
              <w:rPr>
                <w:sz w:val="20"/>
                <w:szCs w:val="20"/>
                <w:color w:val="auto"/>
              </w:rPr>
            </w:pPr>
            <w:r>
              <w:rPr>
                <w:rFonts w:ascii="Arial" w:cs="Arial" w:eastAsia="Arial" w:hAnsi="Arial"/>
                <w:sz w:val="13"/>
                <w:szCs w:val="13"/>
                <w:color w:val="auto"/>
                <w:w w:val="91"/>
              </w:rPr>
              <w:t>(L + 9.00%) / (2.25%)</w:t>
            </w:r>
          </w:p>
        </w:tc>
        <w:tc>
          <w:tcPr>
            <w:tcW w:w="820" w:type="dxa"/>
            <w:vAlign w:val="bottom"/>
          </w:tcPr>
          <w:p>
            <w:pPr>
              <w:jc w:val="center"/>
              <w:spacing w:after="0"/>
              <w:rPr>
                <w:sz w:val="20"/>
                <w:szCs w:val="20"/>
                <w:color w:val="auto"/>
              </w:rPr>
            </w:pPr>
            <w:r>
              <w:rPr>
                <w:rFonts w:ascii="Arial" w:cs="Arial" w:eastAsia="Arial" w:hAnsi="Arial"/>
                <w:sz w:val="13"/>
                <w:szCs w:val="13"/>
                <w:color w:val="auto"/>
                <w:w w:val="87"/>
              </w:rPr>
              <w:t>11.25%/0.00%</w:t>
            </w:r>
          </w:p>
        </w:tc>
        <w:tc>
          <w:tcPr>
            <w:tcW w:w="720" w:type="dxa"/>
            <w:vAlign w:val="bottom"/>
            <w:gridSpan w:val="2"/>
          </w:tcPr>
          <w:p>
            <w:pPr>
              <w:jc w:val="right"/>
              <w:ind w:right="37"/>
              <w:spacing w:after="0"/>
              <w:rPr>
                <w:sz w:val="20"/>
                <w:szCs w:val="20"/>
                <w:color w:val="auto"/>
              </w:rPr>
            </w:pPr>
            <w:r>
              <w:rPr>
                <w:rFonts w:ascii="Arial" w:cs="Arial" w:eastAsia="Arial" w:hAnsi="Arial"/>
                <w:sz w:val="13"/>
                <w:szCs w:val="13"/>
                <w:color w:val="auto"/>
              </w:rPr>
              <w:t>6/21/2019</w:t>
            </w:r>
          </w:p>
        </w:tc>
        <w:tc>
          <w:tcPr>
            <w:tcW w:w="8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w w:val="96"/>
              </w:rPr>
              <w:t>6/21/2024</w:t>
            </w:r>
          </w:p>
        </w:tc>
        <w:tc>
          <w:tcPr>
            <w:tcW w:w="40" w:type="dxa"/>
            <w:vAlign w:val="bottom"/>
          </w:tcPr>
          <w:p>
            <w:pPr>
              <w:spacing w:after="0"/>
              <w:rPr>
                <w:sz w:val="12"/>
                <w:szCs w:val="12"/>
                <w:color w:val="auto"/>
              </w:rPr>
            </w:pPr>
          </w:p>
        </w:tc>
        <w:tc>
          <w:tcPr>
            <w:tcW w:w="64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(4)</w:t>
            </w: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-264795</wp:posOffset>
            </wp:positionV>
            <wp:extent cx="6995160" cy="93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-85090</wp:posOffset>
            </wp:positionV>
            <wp:extent cx="6995160" cy="857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600" w:space="280"/>
            <w:col w:w="826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42"/>
        </w:trPr>
        <w:tc>
          <w:tcPr>
            <w:tcW w:w="27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7,960</w:t>
            </w: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8,000</w:t>
            </w:r>
          </w:p>
        </w:tc>
        <w:tc>
          <w:tcPr>
            <w:tcW w:w="3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2%</w:t>
            </w:r>
          </w:p>
        </w:tc>
      </w:tr>
      <w:tr>
        <w:trPr>
          <w:trHeight w:val="135"/>
        </w:trPr>
        <w:tc>
          <w:tcPr>
            <w:tcW w:w="272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Global Plasma Solutions, Inc.</w:t>
            </w:r>
          </w:p>
        </w:tc>
        <w:tc>
          <w:tcPr>
            <w:tcW w:w="33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Component Manufacturing</w:t>
            </w: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35"/>
        </w:trPr>
        <w:tc>
          <w:tcPr>
            <w:tcW w:w="2720" w:type="dxa"/>
            <w:vAlign w:val="bottom"/>
          </w:tcPr>
          <w:p>
            <w:pPr>
              <w:ind w:left="240"/>
              <w:spacing w:after="0" w:line="135" w:lineRule="exact"/>
              <w:rPr>
                <w:sz w:val="20"/>
                <w:szCs w:val="20"/>
                <w:color w:val="auto"/>
              </w:rPr>
            </w:pPr>
            <w:r>
              <w:rPr>
                <w:rFonts w:ascii="Arial" w:cs="Arial" w:eastAsia="Arial" w:hAnsi="Arial"/>
                <w:sz w:val="13"/>
                <w:szCs w:val="13"/>
                <w:color w:val="auto"/>
              </w:rPr>
              <w:t>First Lien Debt (j)(v)</w:t>
            </w:r>
          </w:p>
        </w:tc>
        <w:tc>
          <w:tcPr>
            <w:tcW w:w="3380" w:type="dxa"/>
            <w:vAlign w:val="bottom"/>
          </w:tcPr>
          <w:p>
            <w:pPr>
              <w:ind w:left="2140"/>
              <w:spacing w:after="0" w:line="135" w:lineRule="exact"/>
              <w:rPr>
                <w:sz w:val="20"/>
                <w:szCs w:val="20"/>
                <w:color w:val="auto"/>
              </w:rPr>
            </w:pPr>
            <w:r>
              <w:rPr>
                <w:rFonts w:ascii="Arial" w:cs="Arial" w:eastAsia="Arial" w:hAnsi="Arial"/>
                <w:sz w:val="13"/>
                <w:szCs w:val="13"/>
                <w:color w:val="auto"/>
                <w:w w:val="98"/>
              </w:rPr>
              <w:t>(L + 5.00%) / (2.00%)</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0"/>
              </w:rPr>
              <w:t>7.10%/0.00%</w:t>
            </w: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rPr>
              <w:t>9/21/2018</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9/21/2023</w:t>
            </w:r>
          </w:p>
        </w:tc>
        <w:tc>
          <w:tcPr>
            <w:tcW w:w="6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7,071</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7,013</w:t>
            </w:r>
          </w:p>
        </w:tc>
        <w:tc>
          <w:tcPr>
            <w:tcW w:w="96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7,071</w:t>
            </w:r>
          </w:p>
        </w:tc>
        <w:tc>
          <w:tcPr>
            <w:tcW w:w="540" w:type="dxa"/>
            <w:vAlign w:val="bottom"/>
          </w:tcPr>
          <w:p>
            <w:pPr>
              <w:spacing w:after="0"/>
              <w:rPr>
                <w:sz w:val="11"/>
                <w:szCs w:val="11"/>
                <w:color w:val="auto"/>
              </w:rPr>
            </w:pPr>
          </w:p>
        </w:tc>
      </w:tr>
      <w:tr>
        <w:trPr>
          <w:trHeight w:val="135"/>
        </w:trPr>
        <w:tc>
          <w:tcPr>
            <w:tcW w:w="272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(947 shares) (j)</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9/21/2018</w:t>
            </w: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360</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399</w:t>
            </w:r>
          </w:p>
        </w:tc>
        <w:tc>
          <w:tcPr>
            <w:tcW w:w="540" w:type="dxa"/>
            <w:vAlign w:val="bottom"/>
            <w:shd w:val="clear" w:color="auto" w:fill="CCEEFF"/>
          </w:tcPr>
          <w:p>
            <w:pPr>
              <w:spacing w:after="0"/>
              <w:rPr>
                <w:sz w:val="11"/>
                <w:szCs w:val="11"/>
                <w:color w:val="auto"/>
              </w:rPr>
            </w:pPr>
          </w:p>
        </w:tc>
      </w:tr>
      <w:tr>
        <w:trPr>
          <w:trHeight w:val="142"/>
        </w:trPr>
        <w:tc>
          <w:tcPr>
            <w:tcW w:w="2720" w:type="dxa"/>
            <w:vAlign w:val="bottom"/>
          </w:tcPr>
          <w:p>
            <w:pPr>
              <w:ind w:left="240"/>
              <w:spacing w:after="0" w:line="135" w:lineRule="exact"/>
              <w:rPr>
                <w:sz w:val="20"/>
                <w:szCs w:val="20"/>
                <w:color w:val="auto"/>
              </w:rPr>
            </w:pPr>
            <w:r>
              <w:rPr>
                <w:rFonts w:ascii="Arial" w:cs="Arial" w:eastAsia="Arial" w:hAnsi="Arial"/>
                <w:sz w:val="13"/>
                <w:szCs w:val="13"/>
                <w:color w:val="auto"/>
              </w:rPr>
              <w:t>Common Equity (947 shares) (j)</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rPr>
              <w:t>9/21/2018</w:t>
            </w: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161</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72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7,388</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7,631</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135"/>
        </w:trPr>
        <w:tc>
          <w:tcPr>
            <w:tcW w:w="2720" w:type="dxa"/>
            <w:vAlign w:val="bottom"/>
          </w:tcPr>
          <w:p>
            <w:pPr>
              <w:spacing w:after="0" w:line="135" w:lineRule="exact"/>
              <w:rPr>
                <w:sz w:val="20"/>
                <w:szCs w:val="20"/>
                <w:color w:val="auto"/>
              </w:rPr>
            </w:pPr>
            <w:r>
              <w:rPr>
                <w:rFonts w:ascii="Arial" w:cs="Arial" w:eastAsia="Arial" w:hAnsi="Arial"/>
                <w:sz w:val="13"/>
                <w:szCs w:val="13"/>
                <w:i w:val="1"/>
                <w:iCs w:val="1"/>
                <w:color w:val="auto"/>
              </w:rPr>
              <w:t>Gurobi Optimization, LLC</w:t>
            </w:r>
          </w:p>
        </w:tc>
        <w:tc>
          <w:tcPr>
            <w:tcW w:w="3380" w:type="dxa"/>
            <w:vAlign w:val="bottom"/>
          </w:tcPr>
          <w:p>
            <w:pPr>
              <w:ind w:left="40"/>
              <w:spacing w:after="0" w:line="135" w:lineRule="exact"/>
              <w:rPr>
                <w:sz w:val="20"/>
                <w:szCs w:val="20"/>
                <w:color w:val="auto"/>
              </w:rPr>
            </w:pPr>
            <w:r>
              <w:rPr>
                <w:rFonts w:ascii="Arial" w:cs="Arial" w:eastAsia="Arial" w:hAnsi="Arial"/>
                <w:sz w:val="13"/>
                <w:szCs w:val="13"/>
                <w:color w:val="auto"/>
              </w:rPr>
              <w:t>Information Technology Services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72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(5 shares)</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95"/>
              </w:rPr>
              <w:t>12/19/2017</w:t>
            </w: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1,500</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3,382</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r>
      <w:tr>
        <w:trPr>
          <w:trHeight w:val="243"/>
        </w:trPr>
        <w:tc>
          <w:tcPr>
            <w:tcW w:w="2720" w:type="dxa"/>
            <w:vAlign w:val="bottom"/>
          </w:tcPr>
          <w:p>
            <w:pPr>
              <w:spacing w:after="0"/>
              <w:rPr>
                <w:sz w:val="20"/>
                <w:szCs w:val="20"/>
                <w:color w:val="auto"/>
              </w:rPr>
            </w:pPr>
            <w:r>
              <w:rPr>
                <w:rFonts w:ascii="Arial" w:cs="Arial" w:eastAsia="Arial" w:hAnsi="Arial"/>
                <w:sz w:val="13"/>
                <w:szCs w:val="13"/>
                <w:i w:val="1"/>
                <w:iCs w:val="1"/>
                <w:color w:val="auto"/>
              </w:rPr>
              <w:t>Haematologic Technologies, Inc.</w:t>
            </w:r>
          </w:p>
        </w:tc>
        <w:tc>
          <w:tcPr>
            <w:tcW w:w="3380" w:type="dxa"/>
            <w:vAlign w:val="bottom"/>
          </w:tcPr>
          <w:p>
            <w:pPr>
              <w:ind w:left="40"/>
              <w:spacing w:after="0"/>
              <w:rPr>
                <w:sz w:val="20"/>
                <w:szCs w:val="20"/>
                <w:color w:val="auto"/>
              </w:rPr>
            </w:pPr>
            <w:r>
              <w:rPr>
                <w:rFonts w:ascii="Arial" w:cs="Arial" w:eastAsia="Arial" w:hAnsi="Arial"/>
                <w:sz w:val="13"/>
                <w:szCs w:val="13"/>
                <w:color w:val="auto"/>
              </w:rPr>
              <w:t>Healthcare Services</w:t>
            </w: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135"/>
        </w:trPr>
        <w:tc>
          <w:tcPr>
            <w:tcW w:w="272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(x)</w:t>
            </w:r>
          </w:p>
        </w:tc>
        <w:tc>
          <w:tcPr>
            <w:tcW w:w="3380" w:type="dxa"/>
            <w:vAlign w:val="bottom"/>
            <w:shd w:val="clear" w:color="auto" w:fill="CCEEFF"/>
          </w:tcPr>
          <w:p>
            <w:pPr>
              <w:ind w:left="2140"/>
              <w:spacing w:after="0" w:line="135" w:lineRule="exact"/>
              <w:rPr>
                <w:sz w:val="20"/>
                <w:szCs w:val="20"/>
                <w:color w:val="auto"/>
              </w:rPr>
            </w:pPr>
            <w:r>
              <w:rPr>
                <w:rFonts w:ascii="Arial" w:cs="Arial" w:eastAsia="Arial" w:hAnsi="Arial"/>
                <w:sz w:val="13"/>
                <w:szCs w:val="13"/>
                <w:color w:val="auto"/>
                <w:w w:val="98"/>
              </w:rPr>
              <w:t>(L + 7.25%) / (2.00%)</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9.25%/0.00%</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95"/>
              </w:rPr>
              <w:t>10/11/2019</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w w:val="95"/>
              </w:rPr>
              <w:t>10/11/2024</w:t>
            </w:r>
          </w:p>
        </w:tc>
        <w:tc>
          <w:tcPr>
            <w:tcW w:w="6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5,500</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5,461</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5,461</w:t>
            </w:r>
          </w:p>
        </w:tc>
        <w:tc>
          <w:tcPr>
            <w:tcW w:w="540" w:type="dxa"/>
            <w:vAlign w:val="bottom"/>
            <w:shd w:val="clear" w:color="auto" w:fill="CCEEFF"/>
          </w:tcPr>
          <w:p>
            <w:pPr>
              <w:spacing w:after="0"/>
              <w:rPr>
                <w:sz w:val="11"/>
                <w:szCs w:val="11"/>
                <w:color w:val="auto"/>
              </w:rPr>
            </w:pPr>
          </w:p>
        </w:tc>
      </w:tr>
      <w:tr>
        <w:trPr>
          <w:trHeight w:val="142"/>
        </w:trPr>
        <w:tc>
          <w:tcPr>
            <w:tcW w:w="2720" w:type="dxa"/>
            <w:vAlign w:val="bottom"/>
          </w:tcPr>
          <w:p>
            <w:pPr>
              <w:ind w:left="240"/>
              <w:spacing w:after="0" w:line="135" w:lineRule="exact"/>
              <w:rPr>
                <w:sz w:val="20"/>
                <w:szCs w:val="20"/>
                <w:color w:val="auto"/>
              </w:rPr>
            </w:pPr>
            <w:r>
              <w:rPr>
                <w:rFonts w:ascii="Arial" w:cs="Arial" w:eastAsia="Arial" w:hAnsi="Arial"/>
                <w:sz w:val="13"/>
                <w:szCs w:val="13"/>
                <w:color w:val="auto"/>
              </w:rPr>
              <w:t>Common Equity (500 units) (j)</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w w:val="95"/>
              </w:rPr>
              <w:t>10/11/2019</w:t>
            </w: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72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5,961</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5,961</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r>
      <w:tr>
        <w:trPr>
          <w:trHeight w:val="121"/>
        </w:trPr>
        <w:tc>
          <w:tcPr>
            <w:tcW w:w="2720" w:type="dxa"/>
            <w:vAlign w:val="bottom"/>
          </w:tcPr>
          <w:p>
            <w:pPr>
              <w:spacing w:after="0" w:line="121" w:lineRule="exact"/>
              <w:rPr>
                <w:sz w:val="20"/>
                <w:szCs w:val="20"/>
                <w:color w:val="auto"/>
              </w:rPr>
            </w:pPr>
            <w:r>
              <w:rPr>
                <w:rFonts w:ascii="Arial" w:cs="Arial" w:eastAsia="Arial" w:hAnsi="Arial"/>
                <w:sz w:val="13"/>
                <w:szCs w:val="13"/>
                <w:i w:val="1"/>
                <w:iCs w:val="1"/>
                <w:color w:val="auto"/>
              </w:rPr>
              <w:t>Hilco Plastics Holdings, LLC (dba Hilco</w:t>
            </w:r>
          </w:p>
        </w:tc>
        <w:tc>
          <w:tcPr>
            <w:tcW w:w="3380" w:type="dxa"/>
            <w:vAlign w:val="bottom"/>
          </w:tcPr>
          <w:p>
            <w:pPr>
              <w:ind w:left="40"/>
              <w:spacing w:after="0" w:line="121" w:lineRule="exact"/>
              <w:rPr>
                <w:sz w:val="20"/>
                <w:szCs w:val="20"/>
                <w:color w:val="auto"/>
              </w:rPr>
            </w:pPr>
            <w:r>
              <w:rPr>
                <w:rFonts w:ascii="Arial" w:cs="Arial" w:eastAsia="Arial" w:hAnsi="Arial"/>
                <w:sz w:val="13"/>
                <w:szCs w:val="13"/>
                <w:color w:val="auto"/>
              </w:rPr>
              <w:t>Component Manufacturing</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9"/>
        </w:trPr>
        <w:tc>
          <w:tcPr>
            <w:tcW w:w="2720" w:type="dxa"/>
            <w:vAlign w:val="bottom"/>
          </w:tcPr>
          <w:p>
            <w:pPr>
              <w:ind w:left="120"/>
              <w:spacing w:after="0"/>
              <w:rPr>
                <w:sz w:val="20"/>
                <w:szCs w:val="20"/>
                <w:color w:val="auto"/>
              </w:rPr>
            </w:pPr>
            <w:r>
              <w:rPr>
                <w:rFonts w:ascii="Arial" w:cs="Arial" w:eastAsia="Arial" w:hAnsi="Arial"/>
                <w:sz w:val="13"/>
                <w:szCs w:val="13"/>
                <w:i w:val="1"/>
                <w:iCs w:val="1"/>
                <w:color w:val="auto"/>
              </w:rPr>
              <w:t>Technologies)</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72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11.50%/1.50%</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9/23/2016</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w w:val="95"/>
              </w:rPr>
              <w:t>12/31/2019</w:t>
            </w:r>
          </w:p>
        </w:tc>
        <w:tc>
          <w:tcPr>
            <w:tcW w:w="6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10,116</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10,116</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9,057</w:t>
            </w:r>
          </w:p>
        </w:tc>
        <w:tc>
          <w:tcPr>
            <w:tcW w:w="540" w:type="dxa"/>
            <w:vAlign w:val="bottom"/>
            <w:shd w:val="clear" w:color="auto" w:fill="CCEEFF"/>
          </w:tcPr>
          <w:p>
            <w:pPr>
              <w:spacing w:after="0"/>
              <w:rPr>
                <w:sz w:val="11"/>
                <w:szCs w:val="11"/>
                <w:color w:val="auto"/>
              </w:rPr>
            </w:pPr>
          </w:p>
        </w:tc>
      </w:tr>
      <w:tr>
        <w:trPr>
          <w:trHeight w:val="135"/>
        </w:trPr>
        <w:tc>
          <w:tcPr>
            <w:tcW w:w="2720" w:type="dxa"/>
            <w:vAlign w:val="bottom"/>
          </w:tcPr>
          <w:p>
            <w:pPr>
              <w:ind w:left="240"/>
              <w:spacing w:after="0" w:line="135" w:lineRule="exact"/>
              <w:rPr>
                <w:sz w:val="20"/>
                <w:szCs w:val="20"/>
                <w:color w:val="auto"/>
              </w:rPr>
            </w:pPr>
            <w:r>
              <w:rPr>
                <w:rFonts w:ascii="Arial" w:cs="Arial" w:eastAsia="Arial" w:hAnsi="Arial"/>
                <w:sz w:val="13"/>
                <w:szCs w:val="13"/>
                <w:color w:val="auto"/>
              </w:rPr>
              <w:t>Revolving Loan (j)</w:t>
            </w:r>
          </w:p>
        </w:tc>
        <w:tc>
          <w:tcPr>
            <w:tcW w:w="3380" w:type="dxa"/>
            <w:vAlign w:val="bottom"/>
          </w:tcPr>
          <w:p>
            <w:pPr>
              <w:ind w:left="2140"/>
              <w:spacing w:after="0" w:line="135" w:lineRule="exact"/>
              <w:rPr>
                <w:sz w:val="20"/>
                <w:szCs w:val="20"/>
                <w:color w:val="auto"/>
              </w:rPr>
            </w:pPr>
            <w:r>
              <w:rPr>
                <w:rFonts w:ascii="Arial" w:cs="Arial" w:eastAsia="Arial" w:hAnsi="Arial"/>
                <w:sz w:val="13"/>
                <w:szCs w:val="13"/>
                <w:color w:val="auto"/>
                <w:w w:val="98"/>
              </w:rPr>
              <w:t>(L + 6.50%) / (0.00%)</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0"/>
              </w:rPr>
              <w:t>8.26%/0.00%</w:t>
            </w: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w w:val="95"/>
              </w:rPr>
              <w:t>12/20/2019</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w w:val="95"/>
              </w:rPr>
              <w:t>12/15/2019</w:t>
            </w:r>
          </w:p>
        </w:tc>
        <w:tc>
          <w:tcPr>
            <w:tcW w:w="6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5,962</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5,962</w:t>
            </w:r>
          </w:p>
        </w:tc>
        <w:tc>
          <w:tcPr>
            <w:tcW w:w="96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5,962</w:t>
            </w:r>
          </w:p>
        </w:tc>
        <w:tc>
          <w:tcPr>
            <w:tcW w:w="540" w:type="dxa"/>
            <w:vAlign w:val="bottom"/>
          </w:tcPr>
          <w:p>
            <w:pPr>
              <w:spacing w:after="0"/>
              <w:rPr>
                <w:sz w:val="11"/>
                <w:szCs w:val="11"/>
                <w:color w:val="auto"/>
              </w:rPr>
            </w:pPr>
          </w:p>
        </w:tc>
      </w:tr>
      <w:tr>
        <w:trPr>
          <w:trHeight w:val="135"/>
        </w:trPr>
        <w:tc>
          <w:tcPr>
            <w:tcW w:w="272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3380" w:type="dxa"/>
            <w:vAlign w:val="bottom"/>
            <w:shd w:val="clear" w:color="auto" w:fill="CCEEFF"/>
          </w:tcPr>
          <w:p>
            <w:pPr>
              <w:ind w:left="2140"/>
              <w:spacing w:after="0" w:line="135" w:lineRule="exact"/>
              <w:rPr>
                <w:sz w:val="20"/>
                <w:szCs w:val="20"/>
                <w:color w:val="auto"/>
              </w:rPr>
            </w:pPr>
            <w:r>
              <w:rPr>
                <w:rFonts w:ascii="Arial" w:cs="Arial" w:eastAsia="Arial" w:hAnsi="Arial"/>
                <w:sz w:val="13"/>
                <w:szCs w:val="13"/>
                <w:color w:val="auto"/>
                <w:w w:val="98"/>
              </w:rPr>
              <w:t>(L + 6.95%) / (0.00%)</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8.66%/0.00%</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95"/>
              </w:rPr>
              <w:t>12/20/2019</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w w:val="95"/>
              </w:rPr>
              <w:t>12/15/2019</w:t>
            </w:r>
          </w:p>
        </w:tc>
        <w:tc>
          <w:tcPr>
            <w:tcW w:w="6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4,812</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4,812</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4,812</w:t>
            </w:r>
          </w:p>
        </w:tc>
        <w:tc>
          <w:tcPr>
            <w:tcW w:w="540" w:type="dxa"/>
            <w:vAlign w:val="bottom"/>
            <w:shd w:val="clear" w:color="auto" w:fill="CCEEFF"/>
          </w:tcPr>
          <w:p>
            <w:pPr>
              <w:spacing w:after="0"/>
              <w:rPr>
                <w:sz w:val="11"/>
                <w:szCs w:val="11"/>
                <w:color w:val="auto"/>
              </w:rPr>
            </w:pPr>
          </w:p>
        </w:tc>
      </w:tr>
      <w:tr>
        <w:trPr>
          <w:trHeight w:val="135"/>
        </w:trPr>
        <w:tc>
          <w:tcPr>
            <w:tcW w:w="2720" w:type="dxa"/>
            <w:vAlign w:val="bottom"/>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3380" w:type="dxa"/>
            <w:vAlign w:val="bottom"/>
          </w:tcPr>
          <w:p>
            <w:pPr>
              <w:ind w:left="2140"/>
              <w:spacing w:after="0" w:line="135" w:lineRule="exact"/>
              <w:rPr>
                <w:sz w:val="20"/>
                <w:szCs w:val="20"/>
                <w:color w:val="auto"/>
              </w:rPr>
            </w:pPr>
            <w:r>
              <w:rPr>
                <w:rFonts w:ascii="Arial" w:cs="Arial" w:eastAsia="Arial" w:hAnsi="Arial"/>
                <w:sz w:val="13"/>
                <w:szCs w:val="13"/>
                <w:color w:val="auto"/>
                <w:w w:val="98"/>
              </w:rPr>
              <w:t>(L + 6.95%) / (0.00%)</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0"/>
              </w:rPr>
              <w:t>8.64%/0.00%</w:t>
            </w: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w w:val="95"/>
              </w:rPr>
              <w:t>12/20/2019</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w w:val="95"/>
              </w:rPr>
              <w:t>12/15/2019</w:t>
            </w:r>
          </w:p>
        </w:tc>
        <w:tc>
          <w:tcPr>
            <w:tcW w:w="6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1,815</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1,815</w:t>
            </w:r>
          </w:p>
        </w:tc>
        <w:tc>
          <w:tcPr>
            <w:tcW w:w="96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1,815</w:t>
            </w:r>
          </w:p>
        </w:tc>
        <w:tc>
          <w:tcPr>
            <w:tcW w:w="540" w:type="dxa"/>
            <w:vAlign w:val="bottom"/>
          </w:tcPr>
          <w:p>
            <w:pPr>
              <w:spacing w:after="0"/>
              <w:rPr>
                <w:sz w:val="11"/>
                <w:szCs w:val="11"/>
                <w:color w:val="auto"/>
              </w:rPr>
            </w:pPr>
          </w:p>
        </w:tc>
      </w:tr>
      <w:tr>
        <w:trPr>
          <w:trHeight w:val="135"/>
        </w:trPr>
        <w:tc>
          <w:tcPr>
            <w:tcW w:w="272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(1,000,000 units) (h)(j)</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4/18/2018</w:t>
            </w: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30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1"/>
                <w:szCs w:val="11"/>
                <w:color w:val="auto"/>
              </w:rPr>
            </w:pPr>
          </w:p>
        </w:tc>
      </w:tr>
      <w:tr>
        <w:trPr>
          <w:trHeight w:val="142"/>
        </w:trPr>
        <w:tc>
          <w:tcPr>
            <w:tcW w:w="2720" w:type="dxa"/>
            <w:vAlign w:val="bottom"/>
          </w:tcPr>
          <w:p>
            <w:pPr>
              <w:ind w:left="240"/>
              <w:spacing w:after="0" w:line="135" w:lineRule="exact"/>
              <w:rPr>
                <w:sz w:val="20"/>
                <w:szCs w:val="20"/>
                <w:color w:val="auto"/>
              </w:rPr>
            </w:pPr>
            <w:r>
              <w:rPr>
                <w:rFonts w:ascii="Arial" w:cs="Arial" w:eastAsia="Arial" w:hAnsi="Arial"/>
                <w:sz w:val="13"/>
                <w:szCs w:val="13"/>
                <w:color w:val="auto"/>
              </w:rPr>
              <w:t>Common Equity (72,507 units) (h)(j)</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rPr>
              <w:t>9/23/2016</w:t>
            </w: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473</w:t>
            </w:r>
          </w:p>
        </w:tc>
        <w:tc>
          <w:tcPr>
            <w:tcW w:w="160" w:type="dxa"/>
            <w:vAlign w:val="bottom"/>
          </w:tcPr>
          <w:p>
            <w:pPr>
              <w:spacing w:after="0"/>
              <w:rPr>
                <w:sz w:val="12"/>
                <w:szCs w:val="12"/>
                <w:color w:val="auto"/>
              </w:rPr>
            </w:pPr>
          </w:p>
        </w:tc>
        <w:tc>
          <w:tcPr>
            <w:tcW w:w="500" w:type="dxa"/>
            <w:vAlign w:val="bottom"/>
            <w:tcBorders>
              <w:bottom w:val="single" w:sz="8" w:color="auto"/>
            </w:tcBorders>
          </w:tcPr>
          <w:p>
            <w:pPr>
              <w:ind w:left="300"/>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72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24,178</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21,646</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r>
      <w:tr>
        <w:trPr>
          <w:trHeight w:val="135"/>
        </w:trPr>
        <w:tc>
          <w:tcPr>
            <w:tcW w:w="2720" w:type="dxa"/>
            <w:vAlign w:val="bottom"/>
          </w:tcPr>
          <w:p>
            <w:pPr>
              <w:spacing w:after="0" w:line="135" w:lineRule="exact"/>
              <w:rPr>
                <w:sz w:val="20"/>
                <w:szCs w:val="20"/>
                <w:color w:val="auto"/>
              </w:rPr>
            </w:pPr>
            <w:r>
              <w:rPr>
                <w:rFonts w:ascii="Arial" w:cs="Arial" w:eastAsia="Arial" w:hAnsi="Arial"/>
                <w:sz w:val="13"/>
                <w:szCs w:val="13"/>
                <w:i w:val="1"/>
                <w:iCs w:val="1"/>
                <w:color w:val="auto"/>
              </w:rPr>
              <w:t>Hoonuit, LLC</w:t>
            </w:r>
          </w:p>
        </w:tc>
        <w:tc>
          <w:tcPr>
            <w:tcW w:w="3380" w:type="dxa"/>
            <w:vAlign w:val="bottom"/>
          </w:tcPr>
          <w:p>
            <w:pPr>
              <w:ind w:left="40"/>
              <w:spacing w:after="0" w:line="135" w:lineRule="exact"/>
              <w:rPr>
                <w:sz w:val="20"/>
                <w:szCs w:val="20"/>
                <w:color w:val="auto"/>
              </w:rPr>
            </w:pPr>
            <w:r>
              <w:rPr>
                <w:rFonts w:ascii="Arial" w:cs="Arial" w:eastAsia="Arial" w:hAnsi="Arial"/>
                <w:sz w:val="13"/>
                <w:szCs w:val="13"/>
                <w:color w:val="auto"/>
              </w:rPr>
              <w:t>Information Technology Services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72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w:t>
            </w:r>
          </w:p>
        </w:tc>
        <w:tc>
          <w:tcPr>
            <w:tcW w:w="3380" w:type="dxa"/>
            <w:vAlign w:val="bottom"/>
            <w:shd w:val="clear" w:color="auto" w:fill="CCEEFF"/>
          </w:tcPr>
          <w:p>
            <w:pPr>
              <w:ind w:left="2140"/>
              <w:spacing w:after="0" w:line="135" w:lineRule="exact"/>
              <w:rPr>
                <w:sz w:val="20"/>
                <w:szCs w:val="20"/>
                <w:color w:val="auto"/>
              </w:rPr>
            </w:pPr>
            <w:r>
              <w:rPr>
                <w:rFonts w:ascii="Arial" w:cs="Arial" w:eastAsia="Arial" w:hAnsi="Arial"/>
                <w:sz w:val="13"/>
                <w:szCs w:val="13"/>
                <w:color w:val="auto"/>
                <w:w w:val="98"/>
              </w:rPr>
              <w:t>(L + 9.25%) / (2.25%)</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11.50%/0.00%</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6/7/2019</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6/7/2024</w:t>
            </w:r>
          </w:p>
        </w:tc>
        <w:tc>
          <w:tcPr>
            <w:tcW w:w="6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7,165</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7,121</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7,165</w:t>
            </w:r>
          </w:p>
        </w:tc>
        <w:tc>
          <w:tcPr>
            <w:tcW w:w="540" w:type="dxa"/>
            <w:vAlign w:val="bottom"/>
            <w:shd w:val="clear" w:color="auto" w:fill="CCEEFF"/>
          </w:tcPr>
          <w:p>
            <w:pPr>
              <w:spacing w:after="0"/>
              <w:rPr>
                <w:sz w:val="11"/>
                <w:szCs w:val="11"/>
                <w:color w:val="auto"/>
              </w:rPr>
            </w:pPr>
          </w:p>
        </w:tc>
      </w:tr>
      <w:tr>
        <w:trPr>
          <w:trHeight w:val="142"/>
        </w:trPr>
        <w:tc>
          <w:tcPr>
            <w:tcW w:w="2720" w:type="dxa"/>
            <w:vAlign w:val="bottom"/>
          </w:tcPr>
          <w:p>
            <w:pPr>
              <w:ind w:left="240"/>
              <w:spacing w:after="0" w:line="135" w:lineRule="exact"/>
              <w:rPr>
                <w:sz w:val="20"/>
                <w:szCs w:val="20"/>
                <w:color w:val="auto"/>
              </w:rPr>
            </w:pPr>
            <w:r>
              <w:rPr>
                <w:rFonts w:ascii="Arial" w:cs="Arial" w:eastAsia="Arial" w:hAnsi="Arial"/>
                <w:sz w:val="13"/>
                <w:szCs w:val="13"/>
                <w:color w:val="auto"/>
              </w:rPr>
              <w:t>Preferred Equity (610 units) (h)(j)</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rPr>
              <w:t>6/20/2019</w:t>
            </w: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1/1/2022</w:t>
            </w:r>
          </w:p>
        </w:tc>
        <w:tc>
          <w:tcPr>
            <w:tcW w:w="6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250</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279</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72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7,371</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7,444</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135"/>
        </w:trPr>
        <w:tc>
          <w:tcPr>
            <w:tcW w:w="2720" w:type="dxa"/>
            <w:vAlign w:val="bottom"/>
          </w:tcPr>
          <w:p>
            <w:pPr>
              <w:spacing w:after="0" w:line="135" w:lineRule="exact"/>
              <w:rPr>
                <w:sz w:val="20"/>
                <w:szCs w:val="20"/>
                <w:color w:val="auto"/>
              </w:rPr>
            </w:pPr>
            <w:r>
              <w:rPr>
                <w:rFonts w:ascii="Arial" w:cs="Arial" w:eastAsia="Arial" w:hAnsi="Arial"/>
                <w:sz w:val="13"/>
                <w:szCs w:val="13"/>
                <w:i w:val="1"/>
                <w:iCs w:val="1"/>
                <w:color w:val="auto"/>
              </w:rPr>
              <w:t>Hub Acquisition Sub, LLC (dba Hub Pen)</w:t>
            </w:r>
          </w:p>
        </w:tc>
        <w:tc>
          <w:tcPr>
            <w:tcW w:w="3380" w:type="dxa"/>
            <w:vAlign w:val="bottom"/>
          </w:tcPr>
          <w:p>
            <w:pPr>
              <w:ind w:left="40"/>
              <w:spacing w:after="0" w:line="135" w:lineRule="exact"/>
              <w:rPr>
                <w:sz w:val="20"/>
                <w:szCs w:val="20"/>
                <w:color w:val="auto"/>
              </w:rPr>
            </w:pPr>
            <w:r>
              <w:rPr>
                <w:rFonts w:ascii="Arial" w:cs="Arial" w:eastAsia="Arial" w:hAnsi="Arial"/>
                <w:sz w:val="13"/>
                <w:szCs w:val="13"/>
                <w:color w:val="auto"/>
              </w:rPr>
              <w:t>Promotional products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72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12.25%/0.00%</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3/23/2016</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9/23/2021</w:t>
            </w:r>
          </w:p>
        </w:tc>
        <w:tc>
          <w:tcPr>
            <w:tcW w:w="6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25,000</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24,947</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25,000</w:t>
            </w:r>
          </w:p>
        </w:tc>
        <w:tc>
          <w:tcPr>
            <w:tcW w:w="540" w:type="dxa"/>
            <w:vAlign w:val="bottom"/>
            <w:shd w:val="clear" w:color="auto" w:fill="CCEEFF"/>
          </w:tcPr>
          <w:p>
            <w:pPr>
              <w:spacing w:after="0"/>
              <w:rPr>
                <w:sz w:val="11"/>
                <w:szCs w:val="11"/>
                <w:color w:val="auto"/>
              </w:rPr>
            </w:pPr>
          </w:p>
        </w:tc>
      </w:tr>
      <w:tr>
        <w:trPr>
          <w:trHeight w:val="142"/>
        </w:trPr>
        <w:tc>
          <w:tcPr>
            <w:tcW w:w="2720" w:type="dxa"/>
            <w:vAlign w:val="bottom"/>
          </w:tcPr>
          <w:p>
            <w:pPr>
              <w:ind w:left="240"/>
              <w:spacing w:after="0" w:line="135" w:lineRule="exact"/>
              <w:rPr>
                <w:sz w:val="20"/>
                <w:szCs w:val="20"/>
                <w:color w:val="auto"/>
              </w:rPr>
            </w:pPr>
            <w:r>
              <w:rPr>
                <w:rFonts w:ascii="Arial" w:cs="Arial" w:eastAsia="Arial" w:hAnsi="Arial"/>
                <w:sz w:val="13"/>
                <w:szCs w:val="13"/>
                <w:color w:val="auto"/>
              </w:rPr>
              <w:t>Common Equity (7,500 units)</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rPr>
              <w:t>3/23/2016</w:t>
            </w: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263</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1,488</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72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25,210</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26,488</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r>
      <w:tr>
        <w:trPr>
          <w:trHeight w:val="135"/>
        </w:trPr>
        <w:tc>
          <w:tcPr>
            <w:tcW w:w="2720" w:type="dxa"/>
            <w:vAlign w:val="bottom"/>
          </w:tcPr>
          <w:p>
            <w:pPr>
              <w:spacing w:after="0" w:line="135" w:lineRule="exact"/>
              <w:rPr>
                <w:sz w:val="20"/>
                <w:szCs w:val="20"/>
                <w:color w:val="auto"/>
              </w:rPr>
            </w:pPr>
            <w:r>
              <w:rPr>
                <w:rFonts w:ascii="Arial" w:cs="Arial" w:eastAsia="Arial" w:hAnsi="Arial"/>
                <w:sz w:val="13"/>
                <w:szCs w:val="13"/>
                <w:i w:val="1"/>
                <w:iCs w:val="1"/>
                <w:color w:val="auto"/>
              </w:rPr>
              <w:t>Hunter Defense Technologies Inc.</w:t>
            </w:r>
          </w:p>
        </w:tc>
        <w:tc>
          <w:tcPr>
            <w:tcW w:w="3380" w:type="dxa"/>
            <w:vAlign w:val="bottom"/>
          </w:tcPr>
          <w:p>
            <w:pPr>
              <w:ind w:left="40"/>
              <w:spacing w:after="0" w:line="135" w:lineRule="exact"/>
              <w:rPr>
                <w:sz w:val="20"/>
                <w:szCs w:val="20"/>
                <w:color w:val="auto"/>
              </w:rPr>
            </w:pPr>
            <w:r>
              <w:rPr>
                <w:rFonts w:ascii="Arial" w:cs="Arial" w:eastAsia="Arial" w:hAnsi="Arial"/>
                <w:sz w:val="13"/>
                <w:szCs w:val="13"/>
                <w:color w:val="auto"/>
              </w:rPr>
              <w:t>Aerospace &amp; Defense Manufacturing</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72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3380" w:type="dxa"/>
            <w:vAlign w:val="bottom"/>
            <w:shd w:val="clear" w:color="auto" w:fill="CCEEFF"/>
          </w:tcPr>
          <w:p>
            <w:pPr>
              <w:ind w:left="2140"/>
              <w:spacing w:after="0" w:line="135" w:lineRule="exact"/>
              <w:rPr>
                <w:sz w:val="20"/>
                <w:szCs w:val="20"/>
                <w:color w:val="auto"/>
              </w:rPr>
            </w:pPr>
            <w:r>
              <w:rPr>
                <w:rFonts w:ascii="Arial" w:cs="Arial" w:eastAsia="Arial" w:hAnsi="Arial"/>
                <w:sz w:val="13"/>
                <w:szCs w:val="13"/>
                <w:color w:val="auto"/>
                <w:w w:val="98"/>
              </w:rPr>
              <w:t>(L + 7.00%) / (1.00%)</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8.94%/0.00%</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9/27/2018</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3/29/2023</w:t>
            </w:r>
          </w:p>
        </w:tc>
        <w:tc>
          <w:tcPr>
            <w:tcW w:w="6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9,246</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9,174</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9,246</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243"/>
        </w:trPr>
        <w:tc>
          <w:tcPr>
            <w:tcW w:w="2720" w:type="dxa"/>
            <w:vAlign w:val="bottom"/>
          </w:tcPr>
          <w:p>
            <w:pPr>
              <w:spacing w:after="0"/>
              <w:rPr>
                <w:sz w:val="20"/>
                <w:szCs w:val="20"/>
                <w:color w:val="auto"/>
              </w:rPr>
            </w:pPr>
            <w:r>
              <w:rPr>
                <w:rFonts w:ascii="Arial" w:cs="Arial" w:eastAsia="Arial" w:hAnsi="Arial"/>
                <w:sz w:val="13"/>
                <w:szCs w:val="13"/>
                <w:i w:val="1"/>
                <w:iCs w:val="1"/>
                <w:color w:val="auto"/>
              </w:rPr>
              <w:t>IBH Holdings, LLC (fka Inflexxion, Inc.)</w:t>
            </w:r>
          </w:p>
        </w:tc>
        <w:tc>
          <w:tcPr>
            <w:tcW w:w="3380" w:type="dxa"/>
            <w:vAlign w:val="bottom"/>
          </w:tcPr>
          <w:p>
            <w:pPr>
              <w:ind w:left="40"/>
              <w:spacing w:after="0"/>
              <w:rPr>
                <w:sz w:val="20"/>
                <w:szCs w:val="20"/>
                <w:color w:val="auto"/>
              </w:rPr>
            </w:pPr>
            <w:r>
              <w:rPr>
                <w:rFonts w:ascii="Arial" w:cs="Arial" w:eastAsia="Arial" w:hAnsi="Arial"/>
                <w:sz w:val="13"/>
                <w:szCs w:val="13"/>
                <w:color w:val="auto"/>
              </w:rPr>
              <w:t>Business Services</w:t>
            </w: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135"/>
        </w:trPr>
        <w:tc>
          <w:tcPr>
            <w:tcW w:w="272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(150,000 units)</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6/20/2018</w:t>
            </w: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30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r>
      <w:tr>
        <w:trPr>
          <w:trHeight w:val="229"/>
        </w:trPr>
        <w:tc>
          <w:tcPr>
            <w:tcW w:w="2720" w:type="dxa"/>
            <w:vAlign w:val="bottom"/>
          </w:tcPr>
          <w:p>
            <w:pPr>
              <w:spacing w:after="0"/>
              <w:rPr>
                <w:sz w:val="20"/>
                <w:szCs w:val="20"/>
                <w:color w:val="auto"/>
              </w:rPr>
            </w:pPr>
            <w:r>
              <w:rPr>
                <w:rFonts w:ascii="Arial" w:cs="Arial" w:eastAsia="Arial" w:hAnsi="Arial"/>
                <w:sz w:val="13"/>
                <w:szCs w:val="13"/>
                <w:i w:val="1"/>
                <w:iCs w:val="1"/>
                <w:color w:val="auto"/>
                <w:w w:val="90"/>
              </w:rPr>
              <w:t>K2 Merger Agreement Agent, LLC (fka K2 Industrial</w:t>
            </w:r>
          </w:p>
        </w:tc>
        <w:tc>
          <w:tcPr>
            <w:tcW w:w="3380" w:type="dxa"/>
            <w:vAlign w:val="bottom"/>
          </w:tcPr>
          <w:p>
            <w:pPr>
              <w:ind w:left="40"/>
              <w:spacing w:after="0"/>
              <w:rPr>
                <w:sz w:val="20"/>
                <w:szCs w:val="20"/>
                <w:color w:val="auto"/>
              </w:rPr>
            </w:pPr>
            <w:r>
              <w:rPr>
                <w:rFonts w:ascii="Arial" w:cs="Arial" w:eastAsia="Arial" w:hAnsi="Arial"/>
                <w:sz w:val="13"/>
                <w:szCs w:val="13"/>
                <w:color w:val="auto"/>
              </w:rPr>
              <w:t>Industrial Cleaning &amp; Coatings</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149"/>
        </w:trPr>
        <w:tc>
          <w:tcPr>
            <w:tcW w:w="2720" w:type="dxa"/>
            <w:vAlign w:val="bottom"/>
          </w:tcPr>
          <w:p>
            <w:pPr>
              <w:spacing w:after="0"/>
              <w:rPr>
                <w:sz w:val="20"/>
                <w:szCs w:val="20"/>
                <w:color w:val="auto"/>
              </w:rPr>
            </w:pPr>
            <w:r>
              <w:rPr>
                <w:rFonts w:ascii="Arial" w:cs="Arial" w:eastAsia="Arial" w:hAnsi="Arial"/>
                <w:sz w:val="13"/>
                <w:szCs w:val="13"/>
                <w:i w:val="1"/>
                <w:iCs w:val="1"/>
                <w:color w:val="auto"/>
              </w:rPr>
              <w:t>Services, Inc.) (n)</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72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0.00%/10.00%</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1/28/2019</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1/28/2021</w:t>
            </w:r>
          </w:p>
        </w:tc>
        <w:tc>
          <w:tcPr>
            <w:tcW w:w="6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2,309</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2,309</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2,309</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r>
      <w:tr>
        <w:trPr>
          <w:trHeight w:val="243"/>
        </w:trPr>
        <w:tc>
          <w:tcPr>
            <w:tcW w:w="2720" w:type="dxa"/>
            <w:vAlign w:val="bottom"/>
          </w:tcPr>
          <w:p>
            <w:pPr>
              <w:spacing w:after="0"/>
              <w:rPr>
                <w:sz w:val="20"/>
                <w:szCs w:val="20"/>
                <w:color w:val="auto"/>
              </w:rPr>
            </w:pPr>
            <w:r>
              <w:rPr>
                <w:rFonts w:ascii="Arial" w:cs="Arial" w:eastAsia="Arial" w:hAnsi="Arial"/>
                <w:sz w:val="13"/>
                <w:szCs w:val="13"/>
                <w:i w:val="1"/>
                <w:iCs w:val="1"/>
                <w:color w:val="auto"/>
                <w:w w:val="97"/>
              </w:rPr>
              <w:t>The Kyjen Company, LLC (dba Outward Hound)</w:t>
            </w:r>
          </w:p>
        </w:tc>
        <w:tc>
          <w:tcPr>
            <w:tcW w:w="3380" w:type="dxa"/>
            <w:vAlign w:val="bottom"/>
          </w:tcPr>
          <w:p>
            <w:pPr>
              <w:ind w:left="40"/>
              <w:spacing w:after="0"/>
              <w:rPr>
                <w:sz w:val="20"/>
                <w:szCs w:val="20"/>
                <w:color w:val="auto"/>
              </w:rPr>
            </w:pPr>
            <w:r>
              <w:rPr>
                <w:rFonts w:ascii="Arial" w:cs="Arial" w:eastAsia="Arial" w:hAnsi="Arial"/>
                <w:sz w:val="13"/>
                <w:szCs w:val="13"/>
                <w:color w:val="auto"/>
              </w:rPr>
              <w:t>Consumer Products</w:t>
            </w: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135"/>
        </w:trPr>
        <w:tc>
          <w:tcPr>
            <w:tcW w:w="272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12.00%/0.00%</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12/8/2017</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6/8/2024</w:t>
            </w:r>
          </w:p>
        </w:tc>
        <w:tc>
          <w:tcPr>
            <w:tcW w:w="6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15,000</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14,948</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13,024</w:t>
            </w:r>
          </w:p>
        </w:tc>
        <w:tc>
          <w:tcPr>
            <w:tcW w:w="540" w:type="dxa"/>
            <w:vAlign w:val="bottom"/>
            <w:shd w:val="clear" w:color="auto" w:fill="CCEEFF"/>
          </w:tcPr>
          <w:p>
            <w:pPr>
              <w:spacing w:after="0"/>
              <w:rPr>
                <w:sz w:val="11"/>
                <w:szCs w:val="11"/>
                <w:color w:val="auto"/>
              </w:rPr>
            </w:pPr>
          </w:p>
        </w:tc>
      </w:tr>
      <w:tr>
        <w:trPr>
          <w:trHeight w:val="142"/>
        </w:trPr>
        <w:tc>
          <w:tcPr>
            <w:tcW w:w="2720" w:type="dxa"/>
            <w:vAlign w:val="bottom"/>
          </w:tcPr>
          <w:p>
            <w:pPr>
              <w:ind w:left="240"/>
              <w:spacing w:after="0" w:line="135" w:lineRule="exact"/>
              <w:rPr>
                <w:sz w:val="20"/>
                <w:szCs w:val="20"/>
                <w:color w:val="auto"/>
              </w:rPr>
            </w:pPr>
            <w:r>
              <w:rPr>
                <w:rFonts w:ascii="Arial" w:cs="Arial" w:eastAsia="Arial" w:hAnsi="Arial"/>
                <w:sz w:val="13"/>
                <w:szCs w:val="13"/>
                <w:color w:val="auto"/>
              </w:rPr>
              <w:t>Common Equity (765 shares) (j)</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rPr>
              <w:t>12/8/2017</w:t>
            </w: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765</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609</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72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15,713</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13,633</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2720" w:type="dxa"/>
            <w:vAlign w:val="bottom"/>
          </w:tcPr>
          <w:p>
            <w:pPr>
              <w:spacing w:after="0" w:line="135" w:lineRule="exact"/>
              <w:rPr>
                <w:sz w:val="20"/>
                <w:szCs w:val="20"/>
                <w:color w:val="auto"/>
              </w:rPr>
            </w:pPr>
            <w:r>
              <w:rPr>
                <w:rFonts w:ascii="Arial" w:cs="Arial" w:eastAsia="Arial" w:hAnsi="Arial"/>
                <w:sz w:val="13"/>
                <w:szCs w:val="13"/>
                <w:i w:val="1"/>
                <w:iCs w:val="1"/>
                <w:color w:val="auto"/>
              </w:rPr>
              <w:t>LNG Indy, LLC (dba Kinetrex Energy)</w:t>
            </w:r>
          </w:p>
        </w:tc>
        <w:tc>
          <w:tcPr>
            <w:tcW w:w="3380" w:type="dxa"/>
            <w:vAlign w:val="bottom"/>
          </w:tcPr>
          <w:p>
            <w:pPr>
              <w:ind w:left="40"/>
              <w:spacing w:after="0" w:line="135" w:lineRule="exact"/>
              <w:rPr>
                <w:sz w:val="20"/>
                <w:szCs w:val="20"/>
                <w:color w:val="auto"/>
              </w:rPr>
            </w:pPr>
            <w:r>
              <w:rPr>
                <w:rFonts w:ascii="Arial" w:cs="Arial" w:eastAsia="Arial" w:hAnsi="Arial"/>
                <w:sz w:val="13"/>
                <w:szCs w:val="13"/>
                <w:color w:val="auto"/>
              </w:rPr>
              <w:t>Oil &amp; Gas Distribution</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72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11.50%/0.00%</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95"/>
              </w:rPr>
              <w:t>12/28/2016</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w w:val="95"/>
              </w:rPr>
              <w:t>11/12/2021</w:t>
            </w:r>
          </w:p>
        </w:tc>
        <w:tc>
          <w:tcPr>
            <w:tcW w:w="6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5,000</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4,991</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5,000</w:t>
            </w:r>
          </w:p>
        </w:tc>
        <w:tc>
          <w:tcPr>
            <w:tcW w:w="540" w:type="dxa"/>
            <w:vAlign w:val="bottom"/>
            <w:shd w:val="clear" w:color="auto" w:fill="CCEEFF"/>
          </w:tcPr>
          <w:p>
            <w:pPr>
              <w:spacing w:after="0"/>
              <w:rPr>
                <w:sz w:val="11"/>
                <w:szCs w:val="11"/>
                <w:color w:val="auto"/>
              </w:rPr>
            </w:pPr>
          </w:p>
        </w:tc>
      </w:tr>
      <w:tr>
        <w:trPr>
          <w:trHeight w:val="142"/>
        </w:trPr>
        <w:tc>
          <w:tcPr>
            <w:tcW w:w="2720" w:type="dxa"/>
            <w:vAlign w:val="bottom"/>
          </w:tcPr>
          <w:p>
            <w:pPr>
              <w:ind w:left="240"/>
              <w:spacing w:after="0" w:line="135" w:lineRule="exact"/>
              <w:rPr>
                <w:sz w:val="20"/>
                <w:szCs w:val="20"/>
                <w:color w:val="auto"/>
              </w:rPr>
            </w:pPr>
            <w:r>
              <w:rPr>
                <w:rFonts w:ascii="Arial" w:cs="Arial" w:eastAsia="Arial" w:hAnsi="Arial"/>
                <w:sz w:val="13"/>
                <w:szCs w:val="13"/>
                <w:color w:val="auto"/>
              </w:rPr>
              <w:t>Common Equity (1,000 units)</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w w:val="95"/>
              </w:rPr>
              <w:t>12/28/2016</w:t>
            </w: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1,264</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72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5,991</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6,264</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135"/>
        </w:trPr>
        <w:tc>
          <w:tcPr>
            <w:tcW w:w="2720" w:type="dxa"/>
            <w:vAlign w:val="bottom"/>
          </w:tcPr>
          <w:p>
            <w:pPr>
              <w:spacing w:after="0" w:line="135" w:lineRule="exact"/>
              <w:rPr>
                <w:sz w:val="20"/>
                <w:szCs w:val="20"/>
                <w:color w:val="auto"/>
              </w:rPr>
            </w:pPr>
            <w:r>
              <w:rPr>
                <w:rFonts w:ascii="Arial" w:cs="Arial" w:eastAsia="Arial" w:hAnsi="Arial"/>
                <w:sz w:val="13"/>
                <w:szCs w:val="13"/>
                <w:i w:val="1"/>
                <w:iCs w:val="1"/>
                <w:color w:val="auto"/>
              </w:rPr>
              <w:t>Marco Group International OpCo, LLC</w:t>
            </w:r>
          </w:p>
        </w:tc>
        <w:tc>
          <w:tcPr>
            <w:tcW w:w="3380" w:type="dxa"/>
            <w:vAlign w:val="bottom"/>
          </w:tcPr>
          <w:p>
            <w:pPr>
              <w:ind w:left="40"/>
              <w:spacing w:after="0" w:line="135" w:lineRule="exact"/>
              <w:rPr>
                <w:sz w:val="20"/>
                <w:szCs w:val="20"/>
                <w:color w:val="auto"/>
              </w:rPr>
            </w:pPr>
            <w:r>
              <w:rPr>
                <w:rFonts w:ascii="Arial" w:cs="Arial" w:eastAsia="Arial" w:hAnsi="Arial"/>
                <w:sz w:val="13"/>
                <w:szCs w:val="13"/>
                <w:color w:val="auto"/>
              </w:rPr>
              <w:t>Industrial Cleaning &amp; Coatings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72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10.50%/0.75%</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7/21/2017</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1/21/2023</w:t>
            </w:r>
          </w:p>
        </w:tc>
        <w:tc>
          <w:tcPr>
            <w:tcW w:w="6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12,225</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12,192</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12,120</w:t>
            </w:r>
          </w:p>
        </w:tc>
        <w:tc>
          <w:tcPr>
            <w:tcW w:w="540" w:type="dxa"/>
            <w:vAlign w:val="bottom"/>
            <w:shd w:val="clear" w:color="auto" w:fill="CCEEFF"/>
          </w:tcPr>
          <w:p>
            <w:pPr>
              <w:spacing w:after="0"/>
              <w:rPr>
                <w:sz w:val="11"/>
                <w:szCs w:val="11"/>
                <w:color w:val="auto"/>
              </w:rPr>
            </w:pPr>
          </w:p>
        </w:tc>
      </w:tr>
      <w:tr>
        <w:trPr>
          <w:trHeight w:val="142"/>
        </w:trPr>
        <w:tc>
          <w:tcPr>
            <w:tcW w:w="2720" w:type="dxa"/>
            <w:vAlign w:val="bottom"/>
          </w:tcPr>
          <w:p>
            <w:pPr>
              <w:ind w:left="240"/>
              <w:spacing w:after="0" w:line="135" w:lineRule="exact"/>
              <w:rPr>
                <w:sz w:val="20"/>
                <w:szCs w:val="20"/>
                <w:color w:val="auto"/>
              </w:rPr>
            </w:pPr>
            <w:r>
              <w:rPr>
                <w:rFonts w:ascii="Arial" w:cs="Arial" w:eastAsia="Arial" w:hAnsi="Arial"/>
                <w:sz w:val="13"/>
                <w:szCs w:val="13"/>
                <w:color w:val="auto"/>
              </w:rPr>
              <w:t>Common Equity (960,482 units) (h)(j)</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rPr>
              <w:t>7/21/2017</w:t>
            </w: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960</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1,063</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72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13,152</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13,183</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r>
        <w:trPr>
          <w:trHeight w:val="135"/>
        </w:trPr>
        <w:tc>
          <w:tcPr>
            <w:tcW w:w="2720" w:type="dxa"/>
            <w:vAlign w:val="bottom"/>
          </w:tcPr>
          <w:p>
            <w:pPr>
              <w:spacing w:after="0" w:line="135" w:lineRule="exact"/>
              <w:rPr>
                <w:sz w:val="20"/>
                <w:szCs w:val="20"/>
                <w:color w:val="auto"/>
              </w:rPr>
            </w:pPr>
            <w:r>
              <w:rPr>
                <w:rFonts w:ascii="Arial" w:cs="Arial" w:eastAsia="Arial" w:hAnsi="Arial"/>
                <w:sz w:val="13"/>
                <w:szCs w:val="13"/>
                <w:i w:val="1"/>
                <w:iCs w:val="1"/>
                <w:color w:val="auto"/>
              </w:rPr>
              <w:t>Mesa Line Services, LLC</w:t>
            </w:r>
          </w:p>
        </w:tc>
        <w:tc>
          <w:tcPr>
            <w:tcW w:w="3380" w:type="dxa"/>
            <w:vAlign w:val="bottom"/>
          </w:tcPr>
          <w:p>
            <w:pPr>
              <w:ind w:left="40"/>
              <w:spacing w:after="0" w:line="135" w:lineRule="exact"/>
              <w:rPr>
                <w:sz w:val="20"/>
                <w:szCs w:val="20"/>
                <w:color w:val="auto"/>
              </w:rPr>
            </w:pPr>
            <w:r>
              <w:rPr>
                <w:rFonts w:ascii="Arial" w:cs="Arial" w:eastAsia="Arial" w:hAnsi="Arial"/>
                <w:sz w:val="13"/>
                <w:szCs w:val="13"/>
                <w:color w:val="auto"/>
              </w:rPr>
              <w:t>Utilities: Services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72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10.50%/1.75%</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95"/>
              </w:rPr>
              <w:t>11/30/2017</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8/1/2024</w:t>
            </w:r>
          </w:p>
        </w:tc>
        <w:tc>
          <w:tcPr>
            <w:tcW w:w="6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17,221</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17,133</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17,221</w:t>
            </w:r>
          </w:p>
        </w:tc>
        <w:tc>
          <w:tcPr>
            <w:tcW w:w="540" w:type="dxa"/>
            <w:vAlign w:val="bottom"/>
            <w:shd w:val="clear" w:color="auto" w:fill="CCEEFF"/>
          </w:tcPr>
          <w:p>
            <w:pPr>
              <w:spacing w:after="0"/>
              <w:rPr>
                <w:sz w:val="11"/>
                <w:szCs w:val="11"/>
                <w:color w:val="auto"/>
              </w:rPr>
            </w:pPr>
          </w:p>
        </w:tc>
      </w:tr>
      <w:tr>
        <w:trPr>
          <w:trHeight w:val="142"/>
        </w:trPr>
        <w:tc>
          <w:tcPr>
            <w:tcW w:w="2720" w:type="dxa"/>
            <w:vAlign w:val="bottom"/>
          </w:tcPr>
          <w:p>
            <w:pPr>
              <w:ind w:left="240"/>
              <w:spacing w:after="0" w:line="135" w:lineRule="exact"/>
              <w:rPr>
                <w:sz w:val="20"/>
                <w:szCs w:val="20"/>
                <w:color w:val="auto"/>
              </w:rPr>
            </w:pPr>
            <w:r>
              <w:rPr>
                <w:rFonts w:ascii="Arial" w:cs="Arial" w:eastAsia="Arial" w:hAnsi="Arial"/>
                <w:sz w:val="13"/>
                <w:szCs w:val="13"/>
                <w:color w:val="auto"/>
              </w:rPr>
              <w:t>Common Equity (981 shares) (j)</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w w:val="95"/>
              </w:rPr>
              <w:t>11/30/2017</w:t>
            </w: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1,148</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961</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72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18,281</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18,182</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r>
      <w:tr>
        <w:trPr>
          <w:trHeight w:val="135"/>
        </w:trPr>
        <w:tc>
          <w:tcPr>
            <w:tcW w:w="2720" w:type="dxa"/>
            <w:vAlign w:val="bottom"/>
          </w:tcPr>
          <w:p>
            <w:pPr>
              <w:spacing w:after="0" w:line="135" w:lineRule="exact"/>
              <w:rPr>
                <w:sz w:val="20"/>
                <w:szCs w:val="20"/>
                <w:color w:val="auto"/>
              </w:rPr>
            </w:pPr>
            <w:r>
              <w:rPr>
                <w:rFonts w:ascii="Arial" w:cs="Arial" w:eastAsia="Arial" w:hAnsi="Arial"/>
                <w:sz w:val="13"/>
                <w:szCs w:val="13"/>
                <w:i w:val="1"/>
                <w:iCs w:val="1"/>
                <w:color w:val="auto"/>
              </w:rPr>
              <w:t>Midwest Transit Equipment, Inc.</w:t>
            </w:r>
          </w:p>
        </w:tc>
        <w:tc>
          <w:tcPr>
            <w:tcW w:w="3380" w:type="dxa"/>
            <w:vAlign w:val="bottom"/>
          </w:tcPr>
          <w:p>
            <w:pPr>
              <w:ind w:left="40"/>
              <w:spacing w:after="0" w:line="135" w:lineRule="exact"/>
              <w:rPr>
                <w:sz w:val="20"/>
                <w:szCs w:val="20"/>
                <w:color w:val="auto"/>
              </w:rPr>
            </w:pPr>
            <w:r>
              <w:rPr>
                <w:rFonts w:ascii="Arial" w:cs="Arial" w:eastAsia="Arial" w:hAnsi="Arial"/>
                <w:sz w:val="13"/>
                <w:szCs w:val="13"/>
                <w:color w:val="auto"/>
              </w:rPr>
              <w:t>Transportation services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72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(14,384 shares) (j)(m)</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6/23/2017</w:t>
            </w: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361</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1,244</w:t>
            </w:r>
          </w:p>
        </w:tc>
        <w:tc>
          <w:tcPr>
            <w:tcW w:w="540" w:type="dxa"/>
            <w:vAlign w:val="bottom"/>
            <w:shd w:val="clear" w:color="auto" w:fill="CCEEFF"/>
          </w:tcPr>
          <w:p>
            <w:pPr>
              <w:spacing w:after="0"/>
              <w:rPr>
                <w:sz w:val="11"/>
                <w:szCs w:val="11"/>
                <w:color w:val="auto"/>
              </w:rPr>
            </w:pPr>
          </w:p>
        </w:tc>
      </w:tr>
      <w:tr>
        <w:trPr>
          <w:trHeight w:val="121"/>
        </w:trPr>
        <w:tc>
          <w:tcPr>
            <w:tcW w:w="2720" w:type="dxa"/>
            <w:vAlign w:val="bottom"/>
          </w:tcPr>
          <w:p>
            <w:pPr>
              <w:ind w:left="240"/>
              <w:spacing w:after="0" w:line="121" w:lineRule="exact"/>
              <w:rPr>
                <w:sz w:val="20"/>
                <w:szCs w:val="20"/>
                <w:color w:val="auto"/>
              </w:rPr>
            </w:pPr>
            <w:r>
              <w:rPr>
                <w:rFonts w:ascii="Arial" w:cs="Arial" w:eastAsia="Arial" w:hAnsi="Arial"/>
                <w:sz w:val="13"/>
                <w:szCs w:val="13"/>
                <w:color w:val="auto"/>
                <w:w w:val="92"/>
              </w:rPr>
              <w:t>Warrant (9.59% of Junior Subordinated Notes)</w:t>
            </w:r>
          </w:p>
        </w:tc>
        <w:tc>
          <w:tcPr>
            <w:tcW w:w="3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56"/>
        </w:trPr>
        <w:tc>
          <w:tcPr>
            <w:tcW w:w="2720" w:type="dxa"/>
            <w:vAlign w:val="bottom"/>
          </w:tcPr>
          <w:p>
            <w:pPr>
              <w:ind w:left="380"/>
              <w:spacing w:after="0"/>
              <w:rPr>
                <w:sz w:val="20"/>
                <w:szCs w:val="20"/>
                <w:color w:val="auto"/>
              </w:rPr>
            </w:pPr>
            <w:r>
              <w:rPr>
                <w:rFonts w:ascii="Arial" w:cs="Arial" w:eastAsia="Arial" w:hAnsi="Arial"/>
                <w:sz w:val="13"/>
                <w:szCs w:val="13"/>
                <w:color w:val="auto"/>
              </w:rPr>
              <w:t>(j)(q)</w:t>
            </w:r>
          </w:p>
        </w:tc>
        <w:tc>
          <w:tcPr>
            <w:tcW w:w="3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auto"/>
              </w:rPr>
              <w:t>6/23/2017</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381</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467</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35"/>
        </w:trPr>
        <w:tc>
          <w:tcPr>
            <w:tcW w:w="272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742</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1,711</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r>
      <w:tr>
        <w:trPr>
          <w:trHeight w:val="121"/>
        </w:trPr>
        <w:tc>
          <w:tcPr>
            <w:tcW w:w="2720" w:type="dxa"/>
            <w:vAlign w:val="bottom"/>
          </w:tcPr>
          <w:p>
            <w:pPr>
              <w:spacing w:after="0" w:line="121" w:lineRule="exact"/>
              <w:rPr>
                <w:sz w:val="20"/>
                <w:szCs w:val="20"/>
                <w:color w:val="auto"/>
              </w:rPr>
            </w:pPr>
            <w:r>
              <w:rPr>
                <w:rFonts w:ascii="Arial" w:cs="Arial" w:eastAsia="Arial" w:hAnsi="Arial"/>
                <w:sz w:val="13"/>
                <w:szCs w:val="13"/>
                <w:i w:val="1"/>
                <w:iCs w:val="1"/>
                <w:color w:val="auto"/>
              </w:rPr>
              <w:t>NGT Acquisition Holdings, LLC (dba Techniks</w:t>
            </w:r>
          </w:p>
        </w:tc>
        <w:tc>
          <w:tcPr>
            <w:tcW w:w="3380" w:type="dxa"/>
            <w:vAlign w:val="bottom"/>
          </w:tcPr>
          <w:p>
            <w:pPr>
              <w:ind w:left="40"/>
              <w:spacing w:after="0" w:line="121" w:lineRule="exact"/>
              <w:rPr>
                <w:sz w:val="20"/>
                <w:szCs w:val="20"/>
                <w:color w:val="auto"/>
              </w:rPr>
            </w:pPr>
            <w:r>
              <w:rPr>
                <w:rFonts w:ascii="Arial" w:cs="Arial" w:eastAsia="Arial" w:hAnsi="Arial"/>
                <w:sz w:val="13"/>
                <w:szCs w:val="13"/>
                <w:color w:val="auto"/>
              </w:rPr>
              <w:t>Component Manufacturing</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9"/>
        </w:trPr>
        <w:tc>
          <w:tcPr>
            <w:tcW w:w="2720" w:type="dxa"/>
            <w:vAlign w:val="bottom"/>
          </w:tcPr>
          <w:p>
            <w:pPr>
              <w:ind w:left="120"/>
              <w:spacing w:after="0"/>
              <w:rPr>
                <w:sz w:val="20"/>
                <w:szCs w:val="20"/>
                <w:color w:val="auto"/>
              </w:rPr>
            </w:pPr>
            <w:r>
              <w:rPr>
                <w:rFonts w:ascii="Arial" w:cs="Arial" w:eastAsia="Arial" w:hAnsi="Arial"/>
                <w:sz w:val="13"/>
                <w:szCs w:val="13"/>
                <w:i w:val="1"/>
                <w:iCs w:val="1"/>
                <w:color w:val="auto"/>
              </w:rPr>
              <w:t>Industries)</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72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(378 units) (j)</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5/24/2017</w:t>
            </w: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155</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r>
      <w:tr>
        <w:trPr>
          <w:trHeight w:val="229"/>
        </w:trPr>
        <w:tc>
          <w:tcPr>
            <w:tcW w:w="2720" w:type="dxa"/>
            <w:vAlign w:val="bottom"/>
          </w:tcPr>
          <w:p>
            <w:pPr>
              <w:spacing w:after="0"/>
              <w:rPr>
                <w:sz w:val="20"/>
                <w:szCs w:val="20"/>
                <w:color w:val="auto"/>
              </w:rPr>
            </w:pPr>
            <w:r>
              <w:rPr>
                <w:rFonts w:ascii="Arial" w:cs="Arial" w:eastAsia="Arial" w:hAnsi="Arial"/>
                <w:sz w:val="13"/>
                <w:szCs w:val="13"/>
                <w:i w:val="1"/>
                <w:iCs w:val="1"/>
                <w:color w:val="auto"/>
              </w:rPr>
              <w:t>OMC Investors, LLC (dba Ohio Medical</w:t>
            </w:r>
          </w:p>
        </w:tc>
        <w:tc>
          <w:tcPr>
            <w:tcW w:w="3380" w:type="dxa"/>
            <w:vAlign w:val="bottom"/>
          </w:tcPr>
          <w:p>
            <w:pPr>
              <w:ind w:left="40"/>
              <w:spacing w:after="0"/>
              <w:rPr>
                <w:sz w:val="20"/>
                <w:szCs w:val="20"/>
                <w:color w:val="auto"/>
              </w:rPr>
            </w:pPr>
            <w:r>
              <w:rPr>
                <w:rFonts w:ascii="Arial" w:cs="Arial" w:eastAsia="Arial" w:hAnsi="Arial"/>
                <w:sz w:val="13"/>
                <w:szCs w:val="13"/>
                <w:color w:val="auto"/>
              </w:rPr>
              <w:t>Healthcare Products</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149"/>
        </w:trPr>
        <w:tc>
          <w:tcPr>
            <w:tcW w:w="2720" w:type="dxa"/>
            <w:vAlign w:val="bottom"/>
          </w:tcPr>
          <w:p>
            <w:pPr>
              <w:ind w:left="120"/>
              <w:spacing w:after="0"/>
              <w:rPr>
                <w:sz w:val="20"/>
                <w:szCs w:val="20"/>
                <w:color w:val="auto"/>
              </w:rPr>
            </w:pPr>
            <w:r>
              <w:rPr>
                <w:rFonts w:ascii="Arial" w:cs="Arial" w:eastAsia="Arial" w:hAnsi="Arial"/>
                <w:sz w:val="13"/>
                <w:szCs w:val="13"/>
                <w:i w:val="1"/>
                <w:iCs w:val="1"/>
                <w:color w:val="auto"/>
              </w:rPr>
              <w:t>Corporation)</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72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12.00%/0.00%</w:t>
            </w:r>
          </w:p>
        </w:tc>
        <w:tc>
          <w:tcPr>
            <w:tcW w:w="7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1/15/2016</w:t>
            </w:r>
          </w:p>
        </w:tc>
        <w:tc>
          <w:tcPr>
            <w:tcW w:w="78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7/15/2021</w:t>
            </w:r>
          </w:p>
        </w:tc>
        <w:tc>
          <w:tcPr>
            <w:tcW w:w="60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10,000</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9,972</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10,000</w:t>
            </w:r>
          </w:p>
        </w:tc>
        <w:tc>
          <w:tcPr>
            <w:tcW w:w="540" w:type="dxa"/>
            <w:vAlign w:val="bottom"/>
            <w:shd w:val="clear" w:color="auto" w:fill="CCEEFF"/>
          </w:tcPr>
          <w:p>
            <w:pPr>
              <w:spacing w:after="0"/>
              <w:rPr>
                <w:sz w:val="11"/>
                <w:szCs w:val="11"/>
                <w:color w:val="auto"/>
              </w:rPr>
            </w:pPr>
          </w:p>
        </w:tc>
      </w:tr>
      <w:tr>
        <w:trPr>
          <w:trHeight w:val="142"/>
        </w:trPr>
        <w:tc>
          <w:tcPr>
            <w:tcW w:w="2720" w:type="dxa"/>
            <w:vAlign w:val="bottom"/>
          </w:tcPr>
          <w:p>
            <w:pPr>
              <w:ind w:left="240"/>
              <w:spacing w:after="0" w:line="135" w:lineRule="exact"/>
              <w:rPr>
                <w:sz w:val="20"/>
                <w:szCs w:val="20"/>
                <w:color w:val="auto"/>
              </w:rPr>
            </w:pPr>
            <w:r>
              <w:rPr>
                <w:rFonts w:ascii="Arial" w:cs="Arial" w:eastAsia="Arial" w:hAnsi="Arial"/>
                <w:sz w:val="13"/>
                <w:szCs w:val="13"/>
                <w:color w:val="auto"/>
              </w:rPr>
              <w:t>Common Equity (5,000 units)</w:t>
            </w:r>
          </w:p>
        </w:tc>
        <w:tc>
          <w:tcPr>
            <w:tcW w:w="3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ind w:left="60"/>
              <w:spacing w:after="0" w:line="135" w:lineRule="exact"/>
              <w:rPr>
                <w:sz w:val="20"/>
                <w:szCs w:val="20"/>
                <w:color w:val="auto"/>
              </w:rPr>
            </w:pPr>
            <w:r>
              <w:rPr>
                <w:rFonts w:ascii="Arial" w:cs="Arial" w:eastAsia="Arial" w:hAnsi="Arial"/>
                <w:sz w:val="13"/>
                <w:szCs w:val="13"/>
                <w:color w:val="auto"/>
              </w:rPr>
              <w:t>1/15/2016</w:t>
            </w: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475</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72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10,472</w:t>
            </w: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10,475</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140" w:type="dxa"/>
            <w:vAlign w:val="bottom"/>
            <w:gridSpan w:val="2"/>
          </w:tcPr>
          <w:p>
            <w:pPr>
              <w:spacing w:after="0"/>
              <w:rPr>
                <w:sz w:val="20"/>
                <w:szCs w:val="20"/>
                <w:color w:val="auto"/>
              </w:rPr>
            </w:pPr>
            <w:r>
              <w:rPr>
                <w:rFonts w:ascii="Arial" w:cs="Arial" w:eastAsia="Arial" w:hAnsi="Arial"/>
                <w:sz w:val="13"/>
                <w:szCs w:val="13"/>
                <w:b w:val="1"/>
                <w:bCs w:val="1"/>
                <w:color w:val="auto"/>
              </w:rPr>
              <w:t>Portfolio Company (a)(b)</w:t>
            </w: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Variable Index</w:t>
            </w: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Rate (e)</w:t>
            </w: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w w:val="99"/>
              </w:rPr>
              <w:t>Investment</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87"/>
              </w:rPr>
              <w:t>Principal</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Fair</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4"/>
              </w:rPr>
              <w:t>Percent of</w:t>
            </w:r>
          </w:p>
        </w:tc>
      </w:tr>
      <w:tr>
        <w:trPr>
          <w:trHeight w:val="168"/>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6"/>
              </w:rPr>
              <w:t>Investment Type (c)</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ind w:left="580"/>
              <w:spacing w:after="0"/>
              <w:rPr>
                <w:sz w:val="20"/>
                <w:szCs w:val="20"/>
                <w:color w:val="auto"/>
              </w:rPr>
            </w:pPr>
            <w:r>
              <w:rPr>
                <w:rFonts w:ascii="Arial" w:cs="Arial" w:eastAsia="Arial" w:hAnsi="Arial"/>
                <w:sz w:val="13"/>
                <w:szCs w:val="13"/>
                <w:b w:val="1"/>
                <w:bCs w:val="1"/>
                <w:color w:val="auto"/>
              </w:rPr>
              <w:t>Industry</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Spread / Floor (d)</w:t>
            </w: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Cash/PIK</w:t>
            </w:r>
          </w:p>
        </w:tc>
        <w:tc>
          <w:tcPr>
            <w:tcW w:w="700" w:type="dxa"/>
            <w:vAlign w:val="bottom"/>
            <w:gridSpan w:val="2"/>
          </w:tcPr>
          <w:p>
            <w:pPr>
              <w:ind w:left="100"/>
              <w:spacing w:after="0"/>
              <w:rPr>
                <w:sz w:val="20"/>
                <w:szCs w:val="20"/>
                <w:color w:val="auto"/>
              </w:rPr>
            </w:pPr>
            <w:r>
              <w:rPr>
                <w:rFonts w:ascii="Arial" w:cs="Arial" w:eastAsia="Arial" w:hAnsi="Arial"/>
                <w:sz w:val="13"/>
                <w:szCs w:val="13"/>
                <w:b w:val="1"/>
                <w:bCs w:val="1"/>
                <w:color w:val="auto"/>
              </w:rPr>
              <w:t>Date (f)</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Maturity</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4"/>
                <w:szCs w:val="14"/>
                <w:color w:val="auto"/>
              </w:rPr>
            </w:pPr>
          </w:p>
        </w:tc>
        <w:tc>
          <w:tcPr>
            <w:tcW w:w="540" w:type="dxa"/>
            <w:vAlign w:val="bottom"/>
            <w:gridSpan w:val="2"/>
          </w:tcPr>
          <w:p>
            <w:pPr>
              <w:ind w:left="80"/>
              <w:spacing w:after="0"/>
              <w:rPr>
                <w:sz w:val="20"/>
                <w:szCs w:val="20"/>
                <w:color w:val="auto"/>
              </w:rPr>
            </w:pPr>
            <w:r>
              <w:rPr>
                <w:rFonts w:ascii="Arial" w:cs="Arial" w:eastAsia="Arial" w:hAnsi="Arial"/>
                <w:sz w:val="13"/>
                <w:szCs w:val="13"/>
                <w:b w:val="1"/>
                <w:bCs w:val="1"/>
                <w:color w:val="auto"/>
              </w:rPr>
              <w:t>Cost</w:t>
            </w:r>
          </w:p>
        </w:tc>
        <w:tc>
          <w:tcPr>
            <w:tcW w:w="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Value (g)</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0"/>
              </w:rPr>
              <w:t>Net Assets</w:t>
            </w:r>
          </w:p>
        </w:tc>
      </w:tr>
      <w:tr>
        <w:trPr>
          <w:trHeight w:val="108"/>
        </w:trPr>
        <w:tc>
          <w:tcPr>
            <w:tcW w:w="3140" w:type="dxa"/>
            <w:vAlign w:val="bottom"/>
            <w:tcBorders>
              <w:top w:val="single" w:sz="8" w:color="CCEEFF"/>
            </w:tcBorders>
            <w:gridSpan w:val="2"/>
            <w:shd w:val="clear" w:color="auto" w:fill="CCEEFF"/>
          </w:tcPr>
          <w:p>
            <w:pPr>
              <w:spacing w:after="0" w:line="108" w:lineRule="exact"/>
              <w:rPr>
                <w:sz w:val="20"/>
                <w:szCs w:val="20"/>
                <w:color w:val="auto"/>
              </w:rPr>
            </w:pPr>
            <w:r>
              <w:rPr>
                <w:rFonts w:ascii="Arial" w:cs="Arial" w:eastAsia="Arial" w:hAnsi="Arial"/>
                <w:sz w:val="12"/>
                <w:szCs w:val="12"/>
                <w:i w:val="1"/>
                <w:iCs w:val="1"/>
                <w:color w:val="auto"/>
              </w:rPr>
              <w:t>Palisade Company, LLC</w:t>
            </w:r>
          </w:p>
        </w:tc>
        <w:tc>
          <w:tcPr>
            <w:tcW w:w="160" w:type="dxa"/>
            <w:vAlign w:val="bottom"/>
            <w:tcBorders>
              <w:top w:val="single" w:sz="8" w:color="CCEEFF"/>
            </w:tcBorders>
            <w:shd w:val="clear" w:color="auto" w:fill="CCEEFF"/>
          </w:tcPr>
          <w:p>
            <w:pPr>
              <w:spacing w:after="0"/>
              <w:rPr>
                <w:sz w:val="9"/>
                <w:szCs w:val="9"/>
                <w:color w:val="auto"/>
              </w:rPr>
            </w:pPr>
          </w:p>
        </w:tc>
        <w:tc>
          <w:tcPr>
            <w:tcW w:w="1640" w:type="dxa"/>
            <w:vAlign w:val="bottom"/>
            <w:tcBorders>
              <w:top w:val="single" w:sz="8" w:color="auto"/>
            </w:tcBorders>
            <w:shd w:val="clear" w:color="auto" w:fill="CCEEFF"/>
          </w:tcPr>
          <w:p>
            <w:pPr>
              <w:spacing w:after="0" w:line="108" w:lineRule="exact"/>
              <w:rPr>
                <w:sz w:val="20"/>
                <w:szCs w:val="20"/>
                <w:color w:val="auto"/>
              </w:rPr>
            </w:pPr>
            <w:r>
              <w:rPr>
                <w:rFonts w:ascii="Arial" w:cs="Arial" w:eastAsia="Arial" w:hAnsi="Arial"/>
                <w:sz w:val="12"/>
                <w:szCs w:val="12"/>
                <w:color w:val="auto"/>
              </w:rPr>
              <w:t>Information Technology</w:t>
            </w:r>
          </w:p>
        </w:tc>
        <w:tc>
          <w:tcPr>
            <w:tcW w:w="100" w:type="dxa"/>
            <w:vAlign w:val="bottom"/>
            <w:tcBorders>
              <w:top w:val="single" w:sz="8" w:color="CCEEFF"/>
            </w:tcBorders>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r>
      <w:tr>
        <w:trPr>
          <w:trHeight w:val="149"/>
        </w:trPr>
        <w:tc>
          <w:tcPr>
            <w:tcW w:w="10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90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Services</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35"/>
        </w:trPr>
        <w:tc>
          <w:tcPr>
            <w:tcW w:w="31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11.75%/0.00%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w w:val="92"/>
              </w:rPr>
              <w:t>11/15/2018</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5/15/2024</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4"/>
              </w:rPr>
              <w:t>$   6,500</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$ 6,474</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  6,500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 shares) (j)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11/15/2018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1,000</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901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7,474</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7,401</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Palmetto Moon, LLC</w:t>
            </w:r>
          </w:p>
        </w:tc>
        <w:tc>
          <w:tcPr>
            <w:tcW w:w="190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Retail</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11.50%/2.50%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11/3/2016</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6"/>
              </w:rPr>
              <w:t>10/31/2021</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4,963</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4,949</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4,963</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(499 units) (j)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11/3/2016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494</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67</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5,443</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5,030</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1%</w:t>
            </w: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Power Grid Components, Inc.</w:t>
            </w:r>
          </w:p>
        </w:tc>
        <w:tc>
          <w:tcPr>
            <w:tcW w:w="190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Specialty Distribution</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11.00%/1.00%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4/12/2018</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12/2/2025</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22,207</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22,115</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22,207</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(392 shares) (j)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4/12/2018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392</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459</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(48 shares) (j)</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12/2/2019</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48</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57</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(10,622 shares) (j)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4/12/2018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462</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610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23,017</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23,333</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6%</w:t>
            </w: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Prime AE Group, Inc.</w:t>
            </w:r>
          </w:p>
        </w:tc>
        <w:tc>
          <w:tcPr>
            <w:tcW w:w="190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Business Services</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First Lien Debt (j)</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0"/>
              </w:rPr>
              <w:t>(L + 6.25%) / (2.00%)</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8.25%/0.00%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w w:val="92"/>
              </w:rPr>
              <w:t>11/25/2019</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6"/>
              </w:rPr>
              <w:t>11/25/2024</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7,500</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7,312</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7,312</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(500,000 shares) (j)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11/25/2019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500</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7,812</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7,812</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Pugh Lubricants, LLC</w:t>
            </w:r>
          </w:p>
        </w:tc>
        <w:tc>
          <w:tcPr>
            <w:tcW w:w="190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Specialty Distribution</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12.25%/0.00%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w w:val="92"/>
              </w:rPr>
              <w:t>11/10/2016</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5/10/2022</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23,581</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23,521</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23,581</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(6,125 units) (h)(j)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11/10/2016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576</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1,199</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24,097</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24,780</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6%</w:t>
            </w:r>
          </w:p>
        </w:tc>
      </w:tr>
      <w:tr>
        <w:trPr>
          <w:trHeight w:val="121"/>
        </w:trPr>
        <w:tc>
          <w:tcPr>
            <w:tcW w:w="31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i w:val="1"/>
                <w:iCs w:val="1"/>
                <w:color w:val="auto"/>
              </w:rPr>
              <w:t>Revenue Management Solutions, LLC</w:t>
            </w:r>
          </w:p>
        </w:tc>
        <w:tc>
          <w:tcPr>
            <w:tcW w:w="1900" w:type="dxa"/>
            <w:vAlign w:val="bottom"/>
            <w:gridSpan w:val="3"/>
            <w:shd w:val="clear" w:color="auto" w:fill="CCEEFF"/>
          </w:tcPr>
          <w:p>
            <w:pPr>
              <w:ind w:left="160"/>
              <w:spacing w:after="0" w:line="121" w:lineRule="exact"/>
              <w:rPr>
                <w:sz w:val="20"/>
                <w:szCs w:val="20"/>
                <w:color w:val="auto"/>
              </w:rPr>
            </w:pPr>
            <w:r>
              <w:rPr>
                <w:rFonts w:ascii="Arial" w:cs="Arial" w:eastAsia="Arial" w:hAnsi="Arial"/>
                <w:sz w:val="13"/>
                <w:szCs w:val="13"/>
                <w:color w:val="auto"/>
              </w:rPr>
              <w:t>Information Technology</w:t>
            </w: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49"/>
        </w:trPr>
        <w:tc>
          <w:tcPr>
            <w:tcW w:w="10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90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Services</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60"/>
        </w:trPr>
        <w:tc>
          <w:tcPr>
            <w:tcW w:w="3140" w:type="dxa"/>
            <w:vAlign w:val="bottom"/>
            <w:gridSpan w:val="2"/>
          </w:tcPr>
          <w:p>
            <w:pPr>
              <w:ind w:left="240"/>
              <w:spacing w:after="0"/>
              <w:rPr>
                <w:sz w:val="20"/>
                <w:szCs w:val="20"/>
                <w:color w:val="auto"/>
              </w:rPr>
            </w:pPr>
            <w:r>
              <w:rPr>
                <w:rFonts w:ascii="Arial" w:cs="Arial" w:eastAsia="Arial" w:hAnsi="Arial"/>
                <w:sz w:val="13"/>
                <w:szCs w:val="13"/>
                <w:color w:val="auto"/>
              </w:rPr>
              <w:t>Common Equity (2,250,000 shares)</w:t>
            </w: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1/4/2017</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3"/>
                <w:szCs w:val="13"/>
                <w:color w:val="auto"/>
              </w:rPr>
              <w:t>2,250</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5,120</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r>
      <w:tr>
        <w:trPr>
          <w:trHeight w:val="83"/>
        </w:trPr>
        <w:tc>
          <w:tcPr>
            <w:tcW w:w="10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Rhino Assembly Company, LLC</w:t>
            </w:r>
          </w:p>
        </w:tc>
        <w:tc>
          <w:tcPr>
            <w:tcW w:w="190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Specialty Distribution</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12.00%/1.00%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8/11/2017</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2/11/2023</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11,440</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11,402</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10,101</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w w:val="95"/>
              </w:rPr>
              <w:t>Delayed Draw Commitment ($875 commitment) (i)(j)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12.00%/1.00%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8/11/2017</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5/17/2022</w:t>
            </w:r>
          </w:p>
        </w:tc>
        <w:tc>
          <w:tcPr>
            <w:tcW w:w="5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30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31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(8,864 units) (h)(j)</w:t>
            </w: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8/11/2017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944</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499</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12,346</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10,600</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314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Road Safety Services, Inc.</w:t>
            </w:r>
          </w:p>
        </w:tc>
        <w:tc>
          <w:tcPr>
            <w:tcW w:w="190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Business Services</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11.25%/1.50%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9/18/2018</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3/18/2024</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10,222</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10,185</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10,222</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31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(655 units)</w:t>
            </w: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9/18/2018</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621</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680</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10,806</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10,902</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314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Rohrer Corporation</w:t>
            </w:r>
          </w:p>
        </w:tc>
        <w:tc>
          <w:tcPr>
            <w:tcW w:w="190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Packaging</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10.50%/1.00%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10/1/2018</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4/1/2024</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13,875</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13,822</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13,875</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31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(400 shares)</w:t>
            </w: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7/18/2016</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780</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1,256</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14,602</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15,131</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w:t>
            </w:r>
          </w:p>
        </w:tc>
      </w:tr>
      <w:tr>
        <w:trPr>
          <w:trHeight w:val="121"/>
        </w:trPr>
        <w:tc>
          <w:tcPr>
            <w:tcW w:w="3140" w:type="dxa"/>
            <w:vAlign w:val="bottom"/>
            <w:gridSpan w:val="2"/>
          </w:tcPr>
          <w:p>
            <w:pPr>
              <w:spacing w:after="0" w:line="121" w:lineRule="exact"/>
              <w:rPr>
                <w:sz w:val="20"/>
                <w:szCs w:val="20"/>
                <w:color w:val="auto"/>
              </w:rPr>
            </w:pPr>
            <w:r>
              <w:rPr>
                <w:rFonts w:ascii="Arial" w:cs="Arial" w:eastAsia="Arial" w:hAnsi="Arial"/>
                <w:sz w:val="13"/>
                <w:szCs w:val="13"/>
                <w:i w:val="1"/>
                <w:iCs w:val="1"/>
                <w:color w:val="auto"/>
              </w:rPr>
              <w:t>SES Investors, LLC (dba SES Foam)</w:t>
            </w:r>
          </w:p>
        </w:tc>
        <w:tc>
          <w:tcPr>
            <w:tcW w:w="1900" w:type="dxa"/>
            <w:vAlign w:val="bottom"/>
            <w:gridSpan w:val="3"/>
          </w:tcPr>
          <w:p>
            <w:pPr>
              <w:ind w:left="160"/>
              <w:spacing w:after="0" w:line="121" w:lineRule="exact"/>
              <w:rPr>
                <w:sz w:val="20"/>
                <w:szCs w:val="20"/>
                <w:color w:val="auto"/>
              </w:rPr>
            </w:pPr>
            <w:r>
              <w:rPr>
                <w:rFonts w:ascii="Arial" w:cs="Arial" w:eastAsia="Arial" w:hAnsi="Arial"/>
                <w:sz w:val="13"/>
                <w:szCs w:val="13"/>
                <w:color w:val="auto"/>
              </w:rPr>
              <w:t>Building Products</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9"/>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900" w:type="dxa"/>
            <w:vAlign w:val="bottom"/>
            <w:gridSpan w:val="3"/>
          </w:tcPr>
          <w:p>
            <w:pPr>
              <w:ind w:left="160"/>
              <w:spacing w:after="0"/>
              <w:rPr>
                <w:sz w:val="20"/>
                <w:szCs w:val="20"/>
                <w:color w:val="auto"/>
              </w:rPr>
            </w:pPr>
            <w:r>
              <w:rPr>
                <w:rFonts w:ascii="Arial" w:cs="Arial" w:eastAsia="Arial" w:hAnsi="Arial"/>
                <w:sz w:val="13"/>
                <w:szCs w:val="13"/>
                <w:color w:val="auto"/>
              </w:rPr>
              <w:t>Manufacturing</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31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13.00%/0.00%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9/8/2016</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6"/>
              </w:rPr>
              <w:t>12/29/2020</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3,095</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3,082</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3,095</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31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(6,000 units) (h)(j)</w:t>
            </w: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9/8/2016</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567</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856</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3,649</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3,951</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w:t>
            </w:r>
          </w:p>
        </w:tc>
      </w:tr>
      <w:tr>
        <w:trPr>
          <w:trHeight w:val="121"/>
        </w:trPr>
        <w:tc>
          <w:tcPr>
            <w:tcW w:w="3140" w:type="dxa"/>
            <w:vAlign w:val="bottom"/>
            <w:gridSpan w:val="2"/>
          </w:tcPr>
          <w:p>
            <w:pPr>
              <w:spacing w:after="0" w:line="121" w:lineRule="exact"/>
              <w:rPr>
                <w:sz w:val="20"/>
                <w:szCs w:val="20"/>
                <w:color w:val="auto"/>
              </w:rPr>
            </w:pPr>
            <w:r>
              <w:rPr>
                <w:rFonts w:ascii="Arial" w:cs="Arial" w:eastAsia="Arial" w:hAnsi="Arial"/>
                <w:sz w:val="13"/>
                <w:szCs w:val="13"/>
                <w:i w:val="1"/>
                <w:iCs w:val="1"/>
                <w:color w:val="auto"/>
              </w:rPr>
              <w:t>Software Technology, LLC</w:t>
            </w:r>
          </w:p>
        </w:tc>
        <w:tc>
          <w:tcPr>
            <w:tcW w:w="1900" w:type="dxa"/>
            <w:vAlign w:val="bottom"/>
            <w:gridSpan w:val="3"/>
          </w:tcPr>
          <w:p>
            <w:pPr>
              <w:ind w:left="160"/>
              <w:spacing w:after="0" w:line="121" w:lineRule="exact"/>
              <w:rPr>
                <w:sz w:val="20"/>
                <w:szCs w:val="20"/>
                <w:color w:val="auto"/>
              </w:rPr>
            </w:pPr>
            <w:r>
              <w:rPr>
                <w:rFonts w:ascii="Arial" w:cs="Arial" w:eastAsia="Arial" w:hAnsi="Arial"/>
                <w:sz w:val="13"/>
                <w:szCs w:val="13"/>
                <w:color w:val="auto"/>
              </w:rPr>
              <w:t>Information Technology</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9"/>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900" w:type="dxa"/>
            <w:vAlign w:val="bottom"/>
            <w:gridSpan w:val="3"/>
          </w:tcPr>
          <w:p>
            <w:pPr>
              <w:ind w:left="160"/>
              <w:spacing w:after="0"/>
              <w:rPr>
                <w:sz w:val="20"/>
                <w:szCs w:val="20"/>
                <w:color w:val="auto"/>
              </w:rPr>
            </w:pPr>
            <w:r>
              <w:rPr>
                <w:rFonts w:ascii="Arial" w:cs="Arial" w:eastAsia="Arial" w:hAnsi="Arial"/>
                <w:sz w:val="13"/>
                <w:szCs w:val="13"/>
                <w:color w:val="auto"/>
              </w:rPr>
              <w:t>Services</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31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(k)</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11.00%/0.00%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12/23/2016</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6/23/2023</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10,000</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9,972</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31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(12 shares)</w:t>
            </w: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w w:val="92"/>
              </w:rPr>
              <w:t>12/23/2016</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1,291</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1,578</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11,263</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11,578</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314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Specialized Elevator Services Holdings, LLC</w:t>
            </w:r>
          </w:p>
        </w:tc>
        <w:tc>
          <w:tcPr>
            <w:tcW w:w="190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Business Services</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First Lien Debt (j)(y)</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0"/>
              </w:rPr>
              <w:t>(L + 5.25%) / (2.00%)</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7.25%/0.00%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5/7/2019</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5/3/2024</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7,080</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6,985</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7,080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31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(500 units) (j)</w:t>
            </w: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5/8/2019</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554</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7,485</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7,634</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w:t>
            </w:r>
          </w:p>
        </w:tc>
      </w:tr>
      <w:tr>
        <w:trPr>
          <w:trHeight w:val="135"/>
        </w:trPr>
        <w:tc>
          <w:tcPr>
            <w:tcW w:w="314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SpendMend LLC</w:t>
            </w:r>
          </w:p>
        </w:tc>
        <w:tc>
          <w:tcPr>
            <w:tcW w:w="190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Business Services</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11.00%/1.00%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1/8/2018</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7/8/2023</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10,491</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10,456</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10,491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31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(1,000,000 units)</w:t>
            </w: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1/8/2018</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1,000</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1,400</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0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11,456</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11,891</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w:t>
            </w:r>
          </w:p>
        </w:tc>
      </w:tr>
      <w:tr>
        <w:trPr>
          <w:trHeight w:val="135"/>
        </w:trPr>
        <w:tc>
          <w:tcPr>
            <w:tcW w:w="3140" w:type="dxa"/>
            <w:vAlign w:val="bottom"/>
            <w:gridSpan w:val="2"/>
          </w:tcPr>
          <w:p>
            <w:pPr>
              <w:spacing w:after="0" w:line="135" w:lineRule="exact"/>
              <w:rPr>
                <w:sz w:val="20"/>
                <w:szCs w:val="20"/>
                <w:color w:val="auto"/>
              </w:rPr>
            </w:pPr>
            <w:r>
              <w:rPr>
                <w:rFonts w:ascii="Arial" w:cs="Arial" w:eastAsia="Arial" w:hAnsi="Arial"/>
                <w:sz w:val="13"/>
                <w:szCs w:val="13"/>
                <w:i w:val="1"/>
                <w:iCs w:val="1"/>
                <w:color w:val="auto"/>
              </w:rPr>
              <w:t>TransGo, LLC</w:t>
            </w:r>
          </w:p>
        </w:tc>
        <w:tc>
          <w:tcPr>
            <w:tcW w:w="1900" w:type="dxa"/>
            <w:vAlign w:val="bottom"/>
            <w:gridSpan w:val="3"/>
          </w:tcPr>
          <w:p>
            <w:pPr>
              <w:ind w:left="160"/>
              <w:spacing w:after="0" w:line="135" w:lineRule="exact"/>
              <w:rPr>
                <w:sz w:val="20"/>
                <w:szCs w:val="20"/>
                <w:color w:val="auto"/>
              </w:rPr>
            </w:pPr>
            <w:r>
              <w:rPr>
                <w:rFonts w:ascii="Arial" w:cs="Arial" w:eastAsia="Arial" w:hAnsi="Arial"/>
                <w:sz w:val="13"/>
                <w:szCs w:val="13"/>
                <w:color w:val="auto"/>
              </w:rPr>
              <w:t>Component Manufacturing</w:t>
            </w: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(1,000 units)</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2/28/2017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998</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1,005</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w:t>
            </w:r>
          </w:p>
        </w:tc>
      </w:tr>
      <w:tr>
        <w:trPr>
          <w:trHeight w:val="243"/>
        </w:trPr>
        <w:tc>
          <w:tcPr>
            <w:tcW w:w="3140" w:type="dxa"/>
            <w:vAlign w:val="bottom"/>
            <w:gridSpan w:val="2"/>
          </w:tcPr>
          <w:p>
            <w:pPr>
              <w:spacing w:after="0"/>
              <w:rPr>
                <w:sz w:val="20"/>
                <w:szCs w:val="20"/>
                <w:color w:val="auto"/>
              </w:rPr>
            </w:pPr>
            <w:r>
              <w:rPr>
                <w:rFonts w:ascii="Arial" w:cs="Arial" w:eastAsia="Arial" w:hAnsi="Arial"/>
                <w:sz w:val="13"/>
                <w:szCs w:val="13"/>
                <w:i w:val="1"/>
                <w:iCs w:val="1"/>
                <w:color w:val="auto"/>
              </w:rPr>
              <w:t>The Tranzonic Companies</w:t>
            </w:r>
          </w:p>
        </w:tc>
        <w:tc>
          <w:tcPr>
            <w:tcW w:w="1900" w:type="dxa"/>
            <w:vAlign w:val="bottom"/>
            <w:gridSpan w:val="3"/>
          </w:tcPr>
          <w:p>
            <w:pPr>
              <w:ind w:left="160"/>
              <w:spacing w:after="0"/>
              <w:rPr>
                <w:sz w:val="20"/>
                <w:szCs w:val="20"/>
                <w:color w:val="auto"/>
              </w:rPr>
            </w:pPr>
            <w:r>
              <w:rPr>
                <w:rFonts w:ascii="Arial" w:cs="Arial" w:eastAsia="Arial" w:hAnsi="Arial"/>
                <w:sz w:val="13"/>
                <w:szCs w:val="13"/>
                <w:color w:val="auto"/>
              </w:rPr>
              <w:t>Specialty Distribution</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35"/>
        </w:trPr>
        <w:tc>
          <w:tcPr>
            <w:tcW w:w="31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10.00%/1.50%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3/27/2018</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3/27/2025</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6,922</w:t>
            </w: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6,870</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6,922</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(5,653 units) (j)</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3/27/2018</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565</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663</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 units) (j)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3/27/2018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26</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7,435</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7,611</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2%</w:t>
            </w: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UBEO, LLC</w:t>
            </w:r>
          </w:p>
        </w:tc>
        <w:tc>
          <w:tcPr>
            <w:tcW w:w="190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Business Services</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Subordinated Debt (j)</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11.00%/0.00%</w:t>
            </w: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4/3/2018</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6"/>
              </w:rPr>
              <w:t>10/3/2024</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13,893</w:t>
            </w: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13,792</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13,645</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(705,000 units) (h)(j)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4/3/2018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705</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811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14,497</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14,456</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4%</w:t>
            </w: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United Biologics, LLC</w:t>
            </w:r>
          </w:p>
        </w:tc>
        <w:tc>
          <w:tcPr>
            <w:tcW w:w="190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Healthcare Services</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Preferred Equity (98,377 units) (h)(j)</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4/1/2012</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1,008</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Warrant (57,469 units) (m)</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3/5/2012</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566</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1,574</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44</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0%</w:t>
            </w:r>
          </w:p>
        </w:tc>
      </w:tr>
      <w:tr>
        <w:trPr>
          <w:trHeight w:val="135"/>
        </w:trPr>
        <w:tc>
          <w:tcPr>
            <w:tcW w:w="3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Vanguard Dealer Services, LLC.(n)</w:t>
            </w:r>
          </w:p>
        </w:tc>
        <w:tc>
          <w:tcPr>
            <w:tcW w:w="190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3"/>
                <w:szCs w:val="13"/>
                <w:color w:val="auto"/>
              </w:rPr>
              <w:t>Business Services</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314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Common Equity (6,000 units)</w:t>
            </w: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3"/>
                <w:szCs w:val="13"/>
                <w:color w:val="auto"/>
              </w:rPr>
              <w:t>7/30/2015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314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(2,380 units) (j)</w:t>
            </w: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2/2/2018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4"/>
        </w:trPr>
        <w:tc>
          <w:tcPr>
            <w:tcW w:w="10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0%</w:t>
            </w:r>
          </w:p>
        </w:tc>
      </w:tr>
    </w:tbl>
    <w:p>
      <w:pPr>
        <w:spacing w:after="0" w:line="122" w:lineRule="exact"/>
        <w:rPr>
          <w:sz w:val="20"/>
          <w:szCs w:val="20"/>
          <w:color w:val="auto"/>
        </w:rPr>
      </w:pPr>
    </w:p>
    <w:p>
      <w:pPr>
        <w:sectPr>
          <w:pgSz w:w="11900" w:h="16838" w:orient="portrait"/>
          <w:cols w:equalWidth="0" w:num="1">
            <w:col w:w="11140"/>
          </w:cols>
          <w:pgMar w:left="320" w:top="459" w:right="439" w:bottom="1440" w:gutter="0" w:footer="0" w:header="0"/>
        </w:sectPr>
      </w:pPr>
    </w:p>
    <w:p>
      <w:pPr>
        <w:jc w:val="center"/>
        <w:ind w:right="-1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40"/>
          </w:cols>
          <w:pgMar w:left="320" w:top="459" w:right="4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Portfolio Company (a)(b)</w:t>
            </w: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Variable Index</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Rate (e)</w:t>
            </w: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Investment</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Principal</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Fair</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4"/>
              </w:rPr>
              <w:t>Percent of</w:t>
            </w:r>
          </w:p>
        </w:tc>
        <w:tc>
          <w:tcPr>
            <w:tcW w:w="0" w:type="dxa"/>
            <w:vAlign w:val="bottom"/>
          </w:tcPr>
          <w:p>
            <w:pPr>
              <w:spacing w:after="0"/>
              <w:rPr>
                <w:sz w:val="1"/>
                <w:szCs w:val="1"/>
                <w:color w:val="auto"/>
              </w:rPr>
            </w:pPr>
          </w:p>
        </w:tc>
      </w:tr>
      <w:tr>
        <w:trPr>
          <w:trHeight w:val="168"/>
        </w:trPr>
        <w:tc>
          <w:tcPr>
            <w:tcW w:w="1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6"/>
              </w:rPr>
              <w:t>Investment Type (c)</w:t>
            </w:r>
          </w:p>
        </w:tc>
        <w:tc>
          <w:tcPr>
            <w:tcW w:w="2000" w:type="dxa"/>
            <w:vAlign w:val="bottom"/>
          </w:tcPr>
          <w:p>
            <w:pPr>
              <w:spacing w:after="0"/>
              <w:rPr>
                <w:sz w:val="14"/>
                <w:szCs w:val="14"/>
                <w:color w:val="auto"/>
              </w:rPr>
            </w:pPr>
          </w:p>
        </w:tc>
        <w:tc>
          <w:tcPr>
            <w:tcW w:w="1880" w:type="dxa"/>
            <w:vAlign w:val="bottom"/>
            <w:gridSpan w:val="2"/>
          </w:tcPr>
          <w:p>
            <w:pPr>
              <w:ind w:left="640"/>
              <w:spacing w:after="0"/>
              <w:rPr>
                <w:sz w:val="20"/>
                <w:szCs w:val="20"/>
                <w:color w:val="auto"/>
              </w:rPr>
            </w:pPr>
            <w:r>
              <w:rPr>
                <w:rFonts w:ascii="Arial" w:cs="Arial" w:eastAsia="Arial" w:hAnsi="Arial"/>
                <w:sz w:val="13"/>
                <w:szCs w:val="13"/>
                <w:b w:val="1"/>
                <w:bCs w:val="1"/>
                <w:color w:val="auto"/>
              </w:rPr>
              <w:t>Industry</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Spread / Floor (d)</w:t>
            </w: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Cash/PIK</w:t>
            </w:r>
          </w:p>
        </w:tc>
        <w:tc>
          <w:tcPr>
            <w:tcW w:w="720" w:type="dxa"/>
            <w:vAlign w:val="bottom"/>
            <w:gridSpan w:val="2"/>
          </w:tcPr>
          <w:p>
            <w:pPr>
              <w:ind w:left="100"/>
              <w:spacing w:after="0"/>
              <w:rPr>
                <w:sz w:val="20"/>
                <w:szCs w:val="20"/>
                <w:color w:val="auto"/>
              </w:rPr>
            </w:pPr>
            <w:r>
              <w:rPr>
                <w:rFonts w:ascii="Arial" w:cs="Arial" w:eastAsia="Arial" w:hAnsi="Arial"/>
                <w:sz w:val="13"/>
                <w:szCs w:val="13"/>
                <w:b w:val="1"/>
                <w:bCs w:val="1"/>
                <w:color w:val="auto"/>
              </w:rPr>
              <w:t>Date (f)</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8"/>
              </w:rPr>
              <w:t>Maturity</w:t>
            </w:r>
          </w:p>
        </w:tc>
        <w:tc>
          <w:tcPr>
            <w:tcW w:w="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4"/>
                <w:szCs w:val="14"/>
                <w:color w:val="auto"/>
              </w:rPr>
            </w:pPr>
          </w:p>
        </w:tc>
        <w:tc>
          <w:tcPr>
            <w:tcW w:w="480" w:type="dxa"/>
            <w:vAlign w:val="bottom"/>
            <w:gridSpan w:val="3"/>
          </w:tcPr>
          <w:p>
            <w:pPr>
              <w:ind w:left="4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3"/>
                <w:szCs w:val="13"/>
                <w:b w:val="1"/>
                <w:bCs w:val="1"/>
                <w:color w:val="auto"/>
              </w:rPr>
              <w:t>Value (g)</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0"/>
              </w:rPr>
              <w:t>Net Assets</w:t>
            </w:r>
          </w:p>
        </w:tc>
        <w:tc>
          <w:tcPr>
            <w:tcW w:w="0" w:type="dxa"/>
            <w:vAlign w:val="bottom"/>
          </w:tcPr>
          <w:p>
            <w:pPr>
              <w:spacing w:after="0"/>
              <w:rPr>
                <w:sz w:val="1"/>
                <w:szCs w:val="1"/>
                <w:color w:val="auto"/>
              </w:rPr>
            </w:pPr>
          </w:p>
        </w:tc>
      </w:tr>
      <w:tr>
        <w:trPr>
          <w:trHeight w:val="122"/>
        </w:trPr>
        <w:tc>
          <w:tcPr>
            <w:tcW w:w="308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3"/>
                <w:szCs w:val="13"/>
                <w:i w:val="1"/>
                <w:iCs w:val="1"/>
                <w:color w:val="auto"/>
              </w:rPr>
              <w:t>Virginia Tile Company, LLC</w:t>
            </w:r>
          </w:p>
        </w:tc>
        <w:tc>
          <w:tcPr>
            <w:tcW w:w="176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color w:val="auto"/>
              </w:rPr>
              <w:t>Specialty Distribution</w:t>
            </w:r>
          </w:p>
        </w:tc>
        <w:tc>
          <w:tcPr>
            <w:tcW w:w="12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(k)</w:t>
            </w: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12.25%/0.00%</w:t>
            </w:r>
          </w:p>
        </w:tc>
        <w:tc>
          <w:tcPr>
            <w:tcW w:w="1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3"/>
                <w:szCs w:val="13"/>
                <w:color w:val="auto"/>
                <w:w w:val="89"/>
              </w:rPr>
              <w:t>12/19/2014</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4/7/2022</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w w:val="95"/>
              </w:rPr>
              <w:t>11,989</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12,000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(17 units)</w:t>
            </w: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9"/>
              </w:rPr>
              <w:t>12/19/2014</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342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860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12,331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12,860</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Wheel Pros, Inc.</w:t>
            </w:r>
          </w:p>
        </w:tc>
        <w:tc>
          <w:tcPr>
            <w:tcW w:w="18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Specialty Distribution</w:t>
            </w: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0"/>
              </w:rPr>
              <w:t>(L + 8.50%) / (0.00%)</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10.30%/0.00%</w:t>
            </w:r>
          </w:p>
        </w:tc>
        <w:tc>
          <w:tcPr>
            <w:tcW w:w="1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3"/>
                <w:szCs w:val="13"/>
                <w:color w:val="auto"/>
              </w:rPr>
              <w:t>5/17/2019</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4/4/2026</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20,000</w:t>
            </w:r>
          </w:p>
        </w:tc>
        <w:tc>
          <w:tcPr>
            <w:tcW w:w="80" w:type="dxa"/>
            <w:vAlign w:val="bottom"/>
          </w:tcPr>
          <w:p>
            <w:pPr>
              <w:spacing w:after="0"/>
              <w:rPr>
                <w:sz w:val="11"/>
                <w:szCs w:val="11"/>
                <w:color w:val="auto"/>
              </w:rPr>
            </w:pPr>
          </w:p>
        </w:tc>
        <w:tc>
          <w:tcPr>
            <w:tcW w:w="4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w w:val="95"/>
              </w:rPr>
              <w:t>19,818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20,000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Preferred Equity (694,444 units)(j)</w:t>
            </w: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5/15/2019</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1,500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1,781</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21,318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21,781</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Worldwide Express Operations, LLC</w:t>
            </w:r>
          </w:p>
        </w:tc>
        <w:tc>
          <w:tcPr>
            <w:tcW w:w="18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Transportation services</w:t>
            </w: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Second Lien Debt (j)</w:t>
            </w: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0"/>
              </w:rPr>
              <w:t>(L + 8.00%) / (1.00%)</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9.90%/0.00%</w:t>
            </w:r>
          </w:p>
        </w:tc>
        <w:tc>
          <w:tcPr>
            <w:tcW w:w="1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3"/>
                <w:szCs w:val="13"/>
                <w:color w:val="auto"/>
              </w:rPr>
              <w:t>2/27/2017</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2/3/2025</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20,000</w:t>
            </w:r>
          </w:p>
        </w:tc>
        <w:tc>
          <w:tcPr>
            <w:tcW w:w="80" w:type="dxa"/>
            <w:vAlign w:val="bottom"/>
          </w:tcPr>
          <w:p>
            <w:pPr>
              <w:spacing w:after="0"/>
              <w:rPr>
                <w:sz w:val="11"/>
                <w:szCs w:val="11"/>
                <w:color w:val="auto"/>
              </w:rPr>
            </w:pPr>
          </w:p>
        </w:tc>
        <w:tc>
          <w:tcPr>
            <w:tcW w:w="48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w w:val="95"/>
              </w:rPr>
              <w:t>19,740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20,000</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Common Equity (4,000 units) (h)(j)</w:t>
            </w: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2/27/2017</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2,956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4,452</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22,696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24,452</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Non-control/Non-affiliate Investments</w:t>
            </w: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0"/>
              </w:rPr>
              <w:t>620,453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u w:val="single" w:color="auto"/>
                <w:color w:val="auto"/>
                <w:w w:val="71"/>
              </w:rPr>
              <w:t>$</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5"/>
              </w:rPr>
              <w:t>623,544</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Investments</w:t>
            </w: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186%</w:t>
            </w:r>
          </w:p>
        </w:tc>
        <w:tc>
          <w:tcPr>
            <w:tcW w:w="0" w:type="dxa"/>
            <w:vAlign w:val="bottom"/>
          </w:tcPr>
          <w:p>
            <w:pPr>
              <w:spacing w:after="0" w:line="20" w:lineRule="exact"/>
              <w:rPr>
                <w:sz w:val="1"/>
                <w:szCs w:val="1"/>
                <w:color w:val="auto"/>
              </w:rPr>
            </w:pPr>
          </w:p>
        </w:tc>
      </w:tr>
      <w:tr>
        <w:trPr>
          <w:trHeight w:val="129"/>
        </w:trPr>
        <w:tc>
          <w:tcPr>
            <w:tcW w:w="3080" w:type="dxa"/>
            <w:vAlign w:val="bottom"/>
            <w:gridSpan w:val="2"/>
            <w:vMerge w:val="continue"/>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0"/>
              </w:rPr>
              <w:t>704,499</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766,919</w:t>
            </w: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3" w:lineRule="exact"/>
        <w:rPr>
          <w:sz w:val="20"/>
          <w:szCs w:val="20"/>
          <w:color w:val="auto"/>
        </w:rPr>
      </w:pPr>
    </w:p>
    <w:p>
      <w:pPr>
        <w:ind w:left="540" w:hanging="424"/>
        <w:spacing w:after="0"/>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Note 3 to the consolidated financial statements for portfolio composition by geographic location.</w:t>
      </w:r>
    </w:p>
    <w:p>
      <w:pPr>
        <w:ind w:left="540" w:hanging="424"/>
        <w:spacing w:after="0" w:line="22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Equity ownership may be held in shares or units of companies related to the portfolio companies.</w:t>
      </w:r>
    </w:p>
    <w:p>
      <w:pPr>
        <w:ind w:left="540" w:hanging="424"/>
        <w:spacing w:after="0" w:line="22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debt investments are income producing, unless otherwise indicated. Equity investments are non-income producing unless otherwise noted.</w:t>
      </w:r>
    </w:p>
    <w:p>
      <w:pPr>
        <w:ind w:left="540" w:right="140" w:hanging="424"/>
        <w:spacing w:after="0" w:line="238" w:lineRule="auto"/>
        <w:tabs>
          <w:tab w:leader="none" w:pos="540" w:val="left"/>
        </w:tabs>
        <w:numPr>
          <w:ilvl w:val="0"/>
          <w:numId w:val="5"/>
        </w:numPr>
        <w:rPr>
          <w:rFonts w:ascii="Arial" w:cs="Arial" w:eastAsia="Arial" w:hAnsi="Arial"/>
          <w:sz w:val="13"/>
          <w:szCs w:val="13"/>
          <w:color w:val="auto"/>
        </w:rPr>
      </w:pPr>
      <w:r>
        <w:rPr>
          <w:rFonts w:ascii="Arial" w:cs="Arial" w:eastAsia="Arial" w:hAnsi="Arial"/>
          <w:sz w:val="13"/>
          <w:szCs w:val="13"/>
          <w:color w:val="auto"/>
        </w:rPr>
        <w:t>Variable rate investments bear interest at a rate indexed to LIBOR (L), which is reset monthly, bimonthly, quarterly, or semi-annually. Certain variable rate investments also include a LIBOR interest rate floor. For each investment, the Company has provided the spread over the reference rate and the LIBOR floor, if any, as of December 31, 2019.</w:t>
      </w:r>
    </w:p>
    <w:p>
      <w:pPr>
        <w:ind w:left="540" w:right="160" w:hanging="424"/>
        <w:spacing w:after="0" w:line="22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Rate includes the cash interest or dividend rate and paid-in-kind interest or dividend rate, if any, as of December 31, 2019. Generally, payment-in-kind interest can be paid-in-kind or all in cash.</w:t>
      </w:r>
    </w:p>
    <w:p>
      <w:pPr>
        <w:ind w:left="540" w:hanging="424"/>
        <w:spacing w:after="0" w:line="22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Investment date represents the date of the initial investment in the security.</w:t>
      </w:r>
    </w:p>
    <w:p>
      <w:pPr>
        <w:ind w:left="540" w:right="20" w:hanging="424"/>
        <w:spacing w:after="0" w:line="22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ind w:left="540" w:hanging="424"/>
        <w:spacing w:after="0" w:line="22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Investment is held by a Taxable Subsidiary of the Company.</w:t>
      </w:r>
    </w:p>
    <w:p>
      <w:pPr>
        <w:ind w:left="540" w:right="440" w:hanging="424"/>
        <w:spacing w:after="0" w:line="22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disclosed commitment represents the unfunded amount as of December 31, 2019. The Company is earning 0.50% interest on the unfunded balance of the commitment. The interest rate disclosed represents the rate which will be earned if the commitment is funded.</w:t>
      </w:r>
    </w:p>
    <w:p>
      <w:pPr>
        <w:ind w:left="540" w:hanging="424"/>
        <w:spacing w:after="0" w:line="22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left="540" w:right="240" w:hanging="424"/>
        <w:spacing w:after="0" w:line="238" w:lineRule="auto"/>
        <w:tabs>
          <w:tab w:leader="none" w:pos="5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left="540" w:right="100" w:hanging="424"/>
        <w:spacing w:after="0" w:line="22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540" w:right="160" w:hanging="424"/>
        <w:spacing w:after="0" w:line="22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ind w:left="540" w:hanging="424"/>
        <w:spacing w:after="0" w:line="22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Investment in portfolio company that has sold its operations and is in the process of winding down.</w:t>
      </w:r>
    </w:p>
    <w:p>
      <w:pPr>
        <w:ind w:left="540" w:hanging="424"/>
        <w:spacing w:after="0" w:line="22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Income producing. Maturity date, if any, represents mandatory redemption date.</w:t>
      </w:r>
    </w:p>
    <w:p>
      <w:pPr>
        <w:ind w:left="540" w:hanging="424"/>
        <w:spacing w:after="0" w:line="22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Investment was on non-accrual status as of December 31, 2019, meaning the Company has ceased recognizing interest income on the investment.</w:t>
      </w:r>
    </w:p>
    <w:p>
      <w:pPr>
        <w:ind w:left="540" w:hanging="424"/>
        <w:spacing w:after="0" w:line="22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Warrant entitles the Company to purchase 9.59% of the outstanding principal of Junior Subordinated Notes prior to exercise, and is non-income producing.</w:t>
      </w:r>
    </w:p>
    <w:p>
      <w:pPr>
        <w:ind w:left="540" w:right="60" w:hanging="424"/>
        <w:spacing w:after="0" w:line="22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4.70%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540" w:right="60" w:hanging="424"/>
        <w:spacing w:after="0" w:line="22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3.95%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540" w:right="140" w:hanging="424"/>
        <w:spacing w:after="0" w:line="22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ind w:left="540" w:right="440" w:hanging="424"/>
        <w:spacing w:after="0" w:line="22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disclosed commitment represents the unfunded amount as of December 31, 2019. The Company is earning 0.75% interest on the unfunded balance of the commitment. The interest rate disclosed represents the rate earned on the outstanding, funded balance of the commitment.</w:t>
      </w:r>
    </w:p>
    <w:p>
      <w:pPr>
        <w:ind w:left="540" w:right="60" w:hanging="424"/>
        <w:spacing w:after="0" w:line="22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3.32%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540" w:right="60" w:hanging="424"/>
        <w:spacing w:after="0" w:line="22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3.95%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540" w:right="60" w:hanging="424"/>
        <w:spacing w:after="0" w:line="22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2.73%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540" w:right="60" w:hanging="424"/>
        <w:spacing w:after="0" w:line="221"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3.68%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540" w:right="60" w:hanging="424"/>
        <w:spacing w:after="0" w:line="232"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addition to the interest earned based on the stated interest rate of this security, the Company is entitled to receive an additional interest amount of 4.41%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Organization and Nature of Business</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federal income tax purposes, the Company elected to be treated as a regulated investment company (“RIC”) under Subchapter M of the Internal Revenue Code of 1986, as amended (the “Code”).</w:t>
      </w:r>
    </w:p>
    <w:p>
      <w:pPr>
        <w:spacing w:after="0" w:line="17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Company provides customized debt and equity financing solutions to lower middle-market companies, and may make investments directly or through its two wholly-owned investment company subsidiaries, Fidus Mezzanine Capital II, L.P. (“Fund II”) and Fidus Mezzanine Capital III, L.P. (“Fund III”) (collectively, Fund II and Fund III are referred to as the “Funds”). The Funds are licensed by the U.S. Small Business Administration (the “SBA”) as small business investment companies (“SBIC”). The SBIC licenses allow the Funds to obtain leverage by issuing SBA-guaranteed debentures (“SBA debentures”), subject to the issuance of leverage commitments by the SBA and other customary procedures. As SBICs, the Funds are subject to a variety of regulations and oversight by the SBA under the Small Business Investment Act of 1958, as amended (the “SBIC Act”), concerning, among other things, the size and nature of the companies in which they may invest and the structure of those investments.</w:t>
      </w:r>
    </w:p>
    <w:p>
      <w:pPr>
        <w:spacing w:after="0" w:line="166"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until the Funds reach their borrowing limit under the program. For three or more SBICs under common control, the maximum amount of outstanding SBA debentures cannot exceed $350,000.</w:t>
      </w:r>
    </w:p>
    <w:p>
      <w:pPr>
        <w:spacing w:after="0" w:line="18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Fund II and Fund III are not registered under the 1940 Act and rely on the exclusion from the definition of investment company contained in Section 3(c)(7) of the 1940 Act.</w:t>
      </w:r>
    </w:p>
    <w:p>
      <w:pPr>
        <w:spacing w:after="0" w:line="170"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auto"/>
        </w:rPr>
        <w:t>The Company pays a quarterly base management fee and an incentive fee to Fidus Investment Advisors, LLC, our investment advisor (the “Investment Advisor” or “Fidus Investment Advisors”) under an investment advisory agreement (the “Investment Advisory Agreement”).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accompanying consolidated financial statements of the Company have been prepared in accordance with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accepted accounting principles in the United States of America (“GAAP”) pursuant to the requirements for reporting on Form 10-Q, Accounting Standards Codification (“ASC”) 946, </w:t>
      </w:r>
      <w:r>
        <w:rPr>
          <w:rFonts w:ascii="Arial" w:cs="Arial" w:eastAsia="Arial" w:hAnsi="Arial"/>
          <w:sz w:val="16"/>
          <w:szCs w:val="16"/>
          <w:i w:val="1"/>
          <w:iCs w:val="1"/>
          <w:color w:val="auto"/>
        </w:rPr>
        <w:t>Financial Services – Investment Companies</w:t>
      </w:r>
      <w:r>
        <w:rPr>
          <w:rFonts w:ascii="Arial" w:cs="Arial" w:eastAsia="Arial" w:hAnsi="Arial"/>
          <w:sz w:val="16"/>
          <w:szCs w:val="16"/>
          <w:color w:val="auto"/>
        </w:rPr>
        <w:t xml:space="preserve"> (“ASC 946”), and Articles 6 or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 The current period’s results of operation are not necessarily indicative of results that ultimately may be achieved for the year. Therefore, the unaudited financial statements and notes should be read in conjunction with the audited financial statements and notes thereto for the year ended December 31, 2019.</w:t>
      </w:r>
    </w:p>
    <w:p>
      <w:pPr>
        <w:spacing w:after="0" w:line="166"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the consolidated financial statements in conformity with GAAP requires management to make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4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Pursuant to Article 6 of Regulation S-X and ASC 946, the Company will generally not consolidate its investments in a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an 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Investment risks: </w:t>
      </w:r>
      <w:r>
        <w:rPr>
          <w:rFonts w:ascii="Arial" w:cs="Arial" w:eastAsia="Arial" w:hAnsi="Arial"/>
          <w:sz w:val="17"/>
          <w:szCs w:val="17"/>
          <w:color w:val="auto"/>
        </w:rPr>
        <w:t>The Company’s investments are subject to a variety of risks. These risks may include, but are not limited to the following:</w:t>
      </w:r>
    </w:p>
    <w:p>
      <w:pPr>
        <w:spacing w:after="0" w:line="142" w:lineRule="exact"/>
        <w:rPr>
          <w:sz w:val="20"/>
          <w:szCs w:val="20"/>
          <w:color w:val="auto"/>
        </w:rPr>
      </w:pPr>
    </w:p>
    <w:p>
      <w:pPr>
        <w:ind w:left="1540" w:right="60" w:hanging="331"/>
        <w:spacing w:after="0" w:line="269" w:lineRule="auto"/>
        <w:tabs>
          <w:tab w:leader="none" w:pos="15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Market risk—</w:t>
      </w:r>
      <w:r>
        <w:rPr>
          <w:rFonts w:ascii="Arial" w:cs="Arial" w:eastAsia="Arial" w:hAnsi="Arial"/>
          <w:sz w:val="17"/>
          <w:szCs w:val="17"/>
          <w:color w:val="auto"/>
        </w:rPr>
        <w:t>In contrast to investment-grade bonds (the market prices of which change primarily as a reaction to changes in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rates), 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sectPr>
          <w:pgSz w:w="11900" w:h="16838" w:orient="portrait"/>
          <w:cols w:equalWidth="0" w:num="1">
            <w:col w:w="11120"/>
          </w:cols>
          <w:pgMar w:left="320" w:top="459" w:right="459" w:bottom="1440" w:gutter="0" w:footer="0" w:header="0"/>
        </w:sectPr>
      </w:pP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20"/>
          </w:cols>
          <w:pgMar w:left="320" w:top="459" w:right="4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540" w:hanging="331"/>
        <w:spacing w:after="0" w:line="263"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Credit risk represents the risk that the Company would incur if the counterparties failed to perform pursuant to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their agreements with the Company. Issues of high-yield debt securities in which the Company invests are more likely to default on interest or principal than are issues of investment-grade securities.</w:t>
      </w:r>
    </w:p>
    <w:p>
      <w:pPr>
        <w:spacing w:after="0" w:line="89" w:lineRule="exact"/>
        <w:rPr>
          <w:rFonts w:ascii="Arial" w:cs="Arial" w:eastAsia="Arial" w:hAnsi="Arial"/>
          <w:sz w:val="18"/>
          <w:szCs w:val="18"/>
          <w:color w:val="auto"/>
        </w:rPr>
      </w:pPr>
    </w:p>
    <w:p>
      <w:pPr>
        <w:ind w:left="1540" w:right="460" w:hanging="331"/>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Liquidity risk - </w:t>
      </w:r>
      <w:r>
        <w:rPr>
          <w:rFonts w:ascii="Arial" w:cs="Arial" w:eastAsia="Arial" w:hAnsi="Arial"/>
          <w:sz w:val="18"/>
          <w:szCs w:val="18"/>
          <w:color w:val="auto"/>
        </w:rPr>
        <w:t>Liquidity risk represents the possibility that the Company may not be able to sell its investments quickly or at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price (given the lack of an established market).</w:t>
      </w:r>
    </w:p>
    <w:p>
      <w:pPr>
        <w:spacing w:after="0" w:line="75" w:lineRule="exact"/>
        <w:rPr>
          <w:rFonts w:ascii="Arial" w:cs="Arial" w:eastAsia="Arial" w:hAnsi="Arial"/>
          <w:sz w:val="18"/>
          <w:szCs w:val="18"/>
          <w:color w:val="auto"/>
        </w:rPr>
      </w:pPr>
    </w:p>
    <w:p>
      <w:pPr>
        <w:ind w:left="1540" w:right="160" w:hanging="331"/>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Interest rate risk represents the likelihood that a change in interest rates could have an adverse impact on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an interest-bearing financial instrument.</w:t>
      </w:r>
    </w:p>
    <w:p>
      <w:pPr>
        <w:spacing w:after="0" w:line="75" w:lineRule="exact"/>
        <w:rPr>
          <w:rFonts w:ascii="Arial" w:cs="Arial" w:eastAsia="Arial" w:hAnsi="Arial"/>
          <w:sz w:val="18"/>
          <w:szCs w:val="18"/>
          <w:color w:val="auto"/>
        </w:rPr>
      </w:pPr>
    </w:p>
    <w:p>
      <w:pPr>
        <w:ind w:left="1540" w:hanging="331"/>
        <w:spacing w:after="0" w:line="311" w:lineRule="auto"/>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Prepayment risk - </w:t>
      </w:r>
      <w:r>
        <w:rPr>
          <w:rFonts w:ascii="Arial" w:cs="Arial" w:eastAsia="Arial" w:hAnsi="Arial"/>
          <w:sz w:val="16"/>
          <w:szCs w:val="16"/>
          <w:color w:val="auto"/>
        </w:rPr>
        <w:t>Certain of the Company’s debt investments allow for prepayment of principal without penalty. Downward changes</w:t>
      </w:r>
      <w:r>
        <w:rPr>
          <w:rFonts w:ascii="Arial" w:cs="Arial" w:eastAsia="Arial" w:hAnsi="Arial"/>
          <w:sz w:val="16"/>
          <w:szCs w:val="16"/>
          <w:i w:val="1"/>
          <w:iCs w:val="1"/>
          <w:color w:val="auto"/>
        </w:rPr>
        <w:t xml:space="preserve"> </w:t>
      </w:r>
      <w:r>
        <w:rPr>
          <w:rFonts w:ascii="Arial" w:cs="Arial" w:eastAsia="Arial" w:hAnsi="Arial"/>
          <w:sz w:val="16"/>
          <w:szCs w:val="16"/>
          <w:color w:val="auto"/>
        </w:rPr>
        <w:t>in market interest rates may cause prepayments to occur at a faster than expected rate, thereby effectively shortening the maturity of the debt investments and making the instrument less likely to be an income producing instrument through the stated maturity date.</w:t>
      </w:r>
    </w:p>
    <w:p>
      <w:pPr>
        <w:spacing w:after="0" w:line="54" w:lineRule="exact"/>
        <w:rPr>
          <w:rFonts w:ascii="Arial" w:cs="Arial" w:eastAsia="Arial" w:hAnsi="Arial"/>
          <w:sz w:val="16"/>
          <w:szCs w:val="16"/>
          <w:color w:val="auto"/>
        </w:rPr>
      </w:pPr>
    </w:p>
    <w:p>
      <w:pPr>
        <w:ind w:left="1540" w:right="100" w:hanging="331"/>
        <w:spacing w:after="0" w:line="263"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Off-Balance sheet risk - </w:t>
      </w:r>
      <w:r>
        <w:rPr>
          <w:rFonts w:ascii="Arial" w:cs="Arial" w:eastAsia="Arial" w:hAnsi="Arial"/>
          <w:sz w:val="18"/>
          <w:szCs w:val="18"/>
          <w:color w:val="auto"/>
        </w:rPr>
        <w:t>Some of the Company’s financial instruments contain off-balance sheet risk. Generally, these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represent future commitments to purchase other financial instruments at defined terms at defined future dates. See Note 7 for further details.</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The Company measures and discloses fair value with respect to substantially all of its financial instruments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 xml:space="preserve">Investment classification: </w:t>
      </w:r>
      <w:r>
        <w:rPr>
          <w:rFonts w:ascii="Arial" w:cs="Arial" w:eastAsia="Arial" w:hAnsi="Arial"/>
          <w:sz w:val="18"/>
          <w:szCs w:val="18"/>
          <w:color w:val="auto"/>
        </w:rPr>
        <w:t>The Company classifies its investments in accordance with the requirements of the 1940 Act. Under the 1940 Act,</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p>
    <w:p>
      <w:pPr>
        <w:spacing w:after="0" w:line="18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i w:val="1"/>
          <w:iCs w:val="1"/>
          <w:color w:val="auto"/>
        </w:rPr>
        <w:t xml:space="preserve">Segments: </w:t>
      </w:r>
      <w:r>
        <w:rPr>
          <w:rFonts w:ascii="Arial" w:cs="Arial" w:eastAsia="Arial" w:hAnsi="Arial"/>
          <w:sz w:val="18"/>
          <w:szCs w:val="18"/>
          <w:color w:val="auto"/>
        </w:rPr>
        <w:t>In accordance with ASC Topic 280 —</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the Company has determined that it has a single reporting segment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unit structure.</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Cash and cash equivalents are highly liquid investments with an original maturity of three months or less at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The Company places its cash in financial institutions and, at times, such balances may be in excess of the Federal Deposit Insurance Corporation insurance limits. The Company does not believe its cash balances are exposed to any significant credit risk.</w:t>
      </w:r>
    </w:p>
    <w:p>
      <w:pPr>
        <w:spacing w:after="0" w:line="16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i w:val="1"/>
          <w:iCs w:val="1"/>
          <w:color w:val="auto"/>
        </w:rPr>
        <w:t xml:space="preserve">Deferred financing costs: </w:t>
      </w:r>
      <w:r>
        <w:rPr>
          <w:rFonts w:ascii="Arial" w:cs="Arial" w:eastAsia="Arial" w:hAnsi="Arial"/>
          <w:sz w:val="18"/>
          <w:szCs w:val="18"/>
          <w:color w:val="auto"/>
        </w:rPr>
        <w:t>Deferred financing costs consist of fees and expenses paid in connection with the Credit Facility (as defined in Note 6)</w:t>
      </w:r>
      <w:r>
        <w:rPr>
          <w:rFonts w:ascii="Arial" w:cs="Arial" w:eastAsia="Arial" w:hAnsi="Arial"/>
          <w:sz w:val="18"/>
          <w:szCs w:val="18"/>
          <w:i w:val="1"/>
          <w:iCs w:val="1"/>
          <w:color w:val="auto"/>
        </w:rPr>
        <w:t xml:space="preserve"> </w:t>
      </w:r>
      <w:r>
        <w:rPr>
          <w:rFonts w:ascii="Arial" w:cs="Arial" w:eastAsia="Arial" w:hAnsi="Arial"/>
          <w:sz w:val="18"/>
          <w:szCs w:val="18"/>
          <w:color w:val="auto"/>
        </w:rPr>
        <w:t>and SBA debentures.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spacing w:after="0" w:line="187" w:lineRule="exact"/>
        <w:rPr>
          <w:sz w:val="20"/>
          <w:szCs w:val="20"/>
          <w:color w:val="auto"/>
        </w:rPr>
      </w:pPr>
    </w:p>
    <w:p>
      <w:pPr>
        <w:ind w:left="120" w:right="220" w:firstLine="440"/>
        <w:spacing w:after="0" w:line="272" w:lineRule="auto"/>
        <w:rPr>
          <w:sz w:val="20"/>
          <w:szCs w:val="20"/>
          <w:color w:val="auto"/>
        </w:rPr>
      </w:pPr>
      <w:r>
        <w:rPr>
          <w:rFonts w:ascii="Arial" w:cs="Arial" w:eastAsia="Arial" w:hAnsi="Arial"/>
          <w:sz w:val="17"/>
          <w:szCs w:val="17"/>
          <w:i w:val="1"/>
          <w:iCs w:val="1"/>
          <w:color w:val="auto"/>
        </w:rPr>
        <w:t xml:space="preserve">Realized losses on extinguishment of debt: </w:t>
      </w:r>
      <w:r>
        <w:rPr>
          <w:rFonts w:ascii="Arial" w:cs="Arial" w:eastAsia="Arial" w:hAnsi="Arial"/>
          <w:sz w:val="17"/>
          <w:szCs w:val="17"/>
          <w:color w:val="auto"/>
        </w:rPr>
        <w:t>Upon the repayment of debt obligations which are deemed to be extinguishments, the difference</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the principal amount due at maturity adjusted for any unamortized deferred financing costs is recognized as a loss (i.e., the unamortized deferred financing costs are recognized as a loss upon extinguishment of the underlying debt obligation). In 2019, the Company elected to change the manner in which it presents the derecognition of unamortized deferred financing costs upon extinguishment of the related debt obligation. Previously, the Company classified the extinguishment as a component of interest and financing expenses on the consolidated statements of operations. Comparative prior periods presented have been reclassified retrospectively to conform to the revised presentation. There is no change in historical net increase in net assets resulting from operations due to this change in presentation.</w:t>
      </w:r>
    </w:p>
    <w:p>
      <w:pPr>
        <w:spacing w:after="0" w:line="17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i w:val="1"/>
          <w:iCs w:val="1"/>
          <w:color w:val="auto"/>
        </w:rPr>
        <w:t xml:space="preserve">Deferred offering costs: </w:t>
      </w:r>
      <w:r>
        <w:rPr>
          <w:rFonts w:ascii="Arial" w:cs="Arial" w:eastAsia="Arial" w:hAnsi="Arial"/>
          <w:sz w:val="18"/>
          <w:szCs w:val="18"/>
          <w:color w:val="auto"/>
        </w:rPr>
        <w:t>Deferred offering costs include registration expenses related to shelf filings. These expenses primarily consist of U.S.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sectPr>
          <w:pgSz w:w="11900" w:h="16838" w:orient="portrait"/>
          <w:cols w:equalWidth="0" w:num="1">
            <w:col w:w="11120"/>
          </w:cols>
          <w:pgMar w:left="320" w:top="459" w:right="459" w:bottom="1440"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20"/>
          </w:cols>
          <w:pgMar w:left="320" w:top="459" w:right="4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i w:val="1"/>
          <w:iCs w:val="1"/>
          <w:color w:val="auto"/>
        </w:rPr>
        <w:t xml:space="preserve">Realized gains or losses and unrealized appreciation or depreciation on investments: </w:t>
      </w:r>
      <w:r>
        <w:rPr>
          <w:rFonts w:ascii="Arial" w:cs="Arial" w:eastAsia="Arial" w:hAnsi="Arial"/>
          <w:sz w:val="17"/>
          <w:szCs w:val="17"/>
          <w:color w:val="auto"/>
        </w:rPr>
        <w:t>Realized gains or losses on investments are recorded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 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spacing w:after="0" w:line="17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 xml:space="preserve">Interest and dividend income: </w:t>
      </w:r>
      <w:r>
        <w:rPr>
          <w:rFonts w:ascii="Arial" w:cs="Arial" w:eastAsia="Arial" w:hAnsi="Arial"/>
          <w:sz w:val="17"/>
          <w:szCs w:val="17"/>
          <w:color w:val="auto"/>
        </w:rPr>
        <w:t>Interest and dividend income is recorded on the accrual basis to the extent that the Company expects to collect such</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78"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i w:val="1"/>
          <w:iCs w:val="1"/>
          <w:color w:val="auto"/>
        </w:rPr>
        <w:t xml:space="preserve">PIK income: </w:t>
      </w:r>
      <w:r>
        <w:rPr>
          <w:rFonts w:ascii="Arial" w:cs="Arial" w:eastAsia="Arial" w:hAnsi="Arial"/>
          <w:sz w:val="18"/>
          <w:szCs w:val="18"/>
          <w:color w:val="auto"/>
        </w:rPr>
        <w:t>Certain of the Company’s investments contain a payment-in-kind (“PIK”) income provision. The PIK income, computed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and to avoid corporate federal income tax, even though the Company has not yet collected the cash.</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Non-accrual: </w:t>
      </w:r>
      <w:r>
        <w:rPr>
          <w:rFonts w:ascii="Arial" w:cs="Arial" w:eastAsia="Arial" w:hAnsi="Arial"/>
          <w:sz w:val="18"/>
          <w:szCs w:val="18"/>
          <w:color w:val="auto"/>
        </w:rPr>
        <w:t>Debt investments or preferred equity investments (for which the Company is accruing PIK dividends) are placed</w:t>
      </w:r>
    </w:p>
    <w:p>
      <w:pPr>
        <w:spacing w:after="0" w:line="23" w:lineRule="exact"/>
        <w:rPr>
          <w:sz w:val="20"/>
          <w:szCs w:val="20"/>
          <w:color w:val="auto"/>
        </w:rPr>
      </w:pPr>
    </w:p>
    <w:p>
      <w:pPr>
        <w:ind w:left="120" w:right="100"/>
        <w:spacing w:after="0" w:line="292" w:lineRule="auto"/>
        <w:rPr>
          <w:sz w:val="20"/>
          <w:szCs w:val="20"/>
          <w:color w:val="auto"/>
        </w:rPr>
      </w:pPr>
      <w:r>
        <w:rPr>
          <w:rFonts w:ascii="Arial" w:cs="Arial" w:eastAsia="Arial" w:hAnsi="Arial"/>
          <w:sz w:val="16"/>
          <w:szCs w:val="16"/>
          <w:color w:val="auto"/>
        </w:rPr>
        <w:t>on non-accrual status 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spacing w:after="0" w:line="162" w:lineRule="exact"/>
        <w:rPr>
          <w:sz w:val="20"/>
          <w:szCs w:val="20"/>
          <w:color w:val="auto"/>
        </w:rPr>
      </w:pPr>
    </w:p>
    <w:p>
      <w:pPr>
        <w:ind w:left="120" w:right="520" w:firstLine="440"/>
        <w:spacing w:after="0" w:line="279" w:lineRule="auto"/>
        <w:rPr>
          <w:sz w:val="20"/>
          <w:szCs w:val="20"/>
          <w:color w:val="auto"/>
        </w:rPr>
      </w:pPr>
      <w:r>
        <w:rPr>
          <w:rFonts w:ascii="Arial" w:cs="Arial" w:eastAsia="Arial" w:hAnsi="Arial"/>
          <w:sz w:val="17"/>
          <w:szCs w:val="17"/>
          <w:i w:val="1"/>
          <w:iCs w:val="1"/>
          <w:color w:val="auto"/>
        </w:rPr>
        <w:t xml:space="preserve">Origination and closing fees: </w:t>
      </w:r>
      <w:r>
        <w:rPr>
          <w:rFonts w:ascii="Arial" w:cs="Arial" w:eastAsia="Arial" w:hAnsi="Arial"/>
          <w:sz w:val="17"/>
          <w:szCs w:val="17"/>
          <w:color w:val="auto"/>
        </w:rPr>
        <w:t>The Company also typically receives debt investment origination or closing fees in connection with such</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spacing w:after="0" w:line="171"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i w:val="1"/>
          <w:iCs w:val="1"/>
          <w:color w:val="auto"/>
        </w:rPr>
        <w:t>Warrants</w:t>
      </w:r>
      <w:r>
        <w:rPr>
          <w:rFonts w:ascii="Arial" w:cs="Arial" w:eastAsia="Arial" w:hAnsi="Arial"/>
          <w:sz w:val="18"/>
          <w:szCs w:val="18"/>
          <w:color w:val="auto"/>
        </w:rPr>
        <w:t>: In connection with the Company’s debt investments, the Company will sometimes receive warrants or other equity-related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spacing w:after="0" w:line="192"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i w:val="1"/>
          <w:iCs w:val="1"/>
          <w:color w:val="auto"/>
        </w:rPr>
        <w:t>Fee income</w:t>
      </w:r>
      <w:r>
        <w:rPr>
          <w:rFonts w:ascii="Arial" w:cs="Arial" w:eastAsia="Arial" w:hAnsi="Arial"/>
          <w:sz w:val="17"/>
          <w:szCs w:val="17"/>
          <w:color w:val="auto"/>
        </w:rPr>
        <w:t>: Transaction fees earned in connection with the Company’s investments are recognized as fee income and are generally non-recurring.</w:t>
      </w:r>
      <w:r>
        <w:rPr>
          <w:rFonts w:ascii="Arial" w:cs="Arial" w:eastAsia="Arial" w:hAnsi="Arial"/>
          <w:sz w:val="17"/>
          <w:szCs w:val="17"/>
          <w:i w:val="1"/>
          <w:iCs w:val="1"/>
          <w:color w:val="auto"/>
        </w:rPr>
        <w:t xml:space="preserve"> </w:t>
      </w:r>
      <w:r>
        <w:rPr>
          <w:rFonts w:ascii="Arial" w:cs="Arial" w:eastAsia="Arial" w:hAnsi="Arial"/>
          <w:sz w:val="17"/>
          <w:szCs w:val="17"/>
          <w:color w:val="auto"/>
        </w:rPr>
        <w:t>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7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i w:val="1"/>
          <w:iCs w:val="1"/>
          <w:color w:val="auto"/>
        </w:rPr>
        <w:t xml:space="preserve">Partial loan sales: </w:t>
      </w:r>
      <w:r>
        <w:rPr>
          <w:rFonts w:ascii="Arial" w:cs="Arial" w:eastAsia="Arial" w:hAnsi="Arial"/>
          <w:sz w:val="16"/>
          <w:szCs w:val="16"/>
          <w:color w:val="auto"/>
        </w:rPr>
        <w:t>The Company follows the guidance in ASC 860,</w:t>
      </w:r>
      <w:r>
        <w:rPr>
          <w:rFonts w:ascii="Arial" w:cs="Arial" w:eastAsia="Arial" w:hAnsi="Arial"/>
          <w:sz w:val="16"/>
          <w:szCs w:val="16"/>
          <w:i w:val="1"/>
          <w:iCs w:val="1"/>
          <w:color w:val="auto"/>
        </w:rPr>
        <w:t xml:space="preserve"> Transfers and Servicing, </w:t>
      </w:r>
      <w:r>
        <w:rPr>
          <w:rFonts w:ascii="Arial" w:cs="Arial" w:eastAsia="Arial" w:hAnsi="Arial"/>
          <w:sz w:val="16"/>
          <w:szCs w:val="16"/>
          <w:color w:val="auto"/>
        </w:rPr>
        <w:t>when accounting for loan (debt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participations and other partial loan sales. Such guidance requires a participation or other partial loan sale to meet the definition of a “participating interest,” as defined in the guidance, in order for sale treatment to be allowed. Participations or other partial loan sales which do not meet the definition of a participating interest should remain on the Company’s consolidated statements of assets and liabilities and the proceeds recorded as a secured borrowing until the definition is met. Management has determined that all participations and other partial loan sale transactions entered into by the Company have met the definition of a participating interest. Accordingly, the Company uses sale treatment in accounting for such transactions.</w:t>
      </w:r>
    </w:p>
    <w:p>
      <w:pPr>
        <w:sectPr>
          <w:pgSz w:w="11900" w:h="16838" w:orient="portrait"/>
          <w:cols w:equalWidth="0" w:num="1">
            <w:col w:w="11120"/>
          </w:cols>
          <w:pgMar w:left="320" w:top="459" w:right="459" w:bottom="1440" w:gutter="0" w:footer="0" w:header="0"/>
        </w:sectPr>
      </w:pP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459" w:right="4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The Company has elected to be treated as a RIC under Subchapter M of the Code, which will generally relieve the Company from</w:t>
      </w:r>
      <w:r>
        <w:rPr>
          <w:rFonts w:ascii="Arial" w:cs="Arial" w:eastAsia="Arial" w:hAnsi="Arial"/>
          <w:sz w:val="17"/>
          <w:szCs w:val="17"/>
          <w:i w:val="1"/>
          <w:iCs w:val="1"/>
          <w:color w:val="auto"/>
        </w:rPr>
        <w:t xml:space="preserve"> </w:t>
      </w:r>
      <w:r>
        <w:rPr>
          <w:rFonts w:ascii="Arial" w:cs="Arial" w:eastAsia="Arial" w:hAnsi="Arial"/>
          <w:sz w:val="17"/>
          <w:szCs w:val="17"/>
          <w:color w:val="auto"/>
        </w:rPr>
        <w:t>U.S. federal income taxes with respect to all income distributed to stockholders. To maintain the tax treatment of a RIC, the Company is required to timely distribute to its stockholders at least 90.0%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4.0% excise tax if it does not distribute at least 98.0% of the current year’s ordinary taxable income. Any such carryover taxable income must be distributed through a dividend declared prior to the later of the date on which the final tax return related to the year in which the Company generated such taxable income is filed or the 15</w:t>
      </w:r>
      <w:r>
        <w:rPr>
          <w:rFonts w:ascii="Arial" w:cs="Arial" w:eastAsia="Arial" w:hAnsi="Arial"/>
          <w:sz w:val="14"/>
          <w:szCs w:val="14"/>
          <w:color w:val="auto"/>
        </w:rPr>
        <w:t>th</w:t>
      </w:r>
      <w:r>
        <w:rPr>
          <w:rFonts w:ascii="Arial" w:cs="Arial" w:eastAsia="Arial" w:hAnsi="Arial"/>
          <w:sz w:val="17"/>
          <w:szCs w:val="17"/>
          <w:color w:val="auto"/>
        </w:rPr>
        <w:t xml:space="preserve"> day of the 10</w:t>
      </w:r>
      <w:r>
        <w:rPr>
          <w:rFonts w:ascii="Arial" w:cs="Arial" w:eastAsia="Arial" w:hAnsi="Arial"/>
          <w:sz w:val="14"/>
          <w:szCs w:val="14"/>
          <w:color w:val="auto"/>
        </w:rPr>
        <w:t>th</w:t>
      </w:r>
      <w:r>
        <w:rPr>
          <w:rFonts w:ascii="Arial" w:cs="Arial" w:eastAsia="Arial" w:hAnsi="Arial"/>
          <w:sz w:val="17"/>
          <w:szCs w:val="17"/>
          <w:color w:val="auto"/>
        </w:rPr>
        <w:t xml:space="preserve"> month following the close of such taxable year. In addition, the Company will be subject to federal excise tax if it does not distribute at least 98.2% of its net capital gains realized, computed for any one year period ending October 31.</w:t>
      </w:r>
    </w:p>
    <w:p>
      <w:pPr>
        <w:spacing w:after="0" w:line="181"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In the future, the Funds may be limited by provisions of the SBIC Act and SBA regulations governing SBICs from making certain distributions to FIC that may be necessary to enable FIC to make the minimum distributions required to maintain the tax treatment of a RIC.</w:t>
      </w:r>
    </w:p>
    <w:p>
      <w:pPr>
        <w:spacing w:after="0" w:line="146"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The Company has certain wholly-owned taxable subsidiaries (the “Taxable Subsidiaries”),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federal income taxes. Temporary differences arise when certain items of income, expense, gain or loss are recognized at some time in the future.</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ASC Topic 740 —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June 30, 2020 and December 31, 2019. The Company’s tax returns are generally subject to examination by U.S. federal and most state tax authorities for a period of three years from the date the respective returns are filed, and, accordingly, the Company’s 2016 through 2019 tax years remain subject to examination.</w:t>
      </w:r>
    </w:p>
    <w:p>
      <w:pPr>
        <w:spacing w:after="0" w:line="178"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i w:val="1"/>
          <w:iCs w:val="1"/>
          <w:color w:val="auto"/>
        </w:rPr>
        <w:t xml:space="preserve">Dividends to stockholders: </w:t>
      </w:r>
      <w:r>
        <w:rPr>
          <w:rFonts w:ascii="Arial" w:cs="Arial" w:eastAsia="Arial" w:hAnsi="Arial"/>
          <w:sz w:val="16"/>
          <w:szCs w:val="16"/>
          <w:color w:val="auto"/>
        </w:rPr>
        <w:t>Dividends to stockholders are recorded on the record date with respect to such distributions. The amount, if any, to be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spacing w:after="0" w:line="14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pacing w:after="0" w:line="17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sectPr>
          <w:pgSz w:w="11900" w:h="16838" w:orient="portrait"/>
          <w:cols w:equalWidth="0" w:num="1">
            <w:col w:w="11120"/>
          </w:cols>
          <w:pgMar w:left="320" w:top="459" w:right="459" w:bottom="1440" w:gutter="0" w:footer="0" w:header="0"/>
        </w:sectPr>
      </w:pP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20"/>
          </w:cols>
          <w:pgMar w:left="320" w:top="459" w:right="4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i w:val="1"/>
          <w:iCs w:val="1"/>
          <w:color w:val="auto"/>
        </w:rPr>
        <w:t xml:space="preserve">Earnings and net asset value per share: </w:t>
      </w:r>
      <w:r>
        <w:rPr>
          <w:rFonts w:ascii="Arial" w:cs="Arial" w:eastAsia="Arial" w:hAnsi="Arial"/>
          <w:sz w:val="18"/>
          <w:szCs w:val="18"/>
          <w:color w:val="auto"/>
        </w:rPr>
        <w:t>The earnings per share calculations for the three and six months ended June 30, 2020 and 2019, are</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utilizing the weighted average shares outstanding for the period. Net asset value per share is calculated using the number of shares outstanding as of the end of the period.</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i w:val="1"/>
          <w:iCs w:val="1"/>
          <w:color w:val="auto"/>
        </w:rPr>
        <w:t xml:space="preserve">Stock Repurchase Program: </w:t>
      </w:r>
      <w:r>
        <w:rPr>
          <w:rFonts w:ascii="Arial" w:cs="Arial" w:eastAsia="Arial" w:hAnsi="Arial"/>
          <w:sz w:val="16"/>
          <w:szCs w:val="16"/>
          <w:color w:val="auto"/>
        </w:rPr>
        <w:t>The Company has an open market stock repurchase program (the “Stock Repurchase Program”) under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October 29, 2019, the Board extended the Stock Repurchase Program through December 31, 2020,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During the three and six months ended June 30, 2020, the Company repurchased zero and 25,719 shares of common stock on the open market for zero and $268, respectively. The Company did not make any repurchases of common stock during the three and six months ended June 30, 2019, respectively. Refer to Note 8 for additional information concerning stock repurchases.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 Changes to the Disclosure Requirements for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which is intended to improve fair value disclosure requirements by removing disclosures that are not cost-beneficial, clarifying</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specific requirements, and adding relevant disclosure requirements. The guidance is effective for annual and interim reporting periods beginning after December 15, 2019. The Company adopted the ASU effective January 1, 2020. No significant changes to the fair value disclosures were necessary in the notes to the consolidated financial statements in order to comply with ASU 2018-13.</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March 2020, the Financial Accounting Standards Board (“FASB”) issued Accounting Standards Update (“ASU”) No. 2020-04, “</w:t>
      </w:r>
      <w:r>
        <w:rPr>
          <w:rFonts w:ascii="Arial" w:cs="Arial" w:eastAsia="Arial" w:hAnsi="Arial"/>
          <w:sz w:val="17"/>
          <w:szCs w:val="17"/>
          <w:i w:val="1"/>
          <w:iCs w:val="1"/>
          <w:color w:val="auto"/>
        </w:rPr>
        <w:t>Reference Rate</w:t>
      </w:r>
      <w:r>
        <w:rPr>
          <w:rFonts w:ascii="Arial" w:cs="Arial" w:eastAsia="Arial" w:hAnsi="Arial"/>
          <w:sz w:val="17"/>
          <w:szCs w:val="17"/>
          <w:color w:val="auto"/>
        </w:rPr>
        <w:t xml:space="preserve"> </w:t>
      </w:r>
      <w:r>
        <w:rPr>
          <w:rFonts w:ascii="Arial" w:cs="Arial" w:eastAsia="Arial" w:hAnsi="Arial"/>
          <w:sz w:val="17"/>
          <w:szCs w:val="17"/>
          <w:i w:val="1"/>
          <w:iCs w:val="1"/>
          <w:color w:val="auto"/>
        </w:rPr>
        <w:t>Reform (Topic 848),</w:t>
      </w:r>
      <w:r>
        <w:rPr>
          <w:rFonts w:ascii="Arial" w:cs="Arial" w:eastAsia="Arial" w:hAnsi="Arial"/>
          <w:sz w:val="17"/>
          <w:szCs w:val="17"/>
          <w:color w:val="auto"/>
        </w:rPr>
        <w:t>” which provides optional expedients and exceptions for applying GAAP to contracts, hedging relationships, and other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affected by reference rate reform if certain criteria are met. The amendments apply only to contracts, hedging relationships, and other transactions that reference LIBOR or another reference rate expected to be discontinued because of reference rate reform. ASU 2020-04 is effective for all entities as of March 12, 2020 through December 31, 2022. The expedients and exceptions provided by the amendments do not apply to contract modifications and hedging relationships entered into or evaluated after December 31, 2022, except for hedging transactions as of December 31, 2022, that an entity has elected certain optional expedients for and that are retained through the end of the hedging relationship. The Company is evaluating the potential impact that the adoption of ASU 2020-04 will have on the Company’s consolidated financial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Portfolio Company Investments</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Company’s portfolio investments principally consist of secured and unsecured debt, equity warrants and direct equity investments in privately held companies. The debt investments may or may not be secured by either a first or second lien on the assets of the portfolio company. The debt investments generally bear interest at fixed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periodically makes equity investments in its portfolio companies through Taxable Subsidiaries. In both situations, the investment is generally reported under the name of the operating company on the consolidated schedules of investments.</w:t>
      </w:r>
    </w:p>
    <w:p>
      <w:pPr>
        <w:spacing w:after="0" w:line="17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As of June 30, 2020, the Company had active investments in 64 portfolio companies and residual investments in three portfolio companies that have sold their underlying operations. The aggregate fair value of the total portfolio was $732,620 and the weighted average effective yield on the Company’s debt investments was 12.0% as of such date. As of June 30, 2020, the Company held equity investments in 89.6% of its portfolio companies and the weighted average fully diluted equity ownership in those portfolio companies was 4.7%. The weighted average fully diluted equity ownership was computed using the fully diluted equity ownership for equity investments (including warrants) at cost as of June 30, 2020.</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As of December 31, 2019, the Company had active investments in 61 portfolio companies and residual investments in three portfolio companies that have sold their underlying operations. The aggregate fair value of the total portfolio was $766,919 and the weighted average effective yield on the Company’s debt investments was 12.0% as of such date. As of December 31, 2019, the Company held equity investments in 93.7% of its portfolio companies and the weighted average fully diluted equity ownership in those portfolio companies was 5.3%. The weighted average fully diluted equity ownership was computed using the fully diluted equity ownership for equity investments (including warrants) at cost as of December 31, 2019.</w:t>
      </w:r>
    </w:p>
    <w:p>
      <w:pPr>
        <w:spacing w:after="0" w:line="16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June 30, 2020 and December 31, 2019, including accretion of OID and debt investment origination fees, but excluding investments on non-accrual status, if any.</w:t>
      </w:r>
    </w:p>
    <w:p>
      <w:pPr>
        <w:spacing w:after="0" w:line="17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Purchases of debt and equity investments for the six months ended June 30, 2020 and 2019 totaled $85,097 and $128,460, respectively. Proceeds from sales and repayments, including principal, return of capital distributions and realized gains, of portfolio investments for the six months ended June 30, 2020 and 2019 totaled $76,315 and $75,320, respectively.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Investments by type with corresponding percentage of total portfolio investments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4660" w:type="dxa"/>
            <w:vAlign w:val="bottom"/>
          </w:tcPr>
          <w:p>
            <w:pPr>
              <w:spacing w:after="0"/>
              <w:rPr>
                <w:sz w:val="10"/>
                <w:szCs w:val="10"/>
                <w:color w:val="auto"/>
              </w:rPr>
            </w:pPr>
          </w:p>
        </w:tc>
        <w:tc>
          <w:tcPr>
            <w:tcW w:w="1540" w:type="dxa"/>
            <w:vAlign w:val="bottom"/>
            <w:gridSpan w:val="4"/>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June 30,</w:t>
            </w:r>
          </w:p>
        </w:tc>
        <w:tc>
          <w:tcPr>
            <w:tcW w:w="80" w:type="dxa"/>
            <w:vAlign w:val="bottom"/>
          </w:tcPr>
          <w:p>
            <w:pPr>
              <w:spacing w:after="0"/>
              <w:rPr>
                <w:sz w:val="10"/>
                <w:szCs w:val="10"/>
                <w:color w:val="auto"/>
              </w:rPr>
            </w:pPr>
          </w:p>
        </w:tc>
        <w:tc>
          <w:tcPr>
            <w:tcW w:w="1300" w:type="dxa"/>
            <w:vAlign w:val="bottom"/>
            <w:gridSpan w:val="3"/>
          </w:tcPr>
          <w:p>
            <w:pPr>
              <w:ind w:left="240"/>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620" w:type="dxa"/>
            <w:vAlign w:val="bottom"/>
            <w:gridSpan w:val="4"/>
          </w:tcPr>
          <w:p>
            <w:pPr>
              <w:ind w:left="400"/>
              <w:spacing w:after="0" w:line="119" w:lineRule="exact"/>
              <w:rPr>
                <w:sz w:val="20"/>
                <w:szCs w:val="20"/>
                <w:color w:val="auto"/>
              </w:rPr>
            </w:pPr>
            <w:r>
              <w:rPr>
                <w:rFonts w:ascii="Arial" w:cs="Arial" w:eastAsia="Arial" w:hAnsi="Arial"/>
                <w:sz w:val="13"/>
                <w:szCs w:val="13"/>
                <w:b w:val="1"/>
                <w:bCs w:val="1"/>
                <w:color w:val="auto"/>
              </w:rPr>
              <w:t>June 30,</w:t>
            </w:r>
          </w:p>
        </w:tc>
        <w:tc>
          <w:tcPr>
            <w:tcW w:w="1300" w:type="dxa"/>
            <w:vAlign w:val="bottom"/>
            <w:gridSpan w:val="3"/>
          </w:tcPr>
          <w:p>
            <w:pPr>
              <w:ind w:left="240"/>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r>
      <w:tr>
        <w:trPr>
          <w:trHeight w:val="171"/>
        </w:trPr>
        <w:tc>
          <w:tcPr>
            <w:tcW w:w="46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$366,536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$383,077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$402,553</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53.9%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$392,196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Subordinated Debt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151,636</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140,843</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18.4</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152,717</w:t>
            </w:r>
          </w:p>
        </w:tc>
        <w:tc>
          <w:tcPr>
            <w:tcW w:w="760" w:type="dxa"/>
            <w:vAlign w:val="bottom"/>
            <w:gridSpan w:val="2"/>
          </w:tcPr>
          <w:p>
            <w:pPr>
              <w:jc w:val="right"/>
              <w:ind w:right="248"/>
              <w:spacing w:after="0"/>
              <w:rPr>
                <w:sz w:val="20"/>
                <w:szCs w:val="20"/>
                <w:color w:val="auto"/>
              </w:rPr>
            </w:pPr>
            <w:r>
              <w:rPr>
                <w:rFonts w:ascii="Arial" w:cs="Arial" w:eastAsia="Arial" w:hAnsi="Arial"/>
                <w:sz w:val="18"/>
                <w:szCs w:val="18"/>
                <w:color w:val="auto"/>
              </w:rPr>
              <w:t>20.5</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140,670</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139,690</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108,327</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140,971</w:t>
            </w:r>
          </w:p>
        </w:tc>
        <w:tc>
          <w:tcPr>
            <w:tcW w:w="7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18.9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107,718</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Equity</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72,306</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126,564</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16.5</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46,862</w:t>
            </w:r>
          </w:p>
        </w:tc>
        <w:tc>
          <w:tcPr>
            <w:tcW w:w="760" w:type="dxa"/>
            <w:vAlign w:val="bottom"/>
            <w:gridSpan w:val="2"/>
          </w:tcPr>
          <w:p>
            <w:pPr>
              <w:jc w:val="right"/>
              <w:ind w:right="248"/>
              <w:spacing w:after="0"/>
              <w:rPr>
                <w:sz w:val="20"/>
                <w:szCs w:val="20"/>
                <w:color w:val="auto"/>
              </w:rPr>
            </w:pPr>
            <w:r>
              <w:rPr>
                <w:rFonts w:ascii="Arial" w:cs="Arial" w:eastAsia="Arial" w:hAnsi="Arial"/>
                <w:sz w:val="18"/>
                <w:szCs w:val="18"/>
                <w:color w:val="auto"/>
              </w:rPr>
              <w:t>6.3</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58,091</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2,452</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8,108</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3,195</w:t>
            </w:r>
          </w:p>
        </w:tc>
        <w:tc>
          <w:tcPr>
            <w:tcW w:w="7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0.4</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5,824</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Royalty Rights</w:t>
            </w: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732,620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766,919</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746,298</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4"/>
              </w:rPr>
              <w:t>100.0%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704,499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0"/>
        </w:trPr>
        <w:tc>
          <w:tcPr>
            <w:tcW w:w="4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All investments made by the Company as of June 30, 2020 and December 31, 2019 were made in portfolio companies headquartered in the U.S. 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1620" w:type="dxa"/>
            <w:vAlign w:val="bottom"/>
            <w:gridSpan w:val="5"/>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June 30,</w:t>
            </w:r>
          </w:p>
        </w:tc>
        <w:tc>
          <w:tcPr>
            <w:tcW w:w="1300" w:type="dxa"/>
            <w:vAlign w:val="bottom"/>
            <w:gridSpan w:val="3"/>
          </w:tcPr>
          <w:p>
            <w:pPr>
              <w:ind w:left="240"/>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1620" w:type="dxa"/>
            <w:vAlign w:val="bottom"/>
            <w:gridSpan w:val="4"/>
          </w:tcPr>
          <w:p>
            <w:pPr>
              <w:jc w:val="right"/>
              <w:ind w:right="628"/>
              <w:spacing w:after="0" w:line="119" w:lineRule="exact"/>
              <w:rPr>
                <w:sz w:val="20"/>
                <w:szCs w:val="20"/>
                <w:color w:val="auto"/>
              </w:rPr>
            </w:pPr>
            <w:r>
              <w:rPr>
                <w:rFonts w:ascii="Arial" w:cs="Arial" w:eastAsia="Arial" w:hAnsi="Arial"/>
                <w:sz w:val="13"/>
                <w:szCs w:val="13"/>
                <w:b w:val="1"/>
                <w:bCs w:val="1"/>
                <w:color w:val="auto"/>
              </w:rPr>
              <w:t>June 30,</w:t>
            </w:r>
          </w:p>
        </w:tc>
        <w:tc>
          <w:tcPr>
            <w:tcW w:w="1300" w:type="dxa"/>
            <w:vAlign w:val="bottom"/>
            <w:gridSpan w:val="3"/>
          </w:tcPr>
          <w:p>
            <w:pPr>
              <w:ind w:left="240"/>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$211,071</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28.8%</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$208,248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$196,238</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26.3%</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$181,353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Southeast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148,653</w:t>
            </w: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20.3</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159,959</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20.9</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141,265</w:t>
            </w:r>
          </w:p>
        </w:tc>
        <w:tc>
          <w:tcPr>
            <w:tcW w:w="760" w:type="dxa"/>
            <w:vAlign w:val="bottom"/>
            <w:gridSpan w:val="2"/>
          </w:tcPr>
          <w:p>
            <w:pPr>
              <w:jc w:val="right"/>
              <w:ind w:right="248"/>
              <w:spacing w:after="0"/>
              <w:rPr>
                <w:sz w:val="20"/>
                <w:szCs w:val="20"/>
                <w:color w:val="auto"/>
              </w:rPr>
            </w:pPr>
            <w:r>
              <w:rPr>
                <w:rFonts w:ascii="Arial" w:cs="Arial" w:eastAsia="Arial" w:hAnsi="Arial"/>
                <w:sz w:val="18"/>
                <w:szCs w:val="18"/>
                <w:color w:val="auto"/>
              </w:rPr>
              <w:t>18.9</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138,142</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148,532</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20.3</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154,713</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154,343</w:t>
            </w:r>
          </w:p>
        </w:tc>
        <w:tc>
          <w:tcPr>
            <w:tcW w:w="7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20.7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142,054</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West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83,793</w:t>
            </w: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11.4</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76,251</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9.9</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88,552</w:t>
            </w:r>
          </w:p>
        </w:tc>
        <w:tc>
          <w:tcPr>
            <w:tcW w:w="760" w:type="dxa"/>
            <w:vAlign w:val="bottom"/>
            <w:gridSpan w:val="2"/>
          </w:tcPr>
          <w:p>
            <w:pPr>
              <w:jc w:val="right"/>
              <w:ind w:right="248"/>
              <w:spacing w:after="0"/>
              <w:rPr>
                <w:sz w:val="20"/>
                <w:szCs w:val="20"/>
                <w:color w:val="auto"/>
              </w:rPr>
            </w:pPr>
            <w:r>
              <w:rPr>
                <w:rFonts w:ascii="Arial" w:cs="Arial" w:eastAsia="Arial" w:hAnsi="Arial"/>
                <w:sz w:val="18"/>
                <w:szCs w:val="18"/>
                <w:color w:val="auto"/>
              </w:rPr>
              <w:t>11.9</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76,587</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140,571</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167,748</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165,900</w:t>
            </w:r>
          </w:p>
        </w:tc>
        <w:tc>
          <w:tcPr>
            <w:tcW w:w="7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22.2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166,363</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732,620</w:t>
            </w:r>
          </w:p>
        </w:tc>
        <w:tc>
          <w:tcPr>
            <w:tcW w:w="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766,919</w:t>
            </w:r>
          </w:p>
        </w:tc>
        <w:tc>
          <w:tcPr>
            <w:tcW w:w="18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746,298</w:t>
            </w:r>
          </w:p>
        </w:tc>
        <w:tc>
          <w:tcPr>
            <w:tcW w:w="180" w:type="dxa"/>
            <w:vAlign w:val="bottom"/>
            <w:vMerge w:val="continue"/>
          </w:tcPr>
          <w:p>
            <w:pPr>
              <w:spacing w:after="0"/>
              <w:rPr>
                <w:sz w:val="19"/>
                <w:szCs w:val="19"/>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100.0%</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704,499</w:t>
            </w:r>
          </w:p>
        </w:tc>
        <w:tc>
          <w:tcPr>
            <w:tcW w:w="1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jc w:val="right"/>
              <w:ind w:right="259"/>
              <w:spacing w:after="0"/>
              <w:rPr>
                <w:sz w:val="20"/>
                <w:szCs w:val="20"/>
                <w:color w:val="auto"/>
              </w:rPr>
            </w:pPr>
            <w:r>
              <w:rPr>
                <w:rFonts w:ascii="Arial" w:cs="Arial" w:eastAsia="Arial" w:hAnsi="Arial"/>
                <w:sz w:val="18"/>
                <w:szCs w:val="18"/>
                <w:color w:val="auto"/>
                <w:w w:val="99"/>
              </w:rPr>
              <w:t>22</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portfolio composition by type and by geographic region at fair value as a percentage of net assets.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8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1540"/>
              <w:spacing w:after="0"/>
              <w:rPr>
                <w:sz w:val="20"/>
                <w:szCs w:val="20"/>
                <w:color w:val="auto"/>
              </w:rPr>
            </w:pPr>
            <w:r>
              <w:rPr>
                <w:rFonts w:ascii="Arial" w:cs="Arial" w:eastAsia="Arial" w:hAnsi="Arial"/>
                <w:sz w:val="14"/>
                <w:szCs w:val="14"/>
                <w:b w:val="1"/>
                <w:bCs w:val="1"/>
                <w:color w:val="auto"/>
              </w:rPr>
              <w:t>By Type</w:t>
            </w:r>
          </w:p>
        </w:tc>
        <w:tc>
          <w:tcPr>
            <w:tcW w:w="8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1020"/>
              <w:spacing w:after="0"/>
              <w:rPr>
                <w:sz w:val="20"/>
                <w:szCs w:val="20"/>
                <w:color w:val="auto"/>
              </w:rPr>
            </w:pPr>
            <w:r>
              <w:rPr>
                <w:rFonts w:ascii="Arial" w:cs="Arial" w:eastAsia="Arial" w:hAnsi="Arial"/>
                <w:sz w:val="14"/>
                <w:szCs w:val="14"/>
                <w:b w:val="1"/>
                <w:bCs w:val="1"/>
                <w:color w:val="auto"/>
              </w:rPr>
              <w:t>By Geographic Region</w:t>
            </w: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19"/>
        </w:trPr>
        <w:tc>
          <w:tcPr>
            <w:tcW w:w="18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98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6"/>
              </w:rPr>
              <w:t>June 30,</w:t>
            </w: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0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9"/>
              </w:rPr>
              <w:t>June 30,</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20" w:type="dxa"/>
            <w:vAlign w:val="bottom"/>
          </w:tcPr>
          <w:p>
            <w:pPr>
              <w:spacing w:after="0"/>
              <w:rPr>
                <w:sz w:val="10"/>
                <w:szCs w:val="10"/>
                <w:color w:val="auto"/>
              </w:rPr>
            </w:pPr>
          </w:p>
        </w:tc>
      </w:tr>
      <w:tr>
        <w:trPr>
          <w:trHeight w:val="171"/>
        </w:trPr>
        <w:tc>
          <w:tcPr>
            <w:tcW w:w="186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r>
      <w:tr>
        <w:trPr>
          <w:trHeight w:val="209"/>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15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92.8%</w:t>
            </w:r>
          </w:p>
        </w:tc>
        <w:tc>
          <w:tcPr>
            <w:tcW w:w="1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Midwest</w:t>
            </w:r>
          </w:p>
        </w:tc>
        <w:tc>
          <w:tcPr>
            <w:tcW w:w="19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Subordinated Debt</w:t>
            </w:r>
          </w:p>
        </w:tc>
        <w:tc>
          <w:tcPr>
            <w:tcW w:w="2540" w:type="dxa"/>
            <w:vAlign w:val="bottom"/>
            <w:gridSpan w:val="3"/>
          </w:tcPr>
          <w:p>
            <w:pPr>
              <w:jc w:val="right"/>
              <w:ind w:right="460"/>
              <w:spacing w:after="0"/>
              <w:rPr>
                <w:sz w:val="20"/>
                <w:szCs w:val="20"/>
                <w:color w:val="auto"/>
              </w:rPr>
            </w:pPr>
            <w:r>
              <w:rPr>
                <w:rFonts w:ascii="Arial" w:cs="Arial" w:eastAsia="Arial" w:hAnsi="Arial"/>
                <w:sz w:val="18"/>
                <w:szCs w:val="18"/>
                <w:color w:val="auto"/>
              </w:rPr>
              <w:t>40.3</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34.2</w:t>
            </w:r>
          </w:p>
        </w:tc>
        <w:tc>
          <w:tcPr>
            <w:tcW w:w="1460" w:type="dxa"/>
            <w:vAlign w:val="bottom"/>
            <w:gridSpan w:val="2"/>
          </w:tcPr>
          <w:p>
            <w:pPr>
              <w:ind w:left="160"/>
              <w:spacing w:after="0"/>
              <w:rPr>
                <w:sz w:val="20"/>
                <w:szCs w:val="20"/>
                <w:color w:val="auto"/>
              </w:rPr>
            </w:pPr>
            <w:r>
              <w:rPr>
                <w:rFonts w:ascii="Arial" w:cs="Arial" w:eastAsia="Arial" w:hAnsi="Arial"/>
                <w:sz w:val="18"/>
                <w:szCs w:val="18"/>
                <w:color w:val="auto"/>
              </w:rPr>
              <w:t>Southeast</w:t>
            </w:r>
          </w:p>
        </w:tc>
        <w:tc>
          <w:tcPr>
            <w:tcW w:w="2980" w:type="dxa"/>
            <w:vAlign w:val="bottom"/>
            <w:gridSpan w:val="3"/>
          </w:tcPr>
          <w:p>
            <w:pPr>
              <w:jc w:val="right"/>
              <w:ind w:right="480"/>
              <w:spacing w:after="0"/>
              <w:rPr>
                <w:sz w:val="20"/>
                <w:szCs w:val="20"/>
                <w:color w:val="auto"/>
              </w:rPr>
            </w:pPr>
            <w:r>
              <w:rPr>
                <w:rFonts w:ascii="Arial" w:cs="Arial" w:eastAsia="Arial" w:hAnsi="Arial"/>
                <w:sz w:val="18"/>
                <w:szCs w:val="18"/>
                <w:color w:val="auto"/>
              </w:rPr>
              <w:t>39.5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38.8</w:t>
            </w: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37.1</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w:t>
            </w:r>
          </w:p>
        </w:tc>
        <w:tc>
          <w:tcPr>
            <w:tcW w:w="1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Northeast</w:t>
            </w:r>
          </w:p>
        </w:tc>
        <w:tc>
          <w:tcPr>
            <w:tcW w:w="2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39.5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Equity</w:t>
            </w:r>
          </w:p>
        </w:tc>
        <w:tc>
          <w:tcPr>
            <w:tcW w:w="2540" w:type="dxa"/>
            <w:vAlign w:val="bottom"/>
            <w:gridSpan w:val="3"/>
          </w:tcPr>
          <w:p>
            <w:pPr>
              <w:jc w:val="right"/>
              <w:ind w:right="460"/>
              <w:spacing w:after="0"/>
              <w:rPr>
                <w:sz w:val="20"/>
                <w:szCs w:val="20"/>
                <w:color w:val="auto"/>
              </w:rPr>
            </w:pPr>
            <w:r>
              <w:rPr>
                <w:rFonts w:ascii="Arial" w:cs="Arial" w:eastAsia="Arial" w:hAnsi="Arial"/>
                <w:sz w:val="18"/>
                <w:szCs w:val="18"/>
                <w:color w:val="auto"/>
              </w:rPr>
              <w:t>19.2</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30.7</w:t>
            </w:r>
          </w:p>
        </w:tc>
        <w:tc>
          <w:tcPr>
            <w:tcW w:w="1460" w:type="dxa"/>
            <w:vAlign w:val="bottom"/>
            <w:gridSpan w:val="2"/>
          </w:tcPr>
          <w:p>
            <w:pPr>
              <w:ind w:left="160"/>
              <w:spacing w:after="0"/>
              <w:rPr>
                <w:sz w:val="20"/>
                <w:szCs w:val="20"/>
                <w:color w:val="auto"/>
              </w:rPr>
            </w:pPr>
            <w:r>
              <w:rPr>
                <w:rFonts w:ascii="Arial" w:cs="Arial" w:eastAsia="Arial" w:hAnsi="Arial"/>
                <w:sz w:val="18"/>
                <w:szCs w:val="18"/>
                <w:color w:val="auto"/>
              </w:rPr>
              <w:t>West</w:t>
            </w:r>
          </w:p>
        </w:tc>
        <w:tc>
          <w:tcPr>
            <w:tcW w:w="2980" w:type="dxa"/>
            <w:vAlign w:val="bottom"/>
            <w:gridSpan w:val="3"/>
          </w:tcPr>
          <w:p>
            <w:pPr>
              <w:jc w:val="right"/>
              <w:ind w:right="480"/>
              <w:spacing w:after="0"/>
              <w:rPr>
                <w:sz w:val="20"/>
                <w:szCs w:val="20"/>
                <w:color w:val="auto"/>
              </w:rPr>
            </w:pPr>
            <w:r>
              <w:rPr>
                <w:rFonts w:ascii="Arial" w:cs="Arial" w:eastAsia="Arial" w:hAnsi="Arial"/>
                <w:sz w:val="18"/>
                <w:szCs w:val="18"/>
                <w:color w:val="auto"/>
              </w:rPr>
              <w:t>22.3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0.7</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Southwest</w:t>
            </w:r>
          </w:p>
        </w:tc>
        <w:tc>
          <w:tcPr>
            <w:tcW w:w="2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37.4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w:t>
            </w:r>
          </w:p>
        </w:tc>
      </w:tr>
      <w:tr>
        <w:trPr>
          <w:trHeight w:val="223"/>
        </w:trPr>
        <w:tc>
          <w:tcPr>
            <w:tcW w:w="1860" w:type="dxa"/>
            <w:vAlign w:val="bottom"/>
          </w:tcPr>
          <w:p>
            <w:pPr>
              <w:spacing w:after="0"/>
              <w:rPr>
                <w:sz w:val="20"/>
                <w:szCs w:val="20"/>
                <w:color w:val="auto"/>
              </w:rPr>
            </w:pPr>
            <w:r>
              <w:rPr>
                <w:rFonts w:ascii="Arial" w:cs="Arial" w:eastAsia="Arial" w:hAnsi="Arial"/>
                <w:sz w:val="18"/>
                <w:szCs w:val="18"/>
                <w:color w:val="auto"/>
              </w:rPr>
              <w:t>Royalty Rights</w:t>
            </w:r>
          </w:p>
        </w:tc>
        <w:tc>
          <w:tcPr>
            <w:tcW w:w="1560" w:type="dxa"/>
            <w:vAlign w:val="bottom"/>
          </w:tcPr>
          <w:p>
            <w:pPr>
              <w:spacing w:after="0"/>
              <w:rPr>
                <w:sz w:val="19"/>
                <w:szCs w:val="19"/>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194.8%</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186.0%</w:t>
            </w:r>
          </w:p>
        </w:tc>
        <w:tc>
          <w:tcPr>
            <w:tcW w:w="1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194.8%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186.0%</w:t>
            </w:r>
          </w:p>
        </w:tc>
      </w:tr>
      <w:tr>
        <w:trPr>
          <w:trHeight w:val="20"/>
        </w:trPr>
        <w:tc>
          <w:tcPr>
            <w:tcW w:w="1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As of June 30, 2020 and December 31, 2019, the Company had no portfolio company investments that represented more than 10% of the total investment portfolio on a fair value or cost basis.</w:t>
      </w:r>
    </w:p>
    <w:p>
      <w:pPr>
        <w:spacing w:after="0" w:line="170"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As of June 30, 2020 and December 31, 2019, the Company had debt investments in two and one portfolio companies on non-accrual status, respectively:</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8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1840" w:type="dxa"/>
            <w:vAlign w:val="bottom"/>
          </w:tcPr>
          <w:p>
            <w:pPr>
              <w:spacing w:after="0"/>
              <w:rPr>
                <w:sz w:val="10"/>
                <w:szCs w:val="10"/>
                <w:color w:val="auto"/>
              </w:rPr>
            </w:pPr>
          </w:p>
        </w:tc>
        <w:tc>
          <w:tcPr>
            <w:tcW w:w="66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Fair</w:t>
            </w:r>
          </w:p>
        </w:tc>
        <w:tc>
          <w:tcPr>
            <w:tcW w:w="480" w:type="dxa"/>
            <w:vAlign w:val="bottom"/>
          </w:tcPr>
          <w:p>
            <w:pPr>
              <w:spacing w:after="0"/>
              <w:rPr>
                <w:sz w:val="10"/>
                <w:szCs w:val="10"/>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158"/>
        </w:trPr>
        <w:tc>
          <w:tcPr>
            <w:tcW w:w="3860" w:type="dxa"/>
            <w:vAlign w:val="bottom"/>
            <w:gridSpan w:val="3"/>
            <w:vMerge w:val="continue"/>
          </w:tcPr>
          <w:p>
            <w:pPr>
              <w:spacing w:after="0"/>
              <w:rPr>
                <w:sz w:val="13"/>
                <w:szCs w:val="13"/>
                <w:color w:val="auto"/>
              </w:rPr>
            </w:pPr>
          </w:p>
        </w:tc>
        <w:tc>
          <w:tcPr>
            <w:tcW w:w="1840" w:type="dxa"/>
            <w:vAlign w:val="bottom"/>
          </w:tcPr>
          <w:p>
            <w:pPr>
              <w:spacing w:after="0"/>
              <w:rPr>
                <w:sz w:val="13"/>
                <w:szCs w:val="13"/>
                <w:color w:val="auto"/>
              </w:rPr>
            </w:pPr>
          </w:p>
        </w:tc>
        <w:tc>
          <w:tcPr>
            <w:tcW w:w="6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0"/>
              </w:rPr>
              <w:t>Value</w:t>
            </w:r>
          </w:p>
        </w:tc>
        <w:tc>
          <w:tcPr>
            <w:tcW w:w="4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bottom w:val="single" w:sz="8" w:color="CCEEFF"/>
            </w:tcBorders>
            <w:shd w:val="clear" w:color="auto" w:fill="000000"/>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Accent Food Services, LLC</w:t>
            </w:r>
          </w:p>
        </w:tc>
        <w:tc>
          <w:tcPr>
            <w:tcW w:w="18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$ 16,134</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$ 35,328</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5"/>
              </w:rPr>
              <w:t>$ 33,067</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$ 35,327</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Mirage Trailers LLC</w:t>
            </w:r>
          </w:p>
        </w:tc>
        <w:tc>
          <w:tcPr>
            <w:tcW w:w="18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5,258</w:t>
            </w:r>
          </w:p>
        </w:tc>
        <w:tc>
          <w:tcPr>
            <w:tcW w:w="20" w:type="dxa"/>
            <w:vAlign w:val="bottom"/>
          </w:tcPr>
          <w:p>
            <w:pPr>
              <w:spacing w:after="0"/>
              <w:rPr>
                <w:sz w:val="18"/>
                <w:szCs w:val="18"/>
                <w:color w:val="auto"/>
              </w:rPr>
            </w:pPr>
          </w:p>
        </w:tc>
        <w:tc>
          <w:tcPr>
            <w:tcW w:w="480" w:type="dxa"/>
            <w:vAlign w:val="bottom"/>
          </w:tcPr>
          <w:p>
            <w:pPr>
              <w:jc w:val="right"/>
              <w:ind w:right="224"/>
              <w:spacing w:after="0"/>
              <w:rPr>
                <w:sz w:val="20"/>
                <w:szCs w:val="20"/>
                <w:color w:val="auto"/>
              </w:rPr>
            </w:pPr>
            <w:r>
              <w:rPr>
                <w:rFonts w:ascii="Arial" w:cs="Arial" w:eastAsia="Arial" w:hAnsi="Arial"/>
                <w:sz w:val="15"/>
                <w:szCs w:val="15"/>
                <w:color w:val="auto"/>
                <w:w w:val="87"/>
              </w:rPr>
              <w:t>(1)</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6,300</w:t>
            </w:r>
          </w:p>
        </w:tc>
        <w:tc>
          <w:tcPr>
            <w:tcW w:w="340" w:type="dxa"/>
            <w:vAlign w:val="bottom"/>
          </w:tcPr>
          <w:p>
            <w:pPr>
              <w:jc w:val="right"/>
              <w:ind w:right="64"/>
              <w:spacing w:after="0"/>
              <w:rPr>
                <w:sz w:val="20"/>
                <w:szCs w:val="20"/>
                <w:color w:val="auto"/>
              </w:rPr>
            </w:pPr>
            <w:r>
              <w:rPr>
                <w:rFonts w:ascii="Arial" w:cs="Arial" w:eastAsia="Arial" w:hAnsi="Arial"/>
                <w:sz w:val="15"/>
                <w:szCs w:val="15"/>
                <w:color w:val="auto"/>
                <w:w w:val="97"/>
              </w:rPr>
              <w:t>(1)</w:t>
            </w:r>
          </w:p>
        </w:tc>
        <w:tc>
          <w:tcPr>
            <w:tcW w:w="160" w:type="dxa"/>
            <w:vAlign w:val="bottom"/>
          </w:tcPr>
          <w:p>
            <w:pPr>
              <w:spacing w:after="0"/>
              <w:rPr>
                <w:sz w:val="18"/>
                <w:szCs w:val="18"/>
                <w:color w:val="auto"/>
              </w:rPr>
            </w:pP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14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$ 21,392</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$ 41,628</w:t>
            </w:r>
          </w:p>
        </w:tc>
        <w:tc>
          <w:tcPr>
            <w:tcW w:w="3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$ 33,067</w:t>
            </w:r>
          </w:p>
        </w:tc>
        <w:tc>
          <w:tcPr>
            <w:tcW w:w="108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1"/>
              </w:rPr>
              <w:t>$ 35,327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5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Portfolio company was on PIK-only on non-accrual status at period end, meaning the Company has ceased recognizing PIK interest income on the investment.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Portfolio company debt investments were not on non-accrual status at period end.</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Consolidated Schedule of Investments In and Advances To Affiliates</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table below represents the fair value of control and affiliate investments as of December 31, 2019 and any additions and reductions made to such investments during the six months ended June 30, 2020, the ending fair value as of June 30, 2020, and the total investment income earned on such investments during the period.</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200" w:type="dxa"/>
            <w:vAlign w:val="bottom"/>
          </w:tcPr>
          <w:p>
            <w:pPr>
              <w:spacing w:after="0"/>
              <w:rPr>
                <w:sz w:val="12"/>
                <w:szCs w:val="12"/>
                <w:color w:val="auto"/>
              </w:rPr>
            </w:pPr>
          </w:p>
        </w:tc>
        <w:tc>
          <w:tcPr>
            <w:tcW w:w="1840" w:type="dxa"/>
            <w:vAlign w:val="bottom"/>
          </w:tcPr>
          <w:p>
            <w:pPr>
              <w:jc w:val="center"/>
              <w:ind w:left="897"/>
              <w:spacing w:after="0"/>
              <w:rPr>
                <w:sz w:val="20"/>
                <w:szCs w:val="20"/>
                <w:color w:val="auto"/>
              </w:rPr>
            </w:pPr>
            <w:r>
              <w:rPr>
                <w:rFonts w:ascii="Arial" w:cs="Arial" w:eastAsia="Arial" w:hAnsi="Arial"/>
                <w:sz w:val="13"/>
                <w:szCs w:val="13"/>
                <w:b w:val="1"/>
                <w:bCs w:val="1"/>
                <w:color w:val="auto"/>
                <w:w w:val="85"/>
              </w:rPr>
              <w:t>June 30, 2020</w:t>
            </w: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840" w:type="dxa"/>
            <w:vAlign w:val="bottom"/>
          </w:tcPr>
          <w:p>
            <w:pPr>
              <w:jc w:val="center"/>
              <w:ind w:left="897"/>
              <w:spacing w:after="0" w:line="135" w:lineRule="exact"/>
              <w:rPr>
                <w:sz w:val="20"/>
                <w:szCs w:val="20"/>
                <w:color w:val="auto"/>
              </w:rPr>
            </w:pPr>
            <w:r>
              <w:rPr>
                <w:rFonts w:ascii="Arial" w:cs="Arial" w:eastAsia="Arial" w:hAnsi="Arial"/>
                <w:sz w:val="13"/>
                <w:szCs w:val="13"/>
                <w:b w:val="1"/>
                <w:bCs w:val="1"/>
                <w:color w:val="auto"/>
                <w:w w:val="87"/>
              </w:rPr>
              <w:t>Principal</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vMerge w:val="restart"/>
          </w:tcPr>
          <w:p>
            <w:pPr>
              <w:spacing w:after="0"/>
              <w:rPr>
                <w:sz w:val="20"/>
                <w:szCs w:val="20"/>
                <w:color w:val="auto"/>
              </w:rPr>
            </w:pPr>
            <w:r>
              <w:rPr>
                <w:rFonts w:ascii="Arial" w:cs="Arial" w:eastAsia="Arial" w:hAnsi="Arial"/>
                <w:sz w:val="13"/>
                <w:szCs w:val="13"/>
                <w:b w:val="1"/>
                <w:bCs w:val="1"/>
                <w:color w:val="auto"/>
              </w:rPr>
              <w:t xml:space="preserve">Portfolio Company </w:t>
            </w:r>
            <w:r>
              <w:rPr>
                <w:rFonts w:ascii="Arial" w:cs="Arial" w:eastAsia="Arial" w:hAnsi="Arial"/>
                <w:sz w:val="10"/>
                <w:szCs w:val="10"/>
                <w:b w:val="1"/>
                <w:bCs w:val="1"/>
                <w:color w:val="auto"/>
              </w:rPr>
              <w:t>(1)</w:t>
            </w:r>
          </w:p>
        </w:tc>
        <w:tc>
          <w:tcPr>
            <w:tcW w:w="1840" w:type="dxa"/>
            <w:vAlign w:val="bottom"/>
          </w:tcPr>
          <w:p>
            <w:pPr>
              <w:jc w:val="center"/>
              <w:ind w:left="897"/>
              <w:spacing w:after="0" w:line="135" w:lineRule="exact"/>
              <w:rPr>
                <w:sz w:val="20"/>
                <w:szCs w:val="20"/>
                <w:color w:val="auto"/>
              </w:rPr>
            </w:pPr>
            <w:r>
              <w:rPr>
                <w:rFonts w:ascii="Arial" w:cs="Arial" w:eastAsia="Arial" w:hAnsi="Arial"/>
                <w:sz w:val="13"/>
                <w:szCs w:val="13"/>
                <w:b w:val="1"/>
                <w:bCs w:val="1"/>
                <w:color w:val="auto"/>
                <w:w w:val="88"/>
              </w:rPr>
              <w:t>Amount -Debt</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2019</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Gross</w:t>
            </w:r>
          </w:p>
        </w:tc>
        <w:tc>
          <w:tcPr>
            <w:tcW w:w="0" w:type="dxa"/>
            <w:vAlign w:val="bottom"/>
          </w:tcPr>
          <w:p>
            <w:pPr>
              <w:spacing w:after="0"/>
              <w:rPr>
                <w:sz w:val="1"/>
                <w:szCs w:val="1"/>
                <w:color w:val="auto"/>
              </w:rPr>
            </w:pPr>
          </w:p>
        </w:tc>
      </w:tr>
      <w:tr>
        <w:trPr>
          <w:trHeight w:val="140"/>
        </w:trPr>
        <w:tc>
          <w:tcPr>
            <w:tcW w:w="2200" w:type="dxa"/>
            <w:vAlign w:val="bottom"/>
            <w:vMerge w:val="continue"/>
          </w:tcPr>
          <w:p>
            <w:pPr>
              <w:spacing w:after="0"/>
              <w:rPr>
                <w:sz w:val="12"/>
                <w:szCs w:val="12"/>
                <w:color w:val="auto"/>
              </w:rPr>
            </w:pPr>
          </w:p>
        </w:tc>
        <w:tc>
          <w:tcPr>
            <w:tcW w:w="1840" w:type="dxa"/>
            <w:vAlign w:val="bottom"/>
          </w:tcPr>
          <w:p>
            <w:pPr>
              <w:jc w:val="center"/>
              <w:ind w:left="897"/>
              <w:spacing w:after="0" w:line="140" w:lineRule="exact"/>
              <w:rPr>
                <w:sz w:val="20"/>
                <w:szCs w:val="20"/>
                <w:color w:val="auto"/>
              </w:rPr>
            </w:pPr>
            <w:r>
              <w:rPr>
                <w:rFonts w:ascii="Arial" w:cs="Arial" w:eastAsia="Arial" w:hAnsi="Arial"/>
                <w:sz w:val="13"/>
                <w:szCs w:val="13"/>
                <w:b w:val="1"/>
                <w:bCs w:val="1"/>
                <w:color w:val="auto"/>
                <w:w w:val="84"/>
              </w:rPr>
              <w:t>Investments</w:t>
            </w:r>
          </w:p>
        </w:tc>
        <w:tc>
          <w:tcPr>
            <w:tcW w:w="8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3"/>
              </w:rPr>
              <w:t>Fair Value</w:t>
            </w:r>
          </w:p>
        </w:tc>
        <w:tc>
          <w:tcPr>
            <w:tcW w:w="74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9"/>
              </w:rPr>
              <w:t xml:space="preserve">Additions </w:t>
            </w:r>
            <w:r>
              <w:rPr>
                <w:rFonts w:ascii="Arial" w:cs="Arial" w:eastAsia="Arial" w:hAnsi="Arial"/>
                <w:sz w:val="10"/>
                <w:szCs w:val="10"/>
                <w:b w:val="1"/>
                <w:bCs w:val="1"/>
                <w:color w:val="auto"/>
                <w:w w:val="89"/>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3"/>
          </w:tcPr>
          <w:p>
            <w:pPr>
              <w:ind w:left="520"/>
              <w:spacing w:after="0"/>
              <w:rPr>
                <w:sz w:val="20"/>
                <w:szCs w:val="20"/>
                <w:color w:val="auto"/>
              </w:rPr>
            </w:pPr>
            <w:r>
              <w:rPr>
                <w:rFonts w:ascii="Arial" w:cs="Arial" w:eastAsia="Arial" w:hAnsi="Arial"/>
                <w:sz w:val="13"/>
                <w:szCs w:val="13"/>
                <w:b w:val="1"/>
                <w:bCs w:val="1"/>
                <w:color w:val="auto"/>
                <w:w w:val="86"/>
              </w:rPr>
              <w:t>Six Months Ended June 30, 2020</w:t>
            </w:r>
          </w:p>
        </w:tc>
        <w:tc>
          <w:tcPr>
            <w:tcW w:w="5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2"/>
              </w:rPr>
              <w:t>Net</w:t>
            </w: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Net Change in</w:t>
            </w:r>
          </w:p>
        </w:tc>
        <w:tc>
          <w:tcPr>
            <w:tcW w:w="540" w:type="dxa"/>
            <w:vAlign w:val="bottom"/>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Payment-in-</w:t>
            </w: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7"/>
              </w:rPr>
              <w:t>Realized</w:t>
            </w:r>
          </w:p>
        </w:tc>
        <w:tc>
          <w:tcPr>
            <w:tcW w:w="92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8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79"/>
              </w:rPr>
              <w:t>Gross</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June 30,</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Gains</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Unrealized</w:t>
            </w:r>
          </w:p>
        </w:tc>
        <w:tc>
          <w:tcPr>
            <w:tcW w:w="5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kind</w:t>
            </w: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jc w:val="center"/>
              <w:ind w:right="20"/>
              <w:spacing w:after="0" w:line="135" w:lineRule="exact"/>
              <w:rPr>
                <w:sz w:val="20"/>
                <w:szCs w:val="20"/>
                <w:color w:val="auto"/>
              </w:rPr>
            </w:pPr>
            <w:r>
              <w:rPr>
                <w:rFonts w:ascii="Arial" w:cs="Arial" w:eastAsia="Arial" w:hAnsi="Arial"/>
                <w:sz w:val="13"/>
                <w:szCs w:val="13"/>
                <w:b w:val="1"/>
                <w:bCs w:val="1"/>
                <w:color w:val="auto"/>
                <w:w w:val="84"/>
              </w:rPr>
              <w:t>Reductions</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2020 Fair</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(Losses)</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Appreciation</w:t>
            </w:r>
          </w:p>
        </w:tc>
        <w:tc>
          <w:tcPr>
            <w:tcW w:w="540" w:type="dxa"/>
            <w:vAlign w:val="bottom"/>
          </w:tcPr>
          <w:p>
            <w:pPr>
              <w:ind w:left="80"/>
              <w:spacing w:after="0" w:line="135" w:lineRule="exact"/>
              <w:rPr>
                <w:sz w:val="20"/>
                <w:szCs w:val="20"/>
                <w:color w:val="auto"/>
              </w:rPr>
            </w:pPr>
            <w:r>
              <w:rPr>
                <w:rFonts w:ascii="Arial" w:cs="Arial" w:eastAsia="Arial" w:hAnsi="Arial"/>
                <w:sz w:val="13"/>
                <w:szCs w:val="13"/>
                <w:b w:val="1"/>
                <w:bCs w:val="1"/>
                <w:color w:val="auto"/>
                <w:w w:val="93"/>
              </w:rPr>
              <w:t>Interest</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Interest</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Dividend</w:t>
            </w:r>
          </w:p>
        </w:tc>
        <w:tc>
          <w:tcPr>
            <w:tcW w:w="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0"/>
              </w:rPr>
              <w:t>Fee</w:t>
            </w:r>
          </w:p>
        </w:tc>
        <w:tc>
          <w:tcPr>
            <w:tcW w:w="0" w:type="dxa"/>
            <w:vAlign w:val="bottom"/>
          </w:tcPr>
          <w:p>
            <w:pPr>
              <w:spacing w:after="0"/>
              <w:rPr>
                <w:sz w:val="1"/>
                <w:szCs w:val="1"/>
                <w:color w:val="auto"/>
              </w:rPr>
            </w:pPr>
          </w:p>
        </w:tc>
      </w:tr>
      <w:tr>
        <w:trPr>
          <w:trHeight w:val="135"/>
        </w:trPr>
        <w:tc>
          <w:tcPr>
            <w:tcW w:w="680" w:type="dxa"/>
            <w:vAlign w:val="bottom"/>
          </w:tcPr>
          <w:p>
            <w:pPr>
              <w:jc w:val="center"/>
              <w:ind w:right="40"/>
              <w:spacing w:after="0"/>
              <w:rPr>
                <w:sz w:val="20"/>
                <w:szCs w:val="20"/>
                <w:color w:val="auto"/>
              </w:rPr>
            </w:pPr>
            <w:r>
              <w:rPr>
                <w:rFonts w:ascii="Arial" w:cs="Arial" w:eastAsia="Arial" w:hAnsi="Arial"/>
                <w:sz w:val="11"/>
                <w:szCs w:val="11"/>
                <w:b w:val="1"/>
                <w:bCs w:val="1"/>
                <w:color w:val="auto"/>
              </w:rPr>
              <w:t>(3)</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Value</w:t>
            </w: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w w:val="88"/>
              </w:rPr>
              <w:t>(4)</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(Depreciation)</w:t>
            </w:r>
          </w:p>
        </w:tc>
        <w:tc>
          <w:tcPr>
            <w:tcW w:w="540" w:type="dxa"/>
            <w:vAlign w:val="bottom"/>
          </w:tcPr>
          <w:p>
            <w:pPr>
              <w:ind w:left="80"/>
              <w:spacing w:after="0" w:line="135" w:lineRule="exact"/>
              <w:rPr>
                <w:sz w:val="20"/>
                <w:szCs w:val="20"/>
                <w:color w:val="auto"/>
              </w:rPr>
            </w:pPr>
            <w:r>
              <w:rPr>
                <w:rFonts w:ascii="Arial" w:cs="Arial" w:eastAsia="Arial" w:hAnsi="Arial"/>
                <w:sz w:val="13"/>
                <w:szCs w:val="13"/>
                <w:b w:val="1"/>
                <w:bCs w:val="1"/>
                <w:color w:val="auto"/>
                <w:w w:val="96"/>
              </w:rPr>
              <w:t>Income</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Income</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Income</w:t>
            </w:r>
          </w:p>
        </w:tc>
        <w:tc>
          <w:tcPr>
            <w:tcW w:w="4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760" w:space="120"/>
            <w:col w:w="526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28"/>
        </w:trPr>
        <w:tc>
          <w:tcPr>
            <w:tcW w:w="1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2"/>
              </w:rPr>
              <w:t>Control Investments</w:t>
            </w:r>
          </w:p>
        </w:tc>
        <w:tc>
          <w:tcPr>
            <w:tcW w:w="20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35"/>
        </w:trPr>
        <w:tc>
          <w:tcPr>
            <w:tcW w:w="3200" w:type="dxa"/>
            <w:vAlign w:val="bottom"/>
            <w:gridSpan w:val="2"/>
          </w:tcPr>
          <w:p>
            <w:pPr>
              <w:spacing w:after="0" w:line="135" w:lineRule="exact"/>
              <w:rPr>
                <w:sz w:val="20"/>
                <w:szCs w:val="20"/>
                <w:color w:val="auto"/>
              </w:rPr>
            </w:pPr>
            <w:r>
              <w:rPr>
                <w:rFonts w:ascii="Arial" w:cs="Arial" w:eastAsia="Arial" w:hAnsi="Arial"/>
                <w:sz w:val="13"/>
                <w:szCs w:val="13"/>
                <w:color w:val="auto"/>
              </w:rPr>
              <w:t>FDS Avionics Corp. (dba Flight Display Systems)</w:t>
            </w:r>
          </w:p>
        </w:tc>
        <w:tc>
          <w:tcPr>
            <w:tcW w:w="2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4,894</w:t>
            </w:r>
          </w:p>
        </w:tc>
        <w:tc>
          <w:tcPr>
            <w:tcW w:w="8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5,403</w:t>
            </w:r>
          </w:p>
        </w:tc>
        <w:tc>
          <w:tcPr>
            <w:tcW w:w="260" w:type="dxa"/>
            <w:vAlign w:val="bottom"/>
            <w:gridSpan w:val="2"/>
          </w:tcPr>
          <w:p>
            <w:pPr>
              <w:jc w:val="right"/>
              <w:ind w:right="88"/>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215</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(1,534)</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4,084</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(1,534)</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146</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214</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28"/>
              <w:spacing w:after="0" w:line="135" w:lineRule="exact"/>
              <w:rPr>
                <w:sz w:val="20"/>
                <w:szCs w:val="20"/>
                <w:color w:val="auto"/>
              </w:rPr>
            </w:pPr>
            <w:r>
              <w:rPr>
                <w:rFonts w:ascii="Arial" w:cs="Arial" w:eastAsia="Arial" w:hAnsi="Arial"/>
                <w:sz w:val="13"/>
                <w:szCs w:val="13"/>
                <w:color w:val="auto"/>
              </w:rPr>
              <w:t>$</w:t>
            </w:r>
          </w:p>
        </w:tc>
        <w:tc>
          <w:tcPr>
            <w:tcW w:w="3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r>
      <w:tr>
        <w:trPr>
          <w:trHeight w:val="135"/>
        </w:trPr>
        <w:tc>
          <w:tcPr>
            <w:tcW w:w="3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GreenFiber, LLC</w:t>
            </w:r>
          </w:p>
        </w:tc>
        <w:tc>
          <w:tcPr>
            <w:tcW w:w="2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20,815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16,417</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1,657</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(229)</w:t>
            </w: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17,845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(230)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735</w:t>
            </w:r>
          </w:p>
        </w:tc>
        <w:tc>
          <w:tcPr>
            <w:tcW w:w="2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656</w:t>
            </w:r>
          </w:p>
        </w:tc>
        <w:tc>
          <w:tcPr>
            <w:tcW w:w="1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r>
      <w:tr>
        <w:trPr>
          <w:trHeight w:val="142"/>
        </w:trPr>
        <w:tc>
          <w:tcPr>
            <w:tcW w:w="32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Control Investments</w:t>
            </w:r>
          </w:p>
        </w:tc>
        <w:tc>
          <w:tcPr>
            <w:tcW w:w="2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25,709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21,820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1,872</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(1,763)</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21,929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(1,764)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3"/>
                <w:szCs w:val="13"/>
                <w:color w:val="auto"/>
                <w:w w:val="73"/>
              </w:rPr>
              <w:t>881</w:t>
            </w:r>
          </w:p>
        </w:tc>
        <w:tc>
          <w:tcPr>
            <w:tcW w:w="12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3"/>
                <w:szCs w:val="13"/>
                <w:color w:val="auto"/>
                <w:w w:val="82"/>
              </w:rPr>
              <w:t>870</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9"/>
        </w:trPr>
        <w:tc>
          <w:tcPr>
            <w:tcW w:w="32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Affiliate Investments</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3200" w:type="dxa"/>
            <w:vAlign w:val="bottom"/>
            <w:gridSpan w:val="2"/>
          </w:tcPr>
          <w:p>
            <w:pPr>
              <w:spacing w:after="0" w:line="135" w:lineRule="exact"/>
              <w:rPr>
                <w:sz w:val="20"/>
                <w:szCs w:val="20"/>
                <w:color w:val="auto"/>
              </w:rPr>
            </w:pPr>
            <w:r>
              <w:rPr>
                <w:rFonts w:ascii="Arial" w:cs="Arial" w:eastAsia="Arial" w:hAnsi="Arial"/>
                <w:sz w:val="13"/>
                <w:szCs w:val="13"/>
                <w:color w:val="auto"/>
              </w:rPr>
              <w:t>FAR Research Inc.</w:t>
            </w:r>
          </w:p>
        </w:tc>
        <w:tc>
          <w:tcPr>
            <w:tcW w:w="2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gridSpan w:val="3"/>
          </w:tcPr>
          <w:p>
            <w:pPr>
              <w:ind w:left="34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28</w:t>
            </w:r>
          </w:p>
        </w:tc>
        <w:tc>
          <w:tcPr>
            <w:tcW w:w="260" w:type="dxa"/>
            <w:vAlign w:val="bottom"/>
            <w:gridSpan w:val="2"/>
          </w:tcPr>
          <w:p>
            <w:pPr>
              <w:jc w:val="right"/>
              <w:ind w:right="88"/>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ind w:left="3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28</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28"/>
              <w:spacing w:after="0" w:line="135" w:lineRule="exact"/>
              <w:rPr>
                <w:sz w:val="20"/>
                <w:szCs w:val="20"/>
                <w:color w:val="auto"/>
              </w:rPr>
            </w:pPr>
            <w:r>
              <w:rPr>
                <w:rFonts w:ascii="Arial" w:cs="Arial" w:eastAsia="Arial" w:hAnsi="Arial"/>
                <w:sz w:val="13"/>
                <w:szCs w:val="13"/>
                <w:color w:val="auto"/>
              </w:rPr>
              <w:t>$</w:t>
            </w:r>
          </w:p>
        </w:tc>
        <w:tc>
          <w:tcPr>
            <w:tcW w:w="3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r>
      <w:tr>
        <w:trPr>
          <w:trHeight w:val="135"/>
        </w:trPr>
        <w:tc>
          <w:tcPr>
            <w:tcW w:w="3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Fiber Materials, Inc.</w:t>
            </w:r>
          </w:p>
        </w:tc>
        <w:tc>
          <w:tcPr>
            <w:tcW w:w="2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10,449</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9,769</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(20,218)</w:t>
            </w: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9,769</w:t>
            </w:r>
          </w:p>
        </w:tc>
        <w:tc>
          <w:tcPr>
            <w:tcW w:w="2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(9,804)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r>
      <w:tr>
        <w:trPr>
          <w:trHeight w:val="135"/>
        </w:trPr>
        <w:tc>
          <w:tcPr>
            <w:tcW w:w="3200" w:type="dxa"/>
            <w:vAlign w:val="bottom"/>
            <w:gridSpan w:val="2"/>
          </w:tcPr>
          <w:p>
            <w:pPr>
              <w:spacing w:after="0" w:line="135" w:lineRule="exact"/>
              <w:rPr>
                <w:sz w:val="20"/>
                <w:szCs w:val="20"/>
                <w:color w:val="auto"/>
              </w:rPr>
            </w:pPr>
            <w:r>
              <w:rPr>
                <w:rFonts w:ascii="Arial" w:cs="Arial" w:eastAsia="Arial" w:hAnsi="Arial"/>
                <w:sz w:val="13"/>
                <w:szCs w:val="13"/>
                <w:color w:val="auto"/>
              </w:rPr>
              <w:t>Medsurant Holdings, LLC</w:t>
            </w:r>
          </w:p>
        </w:tc>
        <w:tc>
          <w:tcPr>
            <w:tcW w:w="260" w:type="dxa"/>
            <w:vAlign w:val="bottom"/>
          </w:tcPr>
          <w:p>
            <w:pPr>
              <w:spacing w:after="0"/>
              <w:rPr>
                <w:sz w:val="11"/>
                <w:szCs w:val="11"/>
                <w:color w:val="auto"/>
              </w:rPr>
            </w:pP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8,031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16,980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1,719</w:t>
            </w: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(8,177)</w:t>
            </w:r>
          </w:p>
        </w:tc>
        <w:tc>
          <w:tcPr>
            <w:tcW w:w="120" w:type="dxa"/>
            <w:vAlign w:val="bottom"/>
          </w:tcPr>
          <w:p>
            <w:pPr>
              <w:spacing w:after="0"/>
              <w:rPr>
                <w:sz w:val="11"/>
                <w:szCs w:val="11"/>
                <w:color w:val="auto"/>
              </w:rPr>
            </w:pPr>
          </w:p>
        </w:tc>
        <w:tc>
          <w:tcPr>
            <w:tcW w:w="4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10,522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1,714</w:t>
            </w:r>
          </w:p>
        </w:tc>
        <w:tc>
          <w:tcPr>
            <w:tcW w:w="220" w:type="dxa"/>
            <w:vAlign w:val="bottom"/>
          </w:tcPr>
          <w:p>
            <w:pPr>
              <w:spacing w:after="0"/>
              <w:rPr>
                <w:sz w:val="11"/>
                <w:szCs w:val="11"/>
                <w:color w:val="auto"/>
              </w:rPr>
            </w:pP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(2,739)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592</w:t>
            </w:r>
          </w:p>
        </w:tc>
        <w:tc>
          <w:tcPr>
            <w:tcW w:w="280" w:type="dxa"/>
            <w:vAlign w:val="bottom"/>
          </w:tcPr>
          <w:p>
            <w:pPr>
              <w:spacing w:after="0"/>
              <w:rPr>
                <w:sz w:val="11"/>
                <w:szCs w:val="11"/>
                <w:color w:val="auto"/>
              </w:rPr>
            </w:pPr>
          </w:p>
        </w:tc>
        <w:tc>
          <w:tcPr>
            <w:tcW w:w="5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66</w:t>
            </w:r>
          </w:p>
        </w:tc>
      </w:tr>
      <w:tr>
        <w:trPr>
          <w:trHeight w:val="135"/>
        </w:trPr>
        <w:tc>
          <w:tcPr>
            <w:tcW w:w="3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Microbiology Research Associates, Inc.</w:t>
            </w:r>
            <w:r>
              <w:rPr>
                <w:rFonts w:ascii="Arial" w:cs="Arial" w:eastAsia="Arial" w:hAnsi="Arial"/>
                <w:sz w:val="10"/>
                <w:szCs w:val="10"/>
                <w:color w:val="auto"/>
              </w:rPr>
              <w:t>(5)</w:t>
            </w:r>
          </w:p>
        </w:tc>
        <w:tc>
          <w:tcPr>
            <w:tcW w:w="260" w:type="dxa"/>
            <w:vAlign w:val="bottom"/>
            <w:shd w:val="clear" w:color="auto" w:fill="CCEEFF"/>
          </w:tcPr>
          <w:p>
            <w:pPr>
              <w:spacing w:after="0"/>
              <w:rPr>
                <w:sz w:val="11"/>
                <w:szCs w:val="11"/>
                <w:color w:val="auto"/>
              </w:rPr>
            </w:pPr>
          </w:p>
        </w:tc>
        <w:tc>
          <w:tcPr>
            <w:tcW w:w="640" w:type="dxa"/>
            <w:vAlign w:val="bottom"/>
            <w:gridSpan w:val="3"/>
            <w:shd w:val="clear" w:color="auto" w:fill="CCEEFF"/>
          </w:tcPr>
          <w:p>
            <w:pPr>
              <w:ind w:left="34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11,611</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(11,632)</w:t>
            </w: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(752)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84</w:t>
            </w:r>
          </w:p>
        </w:tc>
        <w:tc>
          <w:tcPr>
            <w:tcW w:w="2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11</w:t>
            </w:r>
          </w:p>
        </w:tc>
        <w:tc>
          <w:tcPr>
            <w:tcW w:w="1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r>
      <w:tr>
        <w:trPr>
          <w:trHeight w:val="135"/>
        </w:trPr>
        <w:tc>
          <w:tcPr>
            <w:tcW w:w="3200" w:type="dxa"/>
            <w:vAlign w:val="bottom"/>
            <w:gridSpan w:val="2"/>
          </w:tcPr>
          <w:p>
            <w:pPr>
              <w:spacing w:after="0" w:line="135" w:lineRule="exact"/>
              <w:rPr>
                <w:sz w:val="20"/>
                <w:szCs w:val="20"/>
                <w:color w:val="auto"/>
              </w:rPr>
            </w:pPr>
            <w:r>
              <w:rPr>
                <w:rFonts w:ascii="Arial" w:cs="Arial" w:eastAsia="Arial" w:hAnsi="Arial"/>
                <w:sz w:val="13"/>
                <w:szCs w:val="13"/>
                <w:color w:val="auto"/>
              </w:rPr>
              <w:t>Mirage Trailers LLC</w:t>
            </w:r>
          </w:p>
        </w:tc>
        <w:tc>
          <w:tcPr>
            <w:tcW w:w="260" w:type="dxa"/>
            <w:vAlign w:val="bottom"/>
          </w:tcPr>
          <w:p>
            <w:pPr>
              <w:spacing w:after="0"/>
              <w:rPr>
                <w:sz w:val="11"/>
                <w:szCs w:val="11"/>
                <w:color w:val="auto"/>
              </w:rPr>
            </w:pPr>
          </w:p>
        </w:tc>
        <w:tc>
          <w:tcPr>
            <w:tcW w:w="5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6,250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7,218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51</w:t>
            </w: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(2,011)</w:t>
            </w:r>
          </w:p>
        </w:tc>
        <w:tc>
          <w:tcPr>
            <w:tcW w:w="120" w:type="dxa"/>
            <w:vAlign w:val="bottom"/>
          </w:tcPr>
          <w:p>
            <w:pPr>
              <w:spacing w:after="0"/>
              <w:rPr>
                <w:sz w:val="11"/>
                <w:szCs w:val="11"/>
                <w:color w:val="auto"/>
              </w:rPr>
            </w:pPr>
          </w:p>
        </w:tc>
        <w:tc>
          <w:tcPr>
            <w:tcW w:w="4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5,258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(2,010)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349</w:t>
            </w:r>
          </w:p>
        </w:tc>
        <w:tc>
          <w:tcPr>
            <w:tcW w:w="280" w:type="dxa"/>
            <w:vAlign w:val="bottom"/>
          </w:tcPr>
          <w:p>
            <w:pPr>
              <w:spacing w:after="0"/>
              <w:rPr>
                <w:sz w:val="11"/>
                <w:szCs w:val="11"/>
                <w:color w:val="auto"/>
              </w:rPr>
            </w:pPr>
          </w:p>
        </w:tc>
        <w:tc>
          <w:tcPr>
            <w:tcW w:w="5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8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2</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r>
      <w:tr>
        <w:trPr>
          <w:trHeight w:val="135"/>
        </w:trPr>
        <w:tc>
          <w:tcPr>
            <w:tcW w:w="3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Pfanstiehl, Inc.</w:t>
            </w:r>
          </w:p>
        </w:tc>
        <w:tc>
          <w:tcPr>
            <w:tcW w:w="2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6,208</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32,822</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12,814</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(22,189)</w:t>
            </w: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23,447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0"/>
              </w:rPr>
              <w:t>12,812</w:t>
            </w:r>
          </w:p>
        </w:tc>
        <w:tc>
          <w:tcPr>
            <w:tcW w:w="2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(8,951)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326</w:t>
            </w:r>
          </w:p>
        </w:tc>
        <w:tc>
          <w:tcPr>
            <w:tcW w:w="2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106</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r>
      <w:tr>
        <w:trPr>
          <w:trHeight w:val="135"/>
        </w:trPr>
        <w:tc>
          <w:tcPr>
            <w:tcW w:w="3200" w:type="dxa"/>
            <w:vAlign w:val="bottom"/>
            <w:gridSpan w:val="2"/>
          </w:tcPr>
          <w:p>
            <w:pPr>
              <w:spacing w:after="0" w:line="135" w:lineRule="exact"/>
              <w:rPr>
                <w:sz w:val="20"/>
                <w:szCs w:val="20"/>
                <w:color w:val="auto"/>
              </w:rPr>
            </w:pPr>
            <w:r>
              <w:rPr>
                <w:rFonts w:ascii="Arial" w:cs="Arial" w:eastAsia="Arial" w:hAnsi="Arial"/>
                <w:sz w:val="13"/>
                <w:szCs w:val="13"/>
                <w:color w:val="auto"/>
              </w:rPr>
              <w:t>Pinnergy, Ltd.</w:t>
            </w:r>
          </w:p>
        </w:tc>
        <w:tc>
          <w:tcPr>
            <w:tcW w:w="260" w:type="dxa"/>
            <w:vAlign w:val="bottom"/>
          </w:tcPr>
          <w:p>
            <w:pPr>
              <w:spacing w:after="0"/>
              <w:rPr>
                <w:sz w:val="11"/>
                <w:szCs w:val="11"/>
                <w:color w:val="auto"/>
              </w:rPr>
            </w:pPr>
          </w:p>
        </w:tc>
        <w:tc>
          <w:tcPr>
            <w:tcW w:w="640" w:type="dxa"/>
            <w:vAlign w:val="bottom"/>
            <w:gridSpan w:val="3"/>
          </w:tcPr>
          <w:p>
            <w:pPr>
              <w:ind w:left="34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32,978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ind w:left="3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(11,571)</w:t>
            </w:r>
          </w:p>
        </w:tc>
        <w:tc>
          <w:tcPr>
            <w:tcW w:w="120" w:type="dxa"/>
            <w:vAlign w:val="bottom"/>
          </w:tcPr>
          <w:p>
            <w:pPr>
              <w:spacing w:after="0"/>
              <w:rPr>
                <w:sz w:val="11"/>
                <w:szCs w:val="11"/>
                <w:color w:val="auto"/>
              </w:rPr>
            </w:pPr>
          </w:p>
        </w:tc>
        <w:tc>
          <w:tcPr>
            <w:tcW w:w="4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21,407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(11,571)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5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r>
      <w:tr>
        <w:trPr>
          <w:trHeight w:val="135"/>
        </w:trPr>
        <w:tc>
          <w:tcPr>
            <w:tcW w:w="32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7"/>
              </w:rPr>
              <w:t>Steward Holding LLC (dba Steward Advanced Materials)</w:t>
            </w:r>
          </w:p>
        </w:tc>
        <w:tc>
          <w:tcPr>
            <w:tcW w:w="2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7,725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9,469</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435</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9,904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374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463</w:t>
            </w:r>
          </w:p>
        </w:tc>
        <w:tc>
          <w:tcPr>
            <w:tcW w:w="2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58</w:t>
            </w:r>
          </w:p>
        </w:tc>
        <w:tc>
          <w:tcPr>
            <w:tcW w:w="1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r>
      <w:tr>
        <w:trPr>
          <w:trHeight w:val="142"/>
        </w:trPr>
        <w:tc>
          <w:tcPr>
            <w:tcW w:w="32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Affiliate Investments</w:t>
            </w:r>
          </w:p>
        </w:tc>
        <w:tc>
          <w:tcPr>
            <w:tcW w:w="2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28,214</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121,555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24,809</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9"/>
              </w:rPr>
              <w:t>(75,798)</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70,566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24,295</w:t>
            </w: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(35,453)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3"/>
                <w:szCs w:val="13"/>
                <w:color w:val="auto"/>
                <w:w w:val="79"/>
              </w:rPr>
              <w:t>1,814</w:t>
            </w:r>
          </w:p>
        </w:tc>
        <w:tc>
          <w:tcPr>
            <w:tcW w:w="12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3"/>
                <w:szCs w:val="13"/>
                <w:color w:val="auto"/>
                <w:w w:val="82"/>
              </w:rPr>
              <w:t>69</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3"/>
                <w:szCs w:val="13"/>
                <w:color w:val="auto"/>
                <w:w w:val="82"/>
              </w:rPr>
              <w:t>108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3"/>
                <w:szCs w:val="13"/>
                <w:color w:val="auto"/>
                <w:w w:val="82"/>
              </w:rPr>
              <w:t>66</w:t>
            </w:r>
          </w:p>
        </w:tc>
        <w:tc>
          <w:tcPr>
            <w:tcW w:w="40"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3"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investment type, industry, ownership detail for equity investments, and if the investment is income producing is disclosed in the consolidated schedule of investments.</w:t>
      </w:r>
    </w:p>
    <w:p>
      <w:pPr>
        <w:ind w:left="540" w:right="220" w:hanging="424"/>
        <w:spacing w:after="0" w:line="221"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ind w:left="540" w:right="140" w:hanging="424"/>
        <w:spacing w:after="0" w:line="221"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repayments or sales and net unrealized (depreciation) recognized during the period. Gross reductions also include include transfers of portfolio companies out of the control or affiliate classification during the period, as applicable.</w:t>
      </w:r>
    </w:p>
    <w:p>
      <w:pPr>
        <w:ind w:left="540" w:right="40" w:hanging="424"/>
        <w:spacing w:after="0" w:line="221"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ind w:left="540" w:hanging="424"/>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Portfolio company was transferred to Non-control/Non-affiliate investments from Affiliate investments during the six months ended June 30, 2020.</w:t>
      </w:r>
    </w:p>
    <w:p>
      <w:pPr>
        <w:sectPr>
          <w:pgSz w:w="11900" w:h="16838" w:orient="portrait"/>
          <w:cols w:equalWidth="0" w:num="1">
            <w:col w:w="11140"/>
          </w:cols>
          <w:pgMar w:left="320" w:top="459" w:right="439" w:bottom="1440" w:gutter="0" w:footer="0" w:header="0"/>
          <w:type w:val="continuous"/>
        </w:sectPr>
      </w:pP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40"/>
          </w:cols>
          <w:pgMar w:left="320" w:top="459" w:right="4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unadjusted, quoted prices in active markets for identical assets as of the measurement date.</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include quoted prices for similar assets in active markets, or that are quoted prices for identical or similar assets in markets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active and inputs that are observable, either directly or indirectly, for substantially the full term, if applicable, of the investment.</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include those that are both unobservable and significant to the overall fair value measurement.</w:t>
      </w:r>
    </w:p>
    <w:p>
      <w:pPr>
        <w:spacing w:after="0" w:line="22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Therefore, the Company values all of its portfolio investments at fair value, as determined in good faith by the Board, using Level 3 inputs. The degree of judgment exercised by the Board in determining fair value is greatest for investments classified as Level 3 inputs. Due to the inherent uncertainty of determining the fair values of investments that do not have readily available market values,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8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Board undertakes a multi-step valuation process each quarter, as described below:</w:t>
      </w:r>
    </w:p>
    <w:p>
      <w:pPr>
        <w:spacing w:after="0" w:line="76" w:lineRule="exact"/>
        <w:rPr>
          <w:sz w:val="20"/>
          <w:szCs w:val="20"/>
          <w:color w:val="auto"/>
        </w:rPr>
      </w:pPr>
    </w:p>
    <w:p>
      <w:pPr>
        <w:ind w:left="1080" w:right="3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evaluated and rated by the investment professionals of the Investment Advisor responsible for the portfolio investment;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preliminary valuation conclusions are then documented and discussed with the investment committee of the Investment Advisor;</w:t>
      </w:r>
    </w:p>
    <w:p>
      <w:pPr>
        <w:spacing w:after="0" w:line="142" w:lineRule="exact"/>
        <w:rPr>
          <w:rFonts w:ascii="Arial" w:cs="Arial" w:eastAsia="Arial" w:hAnsi="Arial"/>
          <w:sz w:val="17"/>
          <w:szCs w:val="17"/>
          <w:color w:val="auto"/>
        </w:rPr>
      </w:pPr>
    </w:p>
    <w:p>
      <w:pPr>
        <w:ind w:left="1080" w:right="20" w:hanging="424"/>
        <w:spacing w:after="0" w:line="272"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w:t>
      </w:r>
    </w:p>
    <w:p>
      <w:pPr>
        <w:spacing w:after="0" w:line="82"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ectPr>
          <w:pgSz w:w="11900" w:h="16838" w:orient="portrait"/>
          <w:cols w:equalWidth="0" w:num="1">
            <w:col w:w="11120"/>
          </w:cols>
          <w:pgMar w:left="320" w:top="459" w:right="459" w:bottom="1440" w:gutter="0" w:footer="0" w:header="0"/>
        </w:sectPr>
      </w:pP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20"/>
          </w:cols>
          <w:pgMar w:left="320" w:top="459" w:right="4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spacing w:after="0" w:line="182" w:lineRule="exact"/>
        <w:rPr>
          <w:sz w:val="20"/>
          <w:szCs w:val="20"/>
          <w:color w:val="auto"/>
        </w:rPr>
      </w:pPr>
    </w:p>
    <w:p>
      <w:pPr>
        <w:ind w:left="120" w:right="420" w:firstLine="440"/>
        <w:spacing w:after="0" w:line="272" w:lineRule="auto"/>
        <w:rPr>
          <w:sz w:val="20"/>
          <w:szCs w:val="20"/>
          <w:color w:val="auto"/>
        </w:rPr>
      </w:pPr>
      <w:r>
        <w:rPr>
          <w:rFonts w:ascii="Arial" w:cs="Arial" w:eastAsia="Arial" w:hAnsi="Arial"/>
          <w:sz w:val="17"/>
          <w:szCs w:val="17"/>
          <w:color w:val="auto"/>
        </w:rPr>
        <w:t>For the Company’s equity investments, including equity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7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Company may also utilize an income approach when estimating the fair value of its equity securities,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64"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The fair value of the Company’s royalty rights are calculated based on projected future cash flows and the specific provisions contained in the pertinent agreements. The determination of the fair value of such royalty rights is not a significant component of the Company’s valuation process.</w:t>
      </w:r>
    </w:p>
    <w:p>
      <w:pPr>
        <w:spacing w:after="0" w:line="124"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six months ended June 30, 2020 and 2019.</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following tables present a reconciliation of the beginning and ending balances for fair valued investments measured using significant unobservable inputs (Level 3) for the six months ended June 30, 2020 and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Second Lien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Subordinated</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Warrants</w:t>
            </w: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90"/>
              </w:rPr>
              <w:t>Royalty</w:t>
            </w:r>
          </w:p>
        </w:tc>
        <w:tc>
          <w:tcPr>
            <w:tcW w:w="240" w:type="dxa"/>
            <w:vAlign w:val="bottom"/>
          </w:tcPr>
          <w:p>
            <w:pPr>
              <w:spacing w:after="0"/>
              <w:rPr>
                <w:sz w:val="14"/>
                <w:szCs w:val="14"/>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Debt</w:t>
            </w:r>
          </w:p>
        </w:tc>
        <w:tc>
          <w:tcPr>
            <w:tcW w:w="180" w:type="dxa"/>
            <w:vAlign w:val="bottom"/>
          </w:tcPr>
          <w:p>
            <w:pPr>
              <w:spacing w:after="0"/>
              <w:rPr>
                <w:sz w:val="14"/>
                <w:szCs w:val="1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Debt</w:t>
            </w:r>
          </w:p>
        </w:tc>
        <w:tc>
          <w:tcPr>
            <w:tcW w:w="10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8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Rights</w:t>
            </w:r>
          </w:p>
        </w:tc>
        <w:tc>
          <w:tcPr>
            <w:tcW w:w="2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31, 2018</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366,517</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104,225</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51,790</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106,707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13,743</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$642,982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6"/>
                <w:szCs w:val="16"/>
                <w:color w:val="auto"/>
              </w:rPr>
              <w:t>Net realized gains (losses) on investments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(1,702)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(1,702)</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w w:val="97"/>
              </w:rPr>
              <w:t>Net change in unrealized appreciation (depreciation) on investments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(1,990)</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(12,652)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12,807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(2,094)</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(2,484)</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6"/>
                <w:szCs w:val="16"/>
                <w:color w:val="auto"/>
              </w:rPr>
              <w:t>Purchase of investments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35,599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47,743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39,215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5,903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128,460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sales and repayments of investments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(35,194)</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(26,689)</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(12,359)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(75,320)</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6"/>
                <w:szCs w:val="16"/>
                <w:color w:val="auto"/>
              </w:rPr>
              <w:t>Interest and dividend income paid-in-kind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4,838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5,585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loan origination fees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(90)</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6"/>
                <w:szCs w:val="16"/>
                <w:color w:val="auto"/>
              </w:rPr>
              <w:t>Accretion of loan origination fees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Accretion of original issue discount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6"/>
                <w:szCs w:val="16"/>
                <w:b w:val="1"/>
                <w:bCs w:val="1"/>
                <w:color w:val="auto"/>
              </w:rPr>
              <w:t>Balance, June 30, 2019</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40" w:type="dxa"/>
            <w:vAlign w:val="bottom"/>
            <w:vMerge w:val="continue"/>
          </w:tcPr>
          <w:p>
            <w:pPr>
              <w:spacing w:after="0"/>
              <w:rPr>
                <w:sz w:val="17"/>
                <w:szCs w:val="17"/>
                <w:color w:val="auto"/>
              </w:rPr>
            </w:pPr>
          </w:p>
        </w:tc>
        <w:tc>
          <w:tcPr>
            <w:tcW w:w="140" w:type="dxa"/>
            <w:vAlign w:val="bottom"/>
            <w:gridSpan w:val="2"/>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369,996</w:t>
            </w:r>
          </w:p>
        </w:tc>
        <w:tc>
          <w:tcPr>
            <w:tcW w:w="2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127,239</w:t>
            </w:r>
          </w:p>
        </w:tc>
        <w:tc>
          <w:tcPr>
            <w:tcW w:w="2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65,749</w:t>
            </w:r>
          </w:p>
        </w:tc>
        <w:tc>
          <w:tcPr>
            <w:tcW w:w="2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w w:val="86"/>
              </w:rPr>
              <w:t>122,639</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6"/>
                <w:szCs w:val="16"/>
                <w:color w:val="auto"/>
                <w:w w:val="93"/>
              </w:rPr>
              <w:t>11,649</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697,272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2019</w:t>
            </w:r>
          </w:p>
        </w:tc>
        <w:tc>
          <w:tcPr>
            <w:tcW w:w="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383,077</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140,843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6"/>
              </w:rPr>
              <w:t>108,327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6"/>
              </w:rPr>
              <w:t>126,564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8,108</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$766,919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6"/>
                <w:szCs w:val="16"/>
                <w:color w:val="auto"/>
              </w:rPr>
              <w:t>Net realized gains (losses) on investments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29,624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1,862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31,582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w w:val="97"/>
              </w:rPr>
              <w:t>Net change in unrealized appreciation (depreciation) on investments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(26,898)</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(1,254)</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(1,890)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(43,029)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(3,027)</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(76,098)</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6"/>
                <w:szCs w:val="16"/>
                <w:color w:val="auto"/>
              </w:rPr>
              <w:t>Purchase of investments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20,999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13,500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49,239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1,359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85,097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sales and repayments of investments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(12,780)</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(1,567)</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(15,263)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(42,214)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(4,491)</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(76,315)</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6"/>
                <w:szCs w:val="16"/>
                <w:color w:val="auto"/>
              </w:rPr>
              <w:t>Interest and dividend income paid-in-kind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1,918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2,262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loan origination fees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(158)</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(1,036)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(1,444)</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6"/>
                <w:szCs w:val="16"/>
                <w:color w:val="auto"/>
              </w:rPr>
              <w:t>Accretion of loan origination fees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Accretion of original issue discount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6"/>
                <w:szCs w:val="16"/>
                <w:b w:val="1"/>
                <w:bCs w:val="1"/>
                <w:color w:val="auto"/>
              </w:rPr>
              <w:t>Balance, June 30, 2020</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40" w:type="dxa"/>
            <w:vAlign w:val="bottom"/>
            <w:vMerge w:val="continue"/>
          </w:tcPr>
          <w:p>
            <w:pPr>
              <w:spacing w:after="0"/>
              <w:rPr>
                <w:sz w:val="17"/>
                <w:szCs w:val="17"/>
                <w:color w:val="auto"/>
              </w:rPr>
            </w:pPr>
          </w:p>
        </w:tc>
        <w:tc>
          <w:tcPr>
            <w:tcW w:w="140" w:type="dxa"/>
            <w:vAlign w:val="bottom"/>
            <w:gridSpan w:val="2"/>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366,536</w:t>
            </w:r>
          </w:p>
        </w:tc>
        <w:tc>
          <w:tcPr>
            <w:tcW w:w="2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151,636</w:t>
            </w:r>
          </w:p>
        </w:tc>
        <w:tc>
          <w:tcPr>
            <w:tcW w:w="2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u w:val="single" w:color="auto"/>
                <w:color w:val="auto"/>
                <w:w w:val="89"/>
              </w:rPr>
              <w:t>$</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w w:val="86"/>
              </w:rPr>
              <w:t>139,690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72,306</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2,452</w:t>
            </w:r>
          </w:p>
        </w:tc>
        <w:tc>
          <w:tcPr>
            <w:tcW w:w="2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732,620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Net change in unrealized (depreciation) of $(1,508) and $(75,441) for the three and six months ended June 30, 2020, respectively, was attributable to Level 3 investments held at June 30, 2020. Net change in unrealized (depreciation) of $(6,335) and $(4,840) for the three and six months ended June 30, 2019 was attributable to Level 3 investments held at June 30, 2019.</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following tables summarize the significant unobservable inputs by valuation technique used to determine the fair value of the Company’s Level 3 debt and equity investments as of June 30, 2020 and December 31, 2019. The tables are not intended to be all-inclusive, but instead capture the significant unobservable inputs relevant to the Company’s determination of fair values.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 at</w:t>
            </w:r>
          </w:p>
        </w:tc>
        <w:tc>
          <w:tcPr>
            <w:tcW w:w="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100" w:type="dxa"/>
            <w:vAlign w:val="bottom"/>
          </w:tcPr>
          <w:p>
            <w:pPr>
              <w:spacing w:after="0"/>
              <w:rPr>
                <w:sz w:val="14"/>
                <w:szCs w:val="14"/>
                <w:color w:val="auto"/>
              </w:rPr>
            </w:pPr>
          </w:p>
        </w:tc>
        <w:tc>
          <w:tcPr>
            <w:tcW w:w="2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Range</w:t>
            </w:r>
          </w:p>
        </w:tc>
      </w:tr>
      <w:tr>
        <w:trPr>
          <w:trHeight w:val="185"/>
        </w:trPr>
        <w:tc>
          <w:tcPr>
            <w:tcW w:w="318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9"/>
              </w:rPr>
              <w:t>Techniques</w:t>
            </w:r>
          </w:p>
        </w:tc>
        <w:tc>
          <w:tcPr>
            <w:tcW w:w="100" w:type="dxa"/>
            <w:vAlign w:val="bottom"/>
          </w:tcPr>
          <w:p>
            <w:pPr>
              <w:spacing w:after="0"/>
              <w:rPr>
                <w:sz w:val="16"/>
                <w:szCs w:val="16"/>
                <w:color w:val="auto"/>
              </w:rPr>
            </w:pPr>
          </w:p>
        </w:tc>
        <w:tc>
          <w:tcPr>
            <w:tcW w:w="2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Inputs</w:t>
            </w:r>
          </w:p>
        </w:tc>
        <w:tc>
          <w:tcPr>
            <w:tcW w:w="1880" w:type="dxa"/>
            <w:vAlign w:val="bottom"/>
            <w:gridSpan w:val="3"/>
          </w:tcPr>
          <w:p>
            <w:pPr>
              <w:ind w:left="240"/>
              <w:spacing w:after="0"/>
              <w:rPr>
                <w:sz w:val="20"/>
                <w:szCs w:val="20"/>
                <w:color w:val="auto"/>
              </w:rPr>
            </w:pPr>
            <w:r>
              <w:rPr>
                <w:rFonts w:ascii="Arial" w:cs="Arial" w:eastAsia="Arial" w:hAnsi="Arial"/>
                <w:sz w:val="14"/>
                <w:szCs w:val="14"/>
                <w:b w:val="1"/>
                <w:bCs w:val="1"/>
                <w:color w:val="auto"/>
              </w:rPr>
              <w:t>(weighted average)</w:t>
            </w:r>
            <w:r>
              <w:rPr>
                <w:rFonts w:ascii="Arial" w:cs="Arial" w:eastAsia="Arial" w:hAnsi="Arial"/>
                <w:sz w:val="12"/>
                <w:szCs w:val="12"/>
                <w:b w:val="1"/>
                <w:bCs w:val="1"/>
                <w:color w:val="auto"/>
              </w:rPr>
              <w:t>(1)</w:t>
            </w:r>
          </w:p>
        </w:tc>
      </w:tr>
      <w:tr>
        <w:trPr>
          <w:trHeight w:val="196"/>
        </w:trPr>
        <w:tc>
          <w:tcPr>
            <w:tcW w:w="3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3180" w:type="dxa"/>
            <w:vAlign w:val="bottom"/>
          </w:tcPr>
          <w:p>
            <w:pPr>
              <w:ind w:left="360"/>
              <w:spacing w:after="0"/>
              <w:rPr>
                <w:sz w:val="20"/>
                <w:szCs w:val="20"/>
                <w:color w:val="auto"/>
              </w:rPr>
            </w:pPr>
            <w:r>
              <w:rPr>
                <w:rFonts w:ascii="Arial" w:cs="Arial" w:eastAsia="Arial" w:hAnsi="Arial"/>
                <w:sz w:val="18"/>
                <w:szCs w:val="18"/>
                <w:color w:val="auto"/>
              </w:rPr>
              <w:t>Second Lien Debt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  325,265</w:t>
            </w:r>
          </w:p>
        </w:tc>
        <w:tc>
          <w:tcPr>
            <w:tcW w:w="1940" w:type="dxa"/>
            <w:vAlign w:val="bottom"/>
            <w:gridSpan w:val="2"/>
          </w:tcPr>
          <w:p>
            <w:pPr>
              <w:ind w:left="80"/>
              <w:spacing w:after="0"/>
              <w:rPr>
                <w:sz w:val="20"/>
                <w:szCs w:val="20"/>
                <w:color w:val="auto"/>
              </w:rPr>
            </w:pPr>
            <w:r>
              <w:rPr>
                <w:rFonts w:ascii="Arial" w:cs="Arial" w:eastAsia="Arial" w:hAnsi="Arial"/>
                <w:sz w:val="18"/>
                <w:szCs w:val="18"/>
                <w:color w:val="auto"/>
              </w:rPr>
              <w:t>Discounted cash flow</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Weighted average cost of capital</w:t>
            </w:r>
          </w:p>
        </w:tc>
        <w:tc>
          <w:tcPr>
            <w:tcW w:w="1800" w:type="dxa"/>
            <w:vAlign w:val="bottom"/>
            <w:gridSpan w:val="2"/>
          </w:tcPr>
          <w:p>
            <w:pPr>
              <w:ind w:left="40"/>
              <w:spacing w:after="0"/>
              <w:rPr>
                <w:sz w:val="20"/>
                <w:szCs w:val="20"/>
                <w:color w:val="auto"/>
              </w:rPr>
            </w:pPr>
            <w:r>
              <w:rPr>
                <w:rFonts w:ascii="Arial" w:cs="Arial" w:eastAsia="Arial" w:hAnsi="Arial"/>
                <w:sz w:val="18"/>
                <w:szCs w:val="18"/>
                <w:color w:val="auto"/>
                <w:w w:val="98"/>
              </w:rPr>
              <w:t>9.7% - 26.4% (14.6%)</w:t>
            </w:r>
          </w:p>
        </w:tc>
        <w:tc>
          <w:tcPr>
            <w:tcW w:w="8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39,237</w:t>
            </w:r>
          </w:p>
        </w:tc>
        <w:tc>
          <w:tcPr>
            <w:tcW w:w="19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Enterprise value</w:t>
            </w:r>
          </w:p>
        </w:tc>
        <w:tc>
          <w:tcPr>
            <w:tcW w:w="30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EBITDA multiples</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4.5x</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- 9.1x (6.7x)</w:t>
            </w:r>
          </w:p>
        </w:tc>
      </w:tr>
      <w:tr>
        <w:trPr>
          <w:trHeight w:val="216"/>
        </w:trPr>
        <w:tc>
          <w:tcPr>
            <w:tcW w:w="3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2,034</w:t>
            </w:r>
          </w:p>
        </w:tc>
        <w:tc>
          <w:tcPr>
            <w:tcW w:w="1940" w:type="dxa"/>
            <w:vAlign w:val="bottom"/>
            <w:gridSpan w:val="2"/>
          </w:tcPr>
          <w:p>
            <w:pPr>
              <w:ind w:left="80"/>
              <w:spacing w:after="0"/>
              <w:rPr>
                <w:sz w:val="20"/>
                <w:szCs w:val="20"/>
                <w:color w:val="auto"/>
              </w:rPr>
            </w:pPr>
            <w:r>
              <w:rPr>
                <w:rFonts w:ascii="Arial" w:cs="Arial" w:eastAsia="Arial" w:hAnsi="Arial"/>
                <w:sz w:val="18"/>
                <w:szCs w:val="18"/>
                <w:color w:val="auto"/>
              </w:rPr>
              <w:t>Enterprise value</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Asset Coverage</w:t>
            </w:r>
          </w:p>
        </w:tc>
        <w:tc>
          <w:tcPr>
            <w:tcW w:w="380" w:type="dxa"/>
            <w:vAlign w:val="bottom"/>
          </w:tcPr>
          <w:p>
            <w:pPr>
              <w:ind w:left="40"/>
              <w:spacing w:after="0"/>
              <w:rPr>
                <w:sz w:val="20"/>
                <w:szCs w:val="20"/>
                <w:color w:val="auto"/>
              </w:rPr>
            </w:pPr>
            <w:r>
              <w:rPr>
                <w:rFonts w:ascii="Arial" w:cs="Arial" w:eastAsia="Arial" w:hAnsi="Arial"/>
                <w:sz w:val="18"/>
                <w:szCs w:val="18"/>
                <w:color w:val="auto"/>
                <w:w w:val="93"/>
              </w:rPr>
              <w:t>1.3x</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- 1.3x (1.3x)</w:t>
            </w:r>
          </w:p>
        </w:tc>
      </w:tr>
      <w:tr>
        <w:trPr>
          <w:trHeight w:val="216"/>
        </w:trPr>
        <w:tc>
          <w:tcPr>
            <w:tcW w:w="3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Subordinated Debt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151,636</w:t>
            </w:r>
          </w:p>
        </w:tc>
        <w:tc>
          <w:tcPr>
            <w:tcW w:w="19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Discounted cash flow</w:t>
            </w:r>
          </w:p>
        </w:tc>
        <w:tc>
          <w:tcPr>
            <w:tcW w:w="30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Weighted average cost of capital</w:t>
            </w:r>
          </w:p>
        </w:tc>
        <w:tc>
          <w:tcPr>
            <w:tcW w:w="1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10.9% - 15.7% (11.9%)</w:t>
            </w:r>
          </w:p>
        </w:tc>
        <w:tc>
          <w:tcPr>
            <w:tcW w:w="80" w:type="dxa"/>
            <w:vAlign w:val="bottom"/>
            <w:shd w:val="clear" w:color="auto" w:fill="CCEEFF"/>
          </w:tcPr>
          <w:p>
            <w:pPr>
              <w:spacing w:after="0"/>
              <w:rPr>
                <w:sz w:val="18"/>
                <w:szCs w:val="18"/>
                <w:color w:val="auto"/>
              </w:rPr>
            </w:pPr>
          </w:p>
        </w:tc>
      </w:tr>
      <w:tr>
        <w:trPr>
          <w:trHeight w:val="216"/>
        </w:trPr>
        <w:tc>
          <w:tcPr>
            <w:tcW w:w="3180" w:type="dxa"/>
            <w:vAlign w:val="bottom"/>
          </w:tcPr>
          <w:p>
            <w:pPr>
              <w:ind w:left="360"/>
              <w:spacing w:after="0"/>
              <w:rPr>
                <w:sz w:val="20"/>
                <w:szCs w:val="20"/>
                <w:color w:val="auto"/>
              </w:rPr>
            </w:pPr>
            <w:r>
              <w:rPr>
                <w:rFonts w:ascii="Arial" w:cs="Arial" w:eastAsia="Arial" w:hAnsi="Arial"/>
                <w:sz w:val="18"/>
                <w:szCs w:val="18"/>
                <w:color w:val="auto"/>
              </w:rPr>
              <w:t>First Lien Debt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128,383</w:t>
            </w:r>
          </w:p>
        </w:tc>
        <w:tc>
          <w:tcPr>
            <w:tcW w:w="1940" w:type="dxa"/>
            <w:vAlign w:val="bottom"/>
            <w:gridSpan w:val="2"/>
          </w:tcPr>
          <w:p>
            <w:pPr>
              <w:ind w:left="80"/>
              <w:spacing w:after="0"/>
              <w:rPr>
                <w:sz w:val="20"/>
                <w:szCs w:val="20"/>
                <w:color w:val="auto"/>
              </w:rPr>
            </w:pPr>
            <w:r>
              <w:rPr>
                <w:rFonts w:ascii="Arial" w:cs="Arial" w:eastAsia="Arial" w:hAnsi="Arial"/>
                <w:sz w:val="18"/>
                <w:szCs w:val="18"/>
                <w:color w:val="auto"/>
              </w:rPr>
              <w:t>Discounted cash flow</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Weighted average cost of capital</w:t>
            </w:r>
          </w:p>
        </w:tc>
        <w:tc>
          <w:tcPr>
            <w:tcW w:w="1800" w:type="dxa"/>
            <w:vAlign w:val="bottom"/>
            <w:gridSpan w:val="2"/>
          </w:tcPr>
          <w:p>
            <w:pPr>
              <w:ind w:left="40"/>
              <w:spacing w:after="0"/>
              <w:rPr>
                <w:sz w:val="20"/>
                <w:szCs w:val="20"/>
                <w:color w:val="auto"/>
              </w:rPr>
            </w:pPr>
            <w:r>
              <w:rPr>
                <w:rFonts w:ascii="Arial" w:cs="Arial" w:eastAsia="Arial" w:hAnsi="Arial"/>
                <w:sz w:val="18"/>
                <w:szCs w:val="18"/>
                <w:color w:val="auto"/>
                <w:w w:val="98"/>
              </w:rPr>
              <w:t>7.6% - 15.1% (12.2%)</w:t>
            </w:r>
          </w:p>
        </w:tc>
        <w:tc>
          <w:tcPr>
            <w:tcW w:w="8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7,165</w:t>
            </w:r>
          </w:p>
        </w:tc>
        <w:tc>
          <w:tcPr>
            <w:tcW w:w="19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Enterprise value</w:t>
            </w:r>
          </w:p>
        </w:tc>
        <w:tc>
          <w:tcPr>
            <w:tcW w:w="30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Revenue multiples</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4.4x</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- 4.4x (4.4x)</w:t>
            </w:r>
          </w:p>
        </w:tc>
      </w:tr>
      <w:tr>
        <w:trPr>
          <w:trHeight w:val="216"/>
        </w:trPr>
        <w:tc>
          <w:tcPr>
            <w:tcW w:w="3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4,142</w:t>
            </w:r>
          </w:p>
        </w:tc>
        <w:tc>
          <w:tcPr>
            <w:tcW w:w="1940" w:type="dxa"/>
            <w:vAlign w:val="bottom"/>
            <w:gridSpan w:val="2"/>
          </w:tcPr>
          <w:p>
            <w:pPr>
              <w:ind w:left="80"/>
              <w:spacing w:after="0"/>
              <w:rPr>
                <w:sz w:val="20"/>
                <w:szCs w:val="20"/>
                <w:color w:val="auto"/>
              </w:rPr>
            </w:pPr>
            <w:r>
              <w:rPr>
                <w:rFonts w:ascii="Arial" w:cs="Arial" w:eastAsia="Arial" w:hAnsi="Arial"/>
                <w:sz w:val="18"/>
                <w:szCs w:val="18"/>
                <w:color w:val="auto"/>
              </w:rPr>
              <w:t>Enterprise value</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EBITDA multiples</w:t>
            </w:r>
          </w:p>
        </w:tc>
        <w:tc>
          <w:tcPr>
            <w:tcW w:w="380" w:type="dxa"/>
            <w:vAlign w:val="bottom"/>
          </w:tcPr>
          <w:p>
            <w:pPr>
              <w:ind w:left="40"/>
              <w:spacing w:after="0"/>
              <w:rPr>
                <w:sz w:val="20"/>
                <w:szCs w:val="20"/>
                <w:color w:val="auto"/>
              </w:rPr>
            </w:pPr>
            <w:r>
              <w:rPr>
                <w:rFonts w:ascii="Arial" w:cs="Arial" w:eastAsia="Arial" w:hAnsi="Arial"/>
                <w:sz w:val="18"/>
                <w:szCs w:val="18"/>
                <w:color w:val="auto"/>
                <w:w w:val="93"/>
              </w:rPr>
              <w:t>4.0x</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- 4.0x (4.0x)</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investments: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180" w:type="dxa"/>
            <w:vAlign w:val="bottom"/>
          </w:tcPr>
          <w:p>
            <w:pPr>
              <w:ind w:left="360"/>
              <w:spacing w:after="0"/>
              <w:rPr>
                <w:sz w:val="20"/>
                <w:szCs w:val="20"/>
                <w:color w:val="auto"/>
              </w:rPr>
            </w:pPr>
            <w:r>
              <w:rPr>
                <w:rFonts w:ascii="Arial" w:cs="Arial" w:eastAsia="Arial" w:hAnsi="Arial"/>
                <w:sz w:val="18"/>
                <w:szCs w:val="18"/>
                <w:color w:val="auto"/>
              </w:rPr>
              <w:t>Equity</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72,042</w:t>
            </w:r>
          </w:p>
        </w:tc>
        <w:tc>
          <w:tcPr>
            <w:tcW w:w="1940" w:type="dxa"/>
            <w:vAlign w:val="bottom"/>
            <w:gridSpan w:val="2"/>
          </w:tcPr>
          <w:p>
            <w:pPr>
              <w:ind w:left="80"/>
              <w:spacing w:after="0"/>
              <w:rPr>
                <w:sz w:val="20"/>
                <w:szCs w:val="20"/>
                <w:color w:val="auto"/>
              </w:rPr>
            </w:pPr>
            <w:r>
              <w:rPr>
                <w:rFonts w:ascii="Arial" w:cs="Arial" w:eastAsia="Arial" w:hAnsi="Arial"/>
                <w:sz w:val="18"/>
                <w:szCs w:val="18"/>
                <w:color w:val="auto"/>
              </w:rPr>
              <w:t>Enterprise value</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EBITDA multiples</w:t>
            </w:r>
          </w:p>
        </w:tc>
        <w:tc>
          <w:tcPr>
            <w:tcW w:w="380" w:type="dxa"/>
            <w:vAlign w:val="bottom"/>
          </w:tcPr>
          <w:p>
            <w:pPr>
              <w:ind w:left="40"/>
              <w:spacing w:after="0"/>
              <w:rPr>
                <w:sz w:val="20"/>
                <w:szCs w:val="20"/>
                <w:color w:val="auto"/>
              </w:rPr>
            </w:pPr>
            <w:r>
              <w:rPr>
                <w:rFonts w:ascii="Arial" w:cs="Arial" w:eastAsia="Arial" w:hAnsi="Arial"/>
                <w:sz w:val="18"/>
                <w:szCs w:val="18"/>
                <w:color w:val="auto"/>
                <w:w w:val="93"/>
              </w:rPr>
              <w:t>3.3x</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- 14.5x (7.1x)</w:t>
            </w:r>
          </w:p>
        </w:tc>
      </w:tr>
      <w:tr>
        <w:trPr>
          <w:trHeight w:val="216"/>
        </w:trPr>
        <w:tc>
          <w:tcPr>
            <w:tcW w:w="3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w:t>
            </w:r>
          </w:p>
        </w:tc>
        <w:tc>
          <w:tcPr>
            <w:tcW w:w="19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Enterprise value</w:t>
            </w:r>
          </w:p>
        </w:tc>
        <w:tc>
          <w:tcPr>
            <w:tcW w:w="30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Revenue multiples</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1.1x</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- 4.4x (4.4x)</w:t>
            </w:r>
          </w:p>
        </w:tc>
      </w:tr>
      <w:tr>
        <w:trPr>
          <w:trHeight w:val="230"/>
        </w:trPr>
        <w:tc>
          <w:tcPr>
            <w:tcW w:w="3180" w:type="dxa"/>
            <w:vAlign w:val="bottom"/>
          </w:tcPr>
          <w:p>
            <w:pPr>
              <w:ind w:left="360"/>
              <w:spacing w:after="0"/>
              <w:rPr>
                <w:sz w:val="20"/>
                <w:szCs w:val="20"/>
                <w:color w:val="auto"/>
              </w:rPr>
            </w:pPr>
            <w:r>
              <w:rPr>
                <w:rFonts w:ascii="Arial" w:cs="Arial" w:eastAsia="Arial" w:hAnsi="Arial"/>
                <w:sz w:val="18"/>
                <w:szCs w:val="18"/>
                <w:color w:val="auto"/>
              </w:rPr>
              <w:t>Warrants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2,452</w:t>
            </w:r>
          </w:p>
        </w:tc>
        <w:tc>
          <w:tcPr>
            <w:tcW w:w="1940" w:type="dxa"/>
            <w:vAlign w:val="bottom"/>
            <w:gridSpan w:val="2"/>
          </w:tcPr>
          <w:p>
            <w:pPr>
              <w:ind w:left="80"/>
              <w:spacing w:after="0"/>
              <w:rPr>
                <w:sz w:val="20"/>
                <w:szCs w:val="20"/>
                <w:color w:val="auto"/>
              </w:rPr>
            </w:pPr>
            <w:r>
              <w:rPr>
                <w:rFonts w:ascii="Arial" w:cs="Arial" w:eastAsia="Arial" w:hAnsi="Arial"/>
                <w:sz w:val="18"/>
                <w:szCs w:val="18"/>
                <w:color w:val="auto"/>
              </w:rPr>
              <w:t>Enterprise value</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EBITDA multiples</w:t>
            </w:r>
          </w:p>
        </w:tc>
        <w:tc>
          <w:tcPr>
            <w:tcW w:w="380" w:type="dxa"/>
            <w:vAlign w:val="bottom"/>
          </w:tcPr>
          <w:p>
            <w:pPr>
              <w:ind w:left="40"/>
              <w:spacing w:after="0"/>
              <w:rPr>
                <w:sz w:val="20"/>
                <w:szCs w:val="20"/>
                <w:color w:val="auto"/>
              </w:rPr>
            </w:pPr>
            <w:r>
              <w:rPr>
                <w:rFonts w:ascii="Arial" w:cs="Arial" w:eastAsia="Arial" w:hAnsi="Arial"/>
                <w:sz w:val="18"/>
                <w:szCs w:val="18"/>
                <w:color w:val="auto"/>
                <w:w w:val="93"/>
              </w:rPr>
              <w:t>4.0x</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- 6.0x (5.7x)</w:t>
            </w:r>
          </w:p>
        </w:tc>
      </w:tr>
    </w:tbl>
    <w:p>
      <w:pPr>
        <w:spacing w:after="0" w:line="214" w:lineRule="exact"/>
        <w:rPr>
          <w:sz w:val="20"/>
          <w:szCs w:val="20"/>
          <w:color w:val="auto"/>
        </w:rPr>
      </w:pPr>
    </w:p>
    <w:p>
      <w:pPr>
        <w:ind w:left="5540" w:right="4820" w:hanging="5424"/>
        <w:spacing w:after="0" w:line="535" w:lineRule="auto"/>
        <w:tabs>
          <w:tab w:leader="none" w:pos="554"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Unobservable inputs were weighted by the relative fair value of the instruments. 26</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Debt investments: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Fair Value at</w:t>
            </w:r>
          </w:p>
        </w:tc>
        <w:tc>
          <w:tcPr>
            <w:tcW w:w="80" w:type="dxa"/>
            <w:vAlign w:val="bottom"/>
          </w:tcPr>
          <w:p>
            <w:pPr>
              <w:spacing w:after="0"/>
              <w:rPr>
                <w:sz w:val="14"/>
                <w:szCs w:val="14"/>
                <w:color w:val="auto"/>
              </w:rPr>
            </w:pPr>
          </w:p>
        </w:tc>
        <w:tc>
          <w:tcPr>
            <w:tcW w:w="22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Valuation Techniques</w:t>
            </w:r>
          </w:p>
        </w:tc>
        <w:tc>
          <w:tcPr>
            <w:tcW w:w="100" w:type="dxa"/>
            <w:vAlign w:val="bottom"/>
          </w:tcPr>
          <w:p>
            <w:pPr>
              <w:spacing w:after="0"/>
              <w:rPr>
                <w:sz w:val="14"/>
                <w:szCs w:val="14"/>
                <w:color w:val="auto"/>
              </w:rPr>
            </w:pPr>
          </w:p>
        </w:tc>
        <w:tc>
          <w:tcPr>
            <w:tcW w:w="280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Unobservable Inputs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4"/>
                <w:szCs w:val="14"/>
                <w:b w:val="1"/>
                <w:bCs w:val="1"/>
                <w:color w:val="auto"/>
              </w:rPr>
              <w:t>Range (weighted</w:t>
            </w:r>
          </w:p>
        </w:tc>
        <w:tc>
          <w:tcPr>
            <w:tcW w:w="0" w:type="dxa"/>
            <w:vAlign w:val="bottom"/>
          </w:tcPr>
          <w:p>
            <w:pPr>
              <w:spacing w:after="0"/>
              <w:rPr>
                <w:sz w:val="1"/>
                <w:szCs w:val="1"/>
                <w:color w:val="auto"/>
              </w:rPr>
            </w:pPr>
          </w:p>
        </w:tc>
      </w:tr>
      <w:tr>
        <w:trPr>
          <w:trHeight w:val="158"/>
        </w:trPr>
        <w:tc>
          <w:tcPr>
            <w:tcW w:w="220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6"/>
              </w:rPr>
              <w:t>December 31, 2019</w:t>
            </w:r>
          </w:p>
        </w:tc>
        <w:tc>
          <w:tcPr>
            <w:tcW w:w="8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ind w:left="200"/>
              <w:spacing w:after="0" w:line="158" w:lineRule="exact"/>
              <w:rPr>
                <w:sz w:val="20"/>
                <w:szCs w:val="20"/>
                <w:color w:val="auto"/>
              </w:rPr>
            </w:pPr>
            <w:r>
              <w:rPr>
                <w:rFonts w:ascii="Arial" w:cs="Arial" w:eastAsia="Arial" w:hAnsi="Arial"/>
                <w:sz w:val="14"/>
                <w:szCs w:val="14"/>
                <w:b w:val="1"/>
                <w:bCs w:val="1"/>
                <w:color w:val="auto"/>
              </w:rPr>
              <w:t>average)</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0"/>
        </w:trPr>
        <w:tc>
          <w:tcPr>
            <w:tcW w:w="1100" w:type="dxa"/>
            <w:vAlign w:val="bottom"/>
            <w:tcBorders>
              <w:bottom w:val="single" w:sz="8" w:color="CCEEFF"/>
            </w:tcBorders>
            <w:shd w:val="clear" w:color="auto" w:fill="000000"/>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0" w:type="dxa"/>
            <w:vAlign w:val="bottom"/>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Second Lien Debt</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364,351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Discounted cash flow</w:t>
            </w:r>
          </w:p>
        </w:tc>
        <w:tc>
          <w:tcPr>
            <w:tcW w:w="10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Weighted average cost of capital</w:t>
            </w: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1"/>
              </w:rPr>
              <w:t>10.3% - 18.2% (13.2%)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16,417</w:t>
            </w:r>
          </w:p>
        </w:tc>
        <w:tc>
          <w:tcPr>
            <w:tcW w:w="2360" w:type="dxa"/>
            <w:vAlign w:val="bottom"/>
            <w:gridSpan w:val="2"/>
          </w:tcPr>
          <w:p>
            <w:pPr>
              <w:ind w:left="80"/>
              <w:spacing w:after="0"/>
              <w:rPr>
                <w:sz w:val="20"/>
                <w:szCs w:val="20"/>
                <w:color w:val="auto"/>
              </w:rPr>
            </w:pPr>
            <w:r>
              <w:rPr>
                <w:rFonts w:ascii="Arial" w:cs="Arial" w:eastAsia="Arial" w:hAnsi="Arial"/>
                <w:sz w:val="18"/>
                <w:szCs w:val="18"/>
                <w:color w:val="auto"/>
              </w:rPr>
              <w:t>Enterprise value</w:t>
            </w:r>
          </w:p>
        </w:tc>
        <w:tc>
          <w:tcPr>
            <w:tcW w:w="2900" w:type="dxa"/>
            <w:vAlign w:val="bottom"/>
            <w:gridSpan w:val="2"/>
          </w:tcPr>
          <w:p>
            <w:pPr>
              <w:ind w:left="100"/>
              <w:spacing w:after="0"/>
              <w:rPr>
                <w:sz w:val="20"/>
                <w:szCs w:val="20"/>
                <w:color w:val="auto"/>
              </w:rPr>
            </w:pPr>
            <w:r>
              <w:rPr>
                <w:rFonts w:ascii="Arial" w:cs="Arial" w:eastAsia="Arial" w:hAnsi="Arial"/>
                <w:sz w:val="18"/>
                <w:szCs w:val="18"/>
                <w:color w:val="auto"/>
              </w:rPr>
              <w:t>EBITDA multiples</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w w:val="88"/>
              </w:rPr>
              <w:t>5.3x</w:t>
            </w:r>
          </w:p>
        </w:tc>
        <w:tc>
          <w:tcPr>
            <w:tcW w:w="1400" w:type="dxa"/>
            <w:vAlign w:val="bottom"/>
          </w:tcPr>
          <w:p>
            <w:pPr>
              <w:ind w:left="40"/>
              <w:spacing w:after="0"/>
              <w:rPr>
                <w:sz w:val="20"/>
                <w:szCs w:val="20"/>
                <w:color w:val="auto"/>
              </w:rPr>
            </w:pPr>
            <w:r>
              <w:rPr>
                <w:rFonts w:ascii="Arial" w:cs="Arial" w:eastAsia="Arial" w:hAnsi="Arial"/>
                <w:sz w:val="18"/>
                <w:szCs w:val="18"/>
                <w:color w:val="auto"/>
              </w:rPr>
              <w:t>- 5.3x (5.3x)</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2,309</w:t>
            </w:r>
          </w:p>
        </w:tc>
        <w:tc>
          <w:tcPr>
            <w:tcW w:w="2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Enterprise value</w:t>
            </w:r>
          </w:p>
        </w:tc>
        <w:tc>
          <w:tcPr>
            <w:tcW w:w="2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Asset Coverage</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8"/>
              </w:rPr>
              <w:t>1.2x</w:t>
            </w:r>
          </w:p>
        </w:tc>
        <w:tc>
          <w:tcPr>
            <w:tcW w:w="1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- 1.2x (1.2x)</w:t>
            </w:r>
          </w:p>
        </w:tc>
        <w:tc>
          <w:tcPr>
            <w:tcW w:w="0" w:type="dxa"/>
            <w:vAlign w:val="bottom"/>
          </w:tcPr>
          <w:p>
            <w:pPr>
              <w:spacing w:after="0"/>
              <w:rPr>
                <w:sz w:val="1"/>
                <w:szCs w:val="1"/>
                <w:color w:val="auto"/>
              </w:rPr>
            </w:pPr>
          </w:p>
        </w:tc>
      </w:tr>
      <w:tr>
        <w:trPr>
          <w:trHeight w:val="216"/>
        </w:trPr>
        <w:tc>
          <w:tcPr>
            <w:tcW w:w="2200" w:type="dxa"/>
            <w:vAlign w:val="bottom"/>
            <w:gridSpan w:val="2"/>
          </w:tcPr>
          <w:p>
            <w:pPr>
              <w:ind w:left="360"/>
              <w:spacing w:after="0"/>
              <w:rPr>
                <w:sz w:val="20"/>
                <w:szCs w:val="20"/>
                <w:color w:val="auto"/>
              </w:rPr>
            </w:pPr>
            <w:r>
              <w:rPr>
                <w:rFonts w:ascii="Arial" w:cs="Arial" w:eastAsia="Arial" w:hAnsi="Arial"/>
                <w:sz w:val="18"/>
                <w:szCs w:val="18"/>
                <w:color w:val="auto"/>
              </w:rPr>
              <w:t>Subordinated Debt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140,843</w:t>
            </w:r>
          </w:p>
        </w:tc>
        <w:tc>
          <w:tcPr>
            <w:tcW w:w="2360" w:type="dxa"/>
            <w:vAlign w:val="bottom"/>
            <w:gridSpan w:val="2"/>
          </w:tcPr>
          <w:p>
            <w:pPr>
              <w:ind w:left="80"/>
              <w:spacing w:after="0"/>
              <w:rPr>
                <w:sz w:val="20"/>
                <w:szCs w:val="20"/>
                <w:color w:val="auto"/>
              </w:rPr>
            </w:pPr>
            <w:r>
              <w:rPr>
                <w:rFonts w:ascii="Arial" w:cs="Arial" w:eastAsia="Arial" w:hAnsi="Arial"/>
                <w:sz w:val="18"/>
                <w:szCs w:val="18"/>
                <w:color w:val="auto"/>
              </w:rPr>
              <w:t>Discounted cash flow</w:t>
            </w:r>
          </w:p>
        </w:tc>
        <w:tc>
          <w:tcPr>
            <w:tcW w:w="2900" w:type="dxa"/>
            <w:vAlign w:val="bottom"/>
            <w:gridSpan w:val="2"/>
          </w:tcPr>
          <w:p>
            <w:pPr>
              <w:ind w:left="100"/>
              <w:spacing w:after="0"/>
              <w:rPr>
                <w:sz w:val="20"/>
                <w:szCs w:val="20"/>
                <w:color w:val="auto"/>
              </w:rPr>
            </w:pPr>
            <w:r>
              <w:rPr>
                <w:rFonts w:ascii="Arial" w:cs="Arial" w:eastAsia="Arial" w:hAnsi="Arial"/>
                <w:sz w:val="18"/>
                <w:szCs w:val="18"/>
                <w:color w:val="auto"/>
              </w:rPr>
              <w:t>Weighted average cost of capital</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w w:val="91"/>
              </w:rPr>
              <w:t>10.9% - 21.6% (12.0%)</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First Lien Debt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101,162</w:t>
            </w:r>
          </w:p>
        </w:tc>
        <w:tc>
          <w:tcPr>
            <w:tcW w:w="2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Discounted cash flow</w:t>
            </w:r>
          </w:p>
        </w:tc>
        <w:tc>
          <w:tcPr>
            <w:tcW w:w="2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Weighted average cost of capital</w:t>
            </w:r>
          </w:p>
        </w:tc>
        <w:tc>
          <w:tcPr>
            <w:tcW w:w="1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6"/>
              </w:rPr>
              <w:t>8.4% - 14.8% (11.8%)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7,165</w:t>
            </w:r>
          </w:p>
        </w:tc>
        <w:tc>
          <w:tcPr>
            <w:tcW w:w="2360" w:type="dxa"/>
            <w:vAlign w:val="bottom"/>
            <w:gridSpan w:val="2"/>
          </w:tcPr>
          <w:p>
            <w:pPr>
              <w:ind w:left="80"/>
              <w:spacing w:after="0"/>
              <w:rPr>
                <w:sz w:val="20"/>
                <w:szCs w:val="20"/>
                <w:color w:val="auto"/>
              </w:rPr>
            </w:pPr>
            <w:r>
              <w:rPr>
                <w:rFonts w:ascii="Arial" w:cs="Arial" w:eastAsia="Arial" w:hAnsi="Arial"/>
                <w:sz w:val="18"/>
                <w:szCs w:val="18"/>
                <w:color w:val="auto"/>
              </w:rPr>
              <w:t>Enterprise value</w:t>
            </w:r>
          </w:p>
        </w:tc>
        <w:tc>
          <w:tcPr>
            <w:tcW w:w="2900" w:type="dxa"/>
            <w:vAlign w:val="bottom"/>
            <w:gridSpan w:val="2"/>
          </w:tcPr>
          <w:p>
            <w:pPr>
              <w:ind w:left="100"/>
              <w:spacing w:after="0"/>
              <w:rPr>
                <w:sz w:val="20"/>
                <w:szCs w:val="20"/>
                <w:color w:val="auto"/>
              </w:rPr>
            </w:pPr>
            <w:r>
              <w:rPr>
                <w:rFonts w:ascii="Arial" w:cs="Arial" w:eastAsia="Arial" w:hAnsi="Arial"/>
                <w:sz w:val="18"/>
                <w:szCs w:val="18"/>
                <w:color w:val="auto"/>
              </w:rPr>
              <w:t>Revenue multiples</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w w:val="88"/>
              </w:rPr>
              <w:t>4.4x</w:t>
            </w:r>
          </w:p>
        </w:tc>
        <w:tc>
          <w:tcPr>
            <w:tcW w:w="1400" w:type="dxa"/>
            <w:vAlign w:val="bottom"/>
          </w:tcPr>
          <w:p>
            <w:pPr>
              <w:ind w:left="40"/>
              <w:spacing w:after="0"/>
              <w:rPr>
                <w:sz w:val="20"/>
                <w:szCs w:val="20"/>
                <w:color w:val="auto"/>
              </w:rPr>
            </w:pPr>
            <w:r>
              <w:rPr>
                <w:rFonts w:ascii="Arial" w:cs="Arial" w:eastAsia="Arial" w:hAnsi="Arial"/>
                <w:sz w:val="18"/>
                <w:szCs w:val="18"/>
                <w:color w:val="auto"/>
              </w:rPr>
              <w:t>- 4.4x (4.4x)</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investments: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ind w:left="360"/>
              <w:spacing w:after="0"/>
              <w:rPr>
                <w:sz w:val="20"/>
                <w:szCs w:val="20"/>
                <w:color w:val="auto"/>
              </w:rPr>
            </w:pPr>
            <w:r>
              <w:rPr>
                <w:rFonts w:ascii="Arial" w:cs="Arial" w:eastAsia="Arial" w:hAnsi="Arial"/>
                <w:sz w:val="18"/>
                <w:szCs w:val="18"/>
                <w:color w:val="auto"/>
              </w:rPr>
              <w:t>Equity</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125,370</w:t>
            </w:r>
          </w:p>
        </w:tc>
        <w:tc>
          <w:tcPr>
            <w:tcW w:w="2360" w:type="dxa"/>
            <w:vAlign w:val="bottom"/>
            <w:gridSpan w:val="2"/>
          </w:tcPr>
          <w:p>
            <w:pPr>
              <w:ind w:left="80"/>
              <w:spacing w:after="0"/>
              <w:rPr>
                <w:sz w:val="20"/>
                <w:szCs w:val="20"/>
                <w:color w:val="auto"/>
              </w:rPr>
            </w:pPr>
            <w:r>
              <w:rPr>
                <w:rFonts w:ascii="Arial" w:cs="Arial" w:eastAsia="Arial" w:hAnsi="Arial"/>
                <w:sz w:val="18"/>
                <w:szCs w:val="18"/>
                <w:color w:val="auto"/>
              </w:rPr>
              <w:t>Enterprise value</w:t>
            </w:r>
          </w:p>
        </w:tc>
        <w:tc>
          <w:tcPr>
            <w:tcW w:w="2900" w:type="dxa"/>
            <w:vAlign w:val="bottom"/>
            <w:gridSpan w:val="2"/>
          </w:tcPr>
          <w:p>
            <w:pPr>
              <w:ind w:left="100"/>
              <w:spacing w:after="0"/>
              <w:rPr>
                <w:sz w:val="20"/>
                <w:szCs w:val="20"/>
                <w:color w:val="auto"/>
              </w:rPr>
            </w:pPr>
            <w:r>
              <w:rPr>
                <w:rFonts w:ascii="Arial" w:cs="Arial" w:eastAsia="Arial" w:hAnsi="Arial"/>
                <w:sz w:val="18"/>
                <w:szCs w:val="18"/>
                <w:color w:val="auto"/>
              </w:rPr>
              <w:t>EBITDA multiples</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w w:val="88"/>
              </w:rPr>
              <w:t>3.5x</w:t>
            </w:r>
          </w:p>
        </w:tc>
        <w:tc>
          <w:tcPr>
            <w:tcW w:w="1400" w:type="dxa"/>
            <w:vAlign w:val="bottom"/>
          </w:tcPr>
          <w:p>
            <w:pPr>
              <w:ind w:left="40"/>
              <w:spacing w:after="0"/>
              <w:rPr>
                <w:sz w:val="20"/>
                <w:szCs w:val="20"/>
                <w:color w:val="auto"/>
              </w:rPr>
            </w:pPr>
            <w:r>
              <w:rPr>
                <w:rFonts w:ascii="Arial" w:cs="Arial" w:eastAsia="Arial" w:hAnsi="Arial"/>
                <w:sz w:val="18"/>
                <w:szCs w:val="18"/>
                <w:color w:val="auto"/>
              </w:rPr>
              <w:t>- 20.7x (8.5x)</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1,194</w:t>
            </w:r>
          </w:p>
        </w:tc>
        <w:tc>
          <w:tcPr>
            <w:tcW w:w="2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Enterprise value</w:t>
            </w:r>
          </w:p>
        </w:tc>
        <w:tc>
          <w:tcPr>
            <w:tcW w:w="2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Revenue multiples</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8"/>
              </w:rPr>
              <w:t>1.2x</w:t>
            </w:r>
          </w:p>
        </w:tc>
        <w:tc>
          <w:tcPr>
            <w:tcW w:w="1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- 4.4x (2.0x)</w:t>
            </w:r>
          </w:p>
        </w:tc>
        <w:tc>
          <w:tcPr>
            <w:tcW w:w="0" w:type="dxa"/>
            <w:vAlign w:val="bottom"/>
          </w:tcPr>
          <w:p>
            <w:pPr>
              <w:spacing w:after="0"/>
              <w:rPr>
                <w:sz w:val="1"/>
                <w:szCs w:val="1"/>
                <w:color w:val="auto"/>
              </w:rPr>
            </w:pPr>
          </w:p>
        </w:tc>
      </w:tr>
      <w:tr>
        <w:trPr>
          <w:trHeight w:val="230"/>
        </w:trPr>
        <w:tc>
          <w:tcPr>
            <w:tcW w:w="2200" w:type="dxa"/>
            <w:vAlign w:val="bottom"/>
            <w:gridSpan w:val="2"/>
          </w:tcPr>
          <w:p>
            <w:pPr>
              <w:ind w:left="360"/>
              <w:spacing w:after="0"/>
              <w:rPr>
                <w:sz w:val="20"/>
                <w:szCs w:val="20"/>
                <w:color w:val="auto"/>
              </w:rPr>
            </w:pPr>
            <w:r>
              <w:rPr>
                <w:rFonts w:ascii="Arial" w:cs="Arial" w:eastAsia="Arial" w:hAnsi="Arial"/>
                <w:sz w:val="18"/>
                <w:szCs w:val="18"/>
                <w:color w:val="auto"/>
              </w:rPr>
              <w:t>Warrants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8,108</w:t>
            </w:r>
          </w:p>
        </w:tc>
        <w:tc>
          <w:tcPr>
            <w:tcW w:w="2360" w:type="dxa"/>
            <w:vAlign w:val="bottom"/>
            <w:gridSpan w:val="2"/>
          </w:tcPr>
          <w:p>
            <w:pPr>
              <w:ind w:left="80"/>
              <w:spacing w:after="0"/>
              <w:rPr>
                <w:sz w:val="20"/>
                <w:szCs w:val="20"/>
                <w:color w:val="auto"/>
              </w:rPr>
            </w:pPr>
            <w:r>
              <w:rPr>
                <w:rFonts w:ascii="Arial" w:cs="Arial" w:eastAsia="Arial" w:hAnsi="Arial"/>
                <w:sz w:val="18"/>
                <w:szCs w:val="18"/>
                <w:color w:val="auto"/>
              </w:rPr>
              <w:t>Enterprise value</w:t>
            </w:r>
          </w:p>
        </w:tc>
        <w:tc>
          <w:tcPr>
            <w:tcW w:w="2900" w:type="dxa"/>
            <w:vAlign w:val="bottom"/>
            <w:gridSpan w:val="2"/>
          </w:tcPr>
          <w:p>
            <w:pPr>
              <w:ind w:left="100"/>
              <w:spacing w:after="0"/>
              <w:rPr>
                <w:sz w:val="20"/>
                <w:szCs w:val="20"/>
                <w:color w:val="auto"/>
              </w:rPr>
            </w:pPr>
            <w:r>
              <w:rPr>
                <w:rFonts w:ascii="Arial" w:cs="Arial" w:eastAsia="Arial" w:hAnsi="Arial"/>
                <w:sz w:val="18"/>
                <w:szCs w:val="18"/>
                <w:color w:val="auto"/>
              </w:rPr>
              <w:t>EBITDA multiples</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w w:val="88"/>
              </w:rPr>
              <w:t>4.0x</w:t>
            </w:r>
          </w:p>
        </w:tc>
        <w:tc>
          <w:tcPr>
            <w:tcW w:w="1400" w:type="dxa"/>
            <w:vAlign w:val="bottom"/>
          </w:tcPr>
          <w:p>
            <w:pPr>
              <w:ind w:left="40"/>
              <w:spacing w:after="0"/>
              <w:rPr>
                <w:sz w:val="20"/>
                <w:szCs w:val="20"/>
                <w:color w:val="auto"/>
              </w:rPr>
            </w:pPr>
            <w:r>
              <w:rPr>
                <w:rFonts w:ascii="Arial" w:cs="Arial" w:eastAsia="Arial" w:hAnsi="Arial"/>
                <w:sz w:val="18"/>
                <w:szCs w:val="18"/>
                <w:color w:val="auto"/>
              </w:rPr>
              <w:t>- 7.0x (6.6x)</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Unobservable inputs were weighted by the relative fair value of the instruments.</w:t>
      </w:r>
    </w:p>
    <w:p>
      <w:pPr>
        <w:spacing w:after="0" w:line="225"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spacing w:after="0" w:line="124"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Financial Assets and Liabilities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SBA debentures, and Public Notes (as defined in Note 6) are recorded at their respective carrying values.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summarize the carrying value and fair value of the Company’s debt obligations as of June 30, 2020 and December 31, 2019.</w:t>
      </w:r>
    </w:p>
    <w:p>
      <w:pPr>
        <w:spacing w:after="0" w:line="26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3"/>
          </w:tcPr>
          <w:p>
            <w:pPr>
              <w:ind w:left="440"/>
              <w:spacing w:after="0"/>
              <w:rPr>
                <w:sz w:val="20"/>
                <w:szCs w:val="20"/>
                <w:color w:val="auto"/>
              </w:rPr>
            </w:pPr>
            <w:r>
              <w:rPr>
                <w:rFonts w:ascii="Arial" w:cs="Arial" w:eastAsia="Arial" w:hAnsi="Arial"/>
                <w:sz w:val="14"/>
                <w:szCs w:val="14"/>
                <w:b w:val="1"/>
                <w:bCs w:val="1"/>
                <w:color w:val="auto"/>
                <w:w w:val="92"/>
              </w:rPr>
              <w:t>June 30, 2020</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 2019</w:t>
            </w:r>
          </w:p>
        </w:tc>
      </w:tr>
      <w:tr>
        <w:trPr>
          <w:trHeight w:val="142"/>
        </w:trPr>
        <w:tc>
          <w:tcPr>
            <w:tcW w:w="4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 xml:space="preserve">Carrying Value </w:t>
            </w:r>
            <w:r>
              <w:rPr>
                <w:rFonts w:ascii="Arial" w:cs="Arial" w:eastAsia="Arial" w:hAnsi="Arial"/>
                <w:sz w:val="12"/>
                <w:szCs w:val="12"/>
                <w:b w:val="1"/>
                <w:bCs w:val="1"/>
                <w:color w:val="auto"/>
              </w:rPr>
              <w:t>(1)</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 xml:space="preserve">Carrying Value </w:t>
            </w:r>
            <w:r>
              <w:rPr>
                <w:rFonts w:ascii="Arial" w:cs="Arial" w:eastAsia="Arial" w:hAnsi="Arial"/>
                <w:sz w:val="12"/>
                <w:szCs w:val="12"/>
                <w:b w:val="1"/>
                <w:bCs w:val="1"/>
                <w:color w:val="auto"/>
              </w:rPr>
              <w:t>(1)</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2"/>
                <w:szCs w:val="12"/>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SBA debentures </w:t>
            </w:r>
            <w:r>
              <w:rPr>
                <w:rFonts w:ascii="Arial" w:cs="Arial" w:eastAsia="Arial" w:hAnsi="Arial"/>
                <w:sz w:val="15"/>
                <w:szCs w:val="15"/>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156,500</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$ 156,500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$ 157,500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 xml:space="preserve">Credit Facility borrowings </w:t>
            </w:r>
            <w:r>
              <w:rPr>
                <w:rFonts w:ascii="Arial" w:cs="Arial" w:eastAsia="Arial" w:hAnsi="Arial"/>
                <w:sz w:val="15"/>
                <w:szCs w:val="15"/>
                <w:color w:val="auto"/>
              </w:rPr>
              <w:t>(3)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43,000</w:t>
            </w:r>
          </w:p>
        </w:tc>
        <w:tc>
          <w:tcPr>
            <w:tcW w:w="4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43,000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25,000</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25,000</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2023 Notes </w:t>
            </w:r>
            <w:r>
              <w:rPr>
                <w:rFonts w:ascii="Arial" w:cs="Arial" w:eastAsia="Arial" w:hAnsi="Arial"/>
                <w:sz w:val="15"/>
                <w:szCs w:val="15"/>
                <w:color w:val="auto"/>
              </w:rPr>
              <w:t>(4)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48,100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51,900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 xml:space="preserve">February 2024 Notes </w:t>
            </w:r>
            <w:r>
              <w:rPr>
                <w:rFonts w:ascii="Arial" w:cs="Arial" w:eastAsia="Arial" w:hAnsi="Arial"/>
                <w:sz w:val="15"/>
                <w:szCs w:val="15"/>
                <w:color w:val="auto"/>
              </w:rPr>
              <w:t>(4)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69,000</w:t>
            </w:r>
          </w:p>
        </w:tc>
        <w:tc>
          <w:tcPr>
            <w:tcW w:w="4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64,170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69,000</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72,422</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November 2024 Notes </w:t>
            </w:r>
            <w:r>
              <w:rPr>
                <w:rFonts w:ascii="Arial" w:cs="Arial" w:eastAsia="Arial" w:hAnsi="Arial"/>
                <w:sz w:val="15"/>
                <w:szCs w:val="15"/>
                <w:color w:val="auto"/>
              </w:rPr>
              <w:t>(4)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63,250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56,293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63,250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65,148</w:t>
            </w: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381,750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$ 368,063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364,750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$ 371,970</w:t>
            </w:r>
          </w:p>
        </w:tc>
        <w:tc>
          <w:tcPr>
            <w:tcW w:w="4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Carrying value represents the outstanding principal balance of the debt obligation.</w:t>
      </w:r>
    </w:p>
    <w:p>
      <w:pPr>
        <w:spacing w:after="0" w:line="23"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fair value of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spacing w:after="0" w:line="1" w:lineRule="exact"/>
        <w:rPr>
          <w:rFonts w:ascii="Arial" w:cs="Arial" w:eastAsia="Arial" w:hAnsi="Arial"/>
          <w:sz w:val="18"/>
          <w:szCs w:val="18"/>
          <w:color w:val="auto"/>
        </w:rPr>
      </w:pPr>
    </w:p>
    <w:p>
      <w:pPr>
        <w:ind w:left="540" w:right="180" w:hanging="424"/>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fair value of borrowings under the Credit Facility, if valued under ASC Topic 820, are based on a market yield approach and current interest rates, which are Level 3 inputs to the market yield model.</w:t>
      </w: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Public Notes, if valued under ASC Topic 820, are valued using available market quotes, which is a Level 1 input.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following table summarizes the inputs used to value the Company’s debt obligations if measured at fair value as of June 30, 2020 and December 31, 2019.</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3"/>
              </w:rPr>
              <w:t>Valuation Inputs</w:t>
            </w:r>
          </w:p>
        </w:tc>
        <w:tc>
          <w:tcPr>
            <w:tcW w:w="4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4"/>
                <w:szCs w:val="14"/>
                <w:b w:val="1"/>
                <w:bCs w:val="1"/>
                <w:color w:val="auto"/>
              </w:rPr>
              <w:t>Fair Value</w:t>
            </w:r>
          </w:p>
        </w:tc>
        <w:tc>
          <w:tcPr>
            <w:tcW w:w="8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tcBorders>
              <w:bottom w:val="single" w:sz="8" w:color="auto"/>
            </w:tcBorders>
            <w:vMerge w:val="continue"/>
          </w:tcPr>
          <w:p>
            <w:pPr>
              <w:spacing w:after="0"/>
              <w:rPr>
                <w:sz w:val="12"/>
                <w:szCs w:val="12"/>
                <w:color w:val="auto"/>
              </w:rPr>
            </w:pPr>
          </w:p>
        </w:tc>
        <w:tc>
          <w:tcPr>
            <w:tcW w:w="4620" w:type="dxa"/>
            <w:vAlign w:val="bottom"/>
          </w:tcPr>
          <w:p>
            <w:pPr>
              <w:spacing w:after="0"/>
              <w:rPr>
                <w:sz w:val="12"/>
                <w:szCs w:val="12"/>
                <w:color w:val="auto"/>
              </w:rPr>
            </w:pPr>
          </w:p>
        </w:tc>
        <w:tc>
          <w:tcPr>
            <w:tcW w:w="860" w:type="dxa"/>
            <w:vAlign w:val="bottom"/>
            <w:gridSpan w:val="3"/>
          </w:tcPr>
          <w:p>
            <w:pPr>
              <w:jc w:val="right"/>
              <w:ind w:right="20"/>
              <w:spacing w:after="0" w:line="129" w:lineRule="exact"/>
              <w:rPr>
                <w:sz w:val="20"/>
                <w:szCs w:val="20"/>
                <w:color w:val="auto"/>
              </w:rPr>
            </w:pPr>
            <w:r>
              <w:rPr>
                <w:rFonts w:ascii="Arial" w:cs="Arial" w:eastAsia="Arial" w:hAnsi="Arial"/>
                <w:sz w:val="14"/>
                <w:szCs w:val="14"/>
                <w:b w:val="1"/>
                <w:bCs w:val="1"/>
                <w:color w:val="auto"/>
                <w:w w:val="90"/>
              </w:rPr>
              <w:t>June 30, 2020</w:t>
            </w:r>
          </w:p>
        </w:tc>
        <w:tc>
          <w:tcPr>
            <w:tcW w:w="640" w:type="dxa"/>
            <w:vAlign w:val="bottom"/>
          </w:tcPr>
          <w:p>
            <w:pPr>
              <w:spacing w:after="0"/>
              <w:rPr>
                <w:sz w:val="12"/>
                <w:szCs w:val="12"/>
                <w:color w:val="auto"/>
              </w:rPr>
            </w:pPr>
          </w:p>
        </w:tc>
        <w:tc>
          <w:tcPr>
            <w:tcW w:w="11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December 31, 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0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Level 1</w:t>
            </w:r>
          </w:p>
        </w:tc>
        <w:tc>
          <w:tcPr>
            <w:tcW w:w="4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168,563</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189,470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Level 2</w:t>
            </w:r>
          </w:p>
        </w:tc>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Level 3</w:t>
            </w:r>
          </w:p>
        </w:tc>
        <w:tc>
          <w:tcPr>
            <w:tcW w:w="4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199,500</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182,500</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8"/>
                <w:szCs w:val="18"/>
                <w:color w:val="auto"/>
              </w:rPr>
              <w:t>Total</w:t>
            </w:r>
          </w:p>
        </w:tc>
        <w:tc>
          <w:tcPr>
            <w:tcW w:w="46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368,063</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371,970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Related Party Transactions</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i w:val="1"/>
          <w:iCs w:val="1"/>
          <w:color w:val="auto"/>
        </w:rPr>
        <w:t xml:space="preserve">Investment Advisory Agreement: </w:t>
      </w:r>
      <w:r>
        <w:rPr>
          <w:rFonts w:ascii="Arial" w:cs="Arial" w:eastAsia="Arial" w:hAnsi="Arial"/>
          <w:sz w:val="16"/>
          <w:szCs w:val="16"/>
          <w:color w:val="auto"/>
        </w:rPr>
        <w:t>The Company has entered into an Investment Advisory Agreement with the Investment Advisor. On June 4,</w:t>
      </w:r>
      <w:r>
        <w:rPr>
          <w:rFonts w:ascii="Arial" w:cs="Arial" w:eastAsia="Arial" w:hAnsi="Arial"/>
          <w:sz w:val="16"/>
          <w:szCs w:val="16"/>
          <w:i w:val="1"/>
          <w:iCs w:val="1"/>
          <w:color w:val="auto"/>
        </w:rPr>
        <w:t xml:space="preserve"> </w:t>
      </w:r>
      <w:r>
        <w:rPr>
          <w:rFonts w:ascii="Arial" w:cs="Arial" w:eastAsia="Arial" w:hAnsi="Arial"/>
          <w:sz w:val="16"/>
          <w:szCs w:val="16"/>
          <w:color w:val="auto"/>
        </w:rPr>
        <w:t>2020, the Board approved the renewal of the Investment Advisory Agreement through June 20, 2021.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spacing w:after="0" w:line="15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The base management fee is calculated at an annual rate of 1.75% based on the average value of total assets (other than cash or cash equivalents but including assets purchased with borrowed amounts) at the end of the two most recently completed calendar quarters. The base management fee is payable quarterly in arrears. The base management fee under the Investment Advisory Agreement was $3,193 and $6,465 for the three and six months ended June 30, 2020, respectively and $3,016 and $5,887, for the three and six months ended June 30, 2019, respectively. As of June 30, 2020 and December 31, 2019, the base management fee payable was $3,193 and $3,334, respectively.</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debt instruments with PIK income, preferred stock with PIK dividends and zero-coupon securities), accrued income the Company has not yet received in cash. The Investment Advisor is not under any obligation to reimburse the Company for any part of the incentive fee it receives that was based on accrued interest that the Company never collects.</w:t>
      </w:r>
    </w:p>
    <w:p>
      <w:pPr>
        <w:spacing w:after="0" w:line="16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pacing w:after="0" w:line="18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If market interest rates rise,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p>
    <w:p>
      <w:pPr>
        <w:spacing w:after="0" w:line="176"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Company pays the Investment Advisor an incentive fee with respect to pre-incentive fee net investment income in each calendar quarter as follows:</w:t>
      </w:r>
    </w:p>
    <w:p>
      <w:pPr>
        <w:spacing w:after="0" w:line="76" w:lineRule="exact"/>
        <w:rPr>
          <w:sz w:val="20"/>
          <w:szCs w:val="20"/>
          <w:color w:val="auto"/>
        </w:rPr>
      </w:pPr>
    </w:p>
    <w:p>
      <w:pPr>
        <w:ind w:left="5540" w:right="360" w:hanging="4884"/>
        <w:spacing w:after="0" w:line="449" w:lineRule="auto"/>
        <w:tabs>
          <w:tab w:leader="none" w:pos="10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rate of 2.0%; 28</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080" w:hanging="424"/>
        <w:spacing w:after="0" w:line="25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20.0% of the amount of the Company’s pre-incentive fee net investment income, if any, that exceeds 2.5% in any calendar quarter.</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sum of the calculations above equals the income incentive fee. The income incentive fee is appropriately prorated for any period of less than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three months and adjusted for any share issuances or repurchases during the calendar quarter. The income incentive fee was $2,113 and $3,968,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three and six months ended June 30, 2020, respectively, and $1,299 and $3,784, for the three and six months ended June 30, 2019, respectively.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Investment Advisor, in consultation with the Board, agreed to voluntarily waive $423 of the income incentive fee for the three and six months ended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June 30, 2020. There was no income incentive fee waiver for the three and six months ended June 30, 2019. As of June 30, 2020 and December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the income incentive fee payable (net of the income incentive fee waiver) was $1,690 and $1,497, respectively.</w:t>
      </w:r>
    </w:p>
    <w:p>
      <w:pPr>
        <w:spacing w:after="0" w:line="211"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Formation Transactions (realized capital gains and losses include realized gains and losses on investments, net of income tax provision from realized gains on investments, and realized losses on extinguishment of debt),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w:t>
      </w:r>
    </w:p>
    <w:p>
      <w:pPr>
        <w:spacing w:after="0" w:line="6"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20.0% of such amount, less the aggregate amount of any capital gains incentive fees paid in all prior years. As of June 30, 2020 and December 31, 2019, the capital gains incentive fee payable in cash was $0 (as cumulative aggregate realized capital gains and losses on investments plus aggregate unrealized capital depreciation on investments plus realized losses on extinguishment of debt was negative as of each period). The aggregate amount of capital gains incentive fees paid from the IPO through June 30, 2020 was $348.</w:t>
      </w:r>
    </w:p>
    <w:p>
      <w:pPr>
        <w:spacing w:after="0" w:line="193"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In addition, the Company accrues, but does not pay in cash, a capital gains incentive fee in connection with any unrealized capital appreciation on investments, as applicable. If, on a cumulative basis, the sum of (i) net realized gains/(losses)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w:t>
      </w:r>
    </w:p>
    <w:p>
      <w:pPr>
        <w:spacing w:after="0" w:line="1" w:lineRule="exact"/>
        <w:rPr>
          <w:sz w:val="20"/>
          <w:szCs w:val="20"/>
          <w:color w:val="auto"/>
        </w:rPr>
      </w:pPr>
    </w:p>
    <w:p>
      <w:pPr>
        <w:ind w:left="120" w:right="180" w:hanging="4"/>
        <w:spacing w:after="0" w:line="253"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realized gains/(losses) on investments plus (ii) net unrealized appreciation/(depreciation) on investments plus (iii) realized losses on extinguishment of debt. The capital gains incentive fee accrued (reversed) during the three and six months ended June 30, 2020 was $(263) and $(9,141), respectively, and $(1,289) and $(934) for the three and six months ended June 30, 2019, respectively. As of June 30, 2020 and December 31, 2019, the accrued capital gains incentive fee payable was $3,574 and $12,715, respectively.</w:t>
      </w:r>
    </w:p>
    <w:p>
      <w:pPr>
        <w:spacing w:after="0" w:line="193"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holders of a majority of the Company’s outstanding voting securities may also terminate the Investment Advisory Agreement without penalty.</w:t>
      </w:r>
    </w:p>
    <w:p>
      <w:pPr>
        <w:spacing w:after="0" w:line="164"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i w:val="1"/>
          <w:iCs w:val="1"/>
          <w:color w:val="auto"/>
        </w:rPr>
        <w:t xml:space="preserve">Administration Agreement: </w:t>
      </w:r>
      <w:r>
        <w:rPr>
          <w:rFonts w:ascii="Arial" w:cs="Arial" w:eastAsia="Arial" w:hAnsi="Arial"/>
          <w:sz w:val="16"/>
          <w:szCs w:val="16"/>
          <w:color w:val="auto"/>
        </w:rPr>
        <w:t>The Company also entered into an administration agreement (the “Administration Agreement”) with the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Advisor. On June 4, 2020, the Board approved the renewal of the Administration Agreement through June 20, 2021.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to which the Company is required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Under the Administration Agreement, administrative service expenses for the three and six months ended June 30, 2020 were $364 and $830, respectively, and $378 and $777 for the three and six months ended June 30, 2019. As of June 30, 2020 and December 31, 2019, the accrued administrative service expense was $506 and $528, respectively.</w:t>
      </w:r>
    </w:p>
    <w:p>
      <w:pPr>
        <w:sectPr>
          <w:pgSz w:w="11900" w:h="16838" w:orient="portrait"/>
          <w:cols w:equalWidth="0" w:num="1">
            <w:col w:w="11120"/>
          </w:cols>
          <w:pgMar w:left="320" w:top="459" w:right="459" w:bottom="1440" w:gutter="0" w:footer="0" w:header="0"/>
        </w:sectPr>
      </w:pP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20"/>
          </w:cols>
          <w:pgMar w:left="320" w:top="459" w:right="4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i w:val="1"/>
          <w:iCs w:val="1"/>
          <w:color w:val="auto"/>
        </w:rPr>
        <w:t>Fidus Equity Fund I, L.P.</w:t>
      </w:r>
      <w:r>
        <w:rPr>
          <w:rFonts w:ascii="Arial" w:cs="Arial" w:eastAsia="Arial" w:hAnsi="Arial"/>
          <w:sz w:val="17"/>
          <w:szCs w:val="17"/>
          <w:color w:val="auto"/>
        </w:rPr>
        <w:t>: On February 25, 2020, the Company entered into a Limited Partnership Agreement (the “Agreement”) with Fidus</w:t>
      </w:r>
      <w:r>
        <w:rPr>
          <w:rFonts w:ascii="Arial" w:cs="Arial" w:eastAsia="Arial" w:hAnsi="Arial"/>
          <w:sz w:val="17"/>
          <w:szCs w:val="17"/>
          <w:i w:val="1"/>
          <w:iCs w:val="1"/>
          <w:color w:val="auto"/>
        </w:rPr>
        <w:t xml:space="preserve"> </w:t>
      </w:r>
      <w:r>
        <w:rPr>
          <w:rFonts w:ascii="Arial" w:cs="Arial" w:eastAsia="Arial" w:hAnsi="Arial"/>
          <w:sz w:val="17"/>
          <w:szCs w:val="17"/>
          <w:color w:val="auto"/>
        </w:rPr>
        <w:t>Equity Fund I, L.P. (“FEF I”). Pursuant to the Agreement, the Company will serve as the General Partner of FEF I. Owned by third-party investors, FEF I was formed to purchase 50% of select equity investments from the Company. On February 25, 2020, the Company sold 50% of its equity investments in 20 portfolio companies to FEF I and received net proceeds of $35,903, resulting in a realized gain, net of estimated taxes, of $20,404. The Company will not receive any fees from FEF I for any services provided in its capacity as the General Partner of FEF I.</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Debt</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i w:val="1"/>
          <w:iCs w:val="1"/>
          <w:color w:val="auto"/>
        </w:rPr>
        <w:t>Revolving Credit Facility</w:t>
      </w:r>
      <w:r>
        <w:rPr>
          <w:rFonts w:ascii="Arial" w:cs="Arial" w:eastAsia="Arial" w:hAnsi="Arial"/>
          <w:sz w:val="17"/>
          <w:szCs w:val="17"/>
          <w:color w:val="auto"/>
        </w:rPr>
        <w:t>: On June 16, 2014, FIC entered into a senior secured revolving credit agreement (the “Credit Facility”) with ING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LLC (“ING”), as the administrative agent, collateral agent, and lender. The Credit Facility is secured by certain portfolio investments held by the Company, but portfolio investments held by the Funds are not collateral for the Credit Facility. On April 24, 2019, the Company entered into an Amended &amp; Restated Senior Secured Revolving Credit Agreement (the “Amended Credit Agreement”) among the Company, as borrower, the lenders party thereto, and ING Capital LLC, as administrative agent. The Amended Credit Agreement amends, restates, and replaces the Credit Facility. On June 26, 2020, the Company amended the Amended Credit Agreement, however the material terms were unchanged. Among other revisions, the amendment to the Amended Credit Agreement modifies certain covenants therein, including to amend the minimum consolidated interest coverage ratio to be 2.25 to 1.00 for the four quarter period ending on June 30, 2020, 2.00 to 1.00 for the four quarter periods ending on each of September 30, 2020 and December 31, 2020, and 1.75 to 1.00 for each four quarter period ending at the end of each quarter thereafter.</w:t>
      </w:r>
    </w:p>
    <w:p>
      <w:pPr>
        <w:spacing w:after="0" w:line="181" w:lineRule="exact"/>
        <w:rPr>
          <w:sz w:val="20"/>
          <w:szCs w:val="20"/>
          <w:color w:val="auto"/>
        </w:rPr>
      </w:pPr>
    </w:p>
    <w:p>
      <w:pPr>
        <w:ind w:left="120" w:right="200" w:firstLine="440"/>
        <w:spacing w:after="0" w:line="284" w:lineRule="auto"/>
        <w:rPr>
          <w:sz w:val="20"/>
          <w:szCs w:val="20"/>
          <w:color w:val="auto"/>
        </w:rPr>
      </w:pPr>
      <w:r>
        <w:rPr>
          <w:rFonts w:ascii="Arial" w:cs="Arial" w:eastAsia="Arial" w:hAnsi="Arial"/>
          <w:sz w:val="16"/>
          <w:szCs w:val="16"/>
          <w:color w:val="auto"/>
        </w:rPr>
        <w:t>Under the Amended Credit Agreement, (i) revolving commitments by lenders were increased from $90,000 to $100,000, with an accordion feature that allows for an increase in total commitments up to $250,000,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w:t>
      </w:r>
    </w:p>
    <w:p>
      <w:pPr>
        <w:spacing w:after="0" w:line="1" w:lineRule="exact"/>
        <w:rPr>
          <w:sz w:val="20"/>
          <w:szCs w:val="20"/>
          <w:color w:val="auto"/>
        </w:rPr>
      </w:pPr>
    </w:p>
    <w:p>
      <w:pPr>
        <w:ind w:left="120" w:right="60" w:hanging="4"/>
        <w:spacing w:after="0" w:line="292" w:lineRule="auto"/>
        <w:tabs>
          <w:tab w:leader="none" w:pos="40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three month LIBOR plus 1.0%, and (D) zero. The Company pays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(on a regulatory basis). The Credit Facility is secured by a first priority security interest in all of our assets, excluding the assets of our SBIC subsidiaries.</w:t>
      </w:r>
    </w:p>
    <w:p>
      <w:pPr>
        <w:spacing w:after="0" w:line="162"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Amounts available to borrow under the Credit Facility are subject to a minimum borrowing/collateral base that applies an advance rate to certain investments held by the Company, excluding investments held by the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57"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June 30, 2020 and December 31, 2019, the Company was in compliance in all material respect with the terms of the Credit Facility.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SBA debentures: </w:t>
      </w:r>
      <w:r>
        <w:rPr>
          <w:rFonts w:ascii="Arial" w:cs="Arial" w:eastAsia="Arial" w:hAnsi="Arial"/>
          <w:sz w:val="18"/>
          <w:szCs w:val="18"/>
          <w:color w:val="auto"/>
        </w:rPr>
        <w:t>The Company uses debenture leverage provided through the SBA to fund a portion of its investment purchases.</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June 30, 2020 and December 31, 2019, approved and unused SBA debenture commitments were $11,500 and $17,500, respectively. The SBA may limit the amount that may be drawn each year under these commitments, and each issuance of leverage is conditioned on the Company’s full compliance, as determined by the SBA, with the terms and conditions set forth in the SBIC Act.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2020 and December 31, 2019, the Company’s issued and outstanding SBA debentures mature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20" w:type="dxa"/>
            <w:vAlign w:val="bottom"/>
            <w:gridSpan w:val="2"/>
            <w:vMerge w:val="restart"/>
          </w:tcPr>
          <w:p>
            <w:pPr>
              <w:jc w:val="center"/>
              <w:ind w:right="1760"/>
              <w:spacing w:after="0"/>
              <w:rPr>
                <w:sz w:val="20"/>
                <w:szCs w:val="20"/>
                <w:color w:val="auto"/>
              </w:rPr>
            </w:pPr>
            <w:r>
              <w:rPr>
                <w:rFonts w:ascii="Arial" w:cs="Arial" w:eastAsia="Arial" w:hAnsi="Arial"/>
                <w:sz w:val="14"/>
                <w:szCs w:val="14"/>
                <w:b w:val="1"/>
                <w:bCs w:val="1"/>
                <w:color w:val="auto"/>
                <w:w w:val="89"/>
              </w:rPr>
              <w:t>Pooling</w:t>
            </w:r>
          </w:p>
        </w:tc>
        <w:tc>
          <w:tcPr>
            <w:tcW w:w="2560" w:type="dxa"/>
            <w:vAlign w:val="bottom"/>
            <w:gridSpan w:val="2"/>
            <w:vMerge w:val="restart"/>
          </w:tcPr>
          <w:p>
            <w:pPr>
              <w:jc w:val="center"/>
              <w:ind w:right="1760"/>
              <w:spacing w:after="0"/>
              <w:rPr>
                <w:sz w:val="20"/>
                <w:szCs w:val="20"/>
                <w:color w:val="auto"/>
              </w:rPr>
            </w:pPr>
            <w:r>
              <w:rPr>
                <w:rFonts w:ascii="Arial" w:cs="Arial" w:eastAsia="Arial" w:hAnsi="Arial"/>
                <w:sz w:val="14"/>
                <w:szCs w:val="14"/>
                <w:b w:val="1"/>
                <w:bCs w:val="1"/>
                <w:color w:val="auto"/>
              </w:rPr>
              <w:t>Maturity</w:t>
            </w:r>
          </w:p>
        </w:tc>
        <w:tc>
          <w:tcPr>
            <w:tcW w:w="244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92"/>
              </w:rPr>
              <w:t>Fixed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3"/>
            <w:vMerge w:val="restart"/>
          </w:tcPr>
          <w:p>
            <w:pPr>
              <w:jc w:val="right"/>
              <w:ind w:right="190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8"/>
        </w:trPr>
        <w:tc>
          <w:tcPr>
            <w:tcW w:w="2620" w:type="dxa"/>
            <w:vAlign w:val="bottom"/>
            <w:gridSpan w:val="2"/>
            <w:vMerge w:val="continue"/>
          </w:tcPr>
          <w:p>
            <w:pPr>
              <w:spacing w:after="0"/>
              <w:rPr>
                <w:sz w:val="12"/>
                <w:szCs w:val="12"/>
                <w:color w:val="auto"/>
              </w:rPr>
            </w:pPr>
          </w:p>
        </w:tc>
        <w:tc>
          <w:tcPr>
            <w:tcW w:w="2560" w:type="dxa"/>
            <w:vAlign w:val="bottom"/>
            <w:gridSpan w:val="2"/>
            <w:vMerge w:val="continue"/>
          </w:tcPr>
          <w:p>
            <w:pPr>
              <w:spacing w:after="0"/>
              <w:rPr>
                <w:sz w:val="12"/>
                <w:szCs w:val="12"/>
                <w:color w:val="auto"/>
              </w:rPr>
            </w:pPr>
          </w:p>
        </w:tc>
        <w:tc>
          <w:tcPr>
            <w:tcW w:w="2440" w:type="dxa"/>
            <w:vAlign w:val="bottom"/>
            <w:gridSpan w:val="2"/>
          </w:tcPr>
          <w:p>
            <w:pPr>
              <w:jc w:val="center"/>
              <w:ind w:right="1960"/>
              <w:spacing w:after="0" w:line="149" w:lineRule="exact"/>
              <w:rPr>
                <w:sz w:val="20"/>
                <w:szCs w:val="20"/>
                <w:color w:val="auto"/>
              </w:rPr>
            </w:pPr>
            <w:r>
              <w:rPr>
                <w:rFonts w:ascii="Arial" w:cs="Arial" w:eastAsia="Arial" w:hAnsi="Arial"/>
                <w:sz w:val="14"/>
                <w:szCs w:val="14"/>
                <w:b w:val="1"/>
                <w:bCs w:val="1"/>
                <w:color w:val="auto"/>
                <w:w w:val="94"/>
              </w:rPr>
              <w:t>Interest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Date </w:t>
            </w:r>
            <w:r>
              <w:rPr>
                <w:rFonts w:ascii="Arial" w:cs="Arial" w:eastAsia="Arial" w:hAnsi="Arial"/>
                <w:sz w:val="12"/>
                <w:szCs w:val="12"/>
                <w:b w:val="1"/>
                <w:bCs w:val="1"/>
                <w:color w:val="auto"/>
                <w:w w:val="93"/>
              </w:rPr>
              <w:t>(1)</w:t>
            </w:r>
          </w:p>
        </w:tc>
        <w:tc>
          <w:tcPr>
            <w:tcW w:w="17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7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9/24/2014</w:t>
            </w:r>
          </w:p>
        </w:tc>
        <w:tc>
          <w:tcPr>
            <w:tcW w:w="17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9/1/2024</w:t>
            </w:r>
          </w:p>
        </w:tc>
        <w:tc>
          <w:tcPr>
            <w:tcW w:w="17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3.775%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2"/>
              </w:rPr>
              <w:t>3/25/2015</w:t>
            </w:r>
          </w:p>
        </w:tc>
        <w:tc>
          <w:tcPr>
            <w:tcW w:w="17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3/1/2025</w:t>
            </w:r>
          </w:p>
        </w:tc>
        <w:tc>
          <w:tcPr>
            <w:tcW w:w="1760" w:type="dxa"/>
            <w:vAlign w:val="bottom"/>
          </w:tcPr>
          <w:p>
            <w:pPr>
              <w:spacing w:after="0"/>
              <w:rPr>
                <w:sz w:val="18"/>
                <w:szCs w:val="18"/>
                <w:color w:val="auto"/>
              </w:rPr>
            </w:pPr>
          </w:p>
        </w:tc>
        <w:tc>
          <w:tcPr>
            <w:tcW w:w="2440" w:type="dxa"/>
            <w:vAlign w:val="bottom"/>
            <w:gridSpan w:val="2"/>
          </w:tcPr>
          <w:p>
            <w:pPr>
              <w:ind w:left="80"/>
              <w:spacing w:after="0"/>
              <w:rPr>
                <w:sz w:val="20"/>
                <w:szCs w:val="20"/>
                <w:color w:val="auto"/>
              </w:rPr>
            </w:pPr>
            <w:r>
              <w:rPr>
                <w:rFonts w:ascii="Arial" w:cs="Arial" w:eastAsia="Arial" w:hAnsi="Arial"/>
                <w:sz w:val="18"/>
                <w:szCs w:val="18"/>
                <w:color w:val="auto"/>
              </w:rPr>
              <w:t>3.277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3"/>
          </w:tcPr>
          <w:p>
            <w:pPr>
              <w:jc w:val="right"/>
              <w:ind w:right="1800"/>
              <w:spacing w:after="0"/>
              <w:rPr>
                <w:sz w:val="20"/>
                <w:szCs w:val="20"/>
                <w:color w:val="auto"/>
              </w:rPr>
            </w:pPr>
            <w:r>
              <w:rPr>
                <w:rFonts w:ascii="Arial" w:cs="Arial" w:eastAsia="Arial" w:hAnsi="Arial"/>
                <w:sz w:val="18"/>
                <w:szCs w:val="18"/>
                <w:color w:val="auto"/>
              </w:rPr>
              <w:t>22,500</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9/23/2015</w:t>
            </w:r>
          </w:p>
        </w:tc>
        <w:tc>
          <w:tcPr>
            <w:tcW w:w="17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9/1/2025</w:t>
            </w:r>
          </w:p>
        </w:tc>
        <w:tc>
          <w:tcPr>
            <w:tcW w:w="17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3.571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jc w:val="right"/>
              <w:ind w:right="1800"/>
              <w:spacing w:after="0"/>
              <w:rPr>
                <w:sz w:val="20"/>
                <w:szCs w:val="20"/>
                <w:color w:val="auto"/>
              </w:rPr>
            </w:pPr>
            <w:r>
              <w:rPr>
                <w:rFonts w:ascii="Arial" w:cs="Arial" w:eastAsia="Arial" w:hAnsi="Arial"/>
                <w:sz w:val="18"/>
                <w:szCs w:val="18"/>
                <w:color w:val="auto"/>
              </w:rPr>
              <w:t>16,700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16,700</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2"/>
              </w:rPr>
              <w:t>3/23/2016</w:t>
            </w:r>
          </w:p>
        </w:tc>
        <w:tc>
          <w:tcPr>
            <w:tcW w:w="17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3/1/2026</w:t>
            </w:r>
          </w:p>
        </w:tc>
        <w:tc>
          <w:tcPr>
            <w:tcW w:w="1760" w:type="dxa"/>
            <w:vAlign w:val="bottom"/>
          </w:tcPr>
          <w:p>
            <w:pPr>
              <w:spacing w:after="0"/>
              <w:rPr>
                <w:sz w:val="18"/>
                <w:szCs w:val="18"/>
                <w:color w:val="auto"/>
              </w:rPr>
            </w:pPr>
          </w:p>
        </w:tc>
        <w:tc>
          <w:tcPr>
            <w:tcW w:w="2440" w:type="dxa"/>
            <w:vAlign w:val="bottom"/>
            <w:gridSpan w:val="2"/>
          </w:tcPr>
          <w:p>
            <w:pPr>
              <w:ind w:left="80"/>
              <w:spacing w:after="0"/>
              <w:rPr>
                <w:sz w:val="20"/>
                <w:szCs w:val="20"/>
                <w:color w:val="auto"/>
              </w:rPr>
            </w:pPr>
            <w:r>
              <w:rPr>
                <w:rFonts w:ascii="Arial" w:cs="Arial" w:eastAsia="Arial" w:hAnsi="Arial"/>
                <w:sz w:val="18"/>
                <w:szCs w:val="18"/>
                <w:color w:val="auto"/>
              </w:rPr>
              <w:t>3.267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3/23/2016</w:t>
            </w:r>
          </w:p>
        </w:tc>
        <w:tc>
          <w:tcPr>
            <w:tcW w:w="17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3/1/2026</w:t>
            </w:r>
          </w:p>
        </w:tc>
        <w:tc>
          <w:tcPr>
            <w:tcW w:w="17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jc w:val="right"/>
              <w:ind w:right="1800"/>
              <w:spacing w:after="0"/>
              <w:rPr>
                <w:sz w:val="20"/>
                <w:szCs w:val="20"/>
                <w:color w:val="auto"/>
              </w:rPr>
            </w:pPr>
            <w:r>
              <w:rPr>
                <w:rFonts w:ascii="Arial" w:cs="Arial" w:eastAsia="Arial" w:hAnsi="Arial"/>
                <w:sz w:val="18"/>
                <w:szCs w:val="18"/>
                <w:color w:val="auto"/>
              </w:rPr>
              <w:t>21,800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2"/>
              </w:rPr>
              <w:t>9/21/2016</w:t>
            </w:r>
          </w:p>
        </w:tc>
        <w:tc>
          <w:tcPr>
            <w:tcW w:w="17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9/1/2026</w:t>
            </w:r>
          </w:p>
        </w:tc>
        <w:tc>
          <w:tcPr>
            <w:tcW w:w="1760" w:type="dxa"/>
            <w:vAlign w:val="bottom"/>
          </w:tcPr>
          <w:p>
            <w:pPr>
              <w:spacing w:after="0"/>
              <w:rPr>
                <w:sz w:val="18"/>
                <w:szCs w:val="18"/>
                <w:color w:val="auto"/>
              </w:rPr>
            </w:pPr>
          </w:p>
        </w:tc>
        <w:tc>
          <w:tcPr>
            <w:tcW w:w="2440" w:type="dxa"/>
            <w:vAlign w:val="bottom"/>
            <w:gridSpan w:val="2"/>
          </w:tcPr>
          <w:p>
            <w:pPr>
              <w:ind w:left="80"/>
              <w:spacing w:after="0"/>
              <w:rPr>
                <w:sz w:val="20"/>
                <w:szCs w:val="20"/>
                <w:color w:val="auto"/>
              </w:rPr>
            </w:pPr>
            <w:r>
              <w:rPr>
                <w:rFonts w:ascii="Arial" w:cs="Arial" w:eastAsia="Arial" w:hAnsi="Arial"/>
                <w:sz w:val="18"/>
                <w:szCs w:val="18"/>
                <w:color w:val="auto"/>
              </w:rPr>
              <w:t>2.793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3"/>
          </w:tcPr>
          <w:p>
            <w:pPr>
              <w:jc w:val="right"/>
              <w:ind w:right="180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3/29/2017</w:t>
            </w:r>
          </w:p>
        </w:tc>
        <w:tc>
          <w:tcPr>
            <w:tcW w:w="17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3/1/2027</w:t>
            </w:r>
          </w:p>
        </w:tc>
        <w:tc>
          <w:tcPr>
            <w:tcW w:w="17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3.587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jc w:val="right"/>
              <w:ind w:right="1800"/>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2"/>
              </w:rPr>
              <w:t>9/20/2017</w:t>
            </w:r>
          </w:p>
        </w:tc>
        <w:tc>
          <w:tcPr>
            <w:tcW w:w="17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9/1/2027</w:t>
            </w:r>
          </w:p>
        </w:tc>
        <w:tc>
          <w:tcPr>
            <w:tcW w:w="1760" w:type="dxa"/>
            <w:vAlign w:val="bottom"/>
          </w:tcPr>
          <w:p>
            <w:pPr>
              <w:spacing w:after="0"/>
              <w:rPr>
                <w:sz w:val="18"/>
                <w:szCs w:val="18"/>
                <w:color w:val="auto"/>
              </w:rPr>
            </w:pPr>
          </w:p>
        </w:tc>
        <w:tc>
          <w:tcPr>
            <w:tcW w:w="2440" w:type="dxa"/>
            <w:vAlign w:val="bottom"/>
            <w:gridSpan w:val="2"/>
          </w:tcPr>
          <w:p>
            <w:pPr>
              <w:ind w:left="80"/>
              <w:spacing w:after="0"/>
              <w:rPr>
                <w:sz w:val="20"/>
                <w:szCs w:val="20"/>
                <w:color w:val="auto"/>
              </w:rPr>
            </w:pPr>
            <w:r>
              <w:rPr>
                <w:rFonts w:ascii="Arial" w:cs="Arial" w:eastAsia="Arial" w:hAnsi="Arial"/>
                <w:sz w:val="18"/>
                <w:szCs w:val="18"/>
                <w:color w:val="auto"/>
              </w:rPr>
              <w:t>3.260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9/20/2017</w:t>
            </w:r>
          </w:p>
        </w:tc>
        <w:tc>
          <w:tcPr>
            <w:tcW w:w="17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9/1/2027</w:t>
            </w:r>
          </w:p>
        </w:tc>
        <w:tc>
          <w:tcPr>
            <w:tcW w:w="17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3.190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jc w:val="right"/>
              <w:ind w:right="1800"/>
              <w:spacing w:after="0"/>
              <w:rPr>
                <w:sz w:val="20"/>
                <w:szCs w:val="20"/>
                <w:color w:val="auto"/>
              </w:rPr>
            </w:pPr>
            <w:r>
              <w:rPr>
                <w:rFonts w:ascii="Arial" w:cs="Arial" w:eastAsia="Arial" w:hAnsi="Arial"/>
                <w:sz w:val="18"/>
                <w:szCs w:val="18"/>
                <w:color w:val="auto"/>
              </w:rPr>
              <w:t>33,000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2"/>
              </w:rPr>
              <w:t>3/21/2018</w:t>
            </w:r>
          </w:p>
        </w:tc>
        <w:tc>
          <w:tcPr>
            <w:tcW w:w="17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3/1/2028</w:t>
            </w:r>
          </w:p>
        </w:tc>
        <w:tc>
          <w:tcPr>
            <w:tcW w:w="1760" w:type="dxa"/>
            <w:vAlign w:val="bottom"/>
          </w:tcPr>
          <w:p>
            <w:pPr>
              <w:spacing w:after="0"/>
              <w:rPr>
                <w:sz w:val="18"/>
                <w:szCs w:val="18"/>
                <w:color w:val="auto"/>
              </w:rPr>
            </w:pPr>
          </w:p>
        </w:tc>
        <w:tc>
          <w:tcPr>
            <w:tcW w:w="2440" w:type="dxa"/>
            <w:vAlign w:val="bottom"/>
            <w:gridSpan w:val="2"/>
          </w:tcPr>
          <w:p>
            <w:pPr>
              <w:ind w:left="80"/>
              <w:spacing w:after="0"/>
              <w:rPr>
                <w:sz w:val="20"/>
                <w:szCs w:val="20"/>
                <w:color w:val="auto"/>
              </w:rPr>
            </w:pPr>
            <w:r>
              <w:rPr>
                <w:rFonts w:ascii="Arial" w:cs="Arial" w:eastAsia="Arial" w:hAnsi="Arial"/>
                <w:sz w:val="18"/>
                <w:szCs w:val="18"/>
                <w:color w:val="auto"/>
              </w:rPr>
              <w:t>3.859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3"/>
          </w:tcPr>
          <w:p>
            <w:pPr>
              <w:jc w:val="right"/>
              <w:ind w:right="1800"/>
              <w:spacing w:after="0"/>
              <w:rPr>
                <w:sz w:val="20"/>
                <w:szCs w:val="20"/>
                <w:color w:val="auto"/>
              </w:rPr>
            </w:pPr>
            <w:r>
              <w:rPr>
                <w:rFonts w:ascii="Arial" w:cs="Arial" w:eastAsia="Arial" w:hAnsi="Arial"/>
                <w:sz w:val="18"/>
                <w:szCs w:val="18"/>
                <w:color w:val="auto"/>
              </w:rPr>
              <w:t>16,000</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3/21/2018</w:t>
            </w:r>
          </w:p>
        </w:tc>
        <w:tc>
          <w:tcPr>
            <w:tcW w:w="17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3/1/2028</w:t>
            </w:r>
          </w:p>
        </w:tc>
        <w:tc>
          <w:tcPr>
            <w:tcW w:w="17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3.534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jc w:val="right"/>
              <w:ind w:right="1800"/>
              <w:spacing w:after="0"/>
              <w:rPr>
                <w:sz w:val="20"/>
                <w:szCs w:val="20"/>
                <w:color w:val="auto"/>
              </w:rPr>
            </w:pPr>
            <w:r>
              <w:rPr>
                <w:rFonts w:ascii="Arial" w:cs="Arial" w:eastAsia="Arial" w:hAnsi="Arial"/>
                <w:sz w:val="18"/>
                <w:szCs w:val="18"/>
                <w:color w:val="auto"/>
              </w:rPr>
              <w:t>10,500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2"/>
              </w:rPr>
              <w:t>9/19/2018</w:t>
            </w:r>
          </w:p>
        </w:tc>
        <w:tc>
          <w:tcPr>
            <w:tcW w:w="17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9/1/2028</w:t>
            </w:r>
          </w:p>
        </w:tc>
        <w:tc>
          <w:tcPr>
            <w:tcW w:w="1760" w:type="dxa"/>
            <w:vAlign w:val="bottom"/>
          </w:tcPr>
          <w:p>
            <w:pPr>
              <w:spacing w:after="0"/>
              <w:rPr>
                <w:sz w:val="18"/>
                <w:szCs w:val="18"/>
                <w:color w:val="auto"/>
              </w:rPr>
            </w:pPr>
          </w:p>
        </w:tc>
        <w:tc>
          <w:tcPr>
            <w:tcW w:w="2440" w:type="dxa"/>
            <w:vAlign w:val="bottom"/>
            <w:gridSpan w:val="2"/>
          </w:tcPr>
          <w:p>
            <w:pPr>
              <w:ind w:left="80"/>
              <w:spacing w:after="0"/>
              <w:rPr>
                <w:sz w:val="20"/>
                <w:szCs w:val="20"/>
                <w:color w:val="auto"/>
              </w:rPr>
            </w:pPr>
            <w:r>
              <w:rPr>
                <w:rFonts w:ascii="Arial" w:cs="Arial" w:eastAsia="Arial" w:hAnsi="Arial"/>
                <w:sz w:val="18"/>
                <w:szCs w:val="18"/>
                <w:color w:val="auto"/>
              </w:rPr>
              <w:t>3.895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9,500</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9/19/2018</w:t>
            </w:r>
          </w:p>
        </w:tc>
        <w:tc>
          <w:tcPr>
            <w:tcW w:w="17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9/1/2028</w:t>
            </w:r>
          </w:p>
        </w:tc>
        <w:tc>
          <w:tcPr>
            <w:tcW w:w="17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4.220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jc w:val="right"/>
              <w:ind w:right="1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2"/>
              </w:rPr>
              <w:t>9/25/2019</w:t>
            </w:r>
          </w:p>
        </w:tc>
        <w:tc>
          <w:tcPr>
            <w:tcW w:w="17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9/1/2029</w:t>
            </w:r>
          </w:p>
        </w:tc>
        <w:tc>
          <w:tcPr>
            <w:tcW w:w="1760" w:type="dxa"/>
            <w:vAlign w:val="bottom"/>
          </w:tcPr>
          <w:p>
            <w:pPr>
              <w:spacing w:after="0"/>
              <w:rPr>
                <w:sz w:val="18"/>
                <w:szCs w:val="18"/>
                <w:color w:val="auto"/>
              </w:rPr>
            </w:pPr>
          </w:p>
        </w:tc>
        <w:tc>
          <w:tcPr>
            <w:tcW w:w="2440" w:type="dxa"/>
            <w:vAlign w:val="bottom"/>
            <w:gridSpan w:val="2"/>
          </w:tcPr>
          <w:p>
            <w:pPr>
              <w:ind w:left="80"/>
              <w:spacing w:after="0"/>
              <w:rPr>
                <w:sz w:val="20"/>
                <w:szCs w:val="20"/>
                <w:color w:val="auto"/>
              </w:rPr>
            </w:pPr>
            <w:r>
              <w:rPr>
                <w:rFonts w:ascii="Arial" w:cs="Arial" w:eastAsia="Arial" w:hAnsi="Arial"/>
                <w:sz w:val="18"/>
                <w:szCs w:val="18"/>
                <w:color w:val="auto"/>
              </w:rPr>
              <w:t>2.377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7,500</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3/25/2020</w:t>
            </w:r>
          </w:p>
        </w:tc>
        <w:tc>
          <w:tcPr>
            <w:tcW w:w="17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3/1/2030</w:t>
            </w:r>
          </w:p>
        </w:tc>
        <w:tc>
          <w:tcPr>
            <w:tcW w:w="17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2.172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20" w:type="dxa"/>
            <w:vAlign w:val="bottom"/>
            <w:gridSpan w:val="2"/>
          </w:tcPr>
          <w:p>
            <w:pPr>
              <w:spacing w:after="0"/>
              <w:rPr>
                <w:sz w:val="20"/>
                <w:szCs w:val="20"/>
                <w:color w:val="auto"/>
              </w:rPr>
            </w:pPr>
            <w:r>
              <w:rPr>
                <w:rFonts w:ascii="Arial" w:cs="Arial" w:eastAsia="Arial" w:hAnsi="Arial"/>
                <w:sz w:val="18"/>
                <w:szCs w:val="18"/>
                <w:color w:val="auto"/>
                <w:w w:val="94"/>
              </w:rPr>
              <w:t>Total outstanding SBA debentures</w:t>
            </w:r>
          </w:p>
        </w:tc>
        <w:tc>
          <w:tcPr>
            <w:tcW w:w="8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156,500</w:t>
            </w:r>
          </w:p>
        </w:tc>
        <w:tc>
          <w:tcPr>
            <w:tcW w:w="20" w:type="dxa"/>
            <w:vAlign w:val="bottom"/>
            <w:tcBorders>
              <w:bottom w:val="single" w:sz="8" w:color="auto"/>
            </w:tcBorders>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157,500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300" w:hanging="424"/>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SBA has two scheduled pooling dates for debentures (in March and in September). Certain debentures funded during the reporting periods may not be pooled until the subsequent pooling date.</w:t>
      </w:r>
    </w:p>
    <w:p>
      <w:pPr>
        <w:spacing w:after="0" w:line="170"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i w:val="1"/>
          <w:iCs w:val="1"/>
          <w:color w:val="auto"/>
        </w:rPr>
        <w:t xml:space="preserve">Public Notes: </w:t>
      </w:r>
      <w:r>
        <w:rPr>
          <w:rFonts w:ascii="Arial" w:cs="Arial" w:eastAsia="Arial" w:hAnsi="Arial"/>
          <w:sz w:val="16"/>
          <w:szCs w:val="16"/>
          <w:color w:val="auto"/>
        </w:rPr>
        <w:t>On February 2, 2018, the Company closed the public offering of approximately $43,478 in aggregate principal amount of its</w:t>
      </w:r>
      <w:r>
        <w:rPr>
          <w:rFonts w:ascii="Arial" w:cs="Arial" w:eastAsia="Arial" w:hAnsi="Arial"/>
          <w:sz w:val="16"/>
          <w:szCs w:val="16"/>
          <w:i w:val="1"/>
          <w:iCs w:val="1"/>
          <w:color w:val="auto"/>
        </w:rPr>
        <w:t xml:space="preserve"> </w:t>
      </w:r>
      <w:r>
        <w:rPr>
          <w:rFonts w:ascii="Arial" w:cs="Arial" w:eastAsia="Arial" w:hAnsi="Arial"/>
          <w:sz w:val="16"/>
          <w:szCs w:val="16"/>
          <w:color w:val="auto"/>
        </w:rPr>
        <w:t>5.875% notes due 2023, or the “2023 Notes.” On February 22, 2018, the underwriters exercised their option to purchase an additional $6,522 in aggregate principal of the 2023 Notes. The total net proceeds to the Company from the 2023 Notes, including the exercise of the underwriters option, after deducting underwriting discounts of approximately $1,500 and offering expenses of $438, were approximately $48,062.</w:t>
      </w:r>
    </w:p>
    <w:p>
      <w:pPr>
        <w:spacing w:after="0" w:line="15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The 2023 Notes mature on February 1, 2023 and bear interest at a rate of 5.875%. The 2023 Notes may be redeemed in whole or in part at any time or from time to time at the Company’s option on or after February 1, 2020. Interest on the 2023 Notes is payable quarterly on February 1, May 1, August 1 and November 1 of each year. The 2023 Notes are listed on the NASDAQ Global Select Market under the trading symbol “FDUSL.”</w:t>
      </w:r>
    </w:p>
    <w:p>
      <w:pPr>
        <w:spacing w:after="0" w:line="149"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On February 8, 2019, the Company closed the public offering of approximately $60,000 in aggregate principal amount of its 6.000% notes due 2024, or the “February 2024 Notes”. On February 19, 2019, the underwriters exercised their option to purchase an additional $9,000 in aggregate principal of the February 2024 Notes. The total net proceeds to the Company from the February 2024 Notes, including the exercise of the underwriters’ option, after deducting underwriting discounts of approximately $2,070 and offering expenses of $409, were approximately $66,521.</w:t>
      </w:r>
    </w:p>
    <w:p>
      <w:pPr>
        <w:spacing w:after="0" w:line="15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February 2024 Notes mature on February 15, 2024 and bear interest at a rate of 6.000%. The February 2024 Notes may be redeemed in whole or in part at any time or from time to time at the Company’s option on or after February 15, 2021. Interest on the February 2024 Notes is payable quarterly on February 15, May 15, August 15 and November 15 of each year, beginning May 15, 2019. The February 2024 Notes are listed on the NASDAQ Global Select Market under the trading symbol “FDUSZ.”</w:t>
      </w:r>
    </w:p>
    <w:p>
      <w:pPr>
        <w:spacing w:after="0" w:line="187" w:lineRule="exact"/>
        <w:rPr>
          <w:sz w:val="20"/>
          <w:szCs w:val="20"/>
          <w:color w:val="auto"/>
        </w:rPr>
      </w:pPr>
    </w:p>
    <w:p>
      <w:pPr>
        <w:jc w:val="both"/>
        <w:ind w:left="120" w:right="200" w:firstLine="440"/>
        <w:spacing w:after="0" w:line="275" w:lineRule="auto"/>
        <w:rPr>
          <w:sz w:val="20"/>
          <w:szCs w:val="20"/>
          <w:color w:val="auto"/>
        </w:rPr>
      </w:pPr>
      <w:r>
        <w:rPr>
          <w:rFonts w:ascii="Arial" w:cs="Arial" w:eastAsia="Arial" w:hAnsi="Arial"/>
          <w:sz w:val="17"/>
          <w:szCs w:val="17"/>
          <w:color w:val="auto"/>
        </w:rPr>
        <w:t>On October 16, 2019, the Company closed the public offering of approximately $55,000 in aggregate principal amount of its 5.375% notes due 2024, or the “November 2024 Notes” (and collectively with the 2023 Notes and February 2024 Notes, the “Public Notes”). On October 23, 2019, the underwriters exercised their option to purchase an additional $8,250 in aggregate principal of the November 2024 Notes. The total net proceeds to the Company from the November 2024 Notes, including the exercise of the underwriters’ option, after deducting underwriting discounts of approximately $1,898 and offering expenses of $300, were approximately $61,053.</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November 2024 Notes will mature on November 1, 2024 and bear interest at a rate of 5.375%. The November 2024 Notes may be redeemed in whole or in part at any time or from time to time at the Company’s option on or after November 1, 2021. Interest on the November 2024 Notes is payable quarterly on February 1, May 1, August 1 and November 1 of each year, beginning February 1, 2020. The November 2024 Notes are listed on the NASDAQ Global Select Market under the trading symbol “FDUSG.”</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Public Notes are unsecured obligations of the Company and rank pari passu with the Company’s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of June 30, 2020, the aggregate amount outstanding of the senior securities issued by the Company was $225,250, for which our asset coverage was 267.0%. The SBA-guaranteed debentures are not subject to the asset coverage requirements of the 1940 Act as a result of exemptive relief granted to us by the SEC effective June 30, 2014.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and Financing Expenses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Interest and fees related to the Company’s debt for the three and six months ended June 30, 2020 and 2019 which are included in interest and financing expenses on the consolidated statements of operations, were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center"/>
              <w:ind w:left="257"/>
              <w:spacing w:after="0"/>
              <w:rPr>
                <w:sz w:val="20"/>
                <w:szCs w:val="20"/>
                <w:color w:val="auto"/>
              </w:rPr>
            </w:pPr>
            <w:r>
              <w:rPr>
                <w:rFonts w:ascii="Arial" w:cs="Arial" w:eastAsia="Arial" w:hAnsi="Arial"/>
                <w:sz w:val="14"/>
                <w:szCs w:val="14"/>
                <w:b w:val="1"/>
                <w:bCs w:val="1"/>
                <w:color w:val="auto"/>
                <w:w w:val="93"/>
              </w:rPr>
              <w:t>Three Months Ended June 30, 2020</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Three Months Ended June 30, 2019</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SBA</w:t>
            </w:r>
          </w:p>
        </w:tc>
        <w:tc>
          <w:tcPr>
            <w:tcW w:w="74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8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Public</w:t>
            </w: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SBA</w:t>
            </w:r>
          </w:p>
        </w:tc>
        <w:tc>
          <w:tcPr>
            <w:tcW w:w="76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8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7"/>
              </w:rPr>
              <w:t>Public</w:t>
            </w: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debentures</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Notes</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debentures</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Notes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Stated interest expense</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4"/>
              </w:rPr>
              <w:t>1,301</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$2,619</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$4,315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$1,769</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$3,609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326</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218</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478</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2,945</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4,863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477</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1,987</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4,052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jc w:val="center"/>
              <w:ind w:left="277"/>
              <w:spacing w:after="0"/>
              <w:rPr>
                <w:sz w:val="20"/>
                <w:szCs w:val="20"/>
                <w:color w:val="auto"/>
              </w:rPr>
            </w:pPr>
            <w:r>
              <w:rPr>
                <w:rFonts w:ascii="Arial" w:cs="Arial" w:eastAsia="Arial" w:hAnsi="Arial"/>
                <w:sz w:val="14"/>
                <w:szCs w:val="14"/>
                <w:b w:val="1"/>
                <w:bCs w:val="1"/>
                <w:color w:val="auto"/>
                <w:w w:val="92"/>
              </w:rPr>
              <w:t>Six Months Ended June 30, 2020</w:t>
            </w:r>
          </w:p>
        </w:tc>
        <w:tc>
          <w:tcPr>
            <w:tcW w:w="5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rPr>
              <w:t>Six Months Ended June 30, 2019</w:t>
            </w: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SBA</w:t>
            </w:r>
          </w:p>
        </w:tc>
        <w:tc>
          <w:tcPr>
            <w:tcW w:w="74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8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Public</w:t>
            </w: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SBA</w:t>
            </w:r>
          </w:p>
        </w:tc>
        <w:tc>
          <w:tcPr>
            <w:tcW w:w="76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Credit</w:t>
            </w:r>
          </w:p>
        </w:tc>
        <w:tc>
          <w:tcPr>
            <w:tcW w:w="100" w:type="dxa"/>
            <w:vAlign w:val="bottom"/>
          </w:tcPr>
          <w:p>
            <w:pPr>
              <w:spacing w:after="0"/>
              <w:rPr>
                <w:sz w:val="10"/>
                <w:szCs w:val="10"/>
                <w:color w:val="auto"/>
              </w:rPr>
            </w:pPr>
          </w:p>
        </w:tc>
        <w:tc>
          <w:tcPr>
            <w:tcW w:w="8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7"/>
              </w:rPr>
              <w:t>Public</w:t>
            </w: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debentures</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Notes</w:t>
            </w: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debentures</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Notes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Stated interest expense</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4"/>
              </w:rPr>
              <w:t>2,633</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$5,238</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$8,725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$3,083</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$6,918</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166</w:t>
            </w: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652</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167</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382</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and financing expenses</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2,913</w:t>
            </w: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1,020</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5,890</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9,823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3,269</w:t>
            </w: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1,042</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3,465</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7,776</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w w:val="94"/>
              </w:rPr>
              <w:t>Weighted average stated interest rate, period end</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3.315%</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5.749%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3.369%</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5.438%</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5.947%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4.519%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Unused commitment fee rate, period end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0.500%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0.695%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0.695%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Realized Losses on Extinguishment of Debt</w:t>
      </w:r>
    </w:p>
    <w:p>
      <w:pPr>
        <w:spacing w:after="0" w:line="117"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During the six months ended June 30, 2020 and 2019, the Company prepaid $7,000 and $19,750 of SBA debentures, respectively, which were scheduled to mature on dates ranging from 2024 to 2028 and 2021 to 2025, respectively. As a result of the prepayments, the Company recognized realized losses on extinguishment of debt of $125 and $189, respectively, equal to the write-off of the related unamortized deferred financing costs, during the six months ended June 30, 2020 and 2019.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Financing Costs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Deferred financing costs are amortized into interest and financing expenses on the consolidated statements of operations, using the effective interest method, over the term of the respective financing instrument. Deferred financing costs related to the Credit Facility, SBA debentures, and Public Notes as of June 30, 2020 and December 31, 2019 were as follows: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June 30, 2020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SBA</w:t>
            </w:r>
          </w:p>
        </w:tc>
        <w:tc>
          <w:tcPr>
            <w:tcW w:w="70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Credit</w:t>
            </w:r>
          </w:p>
        </w:tc>
        <w:tc>
          <w:tcPr>
            <w:tcW w:w="60" w:type="dxa"/>
            <w:vAlign w:val="bottom"/>
          </w:tcPr>
          <w:p>
            <w:pPr>
              <w:spacing w:after="0"/>
              <w:rPr>
                <w:sz w:val="10"/>
                <w:szCs w:val="10"/>
                <w:color w:val="auto"/>
              </w:rPr>
            </w:pPr>
          </w:p>
        </w:tc>
        <w:tc>
          <w:tcPr>
            <w:tcW w:w="72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Public</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SBA</w:t>
            </w:r>
          </w:p>
        </w:tc>
        <w:tc>
          <w:tcPr>
            <w:tcW w:w="78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Credit</w:t>
            </w:r>
          </w:p>
        </w:tc>
        <w:tc>
          <w:tcPr>
            <w:tcW w:w="78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Public</w:t>
            </w:r>
          </w:p>
        </w:tc>
        <w:tc>
          <w:tcPr>
            <w:tcW w:w="10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rPr>
              <w:t>debentures</w:t>
            </w:r>
          </w:p>
        </w:tc>
        <w:tc>
          <w:tcPr>
            <w:tcW w:w="7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Facility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Notes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debentures</w:t>
            </w: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Notes</w:t>
            </w: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debenture commitment fees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4"/>
              </w:rPr>
              <w:t>1,750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SBA debenture leverage fees</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3,966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3,966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3,820</w:t>
            </w:r>
          </w:p>
        </w:tc>
        <w:tc>
          <w:tcPr>
            <w:tcW w:w="1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upfront fees</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3,244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Public Notes underwriting discounts</w:t>
            </w:r>
          </w:p>
        </w:tc>
        <w:tc>
          <w:tcPr>
            <w:tcW w:w="160" w:type="dxa"/>
            <w:vAlign w:val="bottom"/>
          </w:tcPr>
          <w:p>
            <w:pPr>
              <w:spacing w:after="0"/>
              <w:rPr>
                <w:sz w:val="18"/>
                <w:szCs w:val="18"/>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5,468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5,468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5,468</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Public Notes debt issue costs</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Total deferred financing costs</w:t>
            </w: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3,244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15,575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84"/>
              </w:rPr>
              <w:t>5,570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6,615</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15,079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(2,277)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(1,959)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(1,918)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(6,154)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(1,872)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(1,793)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(1,266)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(4,931)</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Unamortized deferred financing costs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1,285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4"/>
              </w:rPr>
              <w:t>3,698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5,349</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140"/>
          </w:cols>
          <w:pgMar w:left="320" w:top="459" w:right="439" w:bottom="1440" w:gutter="0" w:footer="0" w:header="0"/>
        </w:sectPr>
      </w:pPr>
    </w:p>
    <w:p>
      <w:pPr>
        <w:jc w:val="center"/>
        <w:ind w:right="-1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40"/>
          </w:cols>
          <w:pgMar w:left="320" w:top="459" w:right="4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Unamortized deferred financing costs are presented as a direct offset to the SBA debentures, Credit Facility and Public Notes liabilities on the consolidated statements of assets and liabilities. The following table summarizes the outstanding debt net of unamortized deferred financing costs as of June 30, 2020 and December 31, 2019:</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9"/>
          </w:tcPr>
          <w:p>
            <w:pPr>
              <w:jc w:val="right"/>
              <w:ind w:right="228"/>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8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SBA</w:t>
            </w:r>
          </w:p>
        </w:tc>
        <w:tc>
          <w:tcPr>
            <w:tcW w:w="80" w:type="dxa"/>
            <w:vAlign w:val="bottom"/>
          </w:tcPr>
          <w:p>
            <w:pPr>
              <w:spacing w:after="0"/>
              <w:rPr>
                <w:sz w:val="10"/>
                <w:szCs w:val="10"/>
                <w:color w:val="auto"/>
              </w:rPr>
            </w:pPr>
          </w:p>
        </w:tc>
        <w:tc>
          <w:tcPr>
            <w:tcW w:w="72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Credit</w:t>
            </w:r>
          </w:p>
        </w:tc>
        <w:tc>
          <w:tcPr>
            <w:tcW w:w="80" w:type="dxa"/>
            <w:vAlign w:val="bottom"/>
          </w:tcPr>
          <w:p>
            <w:pPr>
              <w:spacing w:after="0"/>
              <w:rPr>
                <w:sz w:val="10"/>
                <w:szCs w:val="10"/>
                <w:color w:val="auto"/>
              </w:rPr>
            </w:pPr>
          </w:p>
        </w:tc>
        <w:tc>
          <w:tcPr>
            <w:tcW w:w="92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Public</w:t>
            </w:r>
          </w:p>
        </w:tc>
        <w:tc>
          <w:tcPr>
            <w:tcW w:w="140" w:type="dxa"/>
            <w:vAlign w:val="bottom"/>
          </w:tcPr>
          <w:p>
            <w:pPr>
              <w:spacing w:after="0"/>
              <w:rPr>
                <w:sz w:val="10"/>
                <w:szCs w:val="10"/>
                <w:color w:val="auto"/>
              </w:rPr>
            </w:pPr>
          </w:p>
        </w:tc>
        <w:tc>
          <w:tcPr>
            <w:tcW w:w="7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900" w:type="dxa"/>
            <w:vAlign w:val="bottom"/>
            <w:gridSpan w:val="4"/>
          </w:tcPr>
          <w:p>
            <w:pPr>
              <w:jc w:val="right"/>
              <w:ind w:right="420"/>
              <w:spacing w:after="0" w:line="119" w:lineRule="exact"/>
              <w:rPr>
                <w:sz w:val="20"/>
                <w:szCs w:val="20"/>
                <w:color w:val="auto"/>
              </w:rPr>
            </w:pPr>
            <w:r>
              <w:rPr>
                <w:rFonts w:ascii="Arial" w:cs="Arial" w:eastAsia="Arial" w:hAnsi="Arial"/>
                <w:sz w:val="13"/>
                <w:szCs w:val="13"/>
                <w:b w:val="1"/>
                <w:bCs w:val="1"/>
                <w:color w:val="auto"/>
              </w:rPr>
              <w:t>SBA</w:t>
            </w:r>
          </w:p>
        </w:tc>
        <w:tc>
          <w:tcPr>
            <w:tcW w:w="68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Credit</w:t>
            </w:r>
          </w:p>
        </w:tc>
        <w:tc>
          <w:tcPr>
            <w:tcW w:w="140" w:type="dxa"/>
            <w:vAlign w:val="bottom"/>
          </w:tcPr>
          <w:p>
            <w:pPr>
              <w:spacing w:after="0"/>
              <w:rPr>
                <w:sz w:val="10"/>
                <w:szCs w:val="10"/>
                <w:color w:val="auto"/>
              </w:rPr>
            </w:pPr>
          </w:p>
        </w:tc>
        <w:tc>
          <w:tcPr>
            <w:tcW w:w="820" w:type="dxa"/>
            <w:vAlign w:val="bottom"/>
            <w:gridSpan w:val="5"/>
          </w:tcPr>
          <w:p>
            <w:pPr>
              <w:jc w:val="right"/>
              <w:ind w:right="208"/>
              <w:spacing w:after="0" w:line="119" w:lineRule="exact"/>
              <w:rPr>
                <w:sz w:val="20"/>
                <w:szCs w:val="20"/>
                <w:color w:val="auto"/>
              </w:rPr>
            </w:pPr>
            <w:r>
              <w:rPr>
                <w:rFonts w:ascii="Arial" w:cs="Arial" w:eastAsia="Arial" w:hAnsi="Arial"/>
                <w:sz w:val="13"/>
                <w:szCs w:val="13"/>
                <w:b w:val="1"/>
                <w:bCs w:val="1"/>
                <w:color w:val="auto"/>
              </w:rPr>
              <w:t>Public</w:t>
            </w:r>
          </w:p>
        </w:tc>
        <w:tc>
          <w:tcPr>
            <w:tcW w:w="80" w:type="dxa"/>
            <w:vAlign w:val="bottom"/>
          </w:tcPr>
          <w:p>
            <w:pPr>
              <w:spacing w:after="0"/>
              <w:rPr>
                <w:sz w:val="10"/>
                <w:szCs w:val="10"/>
                <w:color w:val="auto"/>
              </w:rPr>
            </w:pPr>
          </w:p>
        </w:tc>
        <w:tc>
          <w:tcPr>
            <w:tcW w:w="8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debentures</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Facility</w:t>
            </w:r>
          </w:p>
        </w:tc>
        <w:tc>
          <w:tcPr>
            <w:tcW w:w="8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Notes</w:t>
            </w:r>
          </w:p>
        </w:tc>
        <w:tc>
          <w:tcPr>
            <w:tcW w:w="14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7"/>
              </w:rPr>
              <w:t>debentures</w:t>
            </w: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Facility</w:t>
            </w:r>
          </w:p>
        </w:tc>
        <w:tc>
          <w:tcPr>
            <w:tcW w:w="140" w:type="dxa"/>
            <w:vAlign w:val="bottom"/>
          </w:tcPr>
          <w:p>
            <w:pPr>
              <w:spacing w:after="0"/>
              <w:rPr>
                <w:sz w:val="14"/>
                <w:szCs w:val="14"/>
                <w:color w:val="auto"/>
              </w:rPr>
            </w:pPr>
          </w:p>
        </w:tc>
        <w:tc>
          <w:tcPr>
            <w:tcW w:w="820" w:type="dxa"/>
            <w:vAlign w:val="bottom"/>
            <w:gridSpan w:val="5"/>
          </w:tcPr>
          <w:p>
            <w:pPr>
              <w:jc w:val="right"/>
              <w:ind w:right="248"/>
              <w:spacing w:after="0"/>
              <w:rPr>
                <w:sz w:val="20"/>
                <w:szCs w:val="20"/>
                <w:color w:val="auto"/>
              </w:rPr>
            </w:pPr>
            <w:r>
              <w:rPr>
                <w:rFonts w:ascii="Arial" w:cs="Arial" w:eastAsia="Arial" w:hAnsi="Arial"/>
                <w:sz w:val="14"/>
                <w:szCs w:val="14"/>
                <w:b w:val="1"/>
                <w:bCs w:val="1"/>
                <w:color w:val="auto"/>
              </w:rPr>
              <w:t>Notes</w:t>
            </w:r>
          </w:p>
        </w:tc>
        <w:tc>
          <w:tcPr>
            <w:tcW w:w="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Outstanding debt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$156,500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$182,250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$381,750</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$157,500</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$25,000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$182,250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$364,750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spacing w:after="0"/>
              <w:rPr>
                <w:sz w:val="20"/>
                <w:szCs w:val="20"/>
                <w:color w:val="auto"/>
              </w:rPr>
            </w:pPr>
            <w:r>
              <w:rPr>
                <w:rFonts w:ascii="Arial" w:cs="Arial" w:eastAsia="Arial" w:hAnsi="Arial"/>
                <w:sz w:val="18"/>
                <w:szCs w:val="18"/>
                <w:color w:val="auto"/>
              </w:rPr>
              <w:t>Less: unamortized deferred financing costs</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(3,439)</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(1,285)</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(4,697)</w:t>
            </w: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(9,421)</w:t>
            </w:r>
          </w:p>
        </w:tc>
        <w:tc>
          <w:tcPr>
            <w:tcW w:w="40" w:type="dxa"/>
            <w:vAlign w:val="bottom"/>
          </w:tcPr>
          <w:p>
            <w:pPr>
              <w:spacing w:after="0"/>
              <w:rPr>
                <w:sz w:val="18"/>
                <w:szCs w:val="18"/>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(3,698)</w:t>
            </w:r>
          </w:p>
        </w:tc>
        <w:tc>
          <w:tcPr>
            <w:tcW w:w="4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(1,101)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8"/>
              <w:spacing w:after="0"/>
              <w:rPr>
                <w:sz w:val="20"/>
                <w:szCs w:val="20"/>
                <w:color w:val="auto"/>
              </w:rPr>
            </w:pPr>
            <w:r>
              <w:rPr>
                <w:rFonts w:ascii="Arial" w:cs="Arial" w:eastAsia="Arial" w:hAnsi="Arial"/>
                <w:sz w:val="18"/>
                <w:szCs w:val="18"/>
                <w:color w:val="auto"/>
                <w:w w:val="91"/>
              </w:rPr>
              <w:t>(5,349)</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(10,148)</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Borders>
              <w:lef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Debt, net of deferred financing costs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153,061</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41,715</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177,553</w:t>
            </w: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372,329</w:t>
            </w:r>
          </w:p>
        </w:tc>
        <w:tc>
          <w:tcPr>
            <w:tcW w:w="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153,802</w:t>
            </w: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23,899</w:t>
            </w:r>
          </w:p>
        </w:tc>
        <w:tc>
          <w:tcPr>
            <w:tcW w:w="960" w:type="dxa"/>
            <w:vAlign w:val="bottom"/>
            <w:gridSpan w:val="6"/>
            <w:shd w:val="clear" w:color="auto" w:fill="CCEEFF"/>
          </w:tcPr>
          <w:p>
            <w:pPr>
              <w:jc w:val="right"/>
              <w:ind w:right="6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176,901</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354,602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40" w:type="dxa"/>
            <w:vAlign w:val="bottom"/>
            <w:gridSpan w:val="13"/>
          </w:tcPr>
          <w:p>
            <w:pPr>
              <w:ind w:left="440"/>
              <w:spacing w:after="0"/>
              <w:rPr>
                <w:sz w:val="20"/>
                <w:szCs w:val="20"/>
                <w:color w:val="auto"/>
              </w:rPr>
            </w:pPr>
            <w:r>
              <w:rPr>
                <w:rFonts w:ascii="Arial" w:cs="Arial" w:eastAsia="Arial" w:hAnsi="Arial"/>
                <w:sz w:val="18"/>
                <w:szCs w:val="18"/>
                <w:color w:val="auto"/>
                <w:w w:val="90"/>
              </w:rPr>
              <w:t xml:space="preserve">As of June 30, 2020, the Company’s debt liabilities are scheduled to mature as follows </w:t>
            </w:r>
            <w:r>
              <w:rPr>
                <w:rFonts w:ascii="Arial" w:cs="Arial" w:eastAsia="Arial" w:hAnsi="Arial"/>
                <w:sz w:val="15"/>
                <w:szCs w:val="15"/>
                <w:color w:val="auto"/>
                <w:w w:val="90"/>
              </w:rPr>
              <w:t>(1)</w:t>
            </w:r>
            <w:r>
              <w:rPr>
                <w:rFonts w:ascii="Arial" w:cs="Arial" w:eastAsia="Arial" w:hAnsi="Arial"/>
                <w:sz w:val="18"/>
                <w:szCs w:val="18"/>
                <w:color w:val="auto"/>
                <w:w w:val="90"/>
              </w:rPr>
              <w:t>:</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vMerge w:val="restart"/>
          </w:tcPr>
          <w:p>
            <w:pPr>
              <w:spacing w:after="0"/>
              <w:rPr>
                <w:sz w:val="24"/>
                <w:szCs w:val="24"/>
                <w:color w:val="auto"/>
              </w:rPr>
            </w:pP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3340" w:type="dxa"/>
            <w:vAlign w:val="bottom"/>
            <w:vMerge w:val="restart"/>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SBA</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Credit</w:t>
            </w:r>
          </w:p>
        </w:tc>
        <w:tc>
          <w:tcPr>
            <w:tcW w:w="300" w:type="dxa"/>
            <w:vAlign w:val="bottom"/>
          </w:tcPr>
          <w:p>
            <w:pPr>
              <w:spacing w:after="0"/>
              <w:rPr>
                <w:sz w:val="24"/>
                <w:szCs w:val="24"/>
                <w:color w:val="auto"/>
              </w:rPr>
            </w:pPr>
          </w:p>
        </w:tc>
        <w:tc>
          <w:tcPr>
            <w:tcW w:w="7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Public</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w w:val="92"/>
              </w:rPr>
              <w:t>debentures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3"/>
          </w:tcPr>
          <w:p>
            <w:pPr>
              <w:jc w:val="right"/>
              <w:ind w:right="100"/>
              <w:spacing w:after="0" w:line="158" w:lineRule="exact"/>
              <w:rPr>
                <w:sz w:val="20"/>
                <w:szCs w:val="20"/>
                <w:color w:val="auto"/>
              </w:rPr>
            </w:pPr>
            <w:r>
              <w:rPr>
                <w:rFonts w:ascii="Arial" w:cs="Arial" w:eastAsia="Arial" w:hAnsi="Arial"/>
                <w:sz w:val="14"/>
                <w:szCs w:val="14"/>
                <w:b w:val="1"/>
                <w:bCs w:val="1"/>
                <w:color w:val="auto"/>
              </w:rPr>
              <w:t>Facility</w:t>
            </w:r>
          </w:p>
        </w:tc>
        <w:tc>
          <w:tcPr>
            <w:tcW w:w="300" w:type="dxa"/>
            <w:vAlign w:val="bottom"/>
          </w:tcPr>
          <w:p>
            <w:pPr>
              <w:spacing w:after="0"/>
              <w:rPr>
                <w:sz w:val="15"/>
                <w:szCs w:val="15"/>
                <w:color w:val="auto"/>
              </w:rPr>
            </w:pPr>
          </w:p>
        </w:tc>
        <w:tc>
          <w:tcPr>
            <w:tcW w:w="720" w:type="dxa"/>
            <w:vAlign w:val="bottom"/>
            <w:gridSpan w:val="5"/>
          </w:tcPr>
          <w:p>
            <w:pPr>
              <w:jc w:val="right"/>
              <w:ind w:right="200"/>
              <w:spacing w:after="0" w:line="158" w:lineRule="exact"/>
              <w:rPr>
                <w:sz w:val="20"/>
                <w:szCs w:val="20"/>
                <w:color w:val="auto"/>
              </w:rPr>
            </w:pPr>
            <w:r>
              <w:rPr>
                <w:rFonts w:ascii="Arial" w:cs="Arial" w:eastAsia="Arial" w:hAnsi="Arial"/>
                <w:sz w:val="14"/>
                <w:szCs w:val="14"/>
                <w:b w:val="1"/>
                <w:bCs w:val="1"/>
                <w:color w:val="auto"/>
              </w:rPr>
              <w:t>Notes</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640" w:type="dxa"/>
            <w:vAlign w:val="bottom"/>
            <w:tcBorders>
              <w:top w:val="single" w:sz="8" w:color="CCEEFF"/>
            </w:tcBorders>
            <w:gridSpan w:val="2"/>
            <w:shd w:val="clear" w:color="auto" w:fill="CCEEFF"/>
          </w:tcPr>
          <w:p>
            <w:pPr>
              <w:jc w:val="center"/>
              <w:ind w:right="2920"/>
              <w:spacing w:after="0" w:line="203" w:lineRule="exact"/>
              <w:rPr>
                <w:sz w:val="20"/>
                <w:szCs w:val="20"/>
                <w:color w:val="auto"/>
              </w:rPr>
            </w:pPr>
            <w:r>
              <w:rPr>
                <w:rFonts w:ascii="Arial" w:cs="Arial" w:eastAsia="Arial" w:hAnsi="Arial"/>
                <w:sz w:val="18"/>
                <w:szCs w:val="18"/>
                <w:color w:val="auto"/>
                <w:w w:val="89"/>
              </w:rPr>
              <w:t>2020</w:t>
            </w: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   —</w:t>
            </w: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w w:val="99"/>
              </w:rPr>
              <w:t>—</w:t>
            </w:r>
          </w:p>
        </w:tc>
        <w:tc>
          <w:tcPr>
            <w:tcW w:w="380" w:type="dxa"/>
            <w:vAlign w:val="bottom"/>
            <w:tcBorders>
              <w:left w:val="single" w:sz="8" w:color="CCEEFF"/>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40" w:type="dxa"/>
            <w:vAlign w:val="bottom"/>
            <w:gridSpan w:val="2"/>
          </w:tcPr>
          <w:p>
            <w:pPr>
              <w:jc w:val="center"/>
              <w:ind w:right="2920"/>
              <w:spacing w:after="0"/>
              <w:rPr>
                <w:sz w:val="20"/>
                <w:szCs w:val="20"/>
                <w:color w:val="auto"/>
              </w:rPr>
            </w:pPr>
            <w:r>
              <w:rPr>
                <w:rFonts w:ascii="Arial" w:cs="Arial" w:eastAsia="Arial" w:hAnsi="Arial"/>
                <w:sz w:val="18"/>
                <w:szCs w:val="18"/>
                <w:color w:val="auto"/>
                <w:w w:val="89"/>
              </w:rPr>
              <w:t>2021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40" w:type="dxa"/>
            <w:vAlign w:val="bottom"/>
            <w:gridSpan w:val="2"/>
            <w:shd w:val="clear" w:color="auto" w:fill="CCEEFF"/>
          </w:tcPr>
          <w:p>
            <w:pPr>
              <w:jc w:val="center"/>
              <w:ind w:right="2920"/>
              <w:spacing w:after="0"/>
              <w:rPr>
                <w:sz w:val="20"/>
                <w:szCs w:val="20"/>
                <w:color w:val="auto"/>
              </w:rPr>
            </w:pPr>
            <w:r>
              <w:rPr>
                <w:rFonts w:ascii="Arial" w:cs="Arial" w:eastAsia="Arial" w:hAnsi="Arial"/>
                <w:sz w:val="18"/>
                <w:szCs w:val="18"/>
                <w:color w:val="auto"/>
                <w:w w:val="89"/>
              </w:rPr>
              <w:t>2022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500" w:type="dxa"/>
            <w:vAlign w:val="bottom"/>
            <w:tcBorders>
              <w:left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40" w:type="dxa"/>
            <w:vAlign w:val="bottom"/>
            <w:gridSpan w:val="2"/>
          </w:tcPr>
          <w:p>
            <w:pPr>
              <w:jc w:val="center"/>
              <w:ind w:right="2920"/>
              <w:spacing w:after="0"/>
              <w:rPr>
                <w:sz w:val="20"/>
                <w:szCs w:val="20"/>
                <w:color w:val="auto"/>
              </w:rPr>
            </w:pPr>
            <w:r>
              <w:rPr>
                <w:rFonts w:ascii="Arial" w:cs="Arial" w:eastAsia="Arial" w:hAnsi="Arial"/>
                <w:sz w:val="18"/>
                <w:szCs w:val="18"/>
                <w:color w:val="auto"/>
                <w:w w:val="89"/>
              </w:rPr>
              <w:t>2023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right"/>
              <w:ind w:right="40"/>
              <w:spacing w:after="0"/>
              <w:rPr>
                <w:sz w:val="20"/>
                <w:szCs w:val="20"/>
                <w:color w:val="auto"/>
              </w:rPr>
            </w:pPr>
            <w:r>
              <w:rPr>
                <w:rFonts w:ascii="Arial" w:cs="Arial" w:eastAsia="Arial" w:hAnsi="Arial"/>
                <w:sz w:val="18"/>
                <w:szCs w:val="18"/>
                <w:color w:val="auto"/>
              </w:rPr>
              <w:t>43,000</w:t>
            </w:r>
          </w:p>
        </w:tc>
        <w:tc>
          <w:tcPr>
            <w:tcW w:w="1020" w:type="dxa"/>
            <w:vAlign w:val="bottom"/>
            <w:gridSpan w:val="6"/>
          </w:tcPr>
          <w:p>
            <w:pPr>
              <w:jc w:val="right"/>
              <w:ind w:right="40"/>
              <w:spacing w:after="0"/>
              <w:rPr>
                <w:sz w:val="20"/>
                <w:szCs w:val="20"/>
                <w:color w:val="auto"/>
              </w:rPr>
            </w:pPr>
            <w:r>
              <w:rPr>
                <w:rFonts w:ascii="Arial" w:cs="Arial" w:eastAsia="Arial" w:hAnsi="Arial"/>
                <w:sz w:val="18"/>
                <w:szCs w:val="18"/>
                <w:color w:val="auto"/>
              </w:rPr>
              <w:t>50,000</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93,000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40" w:type="dxa"/>
            <w:vAlign w:val="bottom"/>
            <w:gridSpan w:val="2"/>
            <w:shd w:val="clear" w:color="auto" w:fill="CCEEFF"/>
          </w:tcPr>
          <w:p>
            <w:pPr>
              <w:jc w:val="center"/>
              <w:ind w:right="2920"/>
              <w:spacing w:after="0"/>
              <w:rPr>
                <w:sz w:val="20"/>
                <w:szCs w:val="20"/>
                <w:color w:val="auto"/>
              </w:rPr>
            </w:pPr>
            <w:r>
              <w:rPr>
                <w:rFonts w:ascii="Arial" w:cs="Arial" w:eastAsia="Arial" w:hAnsi="Arial"/>
                <w:sz w:val="18"/>
                <w:szCs w:val="18"/>
                <w:color w:val="auto"/>
                <w:w w:val="89"/>
              </w:rPr>
              <w:t>2024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132,250</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132,250</w:t>
            </w:r>
          </w:p>
        </w:tc>
        <w:tc>
          <w:tcPr>
            <w:tcW w:w="380" w:type="dxa"/>
            <w:vAlign w:val="bottom"/>
            <w:tcBorders>
              <w:left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40" w:type="dxa"/>
            <w:vAlign w:val="bottom"/>
            <w:gridSpan w:val="2"/>
          </w:tcPr>
          <w:p>
            <w:pPr>
              <w:jc w:val="center"/>
              <w:ind w:right="2880"/>
              <w:spacing w:after="0"/>
              <w:rPr>
                <w:sz w:val="20"/>
                <w:szCs w:val="20"/>
                <w:color w:val="auto"/>
              </w:rPr>
            </w:pPr>
            <w:r>
              <w:rPr>
                <w:rFonts w:ascii="Arial" w:cs="Arial" w:eastAsia="Arial" w:hAnsi="Arial"/>
                <w:sz w:val="18"/>
                <w:szCs w:val="18"/>
                <w:color w:val="auto"/>
                <w:w w:val="91"/>
              </w:rPr>
              <w:t>Thereafter</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156,500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156,500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3640" w:type="dxa"/>
            <w:vAlign w:val="bottom"/>
            <w:gridSpan w:val="2"/>
            <w:shd w:val="clear" w:color="auto" w:fill="CCEEFF"/>
          </w:tcPr>
          <w:p>
            <w:pPr>
              <w:jc w:val="center"/>
              <w:ind w:right="2920"/>
              <w:spacing w:after="0"/>
              <w:rPr>
                <w:sz w:val="20"/>
                <w:szCs w:val="20"/>
                <w:color w:val="auto"/>
              </w:rPr>
            </w:pPr>
            <w:r>
              <w:rPr>
                <w:rFonts w:ascii="Arial" w:cs="Arial" w:eastAsia="Arial" w:hAnsi="Arial"/>
                <w:sz w:val="18"/>
                <w:szCs w:val="18"/>
                <w:color w:val="auto"/>
                <w:w w:val="89"/>
              </w:rPr>
              <w:t>Total</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156,500</w:t>
            </w:r>
          </w:p>
        </w:tc>
        <w:tc>
          <w:tcPr>
            <w:tcW w:w="9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43,000</w:t>
            </w:r>
          </w:p>
        </w:tc>
        <w:tc>
          <w:tcPr>
            <w:tcW w:w="10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182,250</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381,750</w:t>
            </w:r>
          </w:p>
        </w:tc>
        <w:tc>
          <w:tcPr>
            <w:tcW w:w="380" w:type="dxa"/>
            <w:vAlign w:val="bottom"/>
            <w:tcBorders>
              <w:left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340" w:hanging="424"/>
        <w:spacing w:after="0" w:line="263"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jc w:val="both"/>
        <w:ind w:left="120" w:right="800" w:firstLine="440"/>
        <w:spacing w:after="0" w:line="263"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The Company had outstanding commitments to portfolio companies to fund various undrawn revolving loans, other debt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capital commitments totaling $4,857 and $4,757 as of June 30, 2020 and December 31, 2019, respectively. Such outstanding commitments are summarized in the following table:</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5"/>
          </w:tcPr>
          <w:p>
            <w:pPr>
              <w:jc w:val="right"/>
              <w:ind w:right="329"/>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3"/>
              </w:rPr>
              <w:t>Portfolio Company - Investment</w:t>
            </w:r>
          </w:p>
        </w:tc>
        <w:tc>
          <w:tcPr>
            <w:tcW w:w="372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Total</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29"/>
              <w:spacing w:after="0" w:line="119" w:lineRule="exact"/>
              <w:rPr>
                <w:sz w:val="20"/>
                <w:szCs w:val="20"/>
                <w:color w:val="auto"/>
              </w:rPr>
            </w:pPr>
            <w:r>
              <w:rPr>
                <w:rFonts w:ascii="Arial" w:cs="Arial" w:eastAsia="Arial" w:hAnsi="Arial"/>
                <w:sz w:val="13"/>
                <w:szCs w:val="13"/>
                <w:b w:val="1"/>
                <w:bCs w:val="1"/>
                <w:color w:val="auto"/>
                <w:w w:val="98"/>
              </w:rPr>
              <w:t>Unfunded</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Total</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49"/>
              <w:spacing w:after="0" w:line="119" w:lineRule="exact"/>
              <w:rPr>
                <w:sz w:val="20"/>
                <w:szCs w:val="20"/>
                <w:color w:val="auto"/>
              </w:rPr>
            </w:pPr>
            <w:r>
              <w:rPr>
                <w:rFonts w:ascii="Arial" w:cs="Arial" w:eastAsia="Arial" w:hAnsi="Arial"/>
                <w:sz w:val="13"/>
                <w:szCs w:val="13"/>
                <w:b w:val="1"/>
                <w:bCs w:val="1"/>
                <w:color w:val="auto"/>
                <w:w w:val="98"/>
              </w:rPr>
              <w:t>Unfunded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0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3"/>
              </w:rPr>
              <w:t>Commitment</w:t>
            </w:r>
          </w:p>
        </w:tc>
        <w:tc>
          <w:tcPr>
            <w:tcW w:w="280" w:type="dxa"/>
            <w:vAlign w:val="bottom"/>
          </w:tcPr>
          <w:p>
            <w:pPr>
              <w:spacing w:after="0"/>
              <w:rPr>
                <w:sz w:val="15"/>
                <w:szCs w:val="15"/>
                <w:color w:val="auto"/>
              </w:rPr>
            </w:pPr>
          </w:p>
        </w:tc>
        <w:tc>
          <w:tcPr>
            <w:tcW w:w="8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w w:val="93"/>
              </w:rPr>
              <w:t>Commitment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w w:val="93"/>
              </w:rPr>
              <w:t>Commitment</w:t>
            </w:r>
          </w:p>
        </w:tc>
        <w:tc>
          <w:tcPr>
            <w:tcW w:w="280" w:type="dxa"/>
            <w:vAlign w:val="bottom"/>
          </w:tcPr>
          <w:p>
            <w:pPr>
              <w:spacing w:after="0"/>
              <w:rPr>
                <w:sz w:val="15"/>
                <w:szCs w:val="15"/>
                <w:color w:val="auto"/>
              </w:rPr>
            </w:pPr>
          </w:p>
        </w:tc>
        <w:tc>
          <w:tcPr>
            <w:tcW w:w="8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3"/>
              </w:rPr>
              <w:t>Commitment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72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Combined Systems, Inc. - Revolving Loan</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4,000</w:t>
            </w:r>
          </w:p>
        </w:tc>
        <w:tc>
          <w:tcPr>
            <w:tcW w:w="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100</w:t>
            </w: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9"/>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20" w:type="dxa"/>
            <w:vAlign w:val="bottom"/>
            <w:gridSpan w:val="2"/>
          </w:tcPr>
          <w:p>
            <w:pPr>
              <w:spacing w:after="0" w:line="149" w:lineRule="exact"/>
              <w:rPr>
                <w:sz w:val="20"/>
                <w:szCs w:val="20"/>
                <w:color w:val="auto"/>
              </w:rPr>
            </w:pPr>
            <w:r>
              <w:rPr>
                <w:rFonts w:ascii="Arial" w:cs="Arial" w:eastAsia="Arial" w:hAnsi="Arial"/>
                <w:sz w:val="14"/>
                <w:szCs w:val="14"/>
                <w:color w:val="auto"/>
              </w:rPr>
              <w:t>FDS Avionics Corp. (dba Flight Display Systems) - Revolving Loan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French Transit, LLC - Revolving Loan</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2"/>
          </w:tcPr>
          <w:p>
            <w:pPr>
              <w:spacing w:after="0" w:line="149" w:lineRule="exact"/>
              <w:rPr>
                <w:sz w:val="20"/>
                <w:szCs w:val="20"/>
                <w:color w:val="auto"/>
              </w:rPr>
            </w:pPr>
            <w:r>
              <w:rPr>
                <w:rFonts w:ascii="Arial" w:cs="Arial" w:eastAsia="Arial" w:hAnsi="Arial"/>
                <w:sz w:val="14"/>
                <w:szCs w:val="14"/>
                <w:color w:val="auto"/>
              </w:rPr>
              <w:t>Rhino Assembly Company, LLC - Delayed Draw Commitment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875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Safety Products Group, LLC - Common Equity (Units)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2,852</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95"/>
              </w:rPr>
              <w:t>(1)</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2,852</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2,852</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95"/>
              </w:rPr>
              <w:t>(1)</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2,852</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155"/>
        </w:trPr>
        <w:tc>
          <w:tcPr>
            <w:tcW w:w="572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8,977</w:t>
            </w:r>
          </w:p>
        </w:tc>
        <w:tc>
          <w:tcPr>
            <w:tcW w:w="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4,857</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4,977</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4,757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320" w:hanging="424"/>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The commitment represents the Company’s maximum potential liability related to certain guaranteed obligations stemming from the prior sale of the portfolio company’s underlying operations.</w:t>
      </w:r>
    </w:p>
    <w:p>
      <w:pPr>
        <w:spacing w:after="0" w:line="17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Additional detail for each of the commitments above is provided in the Company’s consolidated schedules of investments.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commitments are generally subject to the borrowers meeting certain criteria such as compliance with financial and nonfinancial covenants.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Since commitments may expire without being drawn upon, the total commitment amount does not necessarily represent future cash requirements.</w:t>
      </w:r>
    </w:p>
    <w:p>
      <w:pPr>
        <w:spacing w:after="0" w:line="22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i w:val="1"/>
          <w:iCs w:val="1"/>
          <w:color w:val="auto"/>
        </w:rPr>
        <w:t xml:space="preserve">Indemnifications: </w:t>
      </w:r>
      <w:r>
        <w:rPr>
          <w:rFonts w:ascii="Arial" w:cs="Arial" w:eastAsia="Arial" w:hAnsi="Arial"/>
          <w:sz w:val="18"/>
          <w:szCs w:val="18"/>
          <w:color w:val="auto"/>
        </w:rPr>
        <w:t>In the normal course of business, the Company enters into contracts and agreements that contain a variety of representations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sectPr>
          <w:pgSz w:w="11900" w:h="16838" w:orient="portrait"/>
          <w:cols w:equalWidth="0" w:num="1">
            <w:col w:w="11140"/>
          </w:cols>
          <w:pgMar w:left="320" w:top="459" w:right="439" w:bottom="1440" w:gutter="0" w:footer="0" w:header="0"/>
        </w:sectPr>
      </w:pP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140"/>
          </w:cols>
          <w:pgMar w:left="320" w:top="459" w:right="4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In the normal course of business, the Company may be subject to legal and regulatory proceedings that are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incidental to its ongoing operations. While the outcome of any such legal proceedings cannot be predicted with certainty, the Company does not believe any such legal proceedings will have a material adverse effect on the Company’s consolidated financial statements.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Offerings of Common Stock</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table summarizes the cumulative total shares issued, net proceeds received, and weighted average offering price in public offerings of the Company’s common stock since the IPO.</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Cumulative</w:t>
            </w:r>
          </w:p>
        </w:tc>
        <w:tc>
          <w:tcPr>
            <w:tcW w:w="300" w:type="dxa"/>
            <w:vAlign w:val="bottom"/>
          </w:tcPr>
          <w:p>
            <w:pPr>
              <w:spacing w:after="0"/>
              <w:rPr>
                <w:sz w:val="14"/>
                <w:szCs w:val="14"/>
                <w:color w:val="auto"/>
              </w:rPr>
            </w:pPr>
          </w:p>
        </w:tc>
        <w:tc>
          <w:tcPr>
            <w:tcW w:w="1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Cumulative Gross</w:t>
            </w:r>
          </w:p>
        </w:tc>
        <w:tc>
          <w:tcPr>
            <w:tcW w:w="28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Cumulative Underwriting Fees and</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4"/>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2240" w:type="dxa"/>
            <w:vAlign w:val="bottom"/>
            <w:vMerge w:val="restart"/>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2820" w:type="dxa"/>
            <w:vAlign w:val="bottom"/>
            <w:gridSpan w:val="3"/>
          </w:tcPr>
          <w:p>
            <w:pPr>
              <w:jc w:val="center"/>
              <w:ind w:right="680"/>
              <w:spacing w:after="0" w:line="145" w:lineRule="exact"/>
              <w:rPr>
                <w:sz w:val="20"/>
                <w:szCs w:val="20"/>
                <w:color w:val="auto"/>
              </w:rPr>
            </w:pPr>
            <w:r>
              <w:rPr>
                <w:rFonts w:ascii="Arial" w:cs="Arial" w:eastAsia="Arial" w:hAnsi="Arial"/>
                <w:sz w:val="14"/>
                <w:szCs w:val="14"/>
                <w:b w:val="1"/>
                <w:bCs w:val="1"/>
                <w:color w:val="auto"/>
                <w:w w:val="91"/>
              </w:rPr>
              <w:t>Commissions and Offering Costs</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20" w:type="dxa"/>
            <w:vAlign w:val="bottom"/>
            <w:tcBorders>
              <w:bottom w:val="single" w:sz="8" w:color="auto"/>
            </w:tcBorders>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4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1"/>
              </w:rPr>
              <w:t>Number of Shares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Proceeds</w:t>
            </w:r>
          </w:p>
        </w:tc>
        <w:tc>
          <w:tcPr>
            <w:tcW w:w="560" w:type="dxa"/>
            <w:vAlign w:val="bottom"/>
          </w:tcPr>
          <w:p>
            <w:pPr>
              <w:spacing w:after="0"/>
              <w:rPr>
                <w:sz w:val="14"/>
                <w:szCs w:val="14"/>
                <w:color w:val="auto"/>
              </w:rPr>
            </w:pPr>
          </w:p>
        </w:tc>
        <w:tc>
          <w:tcPr>
            <w:tcW w:w="1620" w:type="dxa"/>
            <w:vAlign w:val="bottom"/>
          </w:tcPr>
          <w:p>
            <w:pPr>
              <w:jc w:val="center"/>
              <w:ind w:right="484"/>
              <w:spacing w:after="0"/>
              <w:rPr>
                <w:sz w:val="20"/>
                <w:szCs w:val="20"/>
                <w:color w:val="auto"/>
              </w:rPr>
            </w:pPr>
            <w:r>
              <w:rPr>
                <w:rFonts w:ascii="Arial" w:cs="Arial" w:eastAsia="Arial" w:hAnsi="Arial"/>
                <w:sz w:val="12"/>
                <w:szCs w:val="12"/>
                <w:b w:val="1"/>
                <w:bCs w:val="1"/>
                <w:color w:val="auto"/>
                <w:w w:val="95"/>
              </w:rPr>
              <w:t>(1)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Offering Price</w:t>
            </w:r>
          </w:p>
        </w:tc>
        <w:tc>
          <w:tcPr>
            <w:tcW w:w="0" w:type="dxa"/>
            <w:vAlign w:val="bottom"/>
          </w:tcPr>
          <w:p>
            <w:pPr>
              <w:spacing w:after="0"/>
              <w:rPr>
                <w:sz w:val="1"/>
                <w:szCs w:val="1"/>
                <w:color w:val="auto"/>
              </w:rPr>
            </w:pPr>
          </w:p>
        </w:tc>
      </w:tr>
      <w:tr>
        <w:trPr>
          <w:trHeight w:val="203"/>
        </w:trPr>
        <w:tc>
          <w:tcPr>
            <w:tcW w:w="2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Cumulative since IPO</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14,388,414</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236,597</w:t>
            </w:r>
          </w:p>
        </w:tc>
        <w:tc>
          <w:tcPr>
            <w:tcW w:w="6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82"/>
              <w:spacing w:after="0" w:line="203"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8,989</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16.44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60" w:hanging="424"/>
        <w:spacing w:after="0" w:line="263"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Fidus Investment Advisors, LLC agreed to bear a cumulative of $1,925 of underwriting fees and commissions and offering costs associated with these offerings (such amounts are not included in the number reported above). All such payments made by Fidus Investment Advisors, LLC are not subject to reimbursement by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Common Stock ATM Program</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August 21, 2014, the Company entered into an equity distribution agreement with Raymond James &amp; Associates, Inc. and Robert W. Baird &amp; Co. Incorporated through which the Company could sell, by means of at-the-market offerings from time to time, shares of the Company’s common stock having an aggregate offering price of up to $50,000 (the “ATM Program”). There were no issuances of common stock under the ATM program during the last two fiscal years and for the six months ended June 30,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As described in Note 2, the Company has a Stock Repurchase Program under which the Company may acquire up to $5,000 of its outstanding common stock. During the three and six months ended June 30, 2020, the Company repurchased 0 and 25,719 shares of common stock, respectively, on the open market for zero and $268, respectively. The Company did not make any repurchases of common stock during the three and six months ended June 30, 2019. The Company’s NAV per share increased by approximately zero and $0.01 for the three and six months ended June 30, 2020, as a result of the share repurchases. The following table summarizes the Company’s share repurchases under the Stock Repurchase Program for the three and six months ended June 30, 2020 and 2019:</w:t>
      </w:r>
    </w:p>
    <w:p>
      <w:pPr>
        <w:spacing w:after="0" w:line="21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w w:val="90"/>
              </w:rPr>
              <w:t>Repurchases of Common Stock</w:t>
            </w:r>
          </w:p>
        </w:tc>
        <w:tc>
          <w:tcPr>
            <w:tcW w:w="35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8"/>
        </w:trPr>
        <w:tc>
          <w:tcPr>
            <w:tcW w:w="1940" w:type="dxa"/>
            <w:vAlign w:val="bottom"/>
            <w:tcBorders>
              <w:bottom w:val="single" w:sz="8" w:color="auto"/>
            </w:tcBorders>
            <w:vMerge w:val="continue"/>
          </w:tcPr>
          <w:p>
            <w:pPr>
              <w:spacing w:after="0"/>
              <w:rPr>
                <w:sz w:val="12"/>
                <w:szCs w:val="12"/>
                <w:color w:val="auto"/>
              </w:rPr>
            </w:pPr>
          </w:p>
        </w:tc>
        <w:tc>
          <w:tcPr>
            <w:tcW w:w="352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68"/>
              <w:spacing w:after="0" w:line="129"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6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Number of shares repurchased</w:t>
            </w: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ind w:left="460"/>
              <w:spacing w:after="0" w:line="13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ind w:left="420"/>
              <w:spacing w:after="0" w:line="13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25,719</w:t>
            </w: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ind w:left="260"/>
              <w:spacing w:after="0" w:line="135"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60" w:type="dxa"/>
            <w:vAlign w:val="bottom"/>
            <w:gridSpan w:val="2"/>
          </w:tcPr>
          <w:p>
            <w:pPr>
              <w:spacing w:after="0" w:line="149" w:lineRule="exact"/>
              <w:rPr>
                <w:sz w:val="20"/>
                <w:szCs w:val="20"/>
                <w:color w:val="auto"/>
              </w:rPr>
            </w:pPr>
            <w:r>
              <w:rPr>
                <w:rFonts w:ascii="Arial" w:cs="Arial" w:eastAsia="Arial" w:hAnsi="Arial"/>
                <w:sz w:val="14"/>
                <w:szCs w:val="14"/>
                <w:color w:val="auto"/>
              </w:rPr>
              <w:t>Cost of shares repurchased, including commissions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268</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Weighted average price per share</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10.37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460" w:type="dxa"/>
            <w:vAlign w:val="bottom"/>
            <w:gridSpan w:val="2"/>
          </w:tcPr>
          <w:p>
            <w:pPr>
              <w:spacing w:after="0" w:line="149" w:lineRule="exact"/>
              <w:rPr>
                <w:sz w:val="20"/>
                <w:szCs w:val="20"/>
                <w:color w:val="auto"/>
              </w:rPr>
            </w:pPr>
            <w:r>
              <w:rPr>
                <w:rFonts w:ascii="Arial" w:cs="Arial" w:eastAsia="Arial" w:hAnsi="Arial"/>
                <w:sz w:val="14"/>
                <w:szCs w:val="14"/>
                <w:color w:val="auto"/>
              </w:rPr>
              <w:t>Net asset value per share at prior quarter end</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16.85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Weighted average discount to net asset value at quarter end prior to repurchases</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N/A</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 to Note 9 for additional information regarding the issuance of shares under the DRIP.</w:t>
      </w:r>
    </w:p>
    <w:p>
      <w:pPr>
        <w:spacing w:after="0" w:line="225" w:lineRule="exact"/>
        <w:rPr>
          <w:sz w:val="20"/>
          <w:szCs w:val="20"/>
          <w:color w:val="auto"/>
        </w:rPr>
      </w:pPr>
    </w:p>
    <w:p>
      <w:pPr>
        <w:jc w:val="center"/>
        <w:ind w:left="520" w:right="360"/>
        <w:spacing w:after="0" w:line="449" w:lineRule="auto"/>
        <w:rPr>
          <w:sz w:val="20"/>
          <w:szCs w:val="20"/>
          <w:color w:val="auto"/>
        </w:rPr>
      </w:pPr>
      <w:r>
        <w:rPr>
          <w:rFonts w:ascii="Arial" w:cs="Arial" w:eastAsia="Arial" w:hAnsi="Arial"/>
          <w:sz w:val="18"/>
          <w:szCs w:val="18"/>
          <w:color w:val="auto"/>
        </w:rPr>
        <w:t>The Company had 24,437,400 and 24,463,119 shares of common stock outstanding as of June 30, 2020 and December 31, 2019, respectively. 34</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Dividends and Distributions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Company’s dividends and distributions are recorded on the record date. The following table summarizes the dividends paid during the last two fiscal years and for the six months ended June 30,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Record</w:t>
            </w: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Payment</w:t>
            </w:r>
          </w:p>
        </w:tc>
        <w:tc>
          <w:tcPr>
            <w:tcW w:w="20" w:type="dxa"/>
            <w:vAlign w:val="bottom"/>
          </w:tcPr>
          <w:p>
            <w:pPr>
              <w:spacing w:after="0"/>
              <w:rPr>
                <w:sz w:val="14"/>
                <w:szCs w:val="14"/>
                <w:color w:val="auto"/>
              </w:rPr>
            </w:pPr>
          </w:p>
        </w:tc>
        <w:tc>
          <w:tcPr>
            <w:tcW w:w="8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Cash</w:t>
            </w: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DRIP</w:t>
            </w: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DRIP</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DRIP</w:t>
            </w:r>
          </w:p>
        </w:tc>
        <w:tc>
          <w:tcPr>
            <w:tcW w:w="0" w:type="dxa"/>
            <w:vAlign w:val="bottom"/>
          </w:tcPr>
          <w:p>
            <w:pPr>
              <w:spacing w:after="0"/>
              <w:rPr>
                <w:sz w:val="1"/>
                <w:szCs w:val="1"/>
                <w:color w:val="auto"/>
              </w:rPr>
            </w:pPr>
          </w:p>
        </w:tc>
      </w:tr>
      <w:tr>
        <w:trPr>
          <w:trHeight w:val="148"/>
        </w:trPr>
        <w:tc>
          <w:tcPr>
            <w:tcW w:w="36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Shares</w:t>
            </w:r>
          </w:p>
        </w:tc>
        <w:tc>
          <w:tcPr>
            <w:tcW w:w="820" w:type="dxa"/>
            <w:vAlign w:val="bottom"/>
            <w:gridSpan w:val="2"/>
            <w:vMerge w:val="continue"/>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Declared</w:t>
            </w: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Date</w:t>
            </w: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Per Share</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Distribution</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Distribution</w:t>
            </w: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Value</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Issue Price</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Ended December 31, 2018:</w:t>
            </w: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2/13/2018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3/9/2018</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3/23/2018</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9,558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9,558</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4/30/2018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6/8/2018</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6/22/2018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9,541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9,541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7/30/2018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9/7/2018</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9/21/2018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9,540</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9,540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10/30/2018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12/7/2018</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12/21/2018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9,541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9,541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10/30/2018</w:t>
            </w:r>
            <w:r>
              <w:rPr>
                <w:rFonts w:ascii="Arial" w:cs="Arial" w:eastAsia="Arial" w:hAnsi="Arial"/>
                <w:sz w:val="15"/>
                <w:szCs w:val="15"/>
                <w:color w:val="auto"/>
              </w:rPr>
              <w:t>(1)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12/7/2018</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12/21/2018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978</w:t>
            </w:r>
          </w:p>
        </w:tc>
        <w:tc>
          <w:tcPr>
            <w:tcW w:w="2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39,158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39,158</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Fiscal Year Ended December 31, 2019:</w:t>
            </w: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1/31/2019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3/8/2019</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3/22/2019</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9,541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9,541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4/29/2019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6/7/2019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6/21/2019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9,540</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9,540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7/29/2019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9/6/2019</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9/20/2019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9,541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9,541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10/29/2019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12/6/2019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12/20/2019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9,541</w:t>
            </w: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9,541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10/29/2019</w:t>
            </w:r>
            <w:r>
              <w:rPr>
                <w:rFonts w:ascii="Arial" w:cs="Arial" w:eastAsia="Arial" w:hAnsi="Arial"/>
                <w:sz w:val="15"/>
                <w:szCs w:val="15"/>
                <w:color w:val="auto"/>
              </w:rPr>
              <w:t>(1)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12/6/2019</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12/20/2019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978</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39,141</w:t>
            </w: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2020:</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2/14/2020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3/13/2020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3/27/2020</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9,537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9,537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4/29/2020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6/12/2020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6/26/2020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7,331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7,331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16,868</w:t>
            </w: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Special dividend.</w:t>
      </w:r>
    </w:p>
    <w:p>
      <w:pPr>
        <w:spacing w:after="0" w:line="23" w:lineRule="exact"/>
        <w:rPr>
          <w:rFonts w:ascii="Arial" w:cs="Arial" w:eastAsia="Arial" w:hAnsi="Arial"/>
          <w:sz w:val="18"/>
          <w:szCs w:val="18"/>
          <w:color w:val="auto"/>
        </w:rPr>
      </w:pPr>
    </w:p>
    <w:p>
      <w:pPr>
        <w:ind w:left="540" w:right="120" w:hanging="424"/>
        <w:spacing w:after="0" w:line="277"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During the six months ended June 30, 2020 and the years ended December 31, 2019 and 2018, the Company directed the DRIP program plan administrator to repurchase shares on the open market in order to satisfy the DRIP obligation to deliver shares of common stock in lieu of issuing new shares. Accordingly, the Company purchased and reissued shares to satisfy the DRIP obligation as follows:</w:t>
      </w:r>
    </w:p>
    <w:p>
      <w:pPr>
        <w:spacing w:after="0" w:line="17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Average</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 Ended December 31, 2018:</w:t>
            </w:r>
          </w:p>
        </w:tc>
        <w:tc>
          <w:tcPr>
            <w:tcW w:w="19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1180" w:type="dxa"/>
            <w:vAlign w:val="bottom"/>
            <w:gridSpan w:val="3"/>
          </w:tcPr>
          <w:p>
            <w:pPr>
              <w:ind w:left="5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80" w:type="dxa"/>
            <w:vAlign w:val="bottom"/>
            <w:gridSpan w:val="3"/>
            <w:vMerge w:val="continue"/>
          </w:tcPr>
          <w:p>
            <w:pPr>
              <w:spacing w:after="0"/>
              <w:rPr>
                <w:sz w:val="13"/>
                <w:szCs w:val="13"/>
                <w:color w:val="auto"/>
              </w:rPr>
            </w:pPr>
          </w:p>
        </w:tc>
        <w:tc>
          <w:tcPr>
            <w:tcW w:w="28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and Reissued</w:t>
            </w:r>
          </w:p>
        </w:tc>
        <w:tc>
          <w:tcPr>
            <w:tcW w:w="520" w:type="dxa"/>
            <w:vAlign w:val="bottom"/>
          </w:tcPr>
          <w:p>
            <w:pPr>
              <w:spacing w:after="0"/>
              <w:rPr>
                <w:sz w:val="13"/>
                <w:szCs w:val="13"/>
                <w:color w:val="auto"/>
              </w:rPr>
            </w:pPr>
          </w:p>
        </w:tc>
        <w:tc>
          <w:tcPr>
            <w:tcW w:w="6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4"/>
              </w:rPr>
              <w:t>Per Share</w:t>
            </w:r>
          </w:p>
        </w:tc>
        <w:tc>
          <w:tcPr>
            <w:tcW w:w="1400" w:type="dxa"/>
            <w:vAlign w:val="bottom"/>
            <w:gridSpan w:val="4"/>
          </w:tcPr>
          <w:p>
            <w:pPr>
              <w:jc w:val="center"/>
              <w:ind w:left="379"/>
              <w:spacing w:after="0" w:line="158" w:lineRule="exact"/>
              <w:rPr>
                <w:sz w:val="20"/>
                <w:szCs w:val="20"/>
                <w:color w:val="auto"/>
              </w:rPr>
            </w:pPr>
            <w:r>
              <w:rPr>
                <w:rFonts w:ascii="Arial" w:cs="Arial" w:eastAsia="Arial" w:hAnsi="Arial"/>
                <w:sz w:val="14"/>
                <w:szCs w:val="14"/>
                <w:b w:val="1"/>
                <w:bCs w:val="1"/>
                <w:color w:val="auto"/>
                <w:w w:val="94"/>
              </w:rPr>
              <w:t>Amount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bottom w:val="single" w:sz="8" w:color="CCEEFF"/>
            </w:tcBorders>
            <w:shd w:val="clear" w:color="auto" w:fill="000000"/>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 2018 through March 31, 2018</w:t>
            </w:r>
          </w:p>
        </w:tc>
        <w:tc>
          <w:tcPr>
            <w:tcW w:w="19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16,503</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12.97</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April 1, 2018 through June 30, 2018</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16,216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2018 through September 30, 2018</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October 1, 2018 through December 31, 2018</w:t>
            </w:r>
          </w:p>
        </w:tc>
        <w:tc>
          <w:tcPr>
            <w:tcW w:w="19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29,152</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78,078</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6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24"/>
                <w:szCs w:val="2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Average</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 Ended December 31, 2019:</w:t>
            </w:r>
          </w:p>
        </w:tc>
        <w:tc>
          <w:tcPr>
            <w:tcW w:w="19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1180" w:type="dxa"/>
            <w:vAlign w:val="bottom"/>
            <w:gridSpan w:val="3"/>
          </w:tcPr>
          <w:p>
            <w:pPr>
              <w:ind w:left="5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80" w:type="dxa"/>
            <w:vAlign w:val="bottom"/>
            <w:gridSpan w:val="3"/>
            <w:vMerge w:val="continue"/>
          </w:tcPr>
          <w:p>
            <w:pPr>
              <w:spacing w:after="0"/>
              <w:rPr>
                <w:sz w:val="13"/>
                <w:szCs w:val="13"/>
                <w:color w:val="auto"/>
              </w:rPr>
            </w:pPr>
          </w:p>
        </w:tc>
        <w:tc>
          <w:tcPr>
            <w:tcW w:w="28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and Reissued</w:t>
            </w:r>
          </w:p>
        </w:tc>
        <w:tc>
          <w:tcPr>
            <w:tcW w:w="520" w:type="dxa"/>
            <w:vAlign w:val="bottom"/>
          </w:tcPr>
          <w:p>
            <w:pPr>
              <w:spacing w:after="0"/>
              <w:rPr>
                <w:sz w:val="13"/>
                <w:szCs w:val="13"/>
                <w:color w:val="auto"/>
              </w:rPr>
            </w:pPr>
          </w:p>
        </w:tc>
        <w:tc>
          <w:tcPr>
            <w:tcW w:w="6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4"/>
              </w:rPr>
              <w:t>Per Share</w:t>
            </w:r>
          </w:p>
        </w:tc>
        <w:tc>
          <w:tcPr>
            <w:tcW w:w="1400" w:type="dxa"/>
            <w:vAlign w:val="bottom"/>
            <w:gridSpan w:val="4"/>
          </w:tcPr>
          <w:p>
            <w:pPr>
              <w:jc w:val="center"/>
              <w:ind w:left="379"/>
              <w:spacing w:after="0" w:line="158" w:lineRule="exact"/>
              <w:rPr>
                <w:sz w:val="20"/>
                <w:szCs w:val="20"/>
                <w:color w:val="auto"/>
              </w:rPr>
            </w:pPr>
            <w:r>
              <w:rPr>
                <w:rFonts w:ascii="Arial" w:cs="Arial" w:eastAsia="Arial" w:hAnsi="Arial"/>
                <w:sz w:val="14"/>
                <w:szCs w:val="14"/>
                <w:b w:val="1"/>
                <w:bCs w:val="1"/>
                <w:color w:val="auto"/>
                <w:w w:val="94"/>
              </w:rPr>
              <w:t>Amount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bottom w:val="single" w:sz="8" w:color="CCEEFF"/>
            </w:tcBorders>
            <w:shd w:val="clear" w:color="auto" w:fill="000000"/>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 2019 through March 31, 2019</w:t>
            </w:r>
          </w:p>
        </w:tc>
        <w:tc>
          <w:tcPr>
            <w:tcW w:w="19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21,855</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15.25</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April 1, 2019 through June 30, 2019</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14,067</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16.23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2019 through September 30, 2019</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15,289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October 1, 2019 through December 31, 2019</w:t>
            </w:r>
          </w:p>
        </w:tc>
        <w:tc>
          <w:tcPr>
            <w:tcW w:w="19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17,525</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68,736</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6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80" w:type="dxa"/>
            <w:vAlign w:val="bottom"/>
            <w:vMerge w:val="restart"/>
          </w:tcPr>
          <w:p>
            <w:pPr>
              <w:jc w:val="right"/>
              <w:ind w:right="1054"/>
              <w:spacing w:after="0"/>
              <w:rPr>
                <w:sz w:val="20"/>
                <w:szCs w:val="20"/>
                <w:color w:val="auto"/>
              </w:rPr>
            </w:pPr>
            <w:r>
              <w:rPr>
                <w:rFonts w:ascii="Arial" w:cs="Arial" w:eastAsia="Arial" w:hAnsi="Arial"/>
                <w:sz w:val="18"/>
                <w:szCs w:val="18"/>
                <w:color w:val="auto"/>
              </w:rPr>
              <w:t>35</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2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58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Average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5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 2020:</w:t>
            </w:r>
          </w:p>
        </w:tc>
        <w:tc>
          <w:tcPr>
            <w:tcW w:w="14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w:t>
            </w: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Price Paid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340" w:type="dxa"/>
            <w:vAlign w:val="bottom"/>
            <w:gridSpan w:val="3"/>
            <w:vMerge w:val="continue"/>
          </w:tcPr>
          <w:p>
            <w:pPr>
              <w:spacing w:after="0"/>
              <w:rPr>
                <w:sz w:val="13"/>
                <w:szCs w:val="13"/>
                <w:color w:val="auto"/>
              </w:rPr>
            </w:pPr>
          </w:p>
        </w:tc>
        <w:tc>
          <w:tcPr>
            <w:tcW w:w="22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and Reissued</w:t>
            </w:r>
          </w:p>
        </w:tc>
        <w:tc>
          <w:tcPr>
            <w:tcW w:w="580" w:type="dxa"/>
            <w:vAlign w:val="bottom"/>
          </w:tcPr>
          <w:p>
            <w:pPr>
              <w:spacing w:after="0"/>
              <w:rPr>
                <w:sz w:val="13"/>
                <w:szCs w:val="13"/>
                <w:color w:val="auto"/>
              </w:rPr>
            </w:pPr>
          </w:p>
        </w:tc>
        <w:tc>
          <w:tcPr>
            <w:tcW w:w="6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4"/>
              </w:rPr>
              <w:t>Per Share</w:t>
            </w:r>
          </w:p>
        </w:tc>
        <w:tc>
          <w:tcPr>
            <w:tcW w:w="1460" w:type="dxa"/>
            <w:vAlign w:val="bottom"/>
            <w:gridSpan w:val="4"/>
          </w:tcPr>
          <w:p>
            <w:pPr>
              <w:jc w:val="right"/>
              <w:ind w:right="60"/>
              <w:spacing w:after="0" w:line="158" w:lineRule="exact"/>
              <w:rPr>
                <w:sz w:val="20"/>
                <w:szCs w:val="20"/>
                <w:color w:val="auto"/>
              </w:rPr>
            </w:pPr>
            <w:r>
              <w:rPr>
                <w:rFonts w:ascii="Arial" w:cs="Arial" w:eastAsia="Arial" w:hAnsi="Arial"/>
                <w:sz w:val="14"/>
                <w:szCs w:val="14"/>
                <w:b w:val="1"/>
                <w:bCs w:val="1"/>
                <w:color w:val="auto"/>
              </w:rPr>
              <w:t>Amount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 2020 through March 31, 2020</w:t>
            </w:r>
          </w:p>
        </w:tc>
        <w:tc>
          <w:tcPr>
            <w:tcW w:w="1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31,586</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7.58</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April 1, 2020 through June 30, 2020</w:t>
            </w:r>
          </w:p>
        </w:tc>
        <w:tc>
          <w:tcPr>
            <w:tcW w:w="14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21,904</w:t>
            </w: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53,490</w:t>
            </w:r>
          </w:p>
        </w:tc>
        <w:tc>
          <w:tcPr>
            <w:tcW w:w="8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7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Financial Highlights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schedule of financial highlights for the six months ended June 30, 2020 and 2019:</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6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16.85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 xml:space="preserve">Net realized gain (loss) on investments, net of tax (provision)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unrealized appreciation (depreciation) on investments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 xml:space="preserve">Realized losses on extinguishment of debt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increase from investment operations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Accretive (dilutive) effect of share issuances and repurchases</w:t>
            </w:r>
          </w:p>
        </w:tc>
        <w:tc>
          <w:tcPr>
            <w:tcW w:w="80" w:type="dxa"/>
            <w:vAlign w:val="bottom"/>
          </w:tcPr>
          <w:p>
            <w:pPr>
              <w:spacing w:after="0"/>
              <w:rPr>
                <w:sz w:val="18"/>
                <w:szCs w:val="18"/>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Dividends to stockholders</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Market value at end of period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7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8"/>
              </w:rPr>
              <w:t>24,437,400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24,463,119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Weighted average shares outstanding during the period</w:t>
            </w:r>
          </w:p>
        </w:tc>
        <w:tc>
          <w:tcPr>
            <w:tcW w:w="80" w:type="dxa"/>
            <w:vAlign w:val="bottom"/>
          </w:tcPr>
          <w:p>
            <w:pPr>
              <w:spacing w:after="0"/>
              <w:rPr>
                <w:sz w:val="18"/>
                <w:szCs w:val="18"/>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w w:val="88"/>
              </w:rPr>
              <w:t>24,447,517</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24,463,119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376,176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398,478</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 xml:space="preserve">Average net assets </w:t>
            </w:r>
            <w:r>
              <w:rPr>
                <w:rFonts w:ascii="Arial" w:cs="Arial" w:eastAsia="Arial" w:hAnsi="Arial"/>
                <w:sz w:val="15"/>
                <w:szCs w:val="15"/>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388,007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402,093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to average net assets: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15"/>
                <w:szCs w:val="15"/>
                <w:color w:val="auto"/>
              </w:rPr>
              <w:t>(3)(5)(12)</w:t>
            </w:r>
          </w:p>
        </w:tc>
        <w:tc>
          <w:tcPr>
            <w:tcW w:w="8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(3)(6)</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(4)</w:t>
            </w:r>
          </w:p>
        </w:tc>
        <w:tc>
          <w:tcPr>
            <w:tcW w:w="8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based on net asset value </w:t>
            </w:r>
            <w:r>
              <w:rPr>
                <w:rFonts w:ascii="Arial" w:cs="Arial" w:eastAsia="Arial" w:hAnsi="Arial"/>
                <w:sz w:val="15"/>
                <w:szCs w:val="15"/>
                <w:color w:val="auto"/>
              </w:rPr>
              <w:t>(9)</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 xml:space="preserve">Portfolio turnover ratio </w:t>
            </w:r>
            <w:r>
              <w:rPr>
                <w:rFonts w:ascii="Arial" w:cs="Arial" w:eastAsia="Arial" w:hAnsi="Arial"/>
                <w:sz w:val="15"/>
                <w:szCs w:val="15"/>
                <w:color w:val="auto"/>
              </w:rPr>
              <w:t>(10)</w:t>
            </w:r>
          </w:p>
        </w:tc>
        <w:tc>
          <w:tcPr>
            <w:tcW w:w="8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 xml:space="preserve">Average debt outstanding </w:t>
            </w:r>
            <w:r>
              <w:rPr>
                <w:rFonts w:ascii="Arial" w:cs="Arial" w:eastAsia="Arial" w:hAnsi="Arial"/>
                <w:sz w:val="15"/>
                <w:szCs w:val="15"/>
                <w:color w:val="auto"/>
              </w:rPr>
              <w:t>(8)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373,417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295,833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Average debt per share </w:t>
            </w:r>
            <w:r>
              <w:rPr>
                <w:rFonts w:ascii="Arial" w:cs="Arial" w:eastAsia="Arial" w:hAnsi="Arial"/>
                <w:sz w:val="15"/>
                <w:szCs w:val="15"/>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Weighted average per share data.</w:t>
      </w:r>
    </w:p>
    <w:p>
      <w:pPr>
        <w:spacing w:after="0" w:line="23"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Annualized with the exception of the Income Incentive Fee Waiver.</w:t>
      </w:r>
    </w:p>
    <w:p>
      <w:pPr>
        <w:spacing w:after="0" w:line="9" w:lineRule="exact"/>
        <w:rPr>
          <w:rFonts w:ascii="Arial" w:cs="Arial" w:eastAsia="Arial" w:hAnsi="Arial"/>
          <w:sz w:val="18"/>
          <w:szCs w:val="18"/>
          <w:color w:val="auto"/>
        </w:rPr>
      </w:pPr>
    </w:p>
    <w:p>
      <w:pPr>
        <w:jc w:val="both"/>
        <w:ind w:left="540" w:right="40" w:hanging="424"/>
        <w:spacing w:after="0" w:line="265"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p>
    <w:p>
      <w:pPr>
        <w:ind w:left="540" w:hanging="424"/>
        <w:spacing w:after="0" w:line="26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total expenses to average net assets ratio is calculated using the total expenses before income incentive fee waiver caption as presented on the consolidated statements of operations, which includes incentive fee and excludes the income tax provision.</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60"/>
          </w:cols>
          <w:pgMar w:left="320" w:top="459"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FIDUS INVESTMENT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143" w:lineRule="exact"/>
        <w:rPr>
          <w:sz w:val="20"/>
          <w:szCs w:val="20"/>
          <w:color w:val="auto"/>
        </w:rPr>
      </w:pPr>
    </w:p>
    <w:p>
      <w:pPr>
        <w:ind w:left="540" w:right="460" w:hanging="424"/>
        <w:spacing w:after="0" w:line="258"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net investment income to average net assets ratio is calculated using the net investment income caption as presented on the consolidated statements of operations, which includes incentive fee.</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Average net assets is calculated as the average of the net asset balances as of each quarter end during the fiscal year and the prior year end.</w:t>
      </w:r>
    </w:p>
    <w:p>
      <w:pPr>
        <w:spacing w:after="0" w:line="32" w:lineRule="exact"/>
        <w:rPr>
          <w:rFonts w:ascii="Arial" w:cs="Arial" w:eastAsia="Arial" w:hAnsi="Arial"/>
          <w:sz w:val="16"/>
          <w:szCs w:val="16"/>
          <w:color w:val="auto"/>
        </w:rPr>
      </w:pPr>
    </w:p>
    <w:p>
      <w:pPr>
        <w:ind w:left="540" w:right="22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Average debt outstanding is calculated as the average of the outstanding debt balances as of each quarter end during the fiscal year and the prior year end.</w:t>
      </w:r>
    </w:p>
    <w:p>
      <w:pPr>
        <w:ind w:left="54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Annualized.</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ratio of waived incentive fees to average net assets was (0.11%) and zero for the six months ended June 30, 2020 and 2019, respectively.</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is a schedule of supplemental expense ratios to average net assets:</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680" w:type="dxa"/>
            <w:vAlign w:val="bottom"/>
            <w:vMerge w:val="restart"/>
          </w:tcPr>
          <w:p>
            <w:pPr>
              <w:spacing w:after="0"/>
              <w:rPr>
                <w:sz w:val="20"/>
                <w:szCs w:val="20"/>
                <w:color w:val="auto"/>
              </w:rPr>
            </w:pPr>
            <w:r>
              <w:rPr>
                <w:rFonts w:ascii="Arial" w:cs="Arial" w:eastAsia="Arial" w:hAnsi="Arial"/>
                <w:sz w:val="14"/>
                <w:szCs w:val="14"/>
                <w:b w:val="1"/>
                <w:bCs w:val="1"/>
                <w:color w:val="auto"/>
                <w:w w:val="89"/>
              </w:rPr>
              <w:t>Ratio to average net assets:</w:t>
            </w:r>
          </w:p>
        </w:tc>
        <w:tc>
          <w:tcPr>
            <w:tcW w:w="4300" w:type="dxa"/>
            <w:vAlign w:val="bottom"/>
            <w:vMerge w:val="restart"/>
          </w:tcPr>
          <w:p>
            <w:pPr>
              <w:spacing w:after="0"/>
              <w:rPr>
                <w:sz w:val="14"/>
                <w:szCs w:val="14"/>
                <w:color w:val="auto"/>
              </w:rPr>
            </w:pPr>
          </w:p>
        </w:tc>
        <w:tc>
          <w:tcPr>
            <w:tcW w:w="23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34"/>
        </w:trPr>
        <w:tc>
          <w:tcPr>
            <w:tcW w:w="1680" w:type="dxa"/>
            <w:vAlign w:val="bottom"/>
            <w:tcBorders>
              <w:bottom w:val="single" w:sz="8" w:color="auto"/>
            </w:tcBorders>
            <w:vMerge w:val="continue"/>
          </w:tcPr>
          <w:p>
            <w:pPr>
              <w:spacing w:after="0"/>
              <w:rPr>
                <w:sz w:val="11"/>
                <w:szCs w:val="11"/>
                <w:color w:val="auto"/>
              </w:rPr>
            </w:pPr>
          </w:p>
        </w:tc>
        <w:tc>
          <w:tcPr>
            <w:tcW w:w="4300" w:type="dxa"/>
            <w:vAlign w:val="bottom"/>
            <w:vMerge w:val="continue"/>
          </w:tcPr>
          <w:p>
            <w:pPr>
              <w:spacing w:after="0"/>
              <w:rPr>
                <w:sz w:val="11"/>
                <w:szCs w:val="11"/>
                <w:color w:val="auto"/>
              </w:rPr>
            </w:pPr>
          </w:p>
        </w:tc>
        <w:tc>
          <w:tcPr>
            <w:tcW w:w="60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2020</w:t>
            </w:r>
          </w:p>
        </w:tc>
        <w:tc>
          <w:tcPr>
            <w:tcW w:w="10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 xml:space="preserve">Expenses other than incentive fee </w:t>
            </w:r>
            <w:r>
              <w:rPr>
                <w:rFonts w:ascii="Arial" w:cs="Arial" w:eastAsia="Arial" w:hAnsi="Arial"/>
                <w:sz w:val="15"/>
                <w:szCs w:val="15"/>
                <w:color w:val="auto"/>
              </w:rPr>
              <w:t>(3)</w:t>
            </w:r>
          </w:p>
        </w:tc>
        <w:tc>
          <w:tcPr>
            <w:tcW w:w="600" w:type="dxa"/>
            <w:vAlign w:val="bottom"/>
            <w:shd w:val="clear" w:color="auto" w:fill="000000"/>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gridSpan w:val="2"/>
            <w:vMerge w:val="continue"/>
            <w:shd w:val="clear" w:color="auto" w:fill="CCEEFF"/>
          </w:tcPr>
          <w:p>
            <w:pPr>
              <w:spacing w:after="0"/>
              <w:rPr>
                <w:sz w:val="17"/>
                <w:szCs w:val="17"/>
                <w:color w:val="auto"/>
              </w:rPr>
            </w:pPr>
          </w:p>
        </w:tc>
        <w:tc>
          <w:tcPr>
            <w:tcW w:w="1640" w:type="dxa"/>
            <w:vAlign w:val="bottom"/>
            <w:gridSpan w:val="2"/>
            <w:shd w:val="clear" w:color="auto" w:fill="CCEEFF"/>
          </w:tcPr>
          <w:p>
            <w:pPr>
              <w:jc w:val="right"/>
              <w:ind w:right="880"/>
              <w:spacing w:after="0" w:line="203" w:lineRule="exact"/>
              <w:rPr>
                <w:sz w:val="20"/>
                <w:szCs w:val="20"/>
                <w:color w:val="auto"/>
              </w:rPr>
            </w:pPr>
            <w:r>
              <w:rPr>
                <w:rFonts w:ascii="Arial" w:cs="Arial" w:eastAsia="Arial" w:hAnsi="Arial"/>
                <w:sz w:val="18"/>
                <w:szCs w:val="18"/>
                <w:color w:val="auto"/>
              </w:rPr>
              <w:t>9.9%</w:t>
            </w:r>
          </w:p>
        </w:tc>
        <w:tc>
          <w:tcPr>
            <w:tcW w:w="7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 xml:space="preserve">Incentive fee, net of incentive fee waiver </w:t>
            </w:r>
            <w:r>
              <w:rPr>
                <w:rFonts w:ascii="Arial" w:cs="Arial" w:eastAsia="Arial" w:hAnsi="Arial"/>
                <w:sz w:val="15"/>
                <w:szCs w:val="15"/>
                <w:color w:val="auto"/>
              </w:rPr>
              <w:t>(3)(11)</w:t>
            </w: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(2.8%)</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Total expenses </w:t>
            </w:r>
            <w:r>
              <w:rPr>
                <w:rFonts w:ascii="Arial" w:cs="Arial" w:eastAsia="Arial" w:hAnsi="Arial"/>
                <w:sz w:val="15"/>
                <w:szCs w:val="15"/>
                <w:color w:val="auto"/>
              </w:rPr>
              <w:t>(3)(5)</w:t>
            </w:r>
          </w:p>
        </w:tc>
        <w:tc>
          <w:tcPr>
            <w:tcW w:w="16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Subsequent Events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 July 2, 2020, the Company exited its debt investment in Hoonuit, LLC. The Company received payment in full of $7,308 on its first lien debt, which includes a prepayment penalty.</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July 24, 2020, we exited our debt and equity investments in Microbiology Research Associates, Inc. We received payment in full of $8,997 on our subordinated debt investment. We sold our common equity investment for a realized gain of approximately $1,366.</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August 3, 2020, the Board declared a regular quarterly dividend of $0.30 per share payable on September 25, 2020 to stockholders of record as of September 11, 2020.</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Subsequent to June 30, 2020, the global outbreak of the coronavirus (“COVID-19”) pandemic, and the related effect on the U.S. and global economies, has continued to have adverse consequences for the business operations of some of the Company’s portfolio companies. The ultimate economic fallout from the pandemic, and the long-term impact on economies, markets, industries and individual issuers, remain uncertain. The operational and financial performance of the issuers of securities in which the Company invests depends on future developments, including the duration and spread of the outbreak, and such uncertainty may in turn adversely affect the value and liquidity of the Company’s investments and negatively impact the Company’s performance.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Fidus Investment Corporation’s consolidated financial statements and related notes appearing in our annual report on Form 10-K for the year ended December 31, 2019, filed with the SEC on February 27, 2020. The information contained in this section should also be read in conjunction with our unaudited consolidated financial statements and related notes thereto appearing elsewhere in this quarterly report on Form 10-Q.</w:t>
      </w:r>
    </w:p>
    <w:p>
      <w:pPr>
        <w:spacing w:after="0" w:line="17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i w:val="1"/>
          <w:iCs w:val="1"/>
          <w:color w:val="auto"/>
        </w:rPr>
        <w:t>Except as otherwise specified, references to “we,” “us,” “our,” “Fidus” and “FIC” refer to Fidus Investment Corporation and its consolidated subsidiaries.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spacing w:after="0" w:line="98"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future operating results and the impact of the COVID-19 pandemic thereon;</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 including our and their ability to achieve our respective objectives as a result of the current COVID-19 pandemic;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pandemics or other serious public health events, such as the recent global outbreak of COVID-19;</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 and the impact of the COVID-19 pandemic thereon;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expected financing and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timing of cash flows, if any, from the operations of our portfolio companies and the impact of the COVID-19 pandemic thereon; and</w:t>
      </w:r>
    </w:p>
    <w:p>
      <w:pPr>
        <w:spacing w:after="0" w:line="153"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the Investment Advisor to locate suitable investments for us and to monitor and administer our investments and the impacts of the COVID-19 pandemic thereon.</w:t>
      </w:r>
    </w:p>
    <w:p>
      <w:pPr>
        <w:spacing w:after="0" w:line="170"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89" w:lineRule="exact"/>
        <w:rPr>
          <w:sz w:val="20"/>
          <w:szCs w:val="20"/>
          <w:color w:val="auto"/>
        </w:rPr>
      </w:pPr>
    </w:p>
    <w:p>
      <w:pPr>
        <w:ind w:left="1080" w:right="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economic downturn, including as a result of the current COVID-19 pandemic, could impair our portfolio companies’ ability to continue to operate, which could lead to the loss of some or all of our investments in such portfolio companies;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including as a result of the COVID-19 pandemic, could impair our lending and investment activities;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interest rate volatility could adversely affect our results, particularly because we use leverage as part of our investment strategy;</w:t>
      </w:r>
    </w:p>
    <w:p>
      <w:pPr>
        <w:spacing w:after="0" w:line="142"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currency fluctuations could adversely affect the results of our investments in foreign companies, particularly to the extent that we receive payments denominated in foreign currency rather than the U.S. dollars; and</w:t>
      </w:r>
    </w:p>
    <w:p>
      <w:pPr>
        <w:spacing w:after="0" w:line="75"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the risks, uncertainties and other factors we identify in </w:t>
      </w:r>
      <w:r>
        <w:rPr>
          <w:rFonts w:ascii="Arial" w:cs="Arial" w:eastAsia="Arial" w:hAnsi="Arial"/>
          <w:sz w:val="17"/>
          <w:szCs w:val="17"/>
          <w:i w:val="1"/>
          <w:iCs w:val="1"/>
          <w:color w:val="auto"/>
        </w:rPr>
        <w:t>Item 1A. – Risk Factors</w:t>
      </w:r>
      <w:r>
        <w:rPr>
          <w:rFonts w:ascii="Arial" w:cs="Arial" w:eastAsia="Arial" w:hAnsi="Arial"/>
          <w:sz w:val="17"/>
          <w:szCs w:val="17"/>
          <w:color w:val="auto"/>
        </w:rPr>
        <w:t xml:space="preserve"> contained in our Annual Report on Form 10-K for the year ended December 31, 2019, elsewhere in this Quarterly Report on Form 10-Q and in our other filings with the SEC.</w:t>
      </w:r>
    </w:p>
    <w:p>
      <w:pPr>
        <w:spacing w:after="0" w:line="14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Arial" w:cs="Arial" w:eastAsia="Arial" w:hAnsi="Arial"/>
          <w:sz w:val="16"/>
          <w:szCs w:val="16"/>
          <w:i w:val="1"/>
          <w:iCs w:val="1"/>
          <w:color w:val="auto"/>
        </w:rPr>
        <w:t>Item 1.A – Risk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Factors </w:t>
      </w:r>
      <w:r>
        <w:rPr>
          <w:rFonts w:ascii="Arial" w:cs="Arial" w:eastAsia="Arial" w:hAnsi="Arial"/>
          <w:sz w:val="16"/>
          <w:szCs w:val="16"/>
          <w:color w:val="auto"/>
        </w:rPr>
        <w:t>contained in our Annual Report on Form 10-K for the year ended December 31, 2019, filed with the SEC on February 27, 2020. You should not</w:t>
      </w:r>
      <w:r>
        <w:rPr>
          <w:rFonts w:ascii="Arial" w:cs="Arial" w:eastAsia="Arial" w:hAnsi="Arial"/>
          <w:sz w:val="16"/>
          <w:szCs w:val="16"/>
          <w:i w:val="1"/>
          <w:iCs w:val="1"/>
          <w:color w:val="auto"/>
        </w:rPr>
        <w:t xml:space="preserve"> </w:t>
      </w:r>
      <w:r>
        <w:rPr>
          <w:rFonts w:ascii="Arial" w:cs="Arial" w:eastAsia="Arial" w:hAnsi="Arial"/>
          <w:sz w:val="16"/>
          <w:szCs w:val="16"/>
          <w:color w:val="auto"/>
        </w:rPr>
        <w:t>place undue reliance on these forward-looking statements, which apply only as of the date of this Quarterly Report on Form 10-Q.</w:t>
      </w:r>
    </w:p>
    <w:p>
      <w:pPr>
        <w:sectPr>
          <w:pgSz w:w="11900" w:h="16838" w:orient="portrait"/>
          <w:cols w:equalWidth="0" w:num="1">
            <w:col w:w="11120"/>
          </w:cols>
          <w:pgMar w:left="320" w:top="459" w:right="459" w:bottom="1440" w:gutter="0" w:footer="0" w:header="0"/>
        </w:sectPr>
      </w:pP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120"/>
          </w:cols>
          <w:pgMar w:left="320" w:top="459" w:right="45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Corporate Structure</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FIC was formed as a Maryland corporation on February 14, 2011. We completed our initial public offering, or IPO, in June 2011. FIC has elected to be treated as business development company, or BDC, under the 1940 Act and our investment activities are managed by Fidus Investment Advisors, our investment advisor, and supervised by the Board, a majority of whom are independent of us. On March 29, 2013, we commenced operations of a wholly-owned subsidiary, Fund II. On April 18, 2018, we commenced operations of another wholly-owned subsidiary, Fund III. Fund II and Fund III are collectively referred to as the “Funds.”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Fund II and Fund III received their SBIC licenses on May 28, 2013, and March 21, 2019, respectively. We plan to continue to operate the Funds as SBICs, subject to SBA approval, and to utilize the proceeds of the sale of SBA-guaranteed debentures to enhance returns to our stockholders. We have also made, and continue to make, investments directly through FIC. We believe that utilizing FIC and the Funds as investment vehicles provides us with access to a broader array of investment opportunities.</w:t>
      </w:r>
    </w:p>
    <w:p>
      <w:pPr>
        <w:spacing w:after="0" w:line="187"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We have certain wholly-owned taxable subsidiaries (the “Taxable Subsidiaries”), each of which generally holds one or more of our portfolio investments listed on the consolidated schedules of investments. The Taxable Subsidiaries are consolidated for financial reporting purposes, such that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COVID-19 Update</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On March 11, 2020, the World Health Organization declared the novel coronavirus, or COVID-19, as a pandemic, and on March 13, 2020 the United States declared a national emergency with respect to COVID-19. The outbreak of COVID-19 has, and continues, to severely impact global economic activity and cause significant volatility and negative pressure in financial markets. The global impact of the outbreak has been rapidly evolving and many countries, including the United States, have reacted by instituting quarantines, mandating business and school closures and restricting travel. Such actions are creating disruption in global supply chains and adversely impacting a number of industries. The outbreak could have a continued adverse impact on economic and market conditions and trigger a period of global economic slowdown. The rapid development and fluidity of this situation precludes any prediction as to the ultimate adverse impact of COVID-19. Nevertheless, COVID-19 presents material uncertainty and risks with respect to the underlying value of the Company’s portfolio companies, the Company’s business, financial condition, results of operations and cash flows, such as the potential negative impact to financing arrangements, company decisions to delay, defer and/or modify the character of dividends in order to preserve liquidity, increased costs of operations, changes in law and/or regulation, and uncertainty regarding government and regulatory policy.</w:t>
      </w:r>
    </w:p>
    <w:p>
      <w:pPr>
        <w:spacing w:after="0" w:line="18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have evaluated subsequent events from July 1, 2020 through August 6, 2020. However, as the discussion in this Item 2. Management’s Discussion and Analysis of Financial Condition and Results of Operations relates to the Company’s financial statements for the quarter-ended June 30, 2020, the analysis contained herein may not fully account for impacts relating to the COVID-19 pandemic. In that regard, for example, as of June 30, 2020, the Company valued its portfolio investments in conformity with GAAP based on the facts and circumstances known by the Company at that time, or reasonably expected to be known at that time. Due to the overall volatility that the COVID-19 pandemic has caused, any valuations conducted now or in the future in conformity with GAAP could result in a lower fair value of our portfolio. The potential impact to our results going forward will depend to a large extent on future developments and new information that may emerge regarding the duration and severity of COVID-19 and the actions taken by authorities and other entities to contain the coronavirus or treat its impact, all of which are beyond our control. Accordingly, the Company cannot predict the extent to which its financial condition and results of operations will be affected at this time.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spacing w:after="0" w:line="16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i w:val="1"/>
          <w:iCs w:val="1"/>
          <w:color w:val="auto"/>
        </w:rPr>
        <w:t xml:space="preserve">Second Lien Debt. </w:t>
      </w:r>
      <w:r>
        <w:rPr>
          <w:rFonts w:ascii="Arial" w:cs="Arial" w:eastAsia="Arial" w:hAnsi="Arial"/>
          <w:sz w:val="18"/>
          <w:szCs w:val="18"/>
          <w:color w:val="auto"/>
        </w:rPr>
        <w:t>The majority of our debt investments take the form of second lien debt, which includes senior subordinated notes. Second lien</w:t>
      </w:r>
      <w:r>
        <w:rPr>
          <w:rFonts w:ascii="Arial" w:cs="Arial" w:eastAsia="Arial" w:hAnsi="Arial"/>
          <w:sz w:val="18"/>
          <w:szCs w:val="18"/>
          <w:i w:val="1"/>
          <w:iCs w:val="1"/>
          <w:color w:val="auto"/>
        </w:rPr>
        <w:t xml:space="preserve"> </w:t>
      </w:r>
      <w:r>
        <w:rPr>
          <w:rFonts w:ascii="Arial" w:cs="Arial" w:eastAsia="Arial" w:hAnsi="Arial"/>
          <w:sz w:val="18"/>
          <w:szCs w:val="18"/>
          <w:color w:val="auto"/>
        </w:rPr>
        <w:t>debt 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p>
    <w:p>
      <w:pPr>
        <w:spacing w:after="0" w:line="192"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i w:val="1"/>
          <w:iCs w:val="1"/>
          <w:color w:val="auto"/>
        </w:rPr>
        <w:t xml:space="preserve">Subordinated Debt. </w:t>
      </w:r>
      <w:r>
        <w:rPr>
          <w:rFonts w:ascii="Arial" w:cs="Arial" w:eastAsia="Arial" w:hAnsi="Arial"/>
          <w:sz w:val="16"/>
          <w:szCs w:val="16"/>
          <w:color w:val="auto"/>
        </w:rPr>
        <w:t>These investments are typically structured as unsecured, subordinated notes. Structurally, subordinated debt usually ranks</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spacing w:after="0" w:line="165"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i w:val="1"/>
          <w:iCs w:val="1"/>
          <w:color w:val="auto"/>
        </w:rPr>
        <w:t>First Lien Debt</w:t>
      </w:r>
      <w:r>
        <w:rPr>
          <w:rFonts w:ascii="Arial" w:cs="Arial" w:eastAsia="Arial" w:hAnsi="Arial"/>
          <w:sz w:val="17"/>
          <w:szCs w:val="17"/>
          <w:color w:val="auto"/>
        </w:rPr>
        <w:t>. To a lesser extent, we also structure some of our debt investments as senior secured or first lien debt investments. First lien debt</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are secured by a 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spacing w:after="0" w:line="18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fixed interest rate.</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i w:val="1"/>
          <w:iCs w:val="1"/>
          <w:color w:val="auto"/>
        </w:rPr>
        <w:t>Equity Securities</w:t>
      </w:r>
      <w:r>
        <w:rPr>
          <w:rFonts w:ascii="Arial" w:cs="Arial" w:eastAsia="Arial" w:hAnsi="Arial"/>
          <w:sz w:val="17"/>
          <w:szCs w:val="17"/>
          <w:color w:val="auto"/>
        </w:rPr>
        <w:t>. Our equity securities typically consist of either a direct minority equity investment in common or preferred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We generate revenue in the form of interest and fee income on debt investments and dividends, if any, on equity investments. Our debt</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whether in the form of second lien, subordinated or first lien loans, typically have terms of five to seven years and most bear interest at a fixed rate, but some bear interest at a floating rate.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w:t>
      </w:r>
    </w:p>
    <w:p>
      <w:pPr>
        <w:spacing w:after="0" w:line="182"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All investment professionals of the Investment Advisor and/or its affiliates, when and to the extent engaged in providing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and management services to us, and the compensation and routine overhead expenses allocable to personnel who provide these services to us, are provided and paid for by the Investment Advisor and not by us. We bear all other out-of-pocket costs and expenses of our operations and transactions, including, without limitation, those relating to:</w:t>
      </w:r>
    </w:p>
    <w:p>
      <w:pPr>
        <w:spacing w:after="0" w:line="9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30"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fees and expenses incurred by the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 advisory fees and management fees;</w:t>
      </w:r>
    </w:p>
    <w:p>
      <w:pPr>
        <w:spacing w:after="0" w:line="130"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administration fees and expenses, if any, payable under the Administration Agreement (including payments under the Administration Agreement between us and the Investment Advisor based upon our allocable portion of the Investment Advisor’s overhead in performing its obligations under the Administration Agreement, including rent and the allocable portion of the cost of our officers, including our chief compliance officer, our chief financial officer, and their respective staffs);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transfer agent, dividend agent and custodial fees and expenses;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costs of registration and listing our shares on any securities exchange;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or other regulators including printing costs;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and mailing costs;</w:t>
      </w:r>
    </w:p>
    <w:p>
      <w:pPr>
        <w:spacing w:after="0" w:line="130" w:lineRule="exact"/>
        <w:rPr>
          <w:rFonts w:ascii="Arial" w:cs="Arial" w:eastAsia="Arial" w:hAnsi="Arial"/>
          <w:sz w:val="18"/>
          <w:szCs w:val="18"/>
          <w:color w:val="auto"/>
        </w:rPr>
      </w:pPr>
    </w:p>
    <w:p>
      <w:pPr>
        <w:ind w:left="1080" w:right="78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officers/errors and omissions liability insurance, and any other insurance premiums;</w:t>
      </w:r>
    </w:p>
    <w:p>
      <w:pPr>
        <w:spacing w:after="0" w:line="75"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proxy voting expenses;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other expenses reasonably incurred by us or the Investment Advisor in connection with administering our business.</w:t>
      </w:r>
    </w:p>
    <w:p>
      <w:pPr>
        <w:sectPr>
          <w:pgSz w:w="11900" w:h="16838" w:orient="portrait"/>
          <w:cols w:equalWidth="0" w:num="1">
            <w:col w:w="11140"/>
          </w:cols>
          <w:pgMar w:left="320" w:top="459" w:right="439" w:bottom="682" w:gutter="0" w:footer="0" w:header="0"/>
        </w:sectPr>
      </w:pP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140"/>
          </w:cols>
          <w:pgMar w:left="320" w:top="459" w:right="439" w:bottom="682"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Portfolio Composition, Investment Activity and Yield</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During the six months ended June 30, 2020 and 2019, we invested $85.1 million and $128.5 million, respectively, in debt and equity investments including five and nine new portfolio companies, respectively. During the six months ended June 30, 2020 and 2019, we received proceeds from sales or repayments, including principal, return of capital dividends and net realized gains (losses), of $76.3 million and $75.3 million, respectively, including exits of one and four portfolio companies, respectively. The following table summarizes investment purchases and sales and repayments of investments by type for the six months ended June 30, 2020 and 2019 (dollars in millions).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8"/>
          </w:tcPr>
          <w:p>
            <w:pPr>
              <w:ind w:left="20"/>
              <w:spacing w:after="0"/>
              <w:rPr>
                <w:sz w:val="20"/>
                <w:szCs w:val="20"/>
                <w:color w:val="auto"/>
              </w:rPr>
            </w:pPr>
            <w:r>
              <w:rPr>
                <w:rFonts w:ascii="Arial" w:cs="Arial" w:eastAsia="Arial" w:hAnsi="Arial"/>
                <w:sz w:val="14"/>
                <w:szCs w:val="14"/>
                <w:b w:val="1"/>
                <w:bCs w:val="1"/>
                <w:color w:val="auto"/>
                <w:w w:val="91"/>
              </w:rPr>
              <w:t>Purchases of Investments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91"/>
              </w:rPr>
              <w:t>Sales and Repayments of Investments</w:t>
            </w:r>
          </w:p>
        </w:tc>
      </w:tr>
      <w:tr>
        <w:trPr>
          <w:trHeight w:val="142"/>
        </w:trPr>
        <w:tc>
          <w:tcPr>
            <w:tcW w:w="34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620" w:type="dxa"/>
            <w:vAlign w:val="bottom"/>
            <w:tcBorders>
              <w:top w:val="single" w:sz="8" w:color="auto"/>
              <w:bottom w:val="single" w:sz="8" w:color="auto"/>
            </w:tcBorders>
            <w:gridSpan w:val="10"/>
          </w:tcPr>
          <w:p>
            <w:pPr>
              <w:ind w:left="320"/>
              <w:spacing w:after="0" w:line="142" w:lineRule="exact"/>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348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4"/>
          </w:tcPr>
          <w:p>
            <w:pPr>
              <w:jc w:val="right"/>
              <w:ind w:right="290"/>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w w:val="83"/>
              </w:rPr>
              <w:t>2019</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3"/>
          </w:tcPr>
          <w:p>
            <w:pPr>
              <w:jc w:val="right"/>
              <w:ind w:right="270"/>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2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$12.8</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$35.1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Subordinated Debt</w:t>
            </w:r>
          </w:p>
        </w:tc>
        <w:tc>
          <w:tcPr>
            <w:tcW w:w="2580" w:type="dxa"/>
            <w:vAlign w:val="bottom"/>
            <w:gridSpan w:val="3"/>
          </w:tcPr>
          <w:p>
            <w:pPr>
              <w:jc w:val="right"/>
              <w:ind w:right="20"/>
              <w:spacing w:after="0"/>
              <w:rPr>
                <w:sz w:val="20"/>
                <w:szCs w:val="20"/>
                <w:color w:val="auto"/>
              </w:rPr>
            </w:pPr>
            <w:r>
              <w:rPr>
                <w:rFonts w:ascii="Arial" w:cs="Arial" w:eastAsia="Arial" w:hAnsi="Arial"/>
                <w:sz w:val="18"/>
                <w:szCs w:val="18"/>
                <w:color w:val="auto"/>
              </w:rPr>
              <w:t>13.5</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47.8</w:t>
            </w:r>
          </w:p>
        </w:tc>
        <w:tc>
          <w:tcPr>
            <w:tcW w:w="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37.2</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1.5</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26.7</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35.5</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2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49.2</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Equity</w:t>
            </w:r>
          </w:p>
        </w:tc>
        <w:tc>
          <w:tcPr>
            <w:tcW w:w="258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42.2</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55.3</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1.1</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Royalty Rights</w:t>
            </w:r>
          </w:p>
        </w:tc>
        <w:tc>
          <w:tcPr>
            <w:tcW w:w="21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85.1</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128.5</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100.0%</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76.3</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100.0%</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r>
      <w:tr>
        <w:trPr>
          <w:trHeight w:val="20"/>
        </w:trPr>
        <w:tc>
          <w:tcPr>
            <w:tcW w:w="3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As of June 30, 2020, the fair value of our investment portfolio totaled $732.6 million and consisted of 64 active portfolio companies and three portfolio companies that have sold their underlying operations. As of June 30, 2020, 20 portfolio companies’ debt investments bore interest at a variable rate, which represented $210.3 million, or 32.0%, of our debt investment portfolio on a fair value basis, and the remainder of our debt investment portfolio was comprised of fixed rate investments. Overall, the portfolio had net unrealized depreciation of $(13.7) million as of June 30, 2020. As of June 30, 2020, our average active portfolio company investment at amortized cost was $11.6 million, which excludes investments in the three portfolio companies that have sold their underlying operations.</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As of December 31, 2019, the fair value of our investment portfolio totaled $766.9 million and consisted of 61 active portfolio companies and three portfolio companies that have sold their underlying operations. As of December 31, 2019, 17 portfolio companies’ debt investments bore interest at a variable rate, which represented $181.3 million, or 28.7%, of our debt investment portfolio on a fair value basis, and the remainder of our debt investment portfolio was comprised of fixed rate investments. Overall, the portfolio had net unrealized appreciation of $62.4 million as of December 31, 2019. As of December 31, 2019, our average active portfolio company investment at amortized cost was $11.5 million, which excludes investments in the three portfolio companies that have sold their underlying operations.</w:t>
      </w:r>
    </w:p>
    <w:p>
      <w:pPr>
        <w:spacing w:after="0" w:line="178"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The weighted average yield on debt investments as of both June 30, 2020 and December 31, 2019 was 12.0%.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as of June 30, 2020 and December 31, 2019, respectively, including the accretion of OID and debt investment origination fees, but excluding investments on non-accrual status, if any.</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table shows the portfolio composition by investment type at fair value and cost and as a percentage of total investments (dollars in millions):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5400" w:type="dxa"/>
            <w:vAlign w:val="bottom"/>
          </w:tcPr>
          <w:p>
            <w:pPr>
              <w:spacing w:after="0"/>
              <w:rPr>
                <w:sz w:val="10"/>
                <w:szCs w:val="10"/>
                <w:color w:val="auto"/>
              </w:rPr>
            </w:pPr>
          </w:p>
        </w:tc>
        <w:tc>
          <w:tcPr>
            <w:tcW w:w="1420" w:type="dxa"/>
            <w:vAlign w:val="bottom"/>
            <w:gridSpan w:val="5"/>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June 30,</w:t>
            </w:r>
          </w:p>
        </w:tc>
        <w:tc>
          <w:tcPr>
            <w:tcW w:w="11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320" w:type="dxa"/>
            <w:vAlign w:val="bottom"/>
          </w:tcPr>
          <w:p>
            <w:pPr>
              <w:spacing w:after="0"/>
              <w:rPr>
                <w:sz w:val="10"/>
                <w:szCs w:val="10"/>
                <w:color w:val="auto"/>
              </w:rPr>
            </w:pPr>
          </w:p>
        </w:tc>
        <w:tc>
          <w:tcPr>
            <w:tcW w:w="1420" w:type="dxa"/>
            <w:vAlign w:val="bottom"/>
            <w:gridSpan w:val="5"/>
          </w:tcPr>
          <w:p>
            <w:pPr>
              <w:jc w:val="center"/>
              <w:ind w:right="228"/>
              <w:spacing w:after="0" w:line="119" w:lineRule="exact"/>
              <w:rPr>
                <w:sz w:val="20"/>
                <w:szCs w:val="20"/>
                <w:color w:val="auto"/>
              </w:rPr>
            </w:pPr>
            <w:r>
              <w:rPr>
                <w:rFonts w:ascii="Arial" w:cs="Arial" w:eastAsia="Arial" w:hAnsi="Arial"/>
                <w:sz w:val="13"/>
                <w:szCs w:val="13"/>
                <w:b w:val="1"/>
                <w:bCs w:val="1"/>
                <w:color w:val="auto"/>
                <w:w w:val="99"/>
              </w:rPr>
              <w:t>June 30,</w:t>
            </w:r>
          </w:p>
        </w:tc>
        <w:tc>
          <w:tcPr>
            <w:tcW w:w="11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20" w:type="dxa"/>
            <w:vAlign w:val="bottom"/>
          </w:tcPr>
          <w:p>
            <w:pPr>
              <w:spacing w:after="0"/>
              <w:rPr>
                <w:sz w:val="10"/>
                <w:szCs w:val="10"/>
                <w:color w:val="auto"/>
              </w:rPr>
            </w:pPr>
          </w:p>
        </w:tc>
      </w:tr>
      <w:tr>
        <w:trPr>
          <w:trHeight w:val="171"/>
        </w:trPr>
        <w:tc>
          <w:tcPr>
            <w:tcW w:w="54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Second Lien Debt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$366.5</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$383.1</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$402.5</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53.9%</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$392.2</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Subordinated Debt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151.6</w:t>
            </w:r>
          </w:p>
        </w:tc>
        <w:tc>
          <w:tcPr>
            <w:tcW w:w="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20.7</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140.8</w:t>
            </w:r>
          </w:p>
        </w:tc>
        <w:tc>
          <w:tcPr>
            <w:tcW w:w="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18.4</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152.7</w:t>
            </w:r>
          </w:p>
        </w:tc>
        <w:tc>
          <w:tcPr>
            <w:tcW w:w="40" w:type="dxa"/>
            <w:vAlign w:val="bottom"/>
          </w:tcPr>
          <w:p>
            <w:pPr>
              <w:spacing w:after="0"/>
              <w:rPr>
                <w:sz w:val="18"/>
                <w:szCs w:val="18"/>
                <w:color w:val="auto"/>
              </w:rPr>
            </w:pPr>
          </w:p>
        </w:tc>
        <w:tc>
          <w:tcPr>
            <w:tcW w:w="720" w:type="dxa"/>
            <w:vAlign w:val="bottom"/>
            <w:gridSpan w:val="2"/>
          </w:tcPr>
          <w:p>
            <w:pPr>
              <w:jc w:val="right"/>
              <w:ind w:right="228"/>
              <w:spacing w:after="0"/>
              <w:rPr>
                <w:sz w:val="20"/>
                <w:szCs w:val="20"/>
                <w:color w:val="auto"/>
              </w:rPr>
            </w:pPr>
            <w:r>
              <w:rPr>
                <w:rFonts w:ascii="Arial" w:cs="Arial" w:eastAsia="Arial" w:hAnsi="Arial"/>
                <w:sz w:val="18"/>
                <w:szCs w:val="18"/>
                <w:color w:val="auto"/>
              </w:rPr>
              <w:t>20.5</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140.7</w:t>
            </w:r>
          </w:p>
        </w:tc>
        <w:tc>
          <w:tcPr>
            <w:tcW w:w="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First Lien Debt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139.7</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108.3</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141.0</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18.9</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107.7</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Equity</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72.3</w:t>
            </w:r>
          </w:p>
        </w:tc>
        <w:tc>
          <w:tcPr>
            <w:tcW w:w="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9.9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126.6</w:t>
            </w:r>
          </w:p>
        </w:tc>
        <w:tc>
          <w:tcPr>
            <w:tcW w:w="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16.5</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46.9</w:t>
            </w:r>
          </w:p>
        </w:tc>
        <w:tc>
          <w:tcPr>
            <w:tcW w:w="40" w:type="dxa"/>
            <w:vAlign w:val="bottom"/>
          </w:tcPr>
          <w:p>
            <w:pPr>
              <w:spacing w:after="0"/>
              <w:rPr>
                <w:sz w:val="18"/>
                <w:szCs w:val="18"/>
                <w:color w:val="auto"/>
              </w:rPr>
            </w:pPr>
          </w:p>
        </w:tc>
        <w:tc>
          <w:tcPr>
            <w:tcW w:w="720" w:type="dxa"/>
            <w:vAlign w:val="bottom"/>
            <w:gridSpan w:val="2"/>
          </w:tcPr>
          <w:p>
            <w:pPr>
              <w:jc w:val="right"/>
              <w:ind w:right="228"/>
              <w:spacing w:after="0"/>
              <w:rPr>
                <w:sz w:val="20"/>
                <w:szCs w:val="20"/>
                <w:color w:val="auto"/>
              </w:rPr>
            </w:pPr>
            <w:r>
              <w:rPr>
                <w:rFonts w:ascii="Arial" w:cs="Arial" w:eastAsia="Arial" w:hAnsi="Arial"/>
                <w:sz w:val="18"/>
                <w:szCs w:val="18"/>
                <w:color w:val="auto"/>
              </w:rPr>
              <w:t>6.3</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58.1</w:t>
            </w:r>
          </w:p>
        </w:tc>
        <w:tc>
          <w:tcPr>
            <w:tcW w:w="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0.4</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Royalty Rights</w:t>
            </w: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732.6</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100.0%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766.9</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100.0%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746.3</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8"/>
              </w:rPr>
              <w:t>100.0%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704.5</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0"/>
        </w:trPr>
        <w:tc>
          <w:tcPr>
            <w:tcW w:w="5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All investments made by us as of June 30, 2020 and December 31, 2019 were made in portfolio companies headquartered in the U.S. 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0" w:type="dxa"/>
            <w:vAlign w:val="bottom"/>
          </w:tcPr>
          <w:p>
            <w:pPr>
              <w:spacing w:after="0"/>
              <w:rPr>
                <w:sz w:val="10"/>
                <w:szCs w:val="10"/>
                <w:color w:val="auto"/>
              </w:rPr>
            </w:pPr>
          </w:p>
        </w:tc>
        <w:tc>
          <w:tcPr>
            <w:tcW w:w="1420" w:type="dxa"/>
            <w:vAlign w:val="bottom"/>
            <w:gridSpan w:val="4"/>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June 30,</w:t>
            </w:r>
          </w:p>
        </w:tc>
        <w:tc>
          <w:tcPr>
            <w:tcW w:w="112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1420" w:type="dxa"/>
            <w:vAlign w:val="bottom"/>
            <w:gridSpan w:val="4"/>
          </w:tcPr>
          <w:p>
            <w:pPr>
              <w:jc w:val="center"/>
              <w:ind w:right="228"/>
              <w:spacing w:after="0" w:line="119" w:lineRule="exact"/>
              <w:rPr>
                <w:sz w:val="20"/>
                <w:szCs w:val="20"/>
                <w:color w:val="auto"/>
              </w:rPr>
            </w:pPr>
            <w:r>
              <w:rPr>
                <w:rFonts w:ascii="Arial" w:cs="Arial" w:eastAsia="Arial" w:hAnsi="Arial"/>
                <w:sz w:val="13"/>
                <w:szCs w:val="13"/>
                <w:b w:val="1"/>
                <w:bCs w:val="1"/>
                <w:color w:val="auto"/>
                <w:w w:val="99"/>
              </w:rPr>
              <w:t>June 30,</w:t>
            </w:r>
          </w:p>
        </w:tc>
        <w:tc>
          <w:tcPr>
            <w:tcW w:w="112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$211.0</w:t>
            </w:r>
          </w:p>
        </w:tc>
        <w:tc>
          <w:tcPr>
            <w:tcW w:w="76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$208.2</w:t>
            </w:r>
          </w:p>
        </w:tc>
        <w:tc>
          <w:tcPr>
            <w:tcW w:w="78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$196.2</w:t>
            </w:r>
          </w:p>
        </w:tc>
        <w:tc>
          <w:tcPr>
            <w:tcW w:w="760" w:type="dxa"/>
            <w:vAlign w:val="bottom"/>
            <w:tcBorders>
              <w:left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26.3%</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$181.3</w:t>
            </w:r>
          </w:p>
        </w:tc>
        <w:tc>
          <w:tcPr>
            <w:tcW w:w="6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Southeast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148.7</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20.3</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160.0</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20.9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141.3</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18.9</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138.1</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148.5</w:t>
            </w:r>
          </w:p>
        </w:tc>
        <w:tc>
          <w:tcPr>
            <w:tcW w:w="760" w:type="dxa"/>
            <w:vAlign w:val="bottom"/>
            <w:tcBorders>
              <w:lef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154.7</w:t>
            </w:r>
          </w:p>
        </w:tc>
        <w:tc>
          <w:tcPr>
            <w:tcW w:w="78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154.3</w:t>
            </w:r>
          </w:p>
        </w:tc>
        <w:tc>
          <w:tcPr>
            <w:tcW w:w="760" w:type="dxa"/>
            <w:vAlign w:val="bottom"/>
            <w:tcBorders>
              <w:left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20.7</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142.1</w:t>
            </w:r>
          </w:p>
        </w:tc>
        <w:tc>
          <w:tcPr>
            <w:tcW w:w="6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West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83.8</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11.4</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76.3</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9.9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88.6</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11.9</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76.6</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167.7</w:t>
            </w:r>
          </w:p>
        </w:tc>
        <w:tc>
          <w:tcPr>
            <w:tcW w:w="78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165.9</w:t>
            </w:r>
          </w:p>
        </w:tc>
        <w:tc>
          <w:tcPr>
            <w:tcW w:w="760" w:type="dxa"/>
            <w:vAlign w:val="bottom"/>
            <w:tcBorders>
              <w:left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22.2</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166.4</w:t>
            </w:r>
          </w:p>
        </w:tc>
        <w:tc>
          <w:tcPr>
            <w:tcW w:w="6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732.6</w:t>
            </w:r>
          </w:p>
        </w:tc>
        <w:tc>
          <w:tcPr>
            <w:tcW w:w="16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766.9</w:t>
            </w:r>
          </w:p>
        </w:tc>
        <w:tc>
          <w:tcPr>
            <w:tcW w:w="16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746.3</w:t>
            </w:r>
          </w:p>
        </w:tc>
        <w:tc>
          <w:tcPr>
            <w:tcW w:w="160" w:type="dxa"/>
            <w:vAlign w:val="bottom"/>
            <w:vMerge w:val="continue"/>
          </w:tcPr>
          <w:p>
            <w:pPr>
              <w:spacing w:after="0"/>
              <w:rPr>
                <w:sz w:val="19"/>
                <w:szCs w:val="19"/>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704.5</w:t>
            </w:r>
          </w:p>
        </w:tc>
        <w:tc>
          <w:tcPr>
            <w:tcW w:w="1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00" w:type="dxa"/>
            <w:vAlign w:val="bottom"/>
          </w:tcPr>
          <w:p>
            <w:pPr>
              <w:spacing w:after="0"/>
              <w:rPr>
                <w:sz w:val="24"/>
                <w:szCs w:val="24"/>
                <w:color w:val="auto"/>
              </w:rPr>
            </w:pPr>
          </w:p>
        </w:tc>
        <w:tc>
          <w:tcPr>
            <w:tcW w:w="500" w:type="dxa"/>
            <w:vAlign w:val="bottom"/>
          </w:tcPr>
          <w:p>
            <w:pPr>
              <w:jc w:val="right"/>
              <w:ind w:right="215"/>
              <w:spacing w:after="0"/>
              <w:rPr>
                <w:sz w:val="20"/>
                <w:szCs w:val="20"/>
                <w:color w:val="auto"/>
              </w:rPr>
            </w:pPr>
            <w:r>
              <w:rPr>
                <w:rFonts w:ascii="Arial" w:cs="Arial" w:eastAsia="Arial" w:hAnsi="Arial"/>
                <w:sz w:val="18"/>
                <w:szCs w:val="18"/>
                <w:color w:val="auto"/>
                <w:w w:val="89"/>
              </w:rPr>
              <w:t>43</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shows the detailed industry composition of our portfolio at fair value and cost as a percentage of total investments:</w:t>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3"/>
          </w:tcPr>
          <w:p>
            <w:pPr>
              <w:ind w:left="140"/>
              <w:spacing w:after="0"/>
              <w:rPr>
                <w:sz w:val="20"/>
                <w:szCs w:val="20"/>
                <w:color w:val="auto"/>
              </w:rPr>
            </w:pPr>
            <w:r>
              <w:rPr>
                <w:rFonts w:ascii="Arial" w:cs="Arial" w:eastAsia="Arial" w:hAnsi="Arial"/>
                <w:sz w:val="14"/>
                <w:szCs w:val="14"/>
                <w:b w:val="1"/>
                <w:bCs w:val="1"/>
                <w:color w:val="auto"/>
              </w:rPr>
              <w:t>Fair Value</w:t>
            </w: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520" w:type="dxa"/>
            <w:vAlign w:val="bottom"/>
            <w:tcBorders>
              <w:top w:val="single" w:sz="8" w:color="auto"/>
            </w:tcBorders>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6"/>
              </w:rPr>
              <w:t>June 30,</w:t>
            </w:r>
          </w:p>
        </w:tc>
        <w:tc>
          <w:tcPr>
            <w:tcW w:w="6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Borders>
              <w:top w:val="single" w:sz="8" w:color="auto"/>
            </w:tcBorders>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6"/>
              </w:rPr>
              <w:t>June 30,</w:t>
            </w:r>
          </w:p>
        </w:tc>
        <w:tc>
          <w:tcPr>
            <w:tcW w:w="2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Specialty Distribution</w:t>
            </w:r>
          </w:p>
        </w:tc>
        <w:tc>
          <w:tcPr>
            <w:tcW w:w="1140" w:type="dxa"/>
            <w:vAlign w:val="bottom"/>
            <w:gridSpan w:val="3"/>
            <w:shd w:val="clear" w:color="auto" w:fill="CCEEFF"/>
          </w:tcPr>
          <w:p>
            <w:pPr>
              <w:jc w:val="right"/>
              <w:ind w:right="405"/>
              <w:spacing w:after="0"/>
              <w:rPr>
                <w:sz w:val="20"/>
                <w:szCs w:val="20"/>
                <w:color w:val="auto"/>
              </w:rPr>
            </w:pPr>
            <w:r>
              <w:rPr>
                <w:rFonts w:ascii="Arial" w:cs="Arial" w:eastAsia="Arial" w:hAnsi="Arial"/>
                <w:sz w:val="18"/>
                <w:szCs w:val="18"/>
                <w:color w:val="auto"/>
              </w:rPr>
              <w:t>17.5%</w:t>
            </w:r>
          </w:p>
        </w:tc>
        <w:tc>
          <w:tcPr>
            <w:tcW w:w="1480" w:type="dxa"/>
            <w:vAlign w:val="bottom"/>
            <w:gridSpan w:val="3"/>
            <w:shd w:val="clear" w:color="auto" w:fill="CCEEFF"/>
          </w:tcPr>
          <w:p>
            <w:pPr>
              <w:jc w:val="right"/>
              <w:ind w:right="424"/>
              <w:spacing w:after="0"/>
              <w:rPr>
                <w:sz w:val="20"/>
                <w:szCs w:val="20"/>
                <w:color w:val="auto"/>
              </w:rPr>
            </w:pPr>
            <w:r>
              <w:rPr>
                <w:rFonts w:ascii="Arial" w:cs="Arial" w:eastAsia="Arial" w:hAnsi="Arial"/>
                <w:sz w:val="18"/>
                <w:szCs w:val="18"/>
                <w:color w:val="auto"/>
              </w:rPr>
              <w:t>16.9%</w:t>
            </w:r>
          </w:p>
        </w:tc>
        <w:tc>
          <w:tcPr>
            <w:tcW w:w="780" w:type="dxa"/>
            <w:vAlign w:val="bottom"/>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17.5%</w:t>
            </w: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Information Technology Services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6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6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Healthcare Products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6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6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Component Manufacturing</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Healthcare Services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6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Aerospace &amp; Defense Manufacturing</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6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Promotional Products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Building Products Manufacturing</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Oil &amp; Gas Services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Services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Environmental Industries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Utilities: Services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Vending Equipment Manufacturing</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Packaging</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Industrial Cleaning &amp; Coatings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Oil &amp; Gas Distribution</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Utility Equipment Manufacturing</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6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6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Restaurants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62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97"/>
              </w:rPr>
              <w:t>(1)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62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97"/>
              </w:rPr>
              <w:t>(1)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Specialty Chemicals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620" w:type="dxa"/>
            <w:vAlign w:val="bottom"/>
          </w:tcPr>
          <w:p>
            <w:pPr>
              <w:jc w:val="right"/>
              <w:ind w:right="345"/>
              <w:spacing w:after="0"/>
              <w:rPr>
                <w:sz w:val="20"/>
                <w:szCs w:val="20"/>
                <w:color w:val="auto"/>
              </w:rPr>
            </w:pPr>
            <w:r>
              <w:rPr>
                <w:rFonts w:ascii="Arial" w:cs="Arial" w:eastAsia="Arial" w:hAnsi="Arial"/>
                <w:sz w:val="15"/>
                <w:szCs w:val="15"/>
                <w:color w:val="auto"/>
                <w:w w:val="97"/>
              </w:rPr>
              <w:t>(1)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620" w:type="dxa"/>
            <w:vAlign w:val="bottom"/>
          </w:tcPr>
          <w:p>
            <w:pPr>
              <w:jc w:val="right"/>
              <w:ind w:right="344"/>
              <w:spacing w:after="0"/>
              <w:rPr>
                <w:sz w:val="20"/>
                <w:szCs w:val="20"/>
                <w:color w:val="auto"/>
              </w:rPr>
            </w:pPr>
            <w:r>
              <w:rPr>
                <w:rFonts w:ascii="Arial" w:cs="Arial" w:eastAsia="Arial" w:hAnsi="Arial"/>
                <w:sz w:val="15"/>
                <w:szCs w:val="15"/>
                <w:color w:val="auto"/>
                <w:w w:val="97"/>
              </w:rPr>
              <w:t>(1)</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60" w:type="dxa"/>
            <w:vAlign w:val="bottom"/>
          </w:tcPr>
          <w:p>
            <w:pPr>
              <w:jc w:val="right"/>
              <w:spacing w:after="0"/>
              <w:rPr>
                <w:sz w:val="20"/>
                <w:szCs w:val="20"/>
                <w:color w:val="auto"/>
              </w:rPr>
            </w:pPr>
            <w:r>
              <w:rPr>
                <w:rFonts w:ascii="Arial" w:cs="Arial" w:eastAsia="Arial" w:hAnsi="Arial"/>
                <w:sz w:val="15"/>
                <w:szCs w:val="15"/>
                <w:color w:val="auto"/>
                <w:w w:val="97"/>
              </w:rPr>
              <w:t>(1)</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240" w:type="dxa"/>
            <w:vAlign w:val="bottom"/>
          </w:tcPr>
          <w:p>
            <w:pPr>
              <w:jc w:val="right"/>
              <w:spacing w:after="0"/>
              <w:rPr>
                <w:sz w:val="20"/>
                <w:szCs w:val="20"/>
                <w:color w:val="auto"/>
              </w:rPr>
            </w:pPr>
            <w:r>
              <w:rPr>
                <w:rFonts w:ascii="Arial" w:cs="Arial" w:eastAsia="Arial" w:hAnsi="Arial"/>
                <w:sz w:val="15"/>
                <w:szCs w:val="15"/>
                <w:color w:val="auto"/>
                <w:w w:val="97"/>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gridSpan w:val="3"/>
            <w:shd w:val="clear" w:color="auto" w:fill="CCEEFF"/>
          </w:tcPr>
          <w:p>
            <w:pPr>
              <w:jc w:val="right"/>
              <w:ind w:right="405"/>
              <w:spacing w:after="0"/>
              <w:rPr>
                <w:sz w:val="20"/>
                <w:szCs w:val="20"/>
                <w:color w:val="auto"/>
              </w:rPr>
            </w:pPr>
            <w:r>
              <w:rPr>
                <w:rFonts w:ascii="Arial" w:cs="Arial" w:eastAsia="Arial" w:hAnsi="Arial"/>
                <w:sz w:val="18"/>
                <w:szCs w:val="18"/>
                <w:color w:val="auto"/>
              </w:rPr>
              <w:t>100.0%</w:t>
            </w:r>
          </w:p>
        </w:tc>
        <w:tc>
          <w:tcPr>
            <w:tcW w:w="1480" w:type="dxa"/>
            <w:vAlign w:val="bottom"/>
            <w:gridSpan w:val="3"/>
            <w:shd w:val="clear" w:color="auto" w:fill="CCEEFF"/>
          </w:tcPr>
          <w:p>
            <w:pPr>
              <w:jc w:val="right"/>
              <w:ind w:right="424"/>
              <w:spacing w:after="0"/>
              <w:rPr>
                <w:sz w:val="20"/>
                <w:szCs w:val="20"/>
                <w:color w:val="auto"/>
              </w:rPr>
            </w:pPr>
            <w:r>
              <w:rPr>
                <w:rFonts w:ascii="Arial" w:cs="Arial" w:eastAsia="Arial" w:hAnsi="Arial"/>
                <w:sz w:val="18"/>
                <w:szCs w:val="18"/>
                <w:color w:val="auto"/>
              </w:rPr>
              <w:t>100.0%</w:t>
            </w:r>
          </w:p>
        </w:tc>
        <w:tc>
          <w:tcPr>
            <w:tcW w:w="780" w:type="dxa"/>
            <w:vAlign w:val="bottom"/>
            <w:gridSpan w:val="3"/>
            <w:shd w:val="clear" w:color="auto" w:fill="CCEEFF"/>
          </w:tcPr>
          <w:p>
            <w:pPr>
              <w:jc w:val="right"/>
              <w:ind w:right="44"/>
              <w:spacing w:after="0"/>
              <w:rPr>
                <w:sz w:val="20"/>
                <w:szCs w:val="20"/>
                <w:color w:val="auto"/>
              </w:rPr>
            </w:pPr>
            <w:r>
              <w:rPr>
                <w:rFonts w:ascii="Arial" w:cs="Arial" w:eastAsia="Arial" w:hAnsi="Arial"/>
                <w:sz w:val="18"/>
                <w:szCs w:val="18"/>
                <w:color w:val="auto"/>
              </w:rPr>
              <w:t>100.0%</w:t>
            </w:r>
          </w:p>
        </w:tc>
        <w:tc>
          <w:tcPr>
            <w:tcW w:w="1460" w:type="dxa"/>
            <w:vAlign w:val="bottom"/>
            <w:gridSpan w:val="4"/>
            <w:shd w:val="clear" w:color="auto" w:fill="CCEEFF"/>
          </w:tcPr>
          <w:p>
            <w:pPr>
              <w:jc w:val="right"/>
              <w:ind w:right="44"/>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Percentage is less than 0.1% of respective total.</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Portfolio Asset Quality</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89" w:lineRule="exact"/>
        <w:rPr>
          <w:sz w:val="20"/>
          <w:szCs w:val="20"/>
          <w:color w:val="auto"/>
        </w:rPr>
      </w:pPr>
    </w:p>
    <w:p>
      <w:pPr>
        <w:ind w:left="1080" w:right="26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spacing w:after="0" w:line="89"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89" w:lineRule="exact"/>
        <w:rPr>
          <w:rFonts w:ascii="Arial" w:cs="Arial" w:eastAsia="Arial" w:hAnsi="Arial"/>
          <w:sz w:val="18"/>
          <w:szCs w:val="18"/>
          <w:color w:val="auto"/>
        </w:rPr>
      </w:pPr>
    </w:p>
    <w:p>
      <w:pPr>
        <w:ind w:left="1080" w:right="680" w:hanging="424"/>
        <w:spacing w:after="0" w:line="308"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Investment Rating 4 is used for investments performing materially below expectations and the risk has increased materially since origination. The investment has the potential for some loss of investment return, but we expect no loss of principal.</w:t>
      </w:r>
    </w:p>
    <w:p>
      <w:pPr>
        <w:spacing w:after="0" w:line="51" w:lineRule="exact"/>
        <w:rPr>
          <w:rFonts w:ascii="Arial" w:cs="Arial" w:eastAsia="Arial" w:hAnsi="Arial"/>
          <w:sz w:val="17"/>
          <w:szCs w:val="17"/>
          <w:color w:val="auto"/>
        </w:rPr>
      </w:pPr>
    </w:p>
    <w:p>
      <w:pPr>
        <w:ind w:left="1080" w:right="2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 Rating 5 is used for investments performing substantially below our expectations and the risks have increased substantially since origination. We expect some loss of principal.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60"/>
          </w:cols>
          <w:pgMar w:left="320" w:top="459" w:right="5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the distribution of our investments on the 1 to 5 investment rating scale at fair value and cost as of June 30, 2020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(dollars in millions):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w w:val="92"/>
              </w:rPr>
              <w:t>Investment Rating</w:t>
            </w:r>
          </w:p>
        </w:tc>
        <w:tc>
          <w:tcPr>
            <w:tcW w:w="4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5"/>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June 30,</w:t>
            </w:r>
          </w:p>
        </w:tc>
        <w:tc>
          <w:tcPr>
            <w:tcW w:w="112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4"/>
          </w:tcPr>
          <w:p>
            <w:pPr>
              <w:jc w:val="center"/>
              <w:ind w:right="328"/>
              <w:spacing w:after="0" w:line="119"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Pr>
          <w:p>
            <w:pPr>
              <w:spacing w:after="0"/>
              <w:rPr>
                <w:sz w:val="10"/>
                <w:szCs w:val="10"/>
                <w:color w:val="auto"/>
              </w:rPr>
            </w:pPr>
          </w:p>
        </w:tc>
        <w:tc>
          <w:tcPr>
            <w:tcW w:w="102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140" w:type="dxa"/>
            <w:vAlign w:val="bottom"/>
            <w:tcBorders>
              <w:bottom w:val="single" w:sz="8" w:color="auto"/>
            </w:tcBorders>
            <w:vMerge w:val="continue"/>
          </w:tcPr>
          <w:p>
            <w:pPr>
              <w:spacing w:after="0"/>
              <w:rPr>
                <w:sz w:val="13"/>
                <w:szCs w:val="13"/>
                <w:color w:val="auto"/>
              </w:rPr>
            </w:pPr>
          </w:p>
        </w:tc>
        <w:tc>
          <w:tcPr>
            <w:tcW w:w="4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w:t>
            </w:r>
          </w:p>
        </w:tc>
        <w:tc>
          <w:tcPr>
            <w:tcW w:w="42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vMerge w:val="continue"/>
            <w:shd w:val="clear" w:color="auto" w:fill="CCEEFF"/>
          </w:tcPr>
          <w:p>
            <w:pPr>
              <w:spacing w:after="0"/>
              <w:rPr>
                <w:sz w:val="17"/>
                <w:szCs w:val="17"/>
                <w:color w:val="auto"/>
              </w:rPr>
            </w:pPr>
          </w:p>
        </w:tc>
        <w:tc>
          <w:tcPr>
            <w:tcW w:w="4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88.6</w:t>
            </w:r>
          </w:p>
        </w:tc>
        <w:tc>
          <w:tcPr>
            <w:tcW w:w="140" w:type="dxa"/>
            <w:vAlign w:val="bottom"/>
            <w:shd w:val="clear" w:color="auto" w:fill="CCEEFF"/>
          </w:tcPr>
          <w:p>
            <w:pPr>
              <w:spacing w:after="0"/>
              <w:rPr>
                <w:sz w:val="17"/>
                <w:szCs w:val="17"/>
                <w:color w:val="auto"/>
              </w:rPr>
            </w:pPr>
          </w:p>
        </w:tc>
        <w:tc>
          <w:tcPr>
            <w:tcW w:w="760" w:type="dxa"/>
            <w:vAlign w:val="bottom"/>
            <w:tcBorders>
              <w:left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12.0%</w:t>
            </w:r>
          </w:p>
        </w:tc>
        <w:tc>
          <w:tcPr>
            <w:tcW w:w="6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w w:val="87"/>
              </w:rPr>
              <w:t>$100.1</w:t>
            </w:r>
          </w:p>
        </w:tc>
        <w:tc>
          <w:tcPr>
            <w:tcW w:w="780" w:type="dxa"/>
            <w:vAlign w:val="bottom"/>
            <w:tcBorders>
              <w:left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50.2</w:t>
            </w:r>
          </w:p>
        </w:tc>
        <w:tc>
          <w:tcPr>
            <w:tcW w:w="760" w:type="dxa"/>
            <w:vAlign w:val="bottom"/>
            <w:tcBorders>
              <w:left w:val="single" w:sz="8" w:color="CCEEFF"/>
            </w:tcBorders>
            <w:gridSpan w:val="2"/>
            <w:shd w:val="clear" w:color="auto" w:fill="CCEEFF"/>
          </w:tcPr>
          <w:p>
            <w:pPr>
              <w:jc w:val="right"/>
              <w:ind w:right="88"/>
              <w:spacing w:after="0" w:line="203" w:lineRule="exact"/>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29.0</w:t>
            </w:r>
          </w:p>
        </w:tc>
        <w:tc>
          <w:tcPr>
            <w:tcW w:w="660" w:type="dxa"/>
            <w:vAlign w:val="bottom"/>
            <w:tcBorders>
              <w:left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2</w:t>
            </w: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484.2</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66.1</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580.5</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484.4</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570.1</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143.3</w:t>
            </w:r>
          </w:p>
        </w:tc>
        <w:tc>
          <w:tcPr>
            <w:tcW w:w="140" w:type="dxa"/>
            <w:vAlign w:val="bottom"/>
            <w:shd w:val="clear" w:color="auto" w:fill="CCEEFF"/>
          </w:tcPr>
          <w:p>
            <w:pPr>
              <w:spacing w:after="0"/>
              <w:rPr>
                <w:sz w:val="18"/>
                <w:szCs w:val="18"/>
                <w:color w:val="auto"/>
              </w:rPr>
            </w:pPr>
          </w:p>
        </w:tc>
        <w:tc>
          <w:tcPr>
            <w:tcW w:w="760" w:type="dxa"/>
            <w:vAlign w:val="bottom"/>
            <w:tcBorders>
              <w:lef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84.6</w:t>
            </w:r>
          </w:p>
        </w:tc>
        <w:tc>
          <w:tcPr>
            <w:tcW w:w="78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162.7</w:t>
            </w:r>
          </w:p>
        </w:tc>
        <w:tc>
          <w:tcPr>
            <w:tcW w:w="760" w:type="dxa"/>
            <w:vAlign w:val="bottom"/>
            <w:tcBorders>
              <w:left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96.7</w:t>
            </w:r>
          </w:p>
        </w:tc>
        <w:tc>
          <w:tcPr>
            <w:tcW w:w="6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4</w:t>
            </w: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40.1</w:t>
            </w:r>
          </w:p>
        </w:tc>
        <w:tc>
          <w:tcPr>
            <w:tcW w:w="760" w:type="dxa"/>
            <w:vAlign w:val="bottom"/>
            <w:gridSpan w:val="2"/>
          </w:tcPr>
          <w:p>
            <w:pPr>
              <w:jc w:val="right"/>
              <w:ind w:right="228"/>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66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2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vMerge w:val="continue"/>
          </w:tcPr>
          <w:p>
            <w:pPr>
              <w:spacing w:after="0"/>
              <w:rPr>
                <w:sz w:val="19"/>
                <w:szCs w:val="19"/>
                <w:color w:val="auto"/>
              </w:rPr>
            </w:pPr>
          </w:p>
        </w:tc>
        <w:tc>
          <w:tcPr>
            <w:tcW w:w="42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732.6</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766.9</w:t>
            </w:r>
          </w:p>
        </w:tc>
        <w:tc>
          <w:tcPr>
            <w:tcW w:w="16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100.0%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746.3</w:t>
            </w:r>
          </w:p>
        </w:tc>
        <w:tc>
          <w:tcPr>
            <w:tcW w:w="160" w:type="dxa"/>
            <w:vAlign w:val="bottom"/>
            <w:vMerge w:val="continue"/>
          </w:tcPr>
          <w:p>
            <w:pPr>
              <w:spacing w:after="0"/>
              <w:rPr>
                <w:sz w:val="19"/>
                <w:szCs w:val="19"/>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w w:val="94"/>
              </w:rPr>
              <w:t>100.0%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704.5</w:t>
            </w:r>
          </w:p>
        </w:tc>
        <w:tc>
          <w:tcPr>
            <w:tcW w:w="1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Based on our investment rating system, the weighted average rating of our portfolio as of June 30, 2020 and December 31, 2019 was 2.1 and 2.0, respectively, on a fair value basis and 2.3 and 2.1, respectively, on a cost basis.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Non-Accrual</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As of June 30, 2020 and December 31, 2019, we had debt investments in two and one portfolio companies on non-accrual status, respectively (dollars in millions):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4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Fair</w:t>
            </w:r>
          </w:p>
        </w:tc>
        <w:tc>
          <w:tcPr>
            <w:tcW w:w="520" w:type="dxa"/>
            <w:vAlign w:val="bottom"/>
          </w:tcPr>
          <w:p>
            <w:pPr>
              <w:spacing w:after="0"/>
              <w:rPr>
                <w:sz w:val="10"/>
                <w:szCs w:val="10"/>
                <w:color w:val="auto"/>
              </w:rPr>
            </w:pPr>
          </w:p>
        </w:tc>
        <w:tc>
          <w:tcPr>
            <w:tcW w:w="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Pr>
          <w:p>
            <w:pPr>
              <w:spacing w:after="0"/>
              <w:rPr>
                <w:sz w:val="10"/>
                <w:szCs w:val="10"/>
                <w:color w:val="auto"/>
              </w:rPr>
            </w:pPr>
          </w:p>
        </w:tc>
        <w:tc>
          <w:tcPr>
            <w:tcW w:w="8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158"/>
        </w:trPr>
        <w:tc>
          <w:tcPr>
            <w:tcW w:w="6680" w:type="dxa"/>
            <w:vAlign w:val="bottom"/>
            <w:gridSpan w:val="3"/>
            <w:vMerge w:val="continue"/>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6"/>
              </w:rPr>
              <w:t>Value</w:t>
            </w:r>
          </w:p>
        </w:tc>
        <w:tc>
          <w:tcPr>
            <w:tcW w:w="52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bottom w:val="single" w:sz="8" w:color="CCEEFF"/>
            </w:tcBorders>
            <w:shd w:val="clear" w:color="auto" w:fill="000000"/>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Accent Food Services, LLC</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$16.1</w:t>
            </w: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$35.3</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$33.1</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$35.3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Mirage Trailers LLC</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520" w:type="dxa"/>
            <w:vAlign w:val="bottom"/>
          </w:tcPr>
          <w:p>
            <w:pPr>
              <w:jc w:val="right"/>
              <w:ind w:right="227"/>
              <w:spacing w:after="0"/>
              <w:rPr>
                <w:sz w:val="20"/>
                <w:szCs w:val="20"/>
                <w:color w:val="auto"/>
              </w:rPr>
            </w:pPr>
            <w:r>
              <w:rPr>
                <w:rFonts w:ascii="Arial" w:cs="Arial" w:eastAsia="Arial" w:hAnsi="Arial"/>
                <w:sz w:val="15"/>
                <w:szCs w:val="15"/>
                <w:color w:val="auto"/>
              </w:rPr>
              <w:t>(1)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520" w:type="dxa"/>
            <w:vAlign w:val="bottom"/>
          </w:tcPr>
          <w:p>
            <w:pPr>
              <w:jc w:val="right"/>
              <w:ind w:right="244"/>
              <w:spacing w:after="0"/>
              <w:rPr>
                <w:sz w:val="20"/>
                <w:szCs w:val="20"/>
                <w:color w:val="auto"/>
              </w:rPr>
            </w:pPr>
            <w:r>
              <w:rPr>
                <w:rFonts w:ascii="Arial" w:cs="Arial" w:eastAsia="Arial" w:hAnsi="Arial"/>
                <w:sz w:val="15"/>
                <w:szCs w:val="15"/>
                <w:color w:val="auto"/>
                <w:w w:val="97"/>
              </w:rPr>
              <w:t>(1)</w:t>
            </w: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6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21.4</w:t>
            </w: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41.6</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33.1</w:t>
            </w:r>
          </w:p>
        </w:tc>
        <w:tc>
          <w:tcPr>
            <w:tcW w:w="70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20" w:hanging="424"/>
        <w:spacing w:after="0" w:line="258"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Portfolio company was on PIK-only on non-accrual status at period end, meaning the Company has ceased recognizing PIK interest income on the investment.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Portfolio company debt investments were not on non-accrual status at period end.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Discussion and Analysis of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Comparison of three and six months ended June 30, 2020 and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Below is a summary of the changes in total investment income for the three months ended June 30, 2020 as compared to the same period in 2019 (dollars in millions):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420" w:type="dxa"/>
            <w:vAlign w:val="bottom"/>
            <w:vMerge w:val="restart"/>
          </w:tcPr>
          <w:p>
            <w:pPr>
              <w:spacing w:after="0"/>
              <w:rPr>
                <w:sz w:val="14"/>
                <w:szCs w:val="14"/>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(1)(2)</w:t>
            </w: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2020</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2019</w:t>
            </w:r>
          </w:p>
        </w:tc>
        <w:tc>
          <w:tcPr>
            <w:tcW w:w="4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CCEEFF"/>
            </w:tcBorders>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60" w:type="dxa"/>
            <w:vAlign w:val="bottom"/>
            <w:tcBorders>
              <w:lef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2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Payment-in-kind interest income</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Fee income</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on idle funds and other income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Total investment income</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20.4</w:t>
            </w:r>
          </w:p>
        </w:tc>
        <w:tc>
          <w:tcPr>
            <w:tcW w:w="4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18.1</w:t>
            </w:r>
          </w:p>
        </w:tc>
        <w:tc>
          <w:tcPr>
            <w:tcW w:w="4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420" w:type="dxa"/>
            <w:vAlign w:val="bottom"/>
            <w:vMerge w:val="continue"/>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Percent change calculated based on underlying dollar amounts in thousands as presented on the consolidated statements of operations.</w:t>
      </w:r>
    </w:p>
    <w:p>
      <w:pPr>
        <w:spacing w:after="0" w:line="2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three months ended June 30, 2020, total investment income was $20.4 million, an increase of $2.3 million or 13.1%, from the</w:t>
      </w:r>
    </w:p>
    <w:p>
      <w:pPr>
        <w:spacing w:after="0" w:line="23"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$18.1 million of total investment income for the three months ended June 30, 2019. As reflected in the table above, the decrease is primarily attributable to the following:</w:t>
      </w:r>
    </w:p>
    <w:p>
      <w:pPr>
        <w:spacing w:after="0" w:line="91" w:lineRule="exact"/>
        <w:rPr>
          <w:sz w:val="20"/>
          <w:szCs w:val="20"/>
          <w:color w:val="auto"/>
        </w:rPr>
      </w:pPr>
    </w:p>
    <w:p>
      <w:pPr>
        <w:ind w:left="1080" w:right="2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$3.1 million increase in total interest income (which includes a $1.8 million decrease in payment-in-kind interest income) resulting from higher average debt investment balances outstanding, during 2020 as compared to 2019.</w:t>
      </w:r>
    </w:p>
    <w:p>
      <w:pPr>
        <w:sectPr>
          <w:pgSz w:w="11900" w:h="16838" w:orient="portrait"/>
          <w:cols w:equalWidth="0" w:num="1">
            <w:col w:w="11140"/>
          </w:cols>
          <w:pgMar w:left="320" w:top="459" w:right="439" w:bottom="1440" w:gutter="0" w:footer="0" w:header="0"/>
        </w:sectPr>
      </w:pP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140"/>
          </w:cols>
          <w:pgMar w:left="320" w:top="459" w:right="4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34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$(0.4) million decrease in fee income resulting from a a decrease in structuring fees due to a comparative decrease in new investments, a decrease in prepayment fee income, partially offset by an increase in amendment fee income, during 2020 as compared to 2019.</w:t>
      </w:r>
    </w:p>
    <w:p>
      <w:pPr>
        <w:spacing w:after="0" w:line="29"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$(0.6) million decrease in dividend income, during 2020 as compared to 2019, due to decreased levels of distributions received from equity investments.</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Below is a summary of the changes in total investment income for the six months ended June 30, 2020 as compared to the same period in 2019 (dollars in millions):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420" w:type="dxa"/>
            <w:vAlign w:val="bottom"/>
            <w:vMerge w:val="restart"/>
          </w:tcPr>
          <w:p>
            <w:pPr>
              <w:spacing w:after="0"/>
              <w:rPr>
                <w:sz w:val="14"/>
                <w:szCs w:val="14"/>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(1)(2)</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2020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2019</w:t>
            </w:r>
          </w:p>
        </w:tc>
        <w:tc>
          <w:tcPr>
            <w:tcW w:w="46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lef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460" w:type="dxa"/>
            <w:vAlign w:val="bottom"/>
            <w:tcBorders>
              <w:lef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2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Payment-in-kind interest income</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Fee income</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on idle funds and other income</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Total investment income</w:t>
            </w: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40.4</w:t>
            </w:r>
          </w:p>
        </w:tc>
        <w:tc>
          <w:tcPr>
            <w:tcW w:w="4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38.4</w:t>
            </w:r>
          </w:p>
        </w:tc>
        <w:tc>
          <w:tcPr>
            <w:tcW w:w="4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420" w:type="dxa"/>
            <w:vAlign w:val="bottom"/>
            <w:vMerge w:val="continue"/>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Percent change calculated based on underlying dollar amounts in thousands as presented on the consolidated statements of operations.</w:t>
      </w:r>
    </w:p>
    <w:p>
      <w:pPr>
        <w:spacing w:after="0" w:line="222"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For the six months ended June 30, 2020, total investment income was $40.4 million, an increase of $2.0 million or 5.3%, from the $38.4 million of total investment income for the six months ended June 30, 2019. As reflected in the table above, the increase is primarily attributable to the following:</w:t>
      </w:r>
    </w:p>
    <w:p>
      <w:pPr>
        <w:spacing w:after="0" w:line="29" w:lineRule="exact"/>
        <w:rPr>
          <w:sz w:val="20"/>
          <w:szCs w:val="20"/>
          <w:color w:val="auto"/>
        </w:rPr>
      </w:pPr>
    </w:p>
    <w:p>
      <w:pPr>
        <w:ind w:left="1080" w:right="20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$3.9 million increase in total interest income (which includes a $3.3 million decrease in payment-in-kind interest income) resulting from higher average debt investment balances outstanding, during 2020 as compared to 2019.</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$(0.8) million decrease in dividend income, during 2020 as compared to 2019, due to decreased levels of distributions received from equity investments.</w:t>
      </w:r>
    </w:p>
    <w:p>
      <w:pPr>
        <w:spacing w:after="0" w:line="75" w:lineRule="exact"/>
        <w:rPr>
          <w:rFonts w:ascii="Arial" w:cs="Arial" w:eastAsia="Arial" w:hAnsi="Arial"/>
          <w:sz w:val="18"/>
          <w:szCs w:val="18"/>
          <w:color w:val="auto"/>
        </w:rPr>
      </w:pPr>
    </w:p>
    <w:p>
      <w:pPr>
        <w:ind w:left="1080" w:right="780" w:hanging="424"/>
        <w:spacing w:after="0" w:line="34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$(1.2) million decrease in fee income resulting from a decrease in prepayment fee income, a decrease in structuring fees due to a comparative decrease in new investments, offset by an increase in amendment fee income, during 2020 as compared to 2019.</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Below is a summary of the changes in total expenses, including income tax provision, for the three months ended June 30, 2020 as compared to the same period in 2019 (dollars in millions):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500" w:type="dxa"/>
            <w:vAlign w:val="bottom"/>
            <w:vMerge w:val="restart"/>
          </w:tcPr>
          <w:p>
            <w:pPr>
              <w:spacing w:after="0"/>
              <w:rPr>
                <w:sz w:val="14"/>
                <w:szCs w:val="14"/>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(1)(2)</w:t>
            </w: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2020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96"/>
              </w:rPr>
              <w:t>2019</w:t>
            </w:r>
          </w:p>
        </w:tc>
        <w:tc>
          <w:tcPr>
            <w:tcW w:w="5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0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Base management fee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0.2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Incentive fee - income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Incentive fee - capital gains</w:t>
            </w:r>
          </w:p>
        </w:tc>
        <w:tc>
          <w:tcPr>
            <w:tcW w:w="80" w:type="dxa"/>
            <w:vAlign w:val="bottom"/>
          </w:tcPr>
          <w:p>
            <w:pPr>
              <w:spacing w:after="0"/>
              <w:rPr>
                <w:sz w:val="18"/>
                <w:szCs w:val="18"/>
                <w:color w:val="auto"/>
              </w:rPr>
            </w:pPr>
          </w:p>
        </w:tc>
        <w:tc>
          <w:tcPr>
            <w:tcW w:w="960" w:type="dxa"/>
            <w:vAlign w:val="bottom"/>
            <w:gridSpan w:val="2"/>
          </w:tcPr>
          <w:p>
            <w:pPr>
              <w:jc w:val="right"/>
              <w:ind w:right="408"/>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1.0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Administrative service expenses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Professional fees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0.2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Total expenses, before income incentive fee waiver</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11.4</w:t>
            </w: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8.4</w:t>
            </w: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500" w:type="dxa"/>
            <w:vAlign w:val="bottom"/>
            <w:vMerge w:val="continue"/>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Incentive fee waiver - income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Total expenses, before income tax provision</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11.0</w:t>
            </w: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8.4</w:t>
            </w: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500" w:type="dxa"/>
            <w:vAlign w:val="bottom"/>
            <w:vMerge w:val="continue"/>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5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Total expenses, including income tax provision</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11.1</w:t>
            </w:r>
          </w:p>
        </w:tc>
        <w:tc>
          <w:tcPr>
            <w:tcW w:w="5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8.5</w:t>
            </w:r>
          </w:p>
        </w:tc>
        <w:tc>
          <w:tcPr>
            <w:tcW w:w="5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500" w:type="dxa"/>
            <w:vAlign w:val="bottom"/>
            <w:vMerge w:val="continue"/>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Percent change calculated based on underlying dollar amounts in thousands as presented on the consolidated statements of operations.</w:t>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For the three months ended June 30, 2020, total expenses, including income tax provision, were $11.1 million, an increase of $2.6 million or 32.2%, from the $8.5 million of total expenses for the three months ended June 30, 2019. As reflected in the table above, changes across periods were primarily attributable to the following:</w:t>
      </w:r>
    </w:p>
    <w:p>
      <w:pPr>
        <w:spacing w:after="0" w:line="89" w:lineRule="exact"/>
        <w:rPr>
          <w:sz w:val="20"/>
          <w:szCs w:val="20"/>
          <w:color w:val="auto"/>
        </w:rPr>
      </w:pPr>
    </w:p>
    <w:p>
      <w:pPr>
        <w:ind w:left="1080" w:right="16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$1.0 million increase in the capital gains incentive fee due to a $5.1 million decrease in net (loss) on investments (net realized gains (losses), plus net change in unrealized appreciation (depreciation) on investments, plus realized losses on extinguishment of debt) during 2020 as compared to the same period in 2019.</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$0.8 million increase in interest and financing expenses due to an increase in average borrowings outstanding during 2020 as compared to 2019.</w:t>
      </w:r>
    </w:p>
    <w:p>
      <w:pPr>
        <w:spacing w:after="0" w:line="75"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$0.4 million net increase in the income incentive fee comprised of a $0.8 million increase in the income incentive fee due to a $1.5 million increase in pre-incentive fee net investment income during 2020 offset by a one-time $0.4 income incentive fee waiver, as compared to the same period in 2019.</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$0.2 million increase in base management fee due to higher average total assets during 2020 as compared to 2019.</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$0.2 million increase in professional fees due to increased legal, audit and tax compliance costs during 2020 as compared to 2019.</w:t>
      </w:r>
    </w:p>
    <w:p>
      <w:pPr>
        <w:spacing w:after="0" w:line="23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Below is a summary of the changes in total expenses, including income tax provision for the six months ended June 30, 2020 as compared to the same period in 2019 (dollars in millions):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2"/>
              </w:rPr>
              <w:t>Six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tcPr>
          <w:p>
            <w:pPr>
              <w:jc w:val="right"/>
              <w:ind w:right="361"/>
              <w:spacing w:after="0"/>
              <w:rPr>
                <w:sz w:val="20"/>
                <w:szCs w:val="20"/>
                <w:color w:val="auto"/>
              </w:rPr>
            </w:pPr>
            <w:r>
              <w:rPr>
                <w:rFonts w:ascii="Arial" w:cs="Arial" w:eastAsia="Arial" w:hAnsi="Arial"/>
                <w:sz w:val="14"/>
                <w:szCs w:val="14"/>
                <w:b w:val="1"/>
                <w:bCs w:val="1"/>
                <w:color w:val="auto"/>
                <w:w w:val="89"/>
              </w:rPr>
              <w:t>Change</w:t>
            </w: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 xml:space="preserve">% Change </w:t>
            </w:r>
            <w:r>
              <w:rPr>
                <w:rFonts w:ascii="Arial" w:cs="Arial" w:eastAsia="Arial" w:hAnsi="Arial"/>
                <w:sz w:val="12"/>
                <w:szCs w:val="12"/>
                <w:b w:val="1"/>
                <w:bCs w:val="1"/>
                <w:color w:val="auto"/>
                <w:w w:val="95"/>
              </w:rPr>
              <w:t>(1)(2)</w:t>
            </w: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4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Base management fee</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1"/>
              <w:spacing w:after="0"/>
              <w:rPr>
                <w:sz w:val="20"/>
                <w:szCs w:val="20"/>
                <w:color w:val="auto"/>
              </w:rPr>
            </w:pPr>
            <w:r>
              <w:rPr>
                <w:rFonts w:ascii="Arial" w:cs="Arial" w:eastAsia="Arial" w:hAnsi="Arial"/>
                <w:sz w:val="18"/>
                <w:szCs w:val="18"/>
                <w:color w:val="auto"/>
              </w:rPr>
              <w:t>0.6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6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Incentive fee - income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0.2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Incentive fee - capital gains</w:t>
            </w:r>
          </w:p>
        </w:tc>
        <w:tc>
          <w:tcPr>
            <w:tcW w:w="10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(9.1)</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1"/>
              <w:spacing w:after="0"/>
              <w:rPr>
                <w:sz w:val="20"/>
                <w:szCs w:val="20"/>
                <w:color w:val="auto"/>
              </w:rPr>
            </w:pPr>
            <w:r>
              <w:rPr>
                <w:rFonts w:ascii="Arial" w:cs="Arial" w:eastAsia="Arial" w:hAnsi="Arial"/>
                <w:sz w:val="18"/>
                <w:szCs w:val="18"/>
                <w:color w:val="auto"/>
              </w:rPr>
              <w:t>(8.2)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878.7%</w:t>
            </w:r>
          </w:p>
        </w:tc>
        <w:tc>
          <w:tcPr>
            <w:tcW w:w="0" w:type="dxa"/>
            <w:vAlign w:val="bottom"/>
          </w:tcPr>
          <w:p>
            <w:pPr>
              <w:spacing w:after="0"/>
              <w:rPr>
                <w:sz w:val="1"/>
                <w:szCs w:val="1"/>
                <w:color w:val="auto"/>
              </w:rPr>
            </w:pPr>
          </w:p>
        </w:tc>
      </w:tr>
      <w:tr>
        <w:trPr>
          <w:trHeight w:val="216"/>
        </w:trPr>
        <w:tc>
          <w:tcPr>
            <w:tcW w:w="6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Administrative service expenses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0.1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1"/>
              <w:spacing w:after="0"/>
              <w:rPr>
                <w:sz w:val="20"/>
                <w:szCs w:val="20"/>
                <w:color w:val="auto"/>
              </w:rPr>
            </w:pPr>
            <w:r>
              <w:rPr>
                <w:rFonts w:ascii="Arial" w:cs="Arial" w:eastAsia="Arial" w:hAnsi="Arial"/>
                <w:sz w:val="18"/>
                <w:szCs w:val="18"/>
                <w:color w:val="auto"/>
              </w:rPr>
              <w:t>0.2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6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Total expenses, before income incentive fee waiver</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14.0</w:t>
            </w: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19.1</w:t>
            </w:r>
          </w:p>
        </w:tc>
        <w:tc>
          <w:tcPr>
            <w:tcW w:w="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440" w:type="dxa"/>
            <w:vAlign w:val="bottom"/>
            <w:vMerge w:val="continue"/>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6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Incentive fee waiver - income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(0.4)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(0.4)</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Total expenses, before income tax provision</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13.6</w:t>
            </w: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19.1</w:t>
            </w:r>
          </w:p>
        </w:tc>
        <w:tc>
          <w:tcPr>
            <w:tcW w:w="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440" w:type="dxa"/>
            <w:vAlign w:val="bottom"/>
            <w:vMerge w:val="continue"/>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6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Total expenses, including income tax provision</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vMerge w:val="restart"/>
          </w:tcPr>
          <w:p>
            <w:pPr>
              <w:jc w:val="right"/>
              <w:ind w:right="301"/>
              <w:spacing w:after="0"/>
              <w:rPr>
                <w:sz w:val="20"/>
                <w:szCs w:val="20"/>
                <w:color w:val="auto"/>
              </w:rPr>
            </w:pPr>
            <w:r>
              <w:rPr>
                <w:rFonts w:ascii="Arial" w:cs="Arial" w:eastAsia="Arial" w:hAnsi="Arial"/>
                <w:sz w:val="16"/>
                <w:szCs w:val="16"/>
                <w:color w:val="auto"/>
                <w:w w:val="74"/>
              </w:rPr>
              <w:t>)</w:t>
            </w: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13.7</w:t>
            </w:r>
          </w:p>
        </w:tc>
        <w:tc>
          <w:tcPr>
            <w:tcW w:w="4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19.2</w:t>
            </w:r>
          </w:p>
        </w:tc>
        <w:tc>
          <w:tcPr>
            <w:tcW w:w="2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440" w:type="dxa"/>
            <w:vAlign w:val="bottom"/>
            <w:vMerge w:val="continue"/>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NM = Not meaningful</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Percent change calculated based on underlying dollar amounts in thousands as presented on the consolidated statements of operations.</w:t>
      </w:r>
    </w:p>
    <w:p>
      <w:pPr>
        <w:spacing w:after="0" w:line="222"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For the six months ended June 30, 2020, total expenses, including income tax provision, were $13.7 million, a decrease of $(5.5) million, or (28.4)%, from the $19.2 million of total expenses, including income tax provision, for the six months ended June 30, 2019. As reflected in the table above, the decrease is primarily attributable to the following:</w:t>
      </w:r>
    </w:p>
    <w:p>
      <w:pPr>
        <w:spacing w:after="0" w:line="89" w:lineRule="exact"/>
        <w:rPr>
          <w:sz w:val="20"/>
          <w:szCs w:val="20"/>
          <w:color w:val="auto"/>
        </w:rPr>
      </w:pPr>
    </w:p>
    <w:p>
      <w:pPr>
        <w:ind w:left="1080" w:right="6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$2.0 million increase in interest and financing expenses due to an increase in average borrowings outstanding during 2020 as compared to 2019.</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$0.6 million increase in base management fee due to higher average total assets during 2020 as compared to 2019.</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$0.2 million increase in professional fees due to increased legal, audit and tax compliance costs during 2020 as compared to 2019.</w:t>
      </w:r>
    </w:p>
    <w:p>
      <w:pPr>
        <w:spacing w:after="0" w:line="142" w:lineRule="exact"/>
        <w:rPr>
          <w:rFonts w:ascii="Arial" w:cs="Arial" w:eastAsia="Arial" w:hAnsi="Arial"/>
          <w:sz w:val="17"/>
          <w:szCs w:val="17"/>
          <w:color w:val="auto"/>
        </w:rPr>
      </w:pPr>
    </w:p>
    <w:p>
      <w:pPr>
        <w:ind w:left="1080" w:right="16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$(0.2) million net decrease in the income incentive fee comprised of a $0.2 increase in the income incentive fee due to the Q2 2019 fee amount not exceeding the 2.5% hurdle rate, partially offset by a $(0.6) million decrease in pre-incentive fee net investment income and a one-time $0.4 million incentive fee waiver during 2020 as compared to the same period in 2019.</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$(8.2) million decrease in the capital gains incentive fee due to a $(41.1) million increase in net (loss) on investments (net realized gains (losses), plus net change in unrealized appreciation (depreciation) on investments, plus realized losses on extinguishment of debt), as compared to the same period in 2019.</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Investment Income</w:t>
      </w:r>
    </w:p>
    <w:p>
      <w:pPr>
        <w:spacing w:after="0" w:line="11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Net investment income decreased by $(0.3) million, or (3.7)%, to $9.3 million during the three months ended June 30, 2020 as compared to the same period in 2019, as a result of the $2.6 million increase in total expenses, including incentive fee waiver and income tax provision, partially offset by the $2.3 increase in total investment income.</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Net investment income increased by $7.5 million, or 38.8%, to $26.7 million during the six months ended June 30, 2020 as compared to the same period in 2019, as a result of the $2.0 million increase in total investment income and a decrease in total expenses, including incentive fee waiver and income tax provision, of $(5.5) million.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Gain (Loss) on Investments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the three and six months ended June 30, 2020, the total net realized gain on investments, before income tax provision on realized gains, was $0.2 million and $31.6 million, respectively. Income tax (provision) benefit from realized gains on investments was $(0) and $(1.1) for the three and six months ended June 30, 2020, respectively. Significant realized gains (losses) for the three and six months ended June 30, 2020 are summarized below (dollars in millions):</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ind w:left="60"/>
              <w:spacing w:after="0"/>
              <w:rPr>
                <w:sz w:val="20"/>
                <w:szCs w:val="20"/>
                <w:color w:val="auto"/>
              </w:rPr>
            </w:pPr>
            <w:r>
              <w:rPr>
                <w:rFonts w:ascii="Arial" w:cs="Arial" w:eastAsia="Arial" w:hAnsi="Arial"/>
                <w:sz w:val="14"/>
                <w:szCs w:val="14"/>
                <w:b w:val="1"/>
                <w:bCs w:val="1"/>
                <w:color w:val="auto"/>
              </w:rPr>
              <w:t>Period Ended June 30, 2020</w:t>
            </w:r>
          </w:p>
        </w:tc>
        <w:tc>
          <w:tcPr>
            <w:tcW w:w="0" w:type="dxa"/>
            <w:vAlign w:val="bottom"/>
          </w:tcPr>
          <w:p>
            <w:pPr>
              <w:spacing w:after="0"/>
              <w:rPr>
                <w:sz w:val="1"/>
                <w:szCs w:val="1"/>
                <w:color w:val="auto"/>
              </w:rPr>
            </w:pPr>
          </w:p>
        </w:tc>
      </w:tr>
      <w:tr>
        <w:trPr>
          <w:trHeight w:val="119"/>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420" w:type="dxa"/>
            <w:vAlign w:val="bottom"/>
          </w:tcPr>
          <w:p>
            <w:pPr>
              <w:spacing w:after="0"/>
              <w:rPr>
                <w:sz w:val="10"/>
                <w:szCs w:val="10"/>
                <w:color w:val="auto"/>
              </w:rPr>
            </w:pPr>
          </w:p>
        </w:tc>
        <w:tc>
          <w:tcPr>
            <w:tcW w:w="300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2"/>
                <w:szCs w:val="12"/>
                <w:b w:val="1"/>
                <w:bCs w:val="1"/>
                <w:color w:val="auto"/>
              </w:rPr>
              <w:t>(1)</w:t>
            </w: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Three</w:t>
            </w:r>
          </w:p>
        </w:tc>
        <w:tc>
          <w:tcPr>
            <w:tcW w:w="4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228"/>
              <w:spacing w:after="0" w:line="119" w:lineRule="exact"/>
              <w:rPr>
                <w:sz w:val="20"/>
                <w:szCs w:val="20"/>
                <w:color w:val="auto"/>
              </w:rPr>
            </w:pPr>
            <w:r>
              <w:rPr>
                <w:rFonts w:ascii="Arial" w:cs="Arial" w:eastAsia="Arial" w:hAnsi="Arial"/>
                <w:sz w:val="13"/>
                <w:szCs w:val="13"/>
                <w:b w:val="1"/>
                <w:bCs w:val="1"/>
                <w:color w:val="auto"/>
              </w:rPr>
              <w:t>Six</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32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30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ind w:left="40"/>
              <w:spacing w:after="0" w:line="158" w:lineRule="exact"/>
              <w:rPr>
                <w:sz w:val="20"/>
                <w:szCs w:val="20"/>
                <w:color w:val="auto"/>
              </w:rPr>
            </w:pPr>
            <w:r>
              <w:rPr>
                <w:rFonts w:ascii="Arial" w:cs="Arial" w:eastAsia="Arial" w:hAnsi="Arial"/>
                <w:sz w:val="14"/>
                <w:szCs w:val="14"/>
                <w:b w:val="1"/>
                <w:bCs w:val="1"/>
                <w:color w:val="auto"/>
              </w:rPr>
              <w:t>Months</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Pfanstiehl, Inc.</w:t>
            </w:r>
          </w:p>
        </w:tc>
        <w:tc>
          <w:tcPr>
            <w:tcW w:w="2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30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Sold 50% of equity investment</w:t>
            </w:r>
          </w:p>
        </w:tc>
        <w:tc>
          <w:tcPr>
            <w:tcW w:w="4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ind w:left="440"/>
              <w:spacing w:after="0" w:line="13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12.8</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Fiber Materials, Inc.</w:t>
            </w:r>
          </w:p>
        </w:tc>
        <w:tc>
          <w:tcPr>
            <w:tcW w:w="34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Sale of portfolio company</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Medsurant Holdings, LLC</w:t>
            </w:r>
          </w:p>
        </w:tc>
        <w:tc>
          <w:tcPr>
            <w:tcW w:w="34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Sold 50% of equity investment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Revenue Management Solutions, LLC</w:t>
            </w:r>
          </w:p>
        </w:tc>
        <w:tc>
          <w:tcPr>
            <w:tcW w:w="34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Sold 50% of equity investment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Worldwide Express Operations, LLC</w:t>
            </w:r>
          </w:p>
        </w:tc>
        <w:tc>
          <w:tcPr>
            <w:tcW w:w="34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Sold 50% of equity investment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Gurobi Optimization, LLC</w:t>
            </w:r>
          </w:p>
        </w:tc>
        <w:tc>
          <w:tcPr>
            <w:tcW w:w="34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Sold 50% of equity investment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Hub Acquisition Sub, LLC (dba Hub Pen)</w:t>
            </w:r>
          </w:p>
        </w:tc>
        <w:tc>
          <w:tcPr>
            <w:tcW w:w="34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Sold 50% of equity investment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Midwest Transit Equipment, Inc.</w:t>
            </w:r>
          </w:p>
        </w:tc>
        <w:tc>
          <w:tcPr>
            <w:tcW w:w="34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Sold 50% of equity investment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Pugh Lubricants, LLC</w:t>
            </w:r>
          </w:p>
        </w:tc>
        <w:tc>
          <w:tcPr>
            <w:tcW w:w="34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Sold 50% of equity investment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Microbiology Research Associates, Inc.</w:t>
            </w:r>
          </w:p>
        </w:tc>
        <w:tc>
          <w:tcPr>
            <w:tcW w:w="34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Sold 50% of equity investment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ControlScan, Inc.</w:t>
            </w:r>
          </w:p>
        </w:tc>
        <w:tc>
          <w:tcPr>
            <w:tcW w:w="34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Sold 50% of equity investment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Alzheimer’s Research and Treatment Center, LLC</w:t>
            </w:r>
          </w:p>
        </w:tc>
        <w:tc>
          <w:tcPr>
            <w:tcW w:w="34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Sold 50% of equity investment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BCM One Group Holdings, Inc.</w:t>
            </w:r>
          </w:p>
        </w:tc>
        <w:tc>
          <w:tcPr>
            <w:tcW w:w="34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Sold 50% of equity investment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Software Technology, LLC</w:t>
            </w:r>
          </w:p>
        </w:tc>
        <w:tc>
          <w:tcPr>
            <w:tcW w:w="34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Sold 50% of equity investment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LNG Indy, LLC (dba Kinetrex Energy)</w:t>
            </w:r>
          </w:p>
        </w:tc>
        <w:tc>
          <w:tcPr>
            <w:tcW w:w="34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Sold 50% of equity investment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Wheel Pros, Inc.</w:t>
            </w:r>
          </w:p>
        </w:tc>
        <w:tc>
          <w:tcPr>
            <w:tcW w:w="34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Sold 50% of equity investment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Era Technology, Inc.</w:t>
            </w:r>
          </w:p>
        </w:tc>
        <w:tc>
          <w:tcPr>
            <w:tcW w:w="34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Escrow distribution</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w w:val="81"/>
              </w:rPr>
              <w:t>0.1</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Apex Microtechnology, Inc.</w:t>
            </w:r>
          </w:p>
        </w:tc>
        <w:tc>
          <w:tcPr>
            <w:tcW w:w="34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Escrow distribution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480"/>
              <w:spacing w:after="0" w:line="149" w:lineRule="exact"/>
              <w:rPr>
                <w:sz w:val="20"/>
                <w:szCs w:val="20"/>
                <w:color w:val="auto"/>
              </w:rPr>
            </w:pPr>
            <w:r>
              <w:rPr>
                <w:rFonts w:ascii="Arial" w:cs="Arial" w:eastAsia="Arial" w:hAnsi="Arial"/>
                <w:sz w:val="14"/>
                <w:szCs w:val="14"/>
                <w:color w:val="auto"/>
                <w:w w:val="81"/>
              </w:rPr>
              <w:t>0.1</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Allied 100 Group, Inc.</w:t>
            </w:r>
          </w:p>
        </w:tc>
        <w:tc>
          <w:tcPr>
            <w:tcW w:w="34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Sold 50% of equity investment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Restaurant Finance Co, LLC</w:t>
            </w:r>
          </w:p>
        </w:tc>
        <w:tc>
          <w:tcPr>
            <w:tcW w:w="34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Escrow distribution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4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tcPr>
          <w:p>
            <w:pPr>
              <w:spacing w:after="0" w:line="149" w:lineRule="exact"/>
              <w:rPr>
                <w:sz w:val="20"/>
                <w:szCs w:val="20"/>
                <w:color w:val="auto"/>
              </w:rPr>
            </w:pPr>
            <w:r>
              <w:rPr>
                <w:rFonts w:ascii="Arial" w:cs="Arial" w:eastAsia="Arial" w:hAnsi="Arial"/>
                <w:sz w:val="14"/>
                <w:szCs w:val="14"/>
                <w:color w:val="auto"/>
              </w:rPr>
              <w:t>Palisade Company, LLC</w:t>
            </w:r>
          </w:p>
        </w:tc>
        <w:tc>
          <w:tcPr>
            <w:tcW w:w="34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Sale of portfolio company</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realized gain (loss) on investments</w:t>
            </w:r>
          </w:p>
        </w:tc>
        <w:tc>
          <w:tcPr>
            <w:tcW w:w="4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480"/>
              <w:spacing w:after="0" w:line="149" w:lineRule="exact"/>
              <w:rPr>
                <w:sz w:val="20"/>
                <w:szCs w:val="20"/>
                <w:color w:val="auto"/>
              </w:rPr>
            </w:pPr>
            <w:r>
              <w:rPr>
                <w:rFonts w:ascii="Arial" w:cs="Arial" w:eastAsia="Arial" w:hAnsi="Arial"/>
                <w:sz w:val="14"/>
                <w:szCs w:val="14"/>
                <w:color w:val="auto"/>
                <w:w w:val="81"/>
              </w:rPr>
              <w:t>0.2</w:t>
            </w:r>
          </w:p>
        </w:tc>
        <w:tc>
          <w:tcPr>
            <w:tcW w:w="4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20" w:type="dxa"/>
            <w:vAlign w:val="bottom"/>
            <w:gridSpan w:val="4"/>
          </w:tcPr>
          <w:p>
            <w:pPr>
              <w:spacing w:after="0" w:line="149" w:lineRule="exact"/>
              <w:rPr>
                <w:sz w:val="20"/>
                <w:szCs w:val="20"/>
                <w:color w:val="auto"/>
              </w:rPr>
            </w:pPr>
            <w:r>
              <w:rPr>
                <w:rFonts w:ascii="Arial" w:cs="Arial" w:eastAsia="Arial" w:hAnsi="Arial"/>
                <w:sz w:val="14"/>
                <w:szCs w:val="14"/>
                <w:color w:val="auto"/>
              </w:rPr>
              <w:t>Income tax (provision) benefit from realized gains on investments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Net realized gain (loss), net of income tax provision, on investments</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w w:val="81"/>
              </w:rPr>
              <w:t>0.2</w:t>
            </w:r>
          </w:p>
        </w:tc>
        <w:tc>
          <w:tcPr>
            <w:tcW w:w="5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80" w:hanging="424"/>
        <w:spacing w:after="0" w:line="257"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40"/>
          </w:cols>
          <w:pgMar w:left="320" w:top="459" w:right="5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For the three and six months ended June 30, 2019, the total net realized loss on investments, before income tax provision on realized gains, was $(0.1) million and $(1.7) million, respectively. Income tax provision from realized gains on investments was $0.3 million and $0.3 million for the three and six months ended June 30, 2019, respectively. Significant realized gains (losses) for the three and six months ended June 30, 2019 are summarized below (dollars in millions):</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6"/>
              </w:rPr>
              <w:t>Period Ended June 30, 2019</w:t>
            </w:r>
          </w:p>
        </w:tc>
        <w:tc>
          <w:tcPr>
            <w:tcW w:w="0" w:type="dxa"/>
            <w:vAlign w:val="bottom"/>
          </w:tcPr>
          <w:p>
            <w:pPr>
              <w:spacing w:after="0"/>
              <w:rPr>
                <w:sz w:val="1"/>
                <w:szCs w:val="1"/>
                <w:color w:val="auto"/>
              </w:rPr>
            </w:pPr>
          </w:p>
        </w:tc>
      </w:tr>
      <w:tr>
        <w:trPr>
          <w:trHeight w:val="11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4"/>
              </w:rPr>
              <w:t>Portfolio Company</w:t>
            </w:r>
          </w:p>
        </w:tc>
        <w:tc>
          <w:tcPr>
            <w:tcW w:w="29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 xml:space="preserve">Realization Event </w:t>
            </w:r>
            <w:r>
              <w:rPr>
                <w:rFonts w:ascii="Arial" w:cs="Arial" w:eastAsia="Arial" w:hAnsi="Arial"/>
                <w:sz w:val="12"/>
                <w:szCs w:val="12"/>
                <w:b w:val="1"/>
                <w:bCs w:val="1"/>
                <w:color w:val="auto"/>
              </w:rPr>
              <w:t>(1)</w:t>
            </w: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Three</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94"/>
              <w:spacing w:after="0" w:line="119" w:lineRule="exact"/>
              <w:rPr>
                <w:sz w:val="20"/>
                <w:szCs w:val="20"/>
                <w:color w:val="auto"/>
              </w:rPr>
            </w:pPr>
            <w:r>
              <w:rPr>
                <w:rFonts w:ascii="Arial" w:cs="Arial" w:eastAsia="Arial" w:hAnsi="Arial"/>
                <w:sz w:val="13"/>
                <w:szCs w:val="13"/>
                <w:b w:val="1"/>
                <w:bCs w:val="1"/>
                <w:color w:val="auto"/>
              </w:rPr>
              <w:t>Six</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200" w:type="dxa"/>
            <w:vAlign w:val="bottom"/>
            <w:tcBorders>
              <w:bottom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w w:val="96"/>
              </w:rPr>
              <w:t>Months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203"/>
        </w:trPr>
        <w:tc>
          <w:tcPr>
            <w:tcW w:w="4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Malabar International</w:t>
            </w:r>
          </w:p>
        </w:tc>
        <w:tc>
          <w:tcPr>
            <w:tcW w:w="100" w:type="dxa"/>
            <w:vAlign w:val="bottom"/>
            <w:tcBorders>
              <w:top w:val="single" w:sz="8" w:color="CCEEFF"/>
            </w:tcBorders>
            <w:shd w:val="clear" w:color="auto" w:fill="CCEEFF"/>
          </w:tcPr>
          <w:p>
            <w:pPr>
              <w:spacing w:after="0"/>
              <w:rPr>
                <w:sz w:val="17"/>
                <w:szCs w:val="17"/>
                <w:color w:val="auto"/>
              </w:rPr>
            </w:pPr>
          </w:p>
        </w:tc>
        <w:tc>
          <w:tcPr>
            <w:tcW w:w="27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Escrow distribution</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Trantech Radiator Products, Inc.</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Exit of portfolio 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Infrastructure Group Holdings, LP</w:t>
            </w:r>
          </w:p>
        </w:tc>
        <w:tc>
          <w:tcPr>
            <w:tcW w:w="30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Exit of portfolio company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K2 Industrial Services, Inc.</w:t>
            </w:r>
          </w:p>
        </w:tc>
        <w:tc>
          <w:tcPr>
            <w:tcW w:w="3060" w:type="dxa"/>
            <w:vAlign w:val="bottom"/>
            <w:gridSpan w:val="3"/>
          </w:tcPr>
          <w:p>
            <w:pPr>
              <w:ind w:left="100"/>
              <w:spacing w:after="0"/>
              <w:rPr>
                <w:sz w:val="20"/>
                <w:szCs w:val="20"/>
                <w:color w:val="auto"/>
              </w:rPr>
            </w:pPr>
            <w:r>
              <w:rPr>
                <w:rFonts w:ascii="Arial" w:cs="Arial" w:eastAsia="Arial" w:hAnsi="Arial"/>
                <w:sz w:val="18"/>
                <w:szCs w:val="18"/>
                <w:color w:val="auto"/>
              </w:rPr>
              <w:t>Exit of portfolio 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Income tax provision from realized gains on investments</w:t>
            </w: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7240" w:type="dxa"/>
            <w:vAlign w:val="bottom"/>
            <w:gridSpan w:val="5"/>
          </w:tcPr>
          <w:p>
            <w:pPr>
              <w:spacing w:after="0"/>
              <w:rPr>
                <w:sz w:val="20"/>
                <w:szCs w:val="20"/>
                <w:color w:val="auto"/>
              </w:rPr>
            </w:pPr>
            <w:r>
              <w:rPr>
                <w:rFonts w:ascii="Arial" w:cs="Arial" w:eastAsia="Arial" w:hAnsi="Arial"/>
                <w:sz w:val="18"/>
                <w:szCs w:val="18"/>
                <w:color w:val="auto"/>
              </w:rPr>
              <w:t>Net realized gain (loss), net of income tax provision, on investments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160" w:hanging="424"/>
        <w:spacing w:after="0" w:line="257"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During the three and six months ended June 30, 2020 and 2019, we recorded a net change in unrealized appreciation (depreciation) on investments attributable to the following (dollars in millions):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700" w:type="dxa"/>
            <w:vAlign w:val="bottom"/>
            <w:gridSpan w:val="7"/>
          </w:tcPr>
          <w:p>
            <w:pPr>
              <w:jc w:val="right"/>
              <w:ind w:right="221"/>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1420" w:type="dxa"/>
            <w:vAlign w:val="bottom"/>
            <w:gridSpan w:val="5"/>
          </w:tcPr>
          <w:p>
            <w:pPr>
              <w:jc w:val="right"/>
              <w:ind w:right="121"/>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71"/>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w w:val="93"/>
              </w:rPr>
              <w:t>Unrealized Appreciation (Depreciation)</w:t>
            </w:r>
          </w:p>
        </w:tc>
        <w:tc>
          <w:tcPr>
            <w:tcW w:w="440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40" w:type="dxa"/>
            <w:vAlign w:val="bottom"/>
            <w:tcBorders>
              <w:bottom w:val="single" w:sz="8" w:color="auto"/>
            </w:tcBorders>
            <w:vMerge w:val="continue"/>
          </w:tcPr>
          <w:p>
            <w:pPr>
              <w:spacing w:after="0"/>
              <w:rPr>
                <w:sz w:val="12"/>
                <w:szCs w:val="12"/>
                <w:color w:val="auto"/>
              </w:rPr>
            </w:pPr>
          </w:p>
        </w:tc>
        <w:tc>
          <w:tcPr>
            <w:tcW w:w="4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w w:val="83"/>
              </w:rPr>
              <w:t>2020</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ind w:right="1"/>
              <w:spacing w:after="0" w:line="129"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w w:val="83"/>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Exit, sale or restructuring of investments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$(30.0)</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Fair value adjustments to debt investments</w:t>
            </w:r>
          </w:p>
        </w:tc>
        <w:tc>
          <w:tcPr>
            <w:tcW w:w="100" w:type="dxa"/>
            <w:vAlign w:val="bottom"/>
          </w:tcPr>
          <w:p>
            <w:pPr>
              <w:spacing w:after="0"/>
              <w:rPr>
                <w:sz w:val="18"/>
                <w:szCs w:val="18"/>
                <w:color w:val="auto"/>
              </w:rPr>
            </w:pPr>
          </w:p>
        </w:tc>
        <w:tc>
          <w:tcPr>
            <w:tcW w:w="760" w:type="dxa"/>
            <w:vAlign w:val="bottom"/>
            <w:gridSpan w:val="3"/>
          </w:tcPr>
          <w:p>
            <w:pPr>
              <w:jc w:val="right"/>
              <w:ind w:right="248"/>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680" w:type="dxa"/>
            <w:vAlign w:val="bottom"/>
            <w:gridSpan w:val="2"/>
          </w:tcPr>
          <w:p>
            <w:pPr>
              <w:jc w:val="right"/>
              <w:ind w:right="81"/>
              <w:spacing w:after="0"/>
              <w:rPr>
                <w:sz w:val="20"/>
                <w:szCs w:val="20"/>
                <w:color w:val="auto"/>
              </w:rPr>
            </w:pPr>
            <w:r>
              <w:rPr>
                <w:rFonts w:ascii="Arial" w:cs="Arial" w:eastAsia="Arial" w:hAnsi="Arial"/>
                <w:sz w:val="18"/>
                <w:szCs w:val="18"/>
                <w:color w:val="auto"/>
              </w:rPr>
              <w:t>(11.3)</w:t>
            </w:r>
          </w:p>
        </w:tc>
        <w:tc>
          <w:tcPr>
            <w:tcW w:w="1000" w:type="dxa"/>
            <w:vAlign w:val="bottom"/>
            <w:gridSpan w:val="3"/>
          </w:tcPr>
          <w:p>
            <w:pPr>
              <w:jc w:val="right"/>
              <w:ind w:right="24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9"/>
              </w:rPr>
              <w:t>(13.7)</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adjustments to equity investments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5.0</w:t>
            </w:r>
          </w:p>
        </w:tc>
        <w:tc>
          <w:tcPr>
            <w:tcW w:w="100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Net change in unrealized appreciation (depreciation)</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(76.1</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Increase in Net Assets Resulting From Operations</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Net increase (decrease) in net assets resulting from operations during the three months ended June 30, 2020 and 2019 was $8.0 million and $3.2 million, respectively, as a result of the events described above.</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Net increase in net assets resulting from operations during the six months ended June 30, 2020 and 2019 was $(19.0) million and $14.6 million, respectively, as a result of the events described above.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As of June 30, 2020, we had $19.3 million in cash and cash equivalents and our net assets totaled $376.2 million. We believe that our current cash and cash equivalents on hand, our Credit Facility, our continued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“at-the-market”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During the six months ended June 30, 2020, we repaid $7.0 million of SBA debentures which would have matured during the period September 1, 2024 through September 1, 2028. Our remaining outstanding SBA debentures continue to mature in 2025 and subsequent years through 2030, which will require repayment on or before the respective maturity dates.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left="120" w:right="280" w:firstLine="440"/>
        <w:spacing w:after="0" w:line="255" w:lineRule="auto"/>
        <w:rPr>
          <w:sz w:val="20"/>
          <w:szCs w:val="20"/>
          <w:color w:val="auto"/>
        </w:rPr>
      </w:pPr>
      <w:r>
        <w:rPr>
          <w:rFonts w:ascii="Arial" w:cs="Arial" w:eastAsia="Arial" w:hAnsi="Arial"/>
          <w:sz w:val="18"/>
          <w:szCs w:val="18"/>
          <w:color w:val="auto"/>
        </w:rPr>
        <w:t>For the six months ended June 30, 2020, we experienced a net increase in cash and cash equivalents in the amount of $4.3 million. During that period, $4.9 million of cash was provided by operating activities, which included the funding of $85.1 million of investments, which were offset by proceeds received from sales and repayments of investments of $76.3 million. During the same period, we received net borrowings of $18.0 million under our Credit Facility, partially offset by cash dividends paid to stockholders of $16.9 million, net repayments of SBA debentures of $1.0 million, payment of deferred financing costs related to our debt financings of $0.5 million, and repurchases of common stock under the Stock Repurchase Program of $0.3 million.</w:t>
      </w:r>
    </w:p>
    <w:p>
      <w:pPr>
        <w:sectPr>
          <w:pgSz w:w="11900" w:h="16838" w:orient="portrait"/>
          <w:cols w:equalWidth="0" w:num="1">
            <w:col w:w="11120"/>
          </w:cols>
          <w:pgMar w:left="320" w:top="459" w:right="459" w:bottom="1440" w:gutter="0" w:footer="0" w:header="0"/>
        </w:sectPr>
      </w:pP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120"/>
          </w:cols>
          <w:pgMar w:left="320" w:top="459" w:right="45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Capital Resources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anticipate that we will continue to fund our investment activities on a long-term basis through a combination of additional debt and equity capital.</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SBA debentures</w:t>
      </w:r>
    </w:p>
    <w:p>
      <w:pPr>
        <w:spacing w:after="0" w:line="117" w:lineRule="exact"/>
        <w:rPr>
          <w:sz w:val="20"/>
          <w:szCs w:val="20"/>
          <w:color w:val="auto"/>
        </w:rPr>
      </w:pPr>
    </w:p>
    <w:p>
      <w:pPr>
        <w:ind w:left="120" w:right="80" w:firstLine="440"/>
        <w:spacing w:after="0" w:line="284" w:lineRule="auto"/>
        <w:rPr>
          <w:sz w:val="20"/>
          <w:szCs w:val="20"/>
          <w:color w:val="auto"/>
        </w:rPr>
      </w:pPr>
      <w:r>
        <w:rPr>
          <w:rFonts w:ascii="Arial" w:cs="Arial" w:eastAsia="Arial" w:hAnsi="Arial"/>
          <w:sz w:val="16"/>
          <w:szCs w:val="16"/>
          <w:color w:val="auto"/>
        </w:rPr>
        <w:t>The Funds are licensed SBICs, and have the ability to issue debentures guaranteed by the SBA at favorable interest rates. Under the Small Business Investment Act and the SBA rules applicable to SBICs,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three or more SBICs under common control, the maximum amount of outstanding SBA debentures cannot exceed $350.0 million.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June 30, 2020, Fund II and Fund III had $143.0 million and $13.5 million of outstanding SBA debentures, respectively. Subject to SBA regulatory requirements and approval, Fund III may access up to</w:t>
      </w:r>
    </w:p>
    <w:p>
      <w:pPr>
        <w:spacing w:after="0" w:line="1"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$161.5 million of additional SBA debentures under the SBIC debenture program. For more information on the SBA debentures, please refer to Note 6 to our consolidated financial statements.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June 2014, we entered into the Credit Facility to provide additional funding for our investment and operational activities. On April 24, 2019, we entered into the Amended Credit Agreement, which amends, restates, and replaces the Credit Facility. On June 26, 2020, the Company amended the Amended Credit Agreement, however the material terms were unchanged. Among other revisions, the amendment to the Amended Credit Agreement modifies certain covenants therein, including to amend the minimum consolidated interest coverage ratio to be 2.25 to 1.00 for the four quarter period ending on June 30, 2020, 2.00 to 1.00 for the four quarter periods ending on each of September 30, 2020 and December 31, 2020, and 1.75 to 1.00 for each four quarter period ending at the end of each quarter thereafter. The Credit Facility is secured by substantially all of our assets, excluding the assets of the Funds.</w:t>
      </w:r>
    </w:p>
    <w:p>
      <w:pPr>
        <w:spacing w:after="0" w:line="195"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Under the Amended Credit Agreement, (i) revolving commitments by lenders were increased from $90.0 million to $100.0 million, with an accordion feature that allows for an increase in total commitments up to $250.0 million, subject to satisfaction of certain conditions at the time of any such future increase, (ii) the maturity date of the credit facility was extended from June 16, 2019 to April 24, 2023, and (iii) borrowings under the Credit Facility bear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w:t>
      </w:r>
    </w:p>
    <w:p>
      <w:pPr>
        <w:spacing w:after="0" w:line="1" w:lineRule="exact"/>
        <w:rPr>
          <w:sz w:val="20"/>
          <w:szCs w:val="20"/>
          <w:color w:val="auto"/>
        </w:rPr>
      </w:pPr>
    </w:p>
    <w:p>
      <w:pPr>
        <w:ind w:left="120" w:right="100" w:hanging="4"/>
        <w:spacing w:after="0" w:line="292" w:lineRule="auto"/>
        <w:tabs>
          <w:tab w:leader="none" w:pos="405"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three month LIBOR plus 1.0%, and (D) zero. We pay a commitment fee that varies depending on the size of the unused portion of the Credit Facility: 3.00% per annum on the unused portion of the Credit Facility at or below 35% of the commitments and 0.50% per annum on any remaining unused portion of the Credit Facility between the total commitments and the 35% minimum utilization. The Amended Credit Agreement also modifies certain covenants in the Credit Facility, including to provide for a minimum asset coverage ratio of 2.00 to 1 (on a regulatory basis). The Credit Facility is secured by a first priority security interest in all of our assets, excluding the assets of our SBIC subsidiaries.</w:t>
      </w:r>
    </w:p>
    <w:p>
      <w:pPr>
        <w:spacing w:after="0" w:line="162"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Amounts available to borrow under the Credit Facility are subject to a minimum borrowing/collateral base that applies an advance rate to certain portfolio investments held by us, excluding investments held by the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57"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We have made customary representations and warranties and are required to comply with various covenants, reporting requirements and other customary requirements for similar credit facilities. These covenants are subject to important limitations and exceptions that are described in the documents governing the Credit Facility. As of June 30, 2020, we were in compliance with all covenants of the Credit Facility.</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Public Notes</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On February 2, 2018, we closed the public offering of approximately $43.5 million in aggregate principal amount of our 5.875% notes due 2023, or the “2023 Notes.” On February 22, 2018, the underwriters exercised their option to purchase an additional $6.5 million in aggregate principal of the 2023 Notes. The total net proceeds to us from the 2023 Notes, including the exercise of the underwriters’ option, after deducting underwriting discounts of approximately $1.5 million and offering expenses of $0.4 million, were approximately $48.1 million.</w:t>
      </w:r>
    </w:p>
    <w:p>
      <w:pPr>
        <w:sectPr>
          <w:pgSz w:w="11900" w:h="16838" w:orient="portrait"/>
          <w:cols w:equalWidth="0" w:num="1">
            <w:col w:w="11120"/>
          </w:cols>
          <w:pgMar w:left="320" w:top="459" w:right="459" w:bottom="1440" w:gutter="0" w:footer="0" w:header="0"/>
        </w:sectPr>
      </w:pP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120"/>
          </w:cols>
          <w:pgMar w:left="320" w:top="459" w:right="45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2023 Notes will mature on February 1, 2023 and bear interest at a rate of 5.875%. The 2023 Notes may be redeemed in whole or in part at any time or from time to time at our option on or after February 1, 2020. Interest on the 2023 Notes is payable quarterly on February 1, May 1, August 1 and November 1 of each year. The 2023 Notes are listed on the NASDAQ Global Select Market under the trading symbol “FDUSL.” As of June 30, 2020, the outstanding principal balance of the 2023 Notes was $50.0 million.</w:t>
      </w:r>
    </w:p>
    <w:p>
      <w:pPr>
        <w:spacing w:after="0" w:line="18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On February 8, 2019, we closed the public offering of approximately $60.0 million in aggregate principal amount of our 6.000% notes due 2024, or the “2024 Notes”. On February 19, 2019, the underwriters exercised their option to purchase an additional $9.0 million in aggregate principal of the 2024 Notes. The total net proceeds to us from the 2024 Notes, including the exercise of the underwriters’ option, after deducting underwriting discounts of approximately $2.1 million and offering expenses of $0.4 million, were approximately $66.5 million.</w:t>
      </w:r>
    </w:p>
    <w:p>
      <w:pPr>
        <w:spacing w:after="0" w:line="17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2024 Notes will mature on February 15, 2024 and bear interest at a rate of 6.000%. The 2024 Notes may be redeemed in whole or in part at any time or from time to time at our option on or after February 15, 2021. Interest on the 2024 Notes is payable quarterly on February 15, May 15, August 15 and November 15 of each year, beginning May 15, 2019. The 2024 Notes are listed on the NASDAQ Global Select Market under the trading symbol “FDUSZ.” As of June 30, 2020, the outstanding principal balance of the 2024 Notes was $69.0 million.</w:t>
      </w:r>
    </w:p>
    <w:p>
      <w:pPr>
        <w:spacing w:after="0" w:line="17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On October 16, 2019, we closed the public offering of approximately $55.0 million in aggregate principal amount of our 5.375% notes due 2024, or the “November 2024 Notes” (and collectively with the 2023 Notes and the February 2024 Notes, the “Public Notes”). On October 23, 2019, the underwriters exercised their option to purchase an additional $8.3 million in aggregate principal of the November 2024 Notes. The total net proceeds to us from the November 2024 Notes, including the exercise of the underwriters’ option, after deducting underwriting discounts of approximately $1.9 million and offering expenses of $0.3 million, were approximately $61.1 million.</w:t>
      </w:r>
    </w:p>
    <w:p>
      <w:pPr>
        <w:spacing w:after="0" w:line="17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November 2024 Notes will mature on November 1, 2024 and bear interest at a rate of 5.375%. The November 2024 Notes may be redeemed in whole or in part at any time or from time to time at our option on or after November 1, 2021. Interest on the November 2024 Notes is payable quarterly on February 1, May 1, August 1 and November 1 of each year, beginning February 1, 2020. The November 2024 Notes are listed on the NASDAQ Global Select Market under the trading symbol “FDUSG.” As of June 30, 2020, the outstanding principal balance of the November 2024 Notes was approximately $63.3 million.</w:t>
      </w:r>
    </w:p>
    <w:p>
      <w:pPr>
        <w:spacing w:after="0" w:line="18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Public Notes are unsecured obligations and rank pari passu with our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June 30, 2020, the weighted average stated interest rates for our SBA debentures, Public Notes, and the Credit Facility were 3.333%,</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5.749%, and 3.315% respectively. As of June 30, 2020, we had $57.0 million of unutilized commitment under our Credit Facility, and we were subject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a 0.500% fee on such amount. As of June 30, 2020, the weighted average stated interest rate on total debt outstanding was 4.484%.</w:t>
      </w:r>
    </w:p>
    <w:p>
      <w:pPr>
        <w:spacing w:after="0" w:line="21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As a BDC, we are generally required to meet an asset coverage ratio of at least 200.0% (or 150.0% on and after April 29, 2020)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We have received exemptive relief from the SEC to allow us to exclude any indebtedness guaranteed by the SBA and issued by the Funds from the 200.0% asset coverage requirements, which, in turn, will enable us to fund more investments with debt capital. Recent legislation, however, modifies the required minimum asset coverage ratio from 200.0% to 150.0%, if certain requirements are met. Under the legislation,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legislation allows the majority of the Independent Directors to approve an increase in our leverage capacity, and such approval would become effective after the one-year anniversary of such approval.</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April 29, 2019, the Board, including a majority of the Independent Directors, approved a minimum asset coverage ratio of 150% under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Sections 18(a)(1) and 18(a)(2) of the 1940 Act. As a result, we became subject to the 150% asset coverage ratio effective as of April 29, 2020. At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present time, we do not intend to seek stockholder approval to reduce our asset coverage requirement. As of June 30, 2020, the aggregate amount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outstanding of the senior securities issued by the Company was $225.3 million, for which our asset coverage was 267.0%. The SBA-guaranteed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debentures are not subject to the asset coverage requirements of the 1940 Act as a result of exemptive relief granted to us by the SEC effective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27, 2012. The asset coverage ratio for a class of senior securities representing indebtedness is calculated as our consolidated total assets, less all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liabilities and indebtedness not represented by senior securities, divided by total senior securities representing indebtedness.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June 4, 2020, our stockholders voted to allow us to sell or otherwise issue common stock at a price below net asset value per share for a period of one year ending on the earlier of June 4, 2021 or the date of our 2021 Annual Meeting of Stockholders. We expect to present to our stockholders a similar proposal at our 2021 Annual Meeting of Stockholders. Our stockholders specified that the cumulative number of shares sold in each offering during the one-year period ending on the earlier of June 4, 2021 or the date of our 2021 Annual Meeting of Stockholders may not exceed 25.0% of our outstanding common stock immediately prior to each such sale.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29, 2019, the Board extended the Stock Repurchase Program through December 31, 2020,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During the three and six months ended June 30, 2020, we repurchased zero and 25,719 shares of common stock on the open market for zero and $0.3 million, respectively. We did not make any repurchases of common stock during the three and six months ended June 30, 2019. Refer to Note 8 to our consolidated financial statements for additional information concerning stock repurchases.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affecting amounts reported in the financial statements. We have identified investment valuation and revenue recognition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As a BDC, we report our assets and liabilities at fair value at all times consistent with GAAP and the 1940 Act. Accordingly, we are required to periodically determine the fair value of all of our portfolio investments.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the Board using a documented valuation policy and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 could be material.</w:t>
      </w:r>
    </w:p>
    <w:p>
      <w:pPr>
        <w:spacing w:after="0" w:line="164"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Board undertakes a multi-step valuation process each quarter, as described below:</w:t>
      </w:r>
    </w:p>
    <w:p>
      <w:pPr>
        <w:spacing w:after="0" w:line="76" w:lineRule="exact"/>
        <w:rPr>
          <w:sz w:val="20"/>
          <w:szCs w:val="20"/>
          <w:color w:val="auto"/>
        </w:rPr>
      </w:pPr>
    </w:p>
    <w:p>
      <w:pPr>
        <w:ind w:left="1080" w:right="32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evaluated and rated by the investment professionals of the Investment Advisor responsible for the portfolio investment;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preliminary valuation conclusions are then documented and discussed with the investment committee of the Investment Advisor;</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9"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 The Board consulted with the independent valuation firm(s) in arriving at our determination of fair value for 17 and 13 of our portfolio company investments representing 25.4% and 30.9% of the total portfolio investments at fair value (exclusive of new portfolio company investments made during the three months ended June 30, 2020 and December 31, 2019, respectively) as of June 30, 2020 and December 31, 2019, respectively;</w:t>
      </w:r>
    </w:p>
    <w:p>
      <w:pPr>
        <w:spacing w:after="0" w:line="90"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Board discusses the valuations and determines the fair value of each investment in our portfolio in good faith, based on the input of the Investment Advisor, the independent valuation firm(s) and the audit committee.</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84"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pacing w:after="0" w:line="16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6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may also utilize an income approach when estimating the fair value of our equity securities,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ectPr>
          <w:pgSz w:w="11900" w:h="16838" w:orient="portrait"/>
          <w:cols w:equalWidth="0" w:num="1">
            <w:col w:w="11120"/>
          </w:cols>
          <w:pgMar w:left="320" w:top="459" w:right="459" w:bottom="1440" w:gutter="0" w:footer="0" w:header="0"/>
        </w:sectPr>
      </w:pP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120"/>
          </w:cols>
          <w:pgMar w:left="320" w:top="459" w:right="45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The fair value of our royalty rights are calculated based on projected future cash flows and the specific provisions contained in the pertinent royalty agreement. The determination of the fair value of such royalty rights is not a significant component of our valuation process.</w:t>
      </w:r>
    </w:p>
    <w:p>
      <w:pPr>
        <w:spacing w:after="0" w:line="124"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 xml:space="preserve">Investments and related investment income. </w:t>
      </w:r>
      <w:r>
        <w:rPr>
          <w:rFonts w:ascii="Arial" w:cs="Arial" w:eastAsia="Arial" w:hAnsi="Arial"/>
          <w:sz w:val="18"/>
          <w:szCs w:val="18"/>
          <w:color w:val="auto"/>
        </w:rPr>
        <w:t>Realized gains or losses on investments are recorded upon the sale or disposition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the Board through the application of our valuation policy, as well as reclassifications of any prior period unrealized appreciation or depreciation on exited investments to realized gains or losses on investments.</w:t>
      </w:r>
    </w:p>
    <w:p>
      <w:pPr>
        <w:spacing w:after="0" w:line="192"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i w:val="1"/>
          <w:iCs w:val="1"/>
          <w:color w:val="auto"/>
        </w:rPr>
        <w:t>Interest and dividend income</w:t>
      </w:r>
      <w:r>
        <w:rPr>
          <w:rFonts w:ascii="Arial" w:cs="Arial" w:eastAsia="Arial" w:hAnsi="Arial"/>
          <w:sz w:val="17"/>
          <w:szCs w:val="17"/>
          <w:color w:val="auto"/>
        </w:rPr>
        <w:t>. Interest and dividend income are recorded on the accrual basis to the extent that we expect to collect such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7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i w:val="1"/>
          <w:iCs w:val="1"/>
          <w:color w:val="auto"/>
        </w:rPr>
        <w:t xml:space="preserve">PIK income. </w:t>
      </w:r>
      <w:r>
        <w:rPr>
          <w:rFonts w:ascii="Arial" w:cs="Arial" w:eastAsia="Arial" w:hAnsi="Arial"/>
          <w:sz w:val="17"/>
          <w:szCs w:val="17"/>
          <w:color w:val="auto"/>
        </w:rPr>
        <w:t>Certain of our investments contain a PIK income provision. The PIK income, computed at the contractual rate specified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our taxable income and, therefore, affects the amount we are required to pay to our stockholders in the form of dividends in order to maintain our tax treatment as a RIC and to avoid paying corporate-level U.S. federal income tax, even though we have not yet collected the cash.</w:t>
      </w:r>
    </w:p>
    <w:p>
      <w:pPr>
        <w:spacing w:after="0" w:line="17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i w:val="1"/>
          <w:iCs w:val="1"/>
          <w:color w:val="auto"/>
        </w:rPr>
        <w:t xml:space="preserve">Non-accrual. </w:t>
      </w:r>
      <w:r>
        <w:rPr>
          <w:rFonts w:ascii="Arial" w:cs="Arial" w:eastAsia="Arial" w:hAnsi="Arial"/>
          <w:sz w:val="17"/>
          <w:szCs w:val="17"/>
          <w:color w:val="auto"/>
        </w:rPr>
        <w:t>Debt investments or preferred equity investments (for which we are accruing PIK dividends) are placed on non-accrual status when</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our debt investments, we will sometimes receive warrants or other equity-related securities (Warrants). We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OID and accreted into interest income using the effective interest method over the term of the debt investment. Upon the prepayment of a debt investment, any unaccreted OID is accelerated into interest income.</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All transaction fees earned in connection with our investments are recognized as fee income and are generally non-recurring.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fees typically include fees for services, including structuring and advisory services, provided to portfolio companies. We recognize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8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also typically receive debt investment origination or closing fees in connection with investments. Such debt investment origination and closing fees are capitalized as unearned income and offset against investment cost basis on our consolidated statements of assets and liabilities and accreted into interest income over the term of the investment. Upon the prepayment of a debt investment, any unaccreted debt investment origination and closing fees are accelerated into interest income.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 Changes to the Disclosure Requirements for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which is intended to improve fair value disclosure requirements by removing disclosures that are not cost-beneficial, clarifying</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specific requirements, and adding relevant disclosure requirements. The guidance is effective for annual and interim reporting periods beginning after December 15, 2019. We adopted the ASU effective January 1, 2020. No significant changes to the fair value disclosures were necessary in the notes to the consolidated financial statements in order to comply with ASU 2018-13.</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March 2020, the Financial Accounting Standards Board (“FASB”) issued Accounting Standards Update (“ASU”) No. 2020-04, “</w:t>
      </w:r>
      <w:r>
        <w:rPr>
          <w:rFonts w:ascii="Arial" w:cs="Arial" w:eastAsia="Arial" w:hAnsi="Arial"/>
          <w:sz w:val="17"/>
          <w:szCs w:val="17"/>
          <w:i w:val="1"/>
          <w:iCs w:val="1"/>
          <w:color w:val="auto"/>
        </w:rPr>
        <w:t>Reference Rate</w:t>
      </w:r>
      <w:r>
        <w:rPr>
          <w:rFonts w:ascii="Arial" w:cs="Arial" w:eastAsia="Arial" w:hAnsi="Arial"/>
          <w:sz w:val="17"/>
          <w:szCs w:val="17"/>
          <w:color w:val="auto"/>
        </w:rPr>
        <w:t xml:space="preserve"> </w:t>
      </w:r>
      <w:r>
        <w:rPr>
          <w:rFonts w:ascii="Arial" w:cs="Arial" w:eastAsia="Arial" w:hAnsi="Arial"/>
          <w:sz w:val="17"/>
          <w:szCs w:val="17"/>
          <w:i w:val="1"/>
          <w:iCs w:val="1"/>
          <w:color w:val="auto"/>
        </w:rPr>
        <w:t>Reform (Topic 848),</w:t>
      </w:r>
      <w:r>
        <w:rPr>
          <w:rFonts w:ascii="Arial" w:cs="Arial" w:eastAsia="Arial" w:hAnsi="Arial"/>
          <w:sz w:val="17"/>
          <w:szCs w:val="17"/>
          <w:color w:val="auto"/>
        </w:rPr>
        <w:t>” which provides optional expedients and exceptions for applying GAAP to contracts, hedging relationships, and other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affected by reference rate reform if certain criteria are met. The amendments apply only to contracts, hedging relationships, and other transactions that reference LIBOR or another reference rate expected to be discontinued because of reference rate reform. ASU 2020-04 is effective for all entities as of March 12, 2020 through December 31, 2022. The expedients and exceptions provided by the amendments do not apply to contract modifications and hedging relationships entered into or evaluated after December 31, 2022, except for hedging transactions as of December 31, 2022, that an entity has elected certain optional expedients for and that are retained through the end of the hedging relationship. The Company is evaluating the potential impact that the adoption of ASU 2020-04 will have on the Company’s consolidated financial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may be a party to financial instruments with off-balance sheet risk in the normal course of business to meet the financial needs of our portfolio companies. We had off-balance sheet arrangements consisting of outstanding commitments to fund various undrawn revolving loans, other debt investments and capital commitments totaling $4.9 and 4.8 million as of June 30, 2020 and December 31, 2019, respectively. Such outstanding commitments are summarized in the following table (dollars in millions):</w:t>
      </w:r>
    </w:p>
    <w:p>
      <w:pPr>
        <w:spacing w:after="0" w:line="20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6"/>
          </w:tcPr>
          <w:p>
            <w:pPr>
              <w:ind w:left="52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3"/>
              </w:rPr>
              <w:t>Portfolio Company - Investment</w:t>
            </w:r>
          </w:p>
        </w:tc>
        <w:tc>
          <w:tcPr>
            <w:tcW w:w="292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3"/>
          </w:tcPr>
          <w:p>
            <w:pPr>
              <w:ind w:left="100"/>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Unfunded</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Unfunded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00" w:type="dxa"/>
            <w:vAlign w:val="bottom"/>
            <w:tcBorders>
              <w:bottom w:val="single" w:sz="8" w:color="auto"/>
            </w:tcBorders>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Commitment</w:t>
            </w:r>
          </w:p>
        </w:tc>
        <w:tc>
          <w:tcPr>
            <w:tcW w:w="12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Commitment</w:t>
            </w:r>
          </w:p>
        </w:tc>
        <w:tc>
          <w:tcPr>
            <w:tcW w:w="200" w:type="dxa"/>
            <w:vAlign w:val="bottom"/>
          </w:tcPr>
          <w:p>
            <w:pPr>
              <w:spacing w:after="0"/>
              <w:rPr>
                <w:sz w:val="15"/>
                <w:szCs w:val="15"/>
                <w:color w:val="auto"/>
              </w:rPr>
            </w:pPr>
          </w:p>
        </w:tc>
        <w:tc>
          <w:tcPr>
            <w:tcW w:w="13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Commitment</w:t>
            </w:r>
          </w:p>
        </w:tc>
        <w:tc>
          <w:tcPr>
            <w:tcW w:w="10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135"/>
        </w:trPr>
        <w:tc>
          <w:tcPr>
            <w:tcW w:w="492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Combined Systems, Inc. - Revolving Loan</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ind w:left="480"/>
              <w:spacing w:after="0" w:line="135" w:lineRule="exact"/>
              <w:rPr>
                <w:sz w:val="20"/>
                <w:szCs w:val="20"/>
                <w:color w:val="auto"/>
              </w:rPr>
            </w:pPr>
            <w:r>
              <w:rPr>
                <w:rFonts w:ascii="Arial" w:cs="Arial" w:eastAsia="Arial" w:hAnsi="Arial"/>
                <w:sz w:val="14"/>
                <w:szCs w:val="14"/>
                <w:color w:val="auto"/>
                <w:w w:val="81"/>
              </w:rPr>
              <w:t>4.0</w:t>
            </w:r>
          </w:p>
        </w:tc>
        <w:tc>
          <w:tcPr>
            <w:tcW w:w="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ind w:left="540"/>
              <w:spacing w:after="0" w:line="135" w:lineRule="exact"/>
              <w:rPr>
                <w:sz w:val="20"/>
                <w:szCs w:val="20"/>
                <w:color w:val="auto"/>
              </w:rPr>
            </w:pPr>
            <w:r>
              <w:rPr>
                <w:rFonts w:ascii="Arial" w:cs="Arial" w:eastAsia="Arial" w:hAnsi="Arial"/>
                <w:sz w:val="14"/>
                <w:szCs w:val="14"/>
                <w:color w:val="auto"/>
                <w:w w:val="81"/>
              </w:rPr>
              <w:t>0.1</w:t>
            </w:r>
          </w:p>
        </w:tc>
        <w:tc>
          <w:tcPr>
            <w:tcW w:w="3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ind w:left="440"/>
              <w:spacing w:after="0" w:line="13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ind w:left="520"/>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FDS Avionics Corp. (dba Flight Display Systems) - Revolving Loan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92"/>
              </w:rPr>
              <w:t>0.2</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9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French Transit, LLC - Revolving Loan</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92"/>
              </w:rPr>
              <w:t>1.0</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Rhino Assembly Company, LLC - Delayed Draw Commitment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92"/>
              </w:rPr>
              <w:t>0.9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0.9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0.9</w:t>
            </w:r>
          </w:p>
        </w:tc>
        <w:tc>
          <w:tcPr>
            <w:tcW w:w="100" w:type="dxa"/>
            <w:vAlign w:val="bottom"/>
          </w:tcPr>
          <w:p>
            <w:pPr>
              <w:spacing w:after="0"/>
              <w:rPr>
                <w:sz w:val="12"/>
                <w:szCs w:val="12"/>
                <w:color w:val="auto"/>
              </w:rPr>
            </w:pPr>
          </w:p>
        </w:tc>
        <w:tc>
          <w:tcPr>
            <w:tcW w:w="9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8"/>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Safety Products Group, LLC - Common Equity (Units)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 xml:space="preserve">2.9 </w:t>
            </w:r>
            <w:r>
              <w:rPr>
                <w:rFonts w:ascii="Arial" w:cs="Arial" w:eastAsia="Arial" w:hAnsi="Arial"/>
                <w:sz w:val="12"/>
                <w:szCs w:val="12"/>
                <w:color w:val="auto"/>
              </w:rPr>
              <w:t>(1)</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 xml:space="preserve">2.9 </w:t>
            </w:r>
            <w:r>
              <w:rPr>
                <w:rFonts w:ascii="Arial" w:cs="Arial" w:eastAsia="Arial" w:hAnsi="Arial"/>
                <w:sz w:val="12"/>
                <w:szCs w:val="12"/>
                <w:color w:val="auto"/>
              </w:rPr>
              <w:t>(1)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 xml:space="preserve">2.9 </w:t>
            </w:r>
            <w:r>
              <w:rPr>
                <w:rFonts w:ascii="Arial" w:cs="Arial" w:eastAsia="Arial" w:hAnsi="Arial"/>
                <w:sz w:val="12"/>
                <w:szCs w:val="12"/>
                <w:color w:val="auto"/>
              </w:rPr>
              <w:t>(1)</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4"/>
              </w:rPr>
              <w:t xml:space="preserve">2.9 </w:t>
            </w:r>
            <w:r>
              <w:rPr>
                <w:rFonts w:ascii="Arial" w:cs="Arial" w:eastAsia="Arial" w:hAnsi="Arial"/>
                <w:sz w:val="12"/>
                <w:szCs w:val="12"/>
                <w:color w:val="auto"/>
                <w:w w:val="94"/>
              </w:rPr>
              <w:t>(1)</w:t>
            </w:r>
          </w:p>
        </w:tc>
        <w:tc>
          <w:tcPr>
            <w:tcW w:w="0" w:type="dxa"/>
            <w:vAlign w:val="bottom"/>
          </w:tcPr>
          <w:p>
            <w:pPr>
              <w:spacing w:after="0"/>
              <w:rPr>
                <w:sz w:val="1"/>
                <w:szCs w:val="1"/>
                <w:color w:val="auto"/>
              </w:rPr>
            </w:pPr>
          </w:p>
        </w:tc>
      </w:tr>
      <w:tr>
        <w:trPr>
          <w:trHeight w:val="156"/>
        </w:trPr>
        <w:tc>
          <w:tcPr>
            <w:tcW w:w="492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ind w:left="480"/>
              <w:spacing w:after="0" w:line="155" w:lineRule="exact"/>
              <w:rPr>
                <w:sz w:val="20"/>
                <w:szCs w:val="20"/>
                <w:color w:val="auto"/>
              </w:rPr>
            </w:pPr>
            <w:r>
              <w:rPr>
                <w:rFonts w:ascii="Arial" w:cs="Arial" w:eastAsia="Arial" w:hAnsi="Arial"/>
                <w:sz w:val="14"/>
                <w:szCs w:val="14"/>
                <w:color w:val="auto"/>
                <w:w w:val="81"/>
              </w:rPr>
              <w:t>9.0</w:t>
            </w:r>
          </w:p>
        </w:tc>
        <w:tc>
          <w:tcPr>
            <w:tcW w:w="2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ind w:left="540"/>
              <w:spacing w:after="0" w:line="155" w:lineRule="exact"/>
              <w:rPr>
                <w:sz w:val="20"/>
                <w:szCs w:val="20"/>
                <w:color w:val="auto"/>
              </w:rPr>
            </w:pPr>
            <w:r>
              <w:rPr>
                <w:rFonts w:ascii="Arial" w:cs="Arial" w:eastAsia="Arial" w:hAnsi="Arial"/>
                <w:sz w:val="14"/>
                <w:szCs w:val="14"/>
                <w:color w:val="auto"/>
                <w:w w:val="81"/>
              </w:rPr>
              <w:t>4.9</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ind w:left="480"/>
              <w:spacing w:after="0" w:line="155" w:lineRule="exact"/>
              <w:rPr>
                <w:sz w:val="20"/>
                <w:szCs w:val="20"/>
                <w:color w:val="auto"/>
              </w:rPr>
            </w:pPr>
            <w:r>
              <w:rPr>
                <w:rFonts w:ascii="Arial" w:cs="Arial" w:eastAsia="Arial" w:hAnsi="Arial"/>
                <w:sz w:val="14"/>
                <w:szCs w:val="14"/>
                <w:color w:val="auto"/>
                <w:w w:val="81"/>
              </w:rPr>
              <w:t>5.0</w:t>
            </w:r>
          </w:p>
        </w:tc>
        <w:tc>
          <w:tcPr>
            <w:tcW w:w="5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ind w:left="560"/>
              <w:spacing w:after="0" w:line="155" w:lineRule="exact"/>
              <w:rPr>
                <w:sz w:val="20"/>
                <w:szCs w:val="20"/>
                <w:color w:val="auto"/>
              </w:rPr>
            </w:pPr>
            <w:r>
              <w:rPr>
                <w:rFonts w:ascii="Arial" w:cs="Arial" w:eastAsia="Arial" w:hAnsi="Arial"/>
                <w:sz w:val="14"/>
                <w:szCs w:val="14"/>
                <w:color w:val="auto"/>
                <w:w w:val="81"/>
              </w:rPr>
              <w:t>4.8</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300" w:hanging="424"/>
        <w:spacing w:after="0" w:line="277"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Portfolio company was no longer held at period end. The commitment represents our maximum potential liability related to certain guaranteed obligations stemming from the prior sale of the portfolio company’s underlying operations.</w:t>
      </w:r>
    </w:p>
    <w:p>
      <w:pPr>
        <w:spacing w:after="0" w:line="17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Additional detail for each of the commitments above is provided in our consolidated schedules of investments.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1540" w:hanging="331"/>
        <w:spacing w:after="0" w:line="259" w:lineRule="auto"/>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entered into the Investment Advisory Agreement with Fidus Investment Advisors as our investment advisor. Pursuant to the agreement, the Investment Advisor manages our day-to-day operating and investing activities. We pay the Investment Advisor a fee for its services under the Investment Advisory Agreement consisting of two components — a base management fee and an incentive fee. See Note 5 to our consolidated financial statements.</w:t>
      </w:r>
    </w:p>
    <w:p>
      <w:pPr>
        <w:spacing w:after="0" w:line="92" w:lineRule="exact"/>
        <w:rPr>
          <w:rFonts w:ascii="Arial" w:cs="Arial" w:eastAsia="Arial" w:hAnsi="Arial"/>
          <w:sz w:val="18"/>
          <w:szCs w:val="18"/>
          <w:color w:val="auto"/>
        </w:rPr>
      </w:pPr>
    </w:p>
    <w:p>
      <w:pPr>
        <w:ind w:left="1540" w:right="20" w:hanging="331"/>
        <w:spacing w:after="0" w:line="255" w:lineRule="auto"/>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Edward H. Ross, our Chairman and Chief Executive Officer, and Thomas C. Lauer, our President, are managers of Fidus Investment Advisors. In May 2015, Fidus Investment Advisors entered into a combination with Fidus Partners, LLC (the “Combination”), by which members of Fidus Investment Advisors and Fidus Partners, LLC (“Partners”) contributed all of their respective membership interest in Fidus Investment Advisors and Partners to a newly formed limited liability company, Fidus Group Holdings, LLC (“Holdings”). As a result, Fidus Investment Advisors is a wholly-owned subsidiary of Holdings, which is a limited liability company organized under the laws of Delaware.</w:t>
      </w:r>
    </w:p>
    <w:p>
      <w:pPr>
        <w:spacing w:after="0" w:line="97" w:lineRule="exact"/>
        <w:rPr>
          <w:rFonts w:ascii="Arial" w:cs="Arial" w:eastAsia="Arial" w:hAnsi="Arial"/>
          <w:sz w:val="18"/>
          <w:szCs w:val="18"/>
          <w:color w:val="auto"/>
        </w:rPr>
      </w:pPr>
    </w:p>
    <w:p>
      <w:pPr>
        <w:ind w:left="1540" w:right="820" w:hanging="331"/>
        <w:spacing w:after="0" w:line="342" w:lineRule="auto"/>
        <w:tabs>
          <w:tab w:leader="none" w:pos="1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entered into the Administration Agreement with Fidus Investment Advisors to provide us with the office facilities and administrative services necessary to conduct day-to-day operations. See Note 5 to our consolidated financial statements.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020" w:hanging="331"/>
        <w:spacing w:after="0" w:line="277" w:lineRule="auto"/>
        <w:tabs>
          <w:tab w:leader="none" w:pos="1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entered into a license agreement with Fidus Partners, LLC, pursuant to which Fidus Partners, LLC has granted us a non-exclusive, royalty-free license to use the name “Fidus.”</w:t>
      </w:r>
    </w:p>
    <w:p>
      <w:pPr>
        <w:spacing w:after="0" w:line="75" w:lineRule="exact"/>
        <w:rPr>
          <w:rFonts w:ascii="Arial" w:cs="Arial" w:eastAsia="Arial" w:hAnsi="Arial"/>
          <w:sz w:val="18"/>
          <w:szCs w:val="18"/>
          <w:color w:val="auto"/>
        </w:rPr>
      </w:pPr>
    </w:p>
    <w:p>
      <w:pPr>
        <w:ind w:left="1540" w:right="40" w:hanging="331"/>
        <w:spacing w:after="0" w:line="255" w:lineRule="auto"/>
        <w:tabs>
          <w:tab w:leader="none" w:pos="1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February 25, 2020, the Company entered into a Limited Partnership Agreement (the “Agreement”) with Fidus Equity Fund I, L.P. (“FEF I”). Pursuant to the Agreement, we will serve as the General Partner of FEF I. Owned by third-party investors, FEF I was formed to purchase 50% of select equity investments from us. On February 25, 2020, we sold 50% of our equity investments in 20 portfolio companies to FEF I and received net proceeds of $35.9 million, resulting in a realized gain, net of estimated taxes, of approximately $20.4 million. We will not receive any fees from FEF I for any services provided in our capacity as the General Partner of FEF I.</w:t>
      </w:r>
    </w:p>
    <w:p>
      <w:pPr>
        <w:spacing w:after="0" w:line="97" w:lineRule="exact"/>
        <w:rPr>
          <w:rFonts w:ascii="Arial" w:cs="Arial" w:eastAsia="Arial" w:hAnsi="Arial"/>
          <w:sz w:val="18"/>
          <w:szCs w:val="18"/>
          <w:color w:val="auto"/>
        </w:rPr>
      </w:pPr>
    </w:p>
    <w:p>
      <w:pPr>
        <w:jc w:val="both"/>
        <w:ind w:left="1540" w:right="200" w:hanging="331"/>
        <w:spacing w:after="0" w:line="342" w:lineRule="auto"/>
        <w:tabs>
          <w:tab w:leader="none" w:pos="1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Investment Advisor, in consultation with the Board, agreed to voluntarily waive $0.4 of the income incentive fee for the three and six months ended June 30, 2020. There was no income incentive fee waiver for the three and six months ended June 30, 2019.</w:t>
      </w:r>
    </w:p>
    <w:p>
      <w:pPr>
        <w:spacing w:after="0" w:line="12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separate exemptive relief from the SEC, any SBA debentures issued by Fund II and Fund III are not considered senior securities for purposes of the asset coverage requirements.</w:t>
      </w:r>
    </w:p>
    <w:p>
      <w:pPr>
        <w:spacing w:after="0" w:line="18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While we may co-invest with investment entities managed by the Investment Advisor or its affiliates, to the extent permitted by the 1940 Act and the rules and regulations thereunder, the 1940 Act imposes significant limits on co-investment. The SEC staff has granted us relief sought in an exemptive application that expands our ability to co-invest in portfolio companies with other funds managed by the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or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w:t>
      </w:r>
    </w:p>
    <w:p>
      <w:pPr>
        <w:spacing w:after="0" w:line="166"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In addition, we and the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Investment Advisers Act of 1940, as amended, and in accordance with Rule 17j-1(c) under the 1940 Act. We have also adopted a code of business conduct that is applicable to all officers, directors and employees of Fidus and the Investment Advisor. Our officers and directors also remain subject to the duties imposed by both the 1940 Act and the Maryland General Corporation Law.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On July 2, 2020, the Company exited its debt investment in Hoonuit, LLC. The Company received payment in full of $7.3 million on its first lien debt, which includes a prepayment penalty.</w:t>
      </w:r>
    </w:p>
    <w:p>
      <w:pPr>
        <w:spacing w:after="0" w:line="170" w:lineRule="exact"/>
        <w:rPr>
          <w:sz w:val="20"/>
          <w:szCs w:val="20"/>
          <w:color w:val="auto"/>
        </w:rPr>
      </w:pPr>
    </w:p>
    <w:p>
      <w:pPr>
        <w:ind w:left="120" w:right="820" w:firstLine="440"/>
        <w:spacing w:after="0" w:line="342" w:lineRule="auto"/>
        <w:rPr>
          <w:sz w:val="20"/>
          <w:szCs w:val="20"/>
          <w:color w:val="auto"/>
        </w:rPr>
      </w:pPr>
      <w:r>
        <w:rPr>
          <w:rFonts w:ascii="Arial" w:cs="Arial" w:eastAsia="Arial" w:hAnsi="Arial"/>
          <w:sz w:val="16"/>
          <w:szCs w:val="16"/>
          <w:color w:val="auto"/>
        </w:rPr>
        <w:t>On July 24, 2020, we exited our debt and equity investments in Microbiology Research Associates, Inc. We received payment in full of $9.0 million on our subordinated debt investment. We sold our common equity investment for a realized gain of approximately $1.4 million.</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August 3, 2020, the Board declared a regular quarterly dividend of $0.30 per share payable on September 25, 2020 to stockholders of record as of September 11, 2020.</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Subsequent to June 30, 2020, the global outbreak of the COVID-19 pandemic, and the related effect on the U.S. and global economies, has continued to have adverse consequences for the business operations of some of the Company’s portfolio companies. The ultimate economic fallout from the pandemic, and the long-term impact on economies, markets, industries and individual issuers, remain uncertain. The operational and financial performance of the issuers of securities in which the Company invests depends on future developments, including the duration and spread of the outbreak, and such uncertainty may in turn adversely affect the value and liquidity of the Company’s investments and negatively impact the Company’s performance.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We are subject to financial market risks, including changes in interest rates. Changes in interest rates affect both our cost of funding and the valuation of our investment portfolio. Our risk management systems and procedures are designed to identify and analyze our risk, to set appropriate policies and limits and to continually monitor these risks and limits by means of reliable administrative and information systems and other policies and programs. In addition, U.S. and global capital markets and credit markets have experienced a higher level of stress due to the global COVID-19 pandemic, which has resulted in an increase in the level of volatility across such markets and a general decline in value of the securities held by us.</w:t>
      </w:r>
    </w:p>
    <w:p>
      <w:pPr>
        <w:sectPr>
          <w:pgSz w:w="11900" w:h="16838" w:orient="portrait"/>
          <w:cols w:equalWidth="0" w:num="1">
            <w:col w:w="11120"/>
          </w:cols>
          <w:pgMar w:left="320" w:top="459" w:right="459" w:bottom="1440" w:gutter="0" w:footer="0" w:header="0"/>
        </w:sectPr>
      </w:pP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120"/>
          </w:cols>
          <w:pgMar w:left="320" w:top="459" w:right="45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the future, our investment income may also be affected by changes in various interest rates, including LIBOR and prime rates, to the extent of any debt investments that include floating interest rates. In connection with the COVID-19 pandemic, the U.S. Federal Reserve and other central banks have reduced certain interest rates and LIBOR has decreased. A prolonged reduction in interest rates will reduce our gross investment income and could result in a decrease in our net investment income if such decreases in LIBOR are not offset by a corresponding increase in the spread over LIBOR that we earn on any portfolio investments, a decrease in in our operating expenses, including with respect to our income incentive fee, or a decrease in the interest rate of our floating interest rate liabilities tied to LIBOR. As of June 30, 2020 and December 31, 2019, 20 and 17 portfolio company’s debt investments, respectively, bore interest at a variable rate, which represented $210.3 million and $181.3 million of our portfolio on a fair value basis, respectively, and the remainder of our debt portfolio was comprised entirely of fixed rate investments. Our pooled SBA debentures and our Public Notes bear interest at fixed rates. Our Credit Facility bears interest, at our election, at a rate per annum equal to (a) 3.00% (or 2.75% if certain conditions are satisfied, including if (x) no equity interests are included in the borrowing base, (y) the contribution to the borrowing base of eligible portfolio investments that are performing first lien bank loans is greater than or equal to 35%, and (z) the contribution to the borrowing base of eligible portfolio investments that are performing first lien bank loans, performing last out loans, or performing second lien loans is greater than or equal to 60%) plus the one, two, three or six month LIBOR rate, as applicable, or (b) 2.00% (or 1.75% if the above conditions are satisfied) plus the highest of (A) a prime rate, (B) the Federal Funds rate plus 0.5%, (C) three month LIBOR plus 1.0%, and (D) zero.</w:t>
      </w:r>
    </w:p>
    <w:p>
      <w:pPr>
        <w:spacing w:after="0" w:line="17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88"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following table shows the approximate annualized increase or decrease in the components of net investment income due to hypothetical base rate changes in interest rates, assuming no changes in our investments and borrowings as of June 30, 2020 (dollars in millions):</w:t>
      </w:r>
    </w:p>
    <w:p>
      <w:pPr>
        <w:spacing w:after="0" w:line="13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4"/>
              </w:rPr>
              <w:t>Interest Income</w:t>
            </w:r>
          </w:p>
        </w:tc>
        <w:tc>
          <w:tcPr>
            <w:tcW w:w="138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0"/>
              </w:rPr>
              <w:t>Interest Expense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840"/>
              <w:spacing w:after="0" w:line="145" w:lineRule="exact"/>
              <w:rPr>
                <w:sz w:val="20"/>
                <w:szCs w:val="20"/>
                <w:color w:val="auto"/>
              </w:rPr>
            </w:pPr>
            <w:r>
              <w:rPr>
                <w:rFonts w:ascii="Arial" w:cs="Arial" w:eastAsia="Arial" w:hAnsi="Arial"/>
                <w:sz w:val="14"/>
                <w:szCs w:val="14"/>
                <w:b w:val="1"/>
                <w:bCs w:val="1"/>
                <w:color w:val="auto"/>
                <w:w w:val="91"/>
              </w:rPr>
              <w:t>Increase</w:t>
            </w:r>
          </w:p>
        </w:tc>
        <w:tc>
          <w:tcPr>
            <w:tcW w:w="13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Increase</w:t>
            </w:r>
          </w:p>
        </w:tc>
        <w:tc>
          <w:tcPr>
            <w:tcW w:w="30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Investment</w:t>
            </w: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w w:val="89"/>
              </w:rPr>
              <w:t>Basis Point Increase (Decrease)</w:t>
            </w:r>
          </w:p>
        </w:tc>
        <w:tc>
          <w:tcPr>
            <w:tcW w:w="2400" w:type="dxa"/>
            <w:vAlign w:val="bottom"/>
          </w:tcPr>
          <w:p>
            <w:pPr>
              <w:spacing w:after="0"/>
              <w:rPr>
                <w:sz w:val="12"/>
                <w:szCs w:val="12"/>
                <w:color w:val="auto"/>
              </w:rPr>
            </w:pPr>
          </w:p>
        </w:tc>
        <w:tc>
          <w:tcPr>
            <w:tcW w:w="16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 xml:space="preserve">(Decrease) </w:t>
            </w:r>
            <w:r>
              <w:rPr>
                <w:rFonts w:ascii="Arial" w:cs="Arial" w:eastAsia="Arial" w:hAnsi="Arial"/>
                <w:sz w:val="12"/>
                <w:szCs w:val="12"/>
                <w:b w:val="1"/>
                <w:bCs w:val="1"/>
                <w:color w:val="auto"/>
                <w:w w:val="90"/>
              </w:rPr>
              <w:t>(1)</w:t>
            </w:r>
          </w:p>
        </w:tc>
        <w:tc>
          <w:tcPr>
            <w:tcW w:w="14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Increase</w:t>
            </w:r>
          </w:p>
        </w:tc>
        <w:tc>
          <w:tcPr>
            <w:tcW w:w="3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920" w:type="dxa"/>
            <w:vAlign w:val="bottom"/>
            <w:tcBorders>
              <w:bottom w:val="single" w:sz="8" w:color="auto"/>
            </w:tcBorders>
            <w:vMerge w:val="continue"/>
          </w:tcPr>
          <w:p>
            <w:pPr>
              <w:spacing w:after="0"/>
              <w:rPr>
                <w:sz w:val="12"/>
                <w:szCs w:val="12"/>
                <w:color w:val="auto"/>
              </w:rPr>
            </w:pPr>
          </w:p>
        </w:tc>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4"/>
              <w:spacing w:after="0"/>
              <w:rPr>
                <w:sz w:val="20"/>
                <w:szCs w:val="20"/>
                <w:color w:val="auto"/>
              </w:rPr>
            </w:pPr>
            <w:r>
              <w:rPr>
                <w:rFonts w:ascii="Arial" w:cs="Arial" w:eastAsia="Arial" w:hAnsi="Arial"/>
                <w:sz w:val="12"/>
                <w:szCs w:val="12"/>
                <w:b w:val="1"/>
                <w:bCs w:val="1"/>
                <w:color w:val="auto"/>
                <w:w w:val="95"/>
              </w:rPr>
              <w:t>(2)</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(Decrease)</w:t>
            </w:r>
          </w:p>
        </w:tc>
        <w:tc>
          <w:tcPr>
            <w:tcW w:w="300" w:type="dxa"/>
            <w:vAlign w:val="bottom"/>
          </w:tcPr>
          <w:p>
            <w:pPr>
              <w:spacing w:after="0"/>
              <w:rPr>
                <w:sz w:val="12"/>
                <w:szCs w:val="12"/>
                <w:color w:val="auto"/>
              </w:rPr>
            </w:pPr>
          </w:p>
        </w:tc>
        <w:tc>
          <w:tcPr>
            <w:tcW w:w="114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4"/>
              </w:rPr>
              <w:t>(Decrease)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 xml:space="preserve">Income </w:t>
            </w:r>
            <w:r>
              <w:rPr>
                <w:rFonts w:ascii="Arial" w:cs="Arial" w:eastAsia="Arial" w:hAnsi="Arial"/>
                <w:sz w:val="12"/>
                <w:szCs w:val="12"/>
                <w:b w:val="1"/>
                <w:bCs w:val="1"/>
                <w:color w:val="auto"/>
                <w:w w:val="94"/>
              </w:rPr>
              <w:t>(3)</w:t>
            </w:r>
          </w:p>
        </w:tc>
        <w:tc>
          <w:tcPr>
            <w:tcW w:w="0" w:type="dxa"/>
            <w:vAlign w:val="bottom"/>
          </w:tcPr>
          <w:p>
            <w:pPr>
              <w:spacing w:after="0"/>
              <w:rPr>
                <w:sz w:val="1"/>
                <w:szCs w:val="1"/>
                <w:color w:val="auto"/>
              </w:rPr>
            </w:pPr>
          </w:p>
        </w:tc>
      </w:tr>
      <w:tr>
        <w:trPr>
          <w:trHeight w:val="20"/>
        </w:trPr>
        <w:tc>
          <w:tcPr>
            <w:tcW w:w="19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(200)</w:t>
            </w:r>
          </w:p>
        </w:tc>
        <w:tc>
          <w:tcPr>
            <w:tcW w:w="24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20" w:type="dxa"/>
            <w:vAlign w:val="bottom"/>
            <w:vMerge w:val="continue"/>
            <w:shd w:val="clear" w:color="auto" w:fill="CCEEFF"/>
          </w:tcPr>
          <w:p>
            <w:pPr>
              <w:spacing w:after="0"/>
              <w:rPr>
                <w:sz w:val="17"/>
                <w:szCs w:val="17"/>
                <w:color w:val="auto"/>
              </w:rPr>
            </w:pPr>
          </w:p>
        </w:tc>
        <w:tc>
          <w:tcPr>
            <w:tcW w:w="24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(0.1)</w:t>
            </w:r>
          </w:p>
        </w:tc>
        <w:tc>
          <w:tcPr>
            <w:tcW w:w="3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(0.0)</w:t>
            </w: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(150)</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(50)</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50</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100</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150</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200</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250</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300</w:t>
            </w: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hanging="424"/>
        <w:spacing w:after="0"/>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Certain of our variable rate debt investments have a LIBOR interest rate floor, which lessens the impact of decreases in interest rates.</w:t>
      </w:r>
    </w:p>
    <w:p>
      <w:pPr>
        <w:spacing w:after="0" w:line="34" w:lineRule="exact"/>
        <w:rPr>
          <w:rFonts w:ascii="Arial" w:cs="Arial" w:eastAsia="Arial" w:hAnsi="Arial"/>
          <w:sz w:val="17"/>
          <w:szCs w:val="17"/>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Interest income calculated assuming three-month LIBOR rate as of June 30,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the impact of income incentive fee at 20.0% on net increase (decrease) in net interest.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second quarter of 2020 that have materially affected, or are reasonably likely to materially affect, our internal control over financial reporting.</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660"/>
          </w:cols>
          <w:pgMar w:left="320" w:top="459" w:right="9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not, and the Investment Advisor is not, currently subject to any material legal proceedings.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addition to other information set forth in this report, including the risk factor below, you should carefully consider the “Risk Factors” discussed in our Form 10-K for the year ended December 31, 2019 and filed with the SEC on February 27, 2020, which are incorporated herein by reference. These Risk Factors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Legislation that took effect in 2018 would allow us to incur additional leverage.</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1940 Act generally prohibits the Company from incurring indebtedness unless immediately after such borrowing we have an asset coverage for total borrowings of at least 200.0% (i.e., the amount of debt may not exceed 50.0% of the value of our assets). However, in March 2018, the Small Business Credit Availability Act (“the “SBCA”) modified the 1940 Act by allowing a BDC to increase the maximum amount of leverage it may incur from an asset coverage ratio of 200.0% to an asset coverage ratio of 150.0%, if certain requirements are met. Under the SBCA,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SBCA allows the “required majority” of the Independent Directors, as defined in Section 57(o) of the 1940 Act, to approve an increase in our leverage capacity, and such approval would become effective after the one-year anniversary of such proposal. In either case, we would be required to make certain disclosures on our website and in SEC filings regarding, among other things, the receipt of approval to increase our leverage, our leverage capacity and usage, and risks related to leverage.</w:t>
      </w:r>
    </w:p>
    <w:p>
      <w:pPr>
        <w:spacing w:after="0" w:line="185" w:lineRule="exact"/>
        <w:rPr>
          <w:sz w:val="20"/>
          <w:szCs w:val="20"/>
          <w:color w:val="auto"/>
        </w:rPr>
      </w:pPr>
    </w:p>
    <w:p>
      <w:pPr>
        <w:jc w:val="both"/>
        <w:ind w:left="120" w:right="540" w:firstLine="440"/>
        <w:spacing w:after="0" w:line="286" w:lineRule="auto"/>
        <w:rPr>
          <w:sz w:val="20"/>
          <w:szCs w:val="20"/>
          <w:color w:val="auto"/>
        </w:rPr>
      </w:pPr>
      <w:r>
        <w:rPr>
          <w:rFonts w:ascii="Arial" w:cs="Arial" w:eastAsia="Arial" w:hAnsi="Arial"/>
          <w:sz w:val="17"/>
          <w:szCs w:val="17"/>
          <w:color w:val="auto"/>
        </w:rPr>
        <w:t>On April 29, 2019, the Board, including a majority of the Independent Directors, approved a minimum asset coverage ratio of 150% under Sections 18(a)(1) and 18(a)(2) of the 1940 Act. As a result, we became subject to the 150% asset coverage ratio effective as of April 29, 2020. At present time, we do not intend to seek stockholder approval to reduce our asset coverage requirement.</w:t>
      </w:r>
    </w:p>
    <w:p>
      <w:pPr>
        <w:spacing w:after="0" w:line="165"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Leverage magnifies the potential for loss on investments in our indebtedness and on invested equity capital. As we use leverage to partially finance our investments, our stockholders will experience increased risks of investing in our securities. If the value of our assets increases, then leveraging would cause the NAV attributable to our common stock to increase more sharply than it would have had we not leveraged. Conversely, if the value of our assets decreases, leveraging would cause NAV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Increased leverage may also cause a downgrade of our credit rating. Leverage is generally considered a speculative investment technique.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Changes relating to the LIBOR calculation process may adversely affect the value of our portfolio of LIBOR-indexed, floating-rate debt securities.</w:t>
      </w:r>
    </w:p>
    <w:p>
      <w:pPr>
        <w:spacing w:after="0" w:line="152"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The London Inter-bank Offered Rate (“LIBOR”), is the basic rate of interest used in lending transactions between banks on the London interbank market and is widely used as a reference for setting the interest rate on loans globally. We typically use LIBOR as a reference rate in floating-rate loans we extend to portfolio companies such that the interest due to us pursuant to a term loan extended to a portfolio company is calculated using LIBOR. The terms of our debt investments generally include minimum interest rate floors which are calculated based on LIBOR.</w:t>
      </w:r>
    </w:p>
    <w:p>
      <w:pPr>
        <w:spacing w:after="0" w:line="17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the recent past, concerns have been publicized that some of the member banks surveyed by the British Bankers’ Association (“BBA”) in connection with the calculation of LIBOR across a range of maturities and currencies may have been under-reporting or otherwise manipulating the inter-bank lending rate applicable to them in order to profit on their derivative positions or to avoid an appearance of capital insufficiency or adverse reputational or other consequences that may have resulted from reporting inter-bank lending rates higher than those they actually submitted. A number of BBA member banks entered into settlements with their regulators and law enforcement agencies with respect to alleged manipulation of LIBOR, and investigations by regulators and governmental authorities in various jurisdictions are ongoing.</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Actions by the ICE Benchmark Administration, regulators or law enforcement agencies as a result of these or future events, may result in changes to the manner in which LIBOR is determined. Potential changes, or uncertainty related to such potential changes may adversely affect the market for LIBOR-based securities, including our portfolio of LIBOR-indexed, floating-rate debt securities. In addition, any further changes or reforms to the determination or supervision of LIBOR may result in a sudden or prolonged increase or decrease in reported LIBOR, which could have an adverse impact on the market for LIBOR-based securities or the value of our portfolio of LIBOR-indexed, floating-rate debt securities, loans, and other financial obligations or extensions of credit held by or due to us.</w:t>
      </w:r>
    </w:p>
    <w:p>
      <w:pPr>
        <w:spacing w:after="0" w:line="192"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On July 27, 2017, the U.K. Financial Conduct Authority (the “FCA”), which regulates LIBOR, announced that it intends to stop persuading or compelling banks to submit LIBOR rates after 2021. In addition, on March 25, 2020, the FCA stated that although the central assumption that firms cannot rely on LIBOR being published after the end of 2021 has not changed, the outbreak of COVID-19 has impacted the timing of many firms’ transition planning, and the FCA will continue to assess the impact of the COVID-19 pandemic on transition timelines and update the marketplace as soon as possible. It is unclear if after 2021 LIBOR will cease to exist or if new methods of calculating LIBOR will be established such that it continues to exist after 2021. We have exposure to LIBOR, including in financial instruments that mature after 2021. Our exposure arises from the value of our portfolio of LIBOR-indexed, floating-rate debt securities.</w:t>
      </w:r>
    </w:p>
    <w:p>
      <w:pPr>
        <w:spacing w:after="0" w:line="17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In the United States, the Federal Reserve Board and the Federal Reserve Bank of New York, in conjunction with the Alternative Reference Rates Committee, a steering committee comprised of large U.S. financial institutions, is considering replacing U.S. dollar LIBOR with a new index calculated by short-term repurchase agreements, backed by Treasury securities called the Secured Overnight Financing Rate (“SOFR”). The Federal Reserve Bank of New York began publishing SOFR in April 2018. Whether or not SOFR attains market traction as a LIBOR replacement remains a question and the future of LIBOR at this time is uncertain, including whether the COVID-19 pandemic will have further effect on LIBOR transition plans.</w:t>
      </w:r>
    </w:p>
    <w:p>
      <w:pPr>
        <w:spacing w:after="0" w:line="16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elimination of LIBOR or any other changes or reforms to the determination or supervision of LIBOR could have an adverse impact on the market for or value of any LIBOR-indexed, floating-rate debt securities, loans, and other financial obligations or extensions of credit held by or due to us or on our overall financial condition or results of operations. If LIBOR ceases to exist, we may need to renegotiate the credit agreements extending beyond 2021 with our portfolio companies that utilize LIBOR as a factor in determining the interest rate to replace LIBOR with the new standard that is established.</w:t>
      </w:r>
    </w:p>
    <w:p>
      <w:pPr>
        <w:spacing w:after="0" w:line="29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b w:val="1"/>
          <w:bCs w:val="1"/>
          <w:i w:val="1"/>
          <w:iCs w:val="1"/>
          <w:color w:val="auto"/>
        </w:rPr>
        <w:t>Events outside of our control, including public health crises such as the ongoing COVID-19 pandemic, may negatively affect our results of operations and financial performance.</w:t>
      </w:r>
    </w:p>
    <w:p>
      <w:pPr>
        <w:spacing w:after="0" w:line="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Periods of market volatility have occurred and could continue to occur in response to pandemics or other events outside of our control. These types of events have adversely affected and could continue to adversely affect operating results for us and for our portfolio companies. For example, in December 2019, a novel strain of coronavirus (known as COVID-19) surfaced in China and has since spread and continues to spread to other countries, including the United States This outbreak has led and for an unknown period of time will continue to lead to disruptions in local, regional, national and global markets and economies affected thereby.</w:t>
      </w:r>
    </w:p>
    <w:p>
      <w:pPr>
        <w:spacing w:after="0" w:line="18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With respect to the U.S. credit markets (in particular for middle market loans), this outbreak has resulted in, and until fully resolved is likely to continue to result in, the following among other things: (i) government imposition of various forms of shelter-in-place orders and the closing of “non-essential” businesses, resulting in significant disruption to the businesses of many middle-market loan borrowers including supply chains, demand and practical aspects of their operations, as well as in lay-offs of employees, and, while these effects are hoped to be temporary, some effects could be persistent or even permanent; (ii) increased draws by borrowers on revolving lines of credit; (iii) increased requests by borrowers for amendments and waivers of their credit agreements to avoid default, increased defaults by such borrowers and/or increased difficulty in obtaining refinancing at the maturity dates of their loans; (iv) volatility and disruption of these markets including greater volatility in pricing and spreads and difficulty in valuing loans during periods of increased volatility, and liquidity issues; and (v) rapidly evolving proposals and/or actions by state and federal governments to address problems being experienced by the markets and by businesses and the economy in general which will not necessarily adequately address the problems facing the loan market and middle market businesses.</w:t>
      </w:r>
    </w:p>
    <w:p>
      <w:pPr>
        <w:spacing w:after="0" w:line="185"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This outbreak is having, and any future outbreaks could have, an adverse impact on the markets and the economy in general, which could have a material adverse impact on, among other things, the ability of lenders to originate loans, the volume and type of loans originated, and the volume and type of amendments and waivers granted to borrowers and remedial actions taken in the event of a borrower default, each of which could negatively impact the amount and quality of loans available for investment by us and returns to us, among other things.</w:t>
      </w:r>
    </w:p>
    <w:p>
      <w:pPr>
        <w:spacing w:after="0" w:line="17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Company and the Investment Advisor have taken and continue to take steps reasonably designed to ensure that they maintain normal business operations, and that the Company, its portfolio and assets are protected. However, in the event of a pandemic or an outbreak, such as COVID-19, there can be no assurance that the Company, the Investment Advisor and service providers, or the Company’s portfolio companies, will be able to maintain normal business operations for an extended period of time or will not lose the services of key personnel on a temporary or long-term basis due to illness or other reasons. A pandemic or disease could also impair the information technology and other operational systems upon which the Investment Advisor relies and could otherwise disrupt the ability of the Company’s service providers to perform essential tasks. As of the date of this 10-Q, it is impossible to determine the scope of this outbreak, or any future outbreaks, how long any such outbreak, market disruption or uncertainties may last, the effect any governmental actions will have or the full potential impact on us and our portfolio companies. Any potential impact to our results of operations will depend to a large extent on future developments and new information that could emerge regarding the duration and severity of COVID-19 and the actions taken by authorities and other entities to contain COVID-19 or treat its impact, all of which are beyond our control. These potential impacts, while uncertain, could adversely affect our and our portfolio companies’ operating results.</w:t>
      </w:r>
    </w:p>
    <w:p>
      <w:pPr>
        <w:sectPr>
          <w:pgSz w:w="11900" w:h="16838" w:orient="portrait"/>
          <w:cols w:equalWidth="0" w:num="1">
            <w:col w:w="11100"/>
          </w:cols>
          <w:pgMar w:left="320" w:top="459" w:right="479" w:bottom="1440" w:gutter="0" w:footer="0" w:header="0"/>
        </w:sectPr>
      </w:pP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100"/>
          </w:cols>
          <w:pgMar w:left="320" w:top="459" w:right="47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If the economy is unable to substantially reopen, and high levels of unemployment continue for an extended period of time, loan delinquencies, loan non-accruals, problem assets, and bankruptcies may increase. In addition, collateral for our loans may decline in value, which could cause loan losses to increase and the net worth and liquidity of loan guarantors could decline, impairing their ability to honor commitments to us. An increase in loan delinquencies and non-accruals or a decrease in loan collateral and guarantor net worth could result in increased costs and reduced income which would have a material adverse effect on our business, financial condition or results of operations.</w:t>
      </w:r>
    </w:p>
    <w:p>
      <w:pPr>
        <w:spacing w:after="0" w:line="176"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We will also be negatively affected if our operations and effectiveness or the operations and effectiveness of a portfolio company (or any of the key personnel or service providers of the foregoing) is compromised or if necessary or beneficial systems and processes are disrupted.</w:t>
      </w:r>
    </w:p>
    <w:p>
      <w:pPr>
        <w:spacing w:after="0" w:line="146"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These potential impacts, while uncertain, could adversely affect our and our portfolio companies’ operating results.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currently operating in a period of capital markets disruption and economic uncertainty.</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U.S. capital markets have experienced extreme volatility and disruption following the global outbreak of COVID-19 that began in December 2019. The global impact of the outbreak is rapidly evolving, and many countries have reacted by instituting quarantines, prohibitions on travel and the closure of offices, businesses, schools, retail stores and other public venues. Businesses are also implementing similar precautionary measures. Such measures, as well as the general uncertainty surrounding the dangers and impact of COVID-19, have created significant disruption in supply chains and economic activity. The impact of COVID- 19 has led to significant volatility and declines in the global public equity markets and it is uncertain how long this volatility will continue. As COVID-19 continues to spread, the potential impacts, including a global, regional or other economic recession, are increasingly uncertain and difficult to assess. Some economists and major investment banks have expressed concern that the continued spread of the virus globally could lead to a world-wide economic downturn.</w:t>
      </w:r>
    </w:p>
    <w:p>
      <w:pPr>
        <w:spacing w:after="0" w:line="17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Disruptions in the capital markets caused by the COVID-19 pandemic have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p>
    <w:p>
      <w:pPr>
        <w:spacing w:after="0" w:line="19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Additionally, the recent disruption in economic activity caused by the COVID-19 pandemic has had, and may continue to have, a negative effect on the potential for liquidity events involving our investments. The illiquidity of our investments may make it difficult for us to sell such investments to access capital if required, and as a result, we could realize significantly less than the value at which we have recorded our investments if we were required to sell them for liquidity purposes. An inability to raise or access capital, and any required sale of all or a portion of our investments as a result, could have a material adverse effect on our business, financial condition or results of operations.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choose to pay dividends in our own stock, in which case you may be required to pay tax in excess of the cash you receive.</w:t>
      </w:r>
    </w:p>
    <w:p>
      <w:pPr>
        <w:spacing w:after="0" w:line="129"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Under certain applicable provisions of the Code and the Treasury regulations and a revenue procedure issued by the IRS, a RIC may treat a distribution of its own stock as fulfilling its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their distributions in cash, we must allocate the cash available for distribution among the shareholders electing to receive cash (with the balance of the distribution paid in shares of our common stock). If we decide to make any distributions consistent with this revenue procedure that are payable in part in our stock, taxable stockholders receiving such dividends will be required to include the full amount of the dividend (whether received in cash, our stock, or a combination thereof)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Furthermore, with respect to non-U.S. stockholders, we may be required to withhold U.S. tax with respect to such dividends, including in respect of all or a portion of such dividend that is payable in stock. If a significant number of our stockholders determine to sell shares of our stock in order to pay taxes owed on dividends, it may put downward pressure on the trading price of our stock.</w:t>
      </w:r>
    </w:p>
    <w:p>
      <w:pPr>
        <w:spacing w:after="0" w:line="292"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Due to the COVID-19 pandemic or other disruptions in the economy, we may not be able to increase our dividends and may reduce or defer our dividends and choose to incur US federal excise tax in order preserve cash and maintain flexibility.</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As a BDC, we are not required to make any distributions to shareholders other than in connection with our election to be taxed as a RIC under subchapter M of the Code. In order to maintain our tax treatment as a RIC, we must distribute to shareholders for each taxable year at least 90% of our investment company taxable income (i.e., net ordinary income plus realized net short-term capital gains in excess of realized net long-term capital losses). If we qualify for taxation as a RIC, we generally will not be subject to corporate-level US federal income tax on our investment company taxable income and net capital gains (i.e., realized net long-term capital gains in excess of realized net short-term capital losses) that we timely distribute to shareholders. We will be subject to a 4% US federal excise tax on undistributed earnings of a RIC unless we distribute each calendar year at least the sum of (i) 98.0% of our ordinary income for the calendar year, (ii) 98.2% of our capital gains in excess of capital losses for the one-year period ending on October 31 of the calendar year, and (iii) any ordinary income and net capital gains for preceding years that were not distributed during such years and on which we paid no federal income tax.</w:t>
      </w:r>
    </w:p>
    <w:p>
      <w:pPr>
        <w:spacing w:after="0" w:line="18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Under the Code, we may satisfy certain of our RIC distributions with dividends paid after the end of the current year. In particular, if we pay a distribution in January of the following year that was declared in October, November, or December of the current year and is payable to shareholders of record in the current year, the dividend will be treated for all US federal tax purposes as if it were paid on December 31 of the current year. In addition, under the Code, we may pay dividends, referred to as “spillover dividends,” that are paid during the following taxable year that will allow us to maintain our qualification for taxation as a RIC and eliminate our liability for corporate-level U.S. federal income tax. Under these spillover dividend procedures, we may defer distribution of income earned during the current year until December of the following year. For example, we may defer distributions of income earned during 2020 until as late as December 31, 2021. If we choose to pay a spillover dividend, we will incur the 4% U.S. federal excise tax on some or all of the distribution.</w:t>
      </w:r>
    </w:p>
    <w:p>
      <w:pPr>
        <w:spacing w:after="0" w:line="17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Due to the COVID-19 pandemic or other disruptions in the economy, we anticipate that we may take certain actions with respect to the timing and amounts of our distributions in order to preserve cash and maintain flexibility. For example, we anticipate that we will not be able to increase our dividends. In addition, we may reduce our dividends and/or defer our dividends to the following taxable year. If we defer our dividends, we may choose to utilize the spillover dividend rules discussed above and incur the 4% U.S. federal excise tax on such amounts. To further preserve cash, we may combine these reductions or deferrals of dividends with one or more distributions that are payable partially in our stock as discussed above under “We may choose to pay dividends in our own stock, in which case you may be required to pay tax in excess of the cash you receive.”</w:t>
      </w:r>
    </w:p>
    <w:p>
      <w:pPr>
        <w:spacing w:after="0" w:line="27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Public health threats may affect the market for the 2023 Notes, the February 2024 Notes and the November 2024 Notes, impact the businesses in which we invest and affect our business, operating results and financial condition.</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Public health threats, such as COVID-19 or any other illness, have and may continue to disrupt the operations of the businesses in which we invest. Such threats can create economic and political uncertainties and can contribute to global economic instability. A public health threat poses the risk that our portfolio companies may have significantly reduced or be prevented from conducting business activities for an unknown period of time, including shutdowns that may be requested or mandated by governmental authorities. We cannot estimate the impact that a public health threat could have on our portfolio companies, but it could disrupt their businesses and their ability to make interest or dividend payments and decrease the overall value of our investments which adversely impact our business, financial condition or results of operations. Additionally, as a result of the volatile market conditions that may result from public health threats, such as COVID-19 or any other illness, we cannot provide any assurance that the 2023 Notes, the February 2024 Notes and the November 2024 Notes will trade at a favorable price.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of Unregistered Securities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29, 2019, the Board extended the Stock Repurchase Program through December 31, 2020,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w:t>
      </w:r>
    </w:p>
    <w:p>
      <w:pPr>
        <w:spacing w:after="0" w:line="166"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During the three and six months ended June 30, 2020, we repurchased zero and 25,719 shares of common stock on the open market for zero and $0.3 million under the Stock Repurchase Program. The following table provides information regarding such repurchases of our common stock (dollars in millions, except per share data):</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Total Number</w:t>
            </w:r>
          </w:p>
        </w:tc>
        <w:tc>
          <w:tcPr>
            <w:tcW w:w="13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of Shares</w:t>
            </w:r>
          </w:p>
        </w:tc>
        <w:tc>
          <w:tcPr>
            <w:tcW w:w="10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(or Approximate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0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15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3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Number of</w:t>
            </w:r>
          </w:p>
        </w:tc>
        <w:tc>
          <w:tcPr>
            <w:tcW w:w="1220" w:type="dxa"/>
            <w:vAlign w:val="bottom"/>
            <w:gridSpan w:val="3"/>
            <w:vMerge w:val="continue"/>
          </w:tcPr>
          <w:p>
            <w:pPr>
              <w:spacing w:after="0"/>
              <w:rPr>
                <w:sz w:val="12"/>
                <w:szCs w:val="12"/>
                <w:color w:val="auto"/>
              </w:rPr>
            </w:pPr>
          </w:p>
        </w:tc>
        <w:tc>
          <w:tcPr>
            <w:tcW w:w="15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Shares</w:t>
            </w: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15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Plans or</w:t>
            </w:r>
          </w:p>
        </w:tc>
        <w:tc>
          <w:tcPr>
            <w:tcW w:w="10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Under the Stock</w:t>
            </w:r>
          </w:p>
        </w:tc>
        <w:tc>
          <w:tcPr>
            <w:tcW w:w="0" w:type="dxa"/>
            <w:vAlign w:val="bottom"/>
          </w:tcPr>
          <w:p>
            <w:pPr>
              <w:spacing w:after="0"/>
              <w:rPr>
                <w:sz w:val="1"/>
                <w:szCs w:val="1"/>
                <w:color w:val="auto"/>
              </w:rPr>
            </w:pPr>
          </w:p>
        </w:tc>
      </w:tr>
      <w:tr>
        <w:trPr>
          <w:trHeight w:val="158"/>
        </w:trPr>
        <w:tc>
          <w:tcPr>
            <w:tcW w:w="4620" w:type="dxa"/>
            <w:vAlign w:val="bottom"/>
            <w:gridSpan w:val="3"/>
            <w:vMerge w:val="continue"/>
          </w:tcPr>
          <w:p>
            <w:pPr>
              <w:spacing w:after="0"/>
              <w:rPr>
                <w:sz w:val="13"/>
                <w:szCs w:val="13"/>
                <w:color w:val="auto"/>
              </w:rPr>
            </w:pPr>
          </w:p>
        </w:tc>
        <w:tc>
          <w:tcPr>
            <w:tcW w:w="138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0"/>
              </w:rPr>
              <w:t xml:space="preserve">Purchased </w:t>
            </w:r>
            <w:r>
              <w:rPr>
                <w:rFonts w:ascii="Arial" w:cs="Arial" w:eastAsia="Arial" w:hAnsi="Arial"/>
                <w:sz w:val="12"/>
                <w:szCs w:val="12"/>
                <w:b w:val="1"/>
                <w:bCs w:val="1"/>
                <w:color w:val="auto"/>
                <w:w w:val="90"/>
              </w:rPr>
              <w:t>(1)</w:t>
            </w:r>
          </w:p>
        </w:tc>
        <w:tc>
          <w:tcPr>
            <w:tcW w:w="12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Per Share</w:t>
            </w:r>
          </w:p>
        </w:tc>
        <w:tc>
          <w:tcPr>
            <w:tcW w:w="154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4"/>
              </w:rPr>
              <w:t>Programs</w:t>
            </w:r>
          </w:p>
        </w:tc>
        <w:tc>
          <w:tcPr>
            <w:tcW w:w="1360" w:type="dxa"/>
            <w:vAlign w:val="bottom"/>
            <w:gridSpan w:val="3"/>
          </w:tcPr>
          <w:p>
            <w:pPr>
              <w:jc w:val="right"/>
              <w:ind w:right="40"/>
              <w:spacing w:after="0" w:line="158" w:lineRule="exact"/>
              <w:rPr>
                <w:sz w:val="20"/>
                <w:szCs w:val="20"/>
                <w:color w:val="auto"/>
              </w:rPr>
            </w:pPr>
            <w:r>
              <w:rPr>
                <w:rFonts w:ascii="Arial" w:cs="Arial" w:eastAsia="Arial" w:hAnsi="Arial"/>
                <w:sz w:val="14"/>
                <w:szCs w:val="14"/>
                <w:b w:val="1"/>
                <w:bCs w:val="1"/>
                <w:color w:val="auto"/>
                <w:w w:val="91"/>
              </w:rPr>
              <w:t>Repurchase Program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 2020 through January 31, 2020</w:t>
            </w:r>
          </w:p>
        </w:tc>
        <w:tc>
          <w:tcPr>
            <w:tcW w:w="820" w:type="dxa"/>
            <w:vAlign w:val="bottom"/>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ind w:left="700"/>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February 1, 2020 through February 29, 2020</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2020 through March 31, 2020</w:t>
            </w:r>
          </w:p>
        </w:tc>
        <w:tc>
          <w:tcPr>
            <w:tcW w:w="1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25,719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10.37</w:t>
            </w:r>
          </w:p>
        </w:tc>
        <w:tc>
          <w:tcPr>
            <w:tcW w:w="15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25,719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April 1, 2020 through April 30, 2020</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2020 through May 31, 2020</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June 1, 2020 through June 30, 2020</w:t>
            </w: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25,719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10.37</w:t>
            </w:r>
          </w:p>
        </w:tc>
        <w:tc>
          <w:tcPr>
            <w:tcW w:w="15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25,719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00" w:hanging="424"/>
        <w:spacing w:after="0" w:line="263"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Excludes shares purchased on the open market and reissued in order to satisfy the dividend reinvestment plan (“DRIP”) obligation to deliver shares of common stock in lieu of issuing new shares. During the six months ended June 30, 2020, we purchased and reissued shares of common stock to satisfy the DRIP obligation as follows:</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600" w:type="dxa"/>
            <w:vAlign w:val="bottom"/>
          </w:tcPr>
          <w:p>
            <w:pPr>
              <w:spacing w:after="0"/>
              <w:rPr>
                <w:sz w:val="14"/>
                <w:szCs w:val="14"/>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Average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6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3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w:t>
            </w: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Price Paid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320" w:type="dxa"/>
            <w:vAlign w:val="bottom"/>
            <w:gridSpan w:val="3"/>
            <w:vMerge w:val="continue"/>
          </w:tcPr>
          <w:p>
            <w:pPr>
              <w:spacing w:after="0"/>
              <w:rPr>
                <w:sz w:val="13"/>
                <w:szCs w:val="13"/>
                <w:color w:val="auto"/>
              </w:rPr>
            </w:pPr>
          </w:p>
        </w:tc>
        <w:tc>
          <w:tcPr>
            <w:tcW w:w="22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and Reissued</w:t>
            </w:r>
          </w:p>
        </w:tc>
        <w:tc>
          <w:tcPr>
            <w:tcW w:w="600" w:type="dxa"/>
            <w:vAlign w:val="bottom"/>
          </w:tcPr>
          <w:p>
            <w:pPr>
              <w:spacing w:after="0"/>
              <w:rPr>
                <w:sz w:val="13"/>
                <w:szCs w:val="13"/>
                <w:color w:val="auto"/>
              </w:rPr>
            </w:pPr>
          </w:p>
        </w:tc>
        <w:tc>
          <w:tcPr>
            <w:tcW w:w="6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1"/>
              </w:rPr>
              <w:t>Per Share</w:t>
            </w:r>
          </w:p>
        </w:tc>
        <w:tc>
          <w:tcPr>
            <w:tcW w:w="1500" w:type="dxa"/>
            <w:vAlign w:val="bottom"/>
            <w:gridSpan w:val="4"/>
          </w:tcPr>
          <w:p>
            <w:pPr>
              <w:jc w:val="right"/>
              <w:ind w:right="60"/>
              <w:spacing w:after="0" w:line="158" w:lineRule="exact"/>
              <w:rPr>
                <w:sz w:val="20"/>
                <w:szCs w:val="20"/>
                <w:color w:val="auto"/>
              </w:rPr>
            </w:pPr>
            <w:r>
              <w:rPr>
                <w:rFonts w:ascii="Arial" w:cs="Arial" w:eastAsia="Arial" w:hAnsi="Arial"/>
                <w:sz w:val="14"/>
                <w:szCs w:val="14"/>
                <w:b w:val="1"/>
                <w:bCs w:val="1"/>
                <w:color w:val="auto"/>
              </w:rPr>
              <w:t>Amount Paid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1, 2020 through March 31, 2020</w:t>
            </w:r>
          </w:p>
        </w:tc>
        <w:tc>
          <w:tcPr>
            <w:tcW w:w="1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31,586</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7.58</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April 1, 2020 through June 30, 2020</w:t>
            </w:r>
          </w:p>
        </w:tc>
        <w:tc>
          <w:tcPr>
            <w:tcW w:w="1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21,905</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53,491</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7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Refer to Note 8 to our consolidated financial statements for additional information concerning stock repurchases under our Stock Repurchase Program.</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r>
        <w:rPr>
          <w:rFonts w:ascii="Arial" w:cs="Arial" w:eastAsia="Arial" w:hAnsi="Arial"/>
          <w:sz w:val="18"/>
          <w:szCs w:val="18"/>
          <w:b w:val="1"/>
          <w:bCs w:val="1"/>
          <w:i w:val="1"/>
          <w:iCs w:val="1"/>
          <w:color w:val="auto"/>
        </w:rPr>
        <w: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139"/>
          </w:cols>
          <w:pgMar w:left="320" w:top="459" w:right="1440"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9940" w:type="dxa"/>
            <w:vAlign w:val="bottom"/>
            <w:gridSpan w:val="21"/>
          </w:tcPr>
          <w:p>
            <w:pPr>
              <w:spacing w:after="0"/>
              <w:rPr>
                <w:sz w:val="20"/>
                <w:szCs w:val="20"/>
                <w:color w:val="auto"/>
              </w:rPr>
            </w:pPr>
            <w:r>
              <w:rPr>
                <w:rFonts w:ascii="Arial" w:cs="Arial" w:eastAsia="Arial" w:hAnsi="Arial"/>
                <w:sz w:val="14"/>
                <w:szCs w:val="14"/>
                <w:b w:val="1"/>
                <w:bCs w:val="1"/>
                <w:color w:val="auto"/>
              </w:rPr>
              <w:t>Exhibit</w:t>
            </w:r>
          </w:p>
        </w:tc>
      </w:tr>
      <w:tr>
        <w:trPr>
          <w:trHeight w:val="169"/>
        </w:trPr>
        <w:tc>
          <w:tcPr>
            <w:tcW w:w="500" w:type="dxa"/>
            <w:vAlign w:val="bottom"/>
            <w:tcBorders>
              <w:top w:val="single" w:sz="8" w:color="auto"/>
            </w:tcBorders>
          </w:tcPr>
          <w:p>
            <w:pPr>
              <w:jc w:val="right"/>
              <w:ind w:right="92"/>
              <w:spacing w:after="0" w:line="169" w:lineRule="exact"/>
              <w:rPr>
                <w:sz w:val="20"/>
                <w:szCs w:val="20"/>
                <w:color w:val="auto"/>
              </w:rPr>
            </w:pPr>
            <w:r>
              <w:rPr>
                <w:rFonts w:ascii="Arial" w:cs="Arial" w:eastAsia="Arial" w:hAnsi="Arial"/>
                <w:sz w:val="18"/>
                <w:szCs w:val="18"/>
                <w:color w:val="auto"/>
              </w:rPr>
              <w:t>3.1</w:t>
            </w:r>
          </w:p>
        </w:tc>
        <w:tc>
          <w:tcPr>
            <w:tcW w:w="5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4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w w:val="71"/>
              </w:rPr>
            </w:pPr>
            <w:hyperlink r:id="rId95">
              <w:r>
                <w:rPr>
                  <w:rFonts w:ascii="Arial" w:cs="Arial" w:eastAsia="Arial" w:hAnsi="Arial"/>
                  <w:sz w:val="18"/>
                  <w:szCs w:val="18"/>
                  <w:color w:val="0000EE"/>
                  <w:w w:val="71"/>
                </w:rPr>
                <w:t>Articles</w:t>
              </w:r>
            </w:hyperlink>
          </w:p>
        </w:tc>
        <w:tc>
          <w:tcPr>
            <w:tcW w:w="9380" w:type="dxa"/>
            <w:vAlign w:val="bottom"/>
            <w:tcBorders>
              <w:bottom w:val="single" w:sz="8" w:color="0000EE"/>
            </w:tcBorders>
            <w:gridSpan w:val="17"/>
          </w:tcPr>
          <w:p>
            <w:pPr>
              <w:ind w:left="160"/>
              <w:spacing w:after="0" w:line="169"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of Amendment and Restatement of the Registrant (Filed as Exhibit (a)(1) to Pre-Effective Amendment No. 2 to the Registrant’s</w:t>
              </w:r>
            </w:hyperlink>
          </w:p>
        </w:tc>
        <w:tc>
          <w:tcPr>
            <w:tcW w:w="100" w:type="dxa"/>
            <w:vAlign w:val="bottom"/>
            <w:gridSpan w:val="2"/>
          </w:tcPr>
          <w:p>
            <w:pPr>
              <w:spacing w:after="0"/>
              <w:rPr>
                <w:sz w:val="14"/>
                <w:szCs w:val="1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Registration Statement on Form N-2 (File No. 333-172550) filed with the U.S. Securities and Exchange Commission on April 29, 2011</w:t>
              </w:r>
            </w:hyperlink>
          </w:p>
        </w:tc>
        <w:tc>
          <w:tcPr>
            <w:tcW w:w="140" w:type="dxa"/>
            <w:vAlign w:val="bottom"/>
            <w:gridSpan w:val="3"/>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gridSpan w:val="21"/>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and incorporated herein by reference).</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9760" w:type="dxa"/>
            <w:vAlign w:val="bottom"/>
            <w:tcBorders>
              <w:bottom w:val="single" w:sz="8" w:color="0000EE"/>
            </w:tcBorders>
            <w:gridSpan w:val="17"/>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Bylaws of the Registrant (Filed as Exhibit (b)(1) to Pre-Effective Amendment No. 2 to the Registrant’s Registration Statement on Form</w:t>
              </w:r>
            </w:hyperlink>
          </w:p>
        </w:tc>
        <w:tc>
          <w:tcPr>
            <w:tcW w:w="180" w:type="dxa"/>
            <w:vAlign w:val="bottom"/>
            <w:gridSpan w:val="4"/>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N-2 (File No. 333-172550) filed with the U.S. Securities and Exchange Commission on April 29, 2011 and incorporated herein by</w:t>
              </w:r>
            </w:hyperlink>
          </w:p>
        </w:tc>
        <w:tc>
          <w:tcPr>
            <w:tcW w:w="560" w:type="dxa"/>
            <w:vAlign w:val="bottom"/>
            <w:gridSpan w:val="10"/>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gridSpan w:val="21"/>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reference).</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940" w:type="dxa"/>
            <w:vAlign w:val="bottom"/>
            <w:gridSpan w:val="21"/>
          </w:tcPr>
          <w:p>
            <w:pPr>
              <w:spacing w:after="0"/>
              <w:rPr>
                <w:rFonts w:ascii="Arial" w:cs="Arial" w:eastAsia="Arial" w:hAnsi="Arial"/>
                <w:sz w:val="18"/>
                <w:szCs w:val="18"/>
                <w:color w:val="0000EE"/>
                <w:w w:val="96"/>
              </w:rPr>
            </w:pPr>
            <w:hyperlink r:id="rId97">
              <w:r>
                <w:rPr>
                  <w:rFonts w:ascii="Arial" w:cs="Arial" w:eastAsia="Arial" w:hAnsi="Arial"/>
                  <w:sz w:val="18"/>
                  <w:szCs w:val="18"/>
                  <w:color w:val="0000EE"/>
                  <w:w w:val="96"/>
                </w:rPr>
                <w:t>Form of Stock Certificate of the Registrant (Filed as Exhibit (d) to Pre-Effective Amendment No. 2 to the Registrant’s Registration</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1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Statement on Form N-2 (File No. 333-172550) filed with the U.S. Securities and Exchange Commission on April 29, 2011 and</w:t>
              </w:r>
            </w:hyperlink>
          </w:p>
        </w:tc>
        <w:tc>
          <w:tcPr>
            <w:tcW w:w="280" w:type="dxa"/>
            <w:vAlign w:val="bottom"/>
            <w:tcBorders>
              <w:top w:val="single" w:sz="8" w:color="0000EE"/>
            </w:tcBorders>
            <w:gridSpan w:val="2"/>
          </w:tcPr>
          <w:p>
            <w:pPr>
              <w:spacing w:after="0"/>
              <w:rPr>
                <w:sz w:val="17"/>
                <w:szCs w:val="17"/>
                <w:color w:val="auto"/>
              </w:rPr>
            </w:pPr>
          </w:p>
        </w:tc>
        <w:tc>
          <w:tcPr>
            <w:tcW w:w="480" w:type="dxa"/>
            <w:vAlign w:val="bottom"/>
            <w:gridSpan w:val="9"/>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gridSpan w:val="21"/>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incorporated herein by reference).</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10.1</w:t>
            </w:r>
          </w:p>
        </w:tc>
        <w:tc>
          <w:tcPr>
            <w:tcW w:w="540" w:type="dxa"/>
            <w:vAlign w:val="bottom"/>
          </w:tcPr>
          <w:p>
            <w:pPr>
              <w:spacing w:after="0"/>
              <w:rPr>
                <w:sz w:val="24"/>
                <w:szCs w:val="24"/>
                <w:color w:val="auto"/>
              </w:rPr>
            </w:pPr>
          </w:p>
        </w:tc>
        <w:tc>
          <w:tcPr>
            <w:tcW w:w="9940" w:type="dxa"/>
            <w:vAlign w:val="bottom"/>
            <w:gridSpan w:val="21"/>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Amendment No. 1, dated June 26, 2020, to the Amended &amp; Restated Senior Secured Revolving Credit Agreement dated April 24, 2019,</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by and among the Company, as borrower, the subsidiary guarantors party thereto, ING Capital LLC, as administrative agent, and the</w:t>
              </w:r>
            </w:hyperlink>
          </w:p>
        </w:tc>
        <w:tc>
          <w:tcPr>
            <w:tcW w:w="340" w:type="dxa"/>
            <w:vAlign w:val="bottom"/>
            <w:tcBorders>
              <w:top w:val="single" w:sz="8" w:color="0000EE"/>
            </w:tcBorders>
            <w:gridSpan w:val="7"/>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gridSpan w:val="21"/>
          </w:tcPr>
          <w:p>
            <w:pPr>
              <w:spacing w:after="0" w:line="196" w:lineRule="exact"/>
              <w:rPr>
                <w:rFonts w:ascii="Arial" w:cs="Arial" w:eastAsia="Arial" w:hAnsi="Arial"/>
                <w:sz w:val="18"/>
                <w:szCs w:val="18"/>
                <w:color w:val="0000EE"/>
                <w:w w:val="93"/>
              </w:rPr>
            </w:pPr>
            <w:hyperlink r:id="rId98">
              <w:r>
                <w:rPr>
                  <w:rFonts w:ascii="Arial" w:cs="Arial" w:eastAsia="Arial" w:hAnsi="Arial"/>
                  <w:sz w:val="18"/>
                  <w:szCs w:val="18"/>
                  <w:color w:val="0000EE"/>
                  <w:w w:val="93"/>
                </w:rPr>
                <w:t>lenders party thereto (Filed as Exhibit 10.1 to the Registrant’s current report on Form 8-K filed with the U.S. Securities and Exchange</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98">
              <w:r>
                <w:rPr>
                  <w:rFonts w:ascii="Arial" w:cs="Arial" w:eastAsia="Arial" w:hAnsi="Arial"/>
                  <w:sz w:val="18"/>
                  <w:szCs w:val="18"/>
                  <w:color w:val="0000EE"/>
                  <w:w w:val="89"/>
                </w:rPr>
                <w:t>Commission on June 29, 2020 and incorporated herein by reference).</w:t>
              </w:r>
            </w:hyperlink>
          </w:p>
        </w:tc>
        <w:tc>
          <w:tcPr>
            <w:tcW w:w="4640" w:type="dxa"/>
            <w:vAlign w:val="bottom"/>
            <w:tcBorders>
              <w:top w:val="single" w:sz="8" w:color="0000EE"/>
            </w:tcBorders>
            <w:gridSpan w:val="5"/>
          </w:tcPr>
          <w:p>
            <w:pPr>
              <w:spacing w:after="0"/>
              <w:rPr>
                <w:sz w:val="17"/>
                <w:szCs w:val="17"/>
                <w:color w:val="auto"/>
              </w:rPr>
            </w:pPr>
          </w:p>
        </w:tc>
        <w:tc>
          <w:tcPr>
            <w:tcW w:w="320" w:type="dxa"/>
            <w:vAlign w:val="bottom"/>
            <w:gridSpan w:val="7"/>
          </w:tcPr>
          <w:p>
            <w:pPr>
              <w:spacing w:after="0"/>
              <w:rPr>
                <w:sz w:val="17"/>
                <w:szCs w:val="17"/>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31.1</w:t>
            </w:r>
          </w:p>
        </w:tc>
        <w:tc>
          <w:tcPr>
            <w:tcW w:w="540" w:type="dxa"/>
            <w:vAlign w:val="bottom"/>
          </w:tcPr>
          <w:p>
            <w:pPr>
              <w:spacing w:after="0"/>
              <w:rPr>
                <w:sz w:val="24"/>
                <w:szCs w:val="24"/>
                <w:color w:val="auto"/>
              </w:rPr>
            </w:pPr>
          </w:p>
        </w:tc>
        <w:tc>
          <w:tcPr>
            <w:tcW w:w="968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Chief Executive Officer Certification Pursuant to Rule 13a-14 of the Securities Exchange Act of 1934, as adopted pursuant to Section</w:t>
              </w:r>
            </w:hyperlink>
          </w:p>
        </w:tc>
        <w:tc>
          <w:tcPr>
            <w:tcW w:w="260" w:type="dxa"/>
            <w:vAlign w:val="bottom"/>
            <w:gridSpan w:val="6"/>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69">
              <w:r>
                <w:rPr>
                  <w:rFonts w:ascii="Arial" w:cs="Arial" w:eastAsia="Arial" w:hAnsi="Arial"/>
                  <w:sz w:val="18"/>
                  <w:szCs w:val="18"/>
                  <w:color w:val="0000EE"/>
                  <w:w w:val="91"/>
                </w:rPr>
                <w:t>302 of the Sarbanes-Oxley Act of 2002.*</w:t>
              </w:r>
            </w:hyperlink>
          </w:p>
        </w:tc>
        <w:tc>
          <w:tcPr>
            <w:tcW w:w="6980" w:type="dxa"/>
            <w:vAlign w:val="bottom"/>
            <w:gridSpan w:val="13"/>
          </w:tcPr>
          <w:p>
            <w:pPr>
              <w:spacing w:after="0"/>
              <w:rPr>
                <w:sz w:val="17"/>
                <w:szCs w:val="17"/>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31.2</w:t>
            </w:r>
          </w:p>
        </w:tc>
        <w:tc>
          <w:tcPr>
            <w:tcW w:w="540" w:type="dxa"/>
            <w:vAlign w:val="bottom"/>
          </w:tcPr>
          <w:p>
            <w:pPr>
              <w:spacing w:after="0"/>
              <w:rPr>
                <w:sz w:val="24"/>
                <w:szCs w:val="24"/>
                <w:color w:val="auto"/>
              </w:rPr>
            </w:pPr>
          </w:p>
        </w:tc>
        <w:tc>
          <w:tcPr>
            <w:tcW w:w="994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Chief Financial Officer Certification Pursuant to Rule 13a-14 of the Securities Exchange Act of 1934, as adopted pursuant to Section 302</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gridSpan w:val="2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of the Sarbanes-Oxley Act of 2002.*</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080" w:type="dxa"/>
            <w:vAlign w:val="bottom"/>
            <w:gridSpan w:val="10"/>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32.1</w:t>
            </w:r>
          </w:p>
        </w:tc>
        <w:tc>
          <w:tcPr>
            <w:tcW w:w="540" w:type="dxa"/>
            <w:vAlign w:val="bottom"/>
          </w:tcPr>
          <w:p>
            <w:pPr>
              <w:spacing w:after="0"/>
              <w:rPr>
                <w:sz w:val="24"/>
                <w:szCs w:val="24"/>
                <w:color w:val="auto"/>
              </w:rPr>
            </w:pPr>
          </w:p>
        </w:tc>
        <w:tc>
          <w:tcPr>
            <w:tcW w:w="9940" w:type="dxa"/>
            <w:vAlign w:val="bottom"/>
            <w:gridSpan w:val="21"/>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Certification pursuant to Section 1350, Chapter 63 of Title 18, United States Code, as adopted pursuant to Section 906 of the Sarbanes-</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w:anchor="page71">
              <w:r>
                <w:rPr>
                  <w:rFonts w:ascii="Arial" w:cs="Arial" w:eastAsia="Arial" w:hAnsi="Arial"/>
                  <w:sz w:val="18"/>
                  <w:szCs w:val="18"/>
                  <w:color w:val="0000EE"/>
                  <w:w w:val="94"/>
                </w:rPr>
                <w:t>Oxley Act of 2002.*</w:t>
              </w:r>
            </w:hyperlink>
          </w:p>
        </w:tc>
        <w:tc>
          <w:tcPr>
            <w:tcW w:w="8240" w:type="dxa"/>
            <w:vAlign w:val="bottom"/>
            <w:tcBorders>
              <w:top w:val="single" w:sz="8" w:color="0000EE"/>
            </w:tcBorders>
            <w:gridSpan w:val="12"/>
          </w:tcPr>
          <w:p>
            <w:pPr>
              <w:spacing w:after="0"/>
              <w:rPr>
                <w:sz w:val="17"/>
                <w:szCs w:val="17"/>
                <w:color w:val="auto"/>
              </w:rPr>
            </w:pPr>
          </w:p>
        </w:tc>
        <w:tc>
          <w:tcPr>
            <w:tcW w:w="220" w:type="dxa"/>
            <w:vAlign w:val="bottom"/>
            <w:gridSpan w:val="5"/>
          </w:tcPr>
          <w:p>
            <w:pPr>
              <w:spacing w:after="0"/>
              <w:rPr>
                <w:sz w:val="17"/>
                <w:szCs w:val="17"/>
                <w:color w:val="auto"/>
              </w:rPr>
            </w:pPr>
          </w:p>
        </w:tc>
      </w:tr>
    </w:tbl>
    <w:p>
      <w:pPr>
        <w:spacing w:after="0" w:line="256"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FIDUS INVESTMENT CORPORATION</w:t>
      </w:r>
    </w:p>
    <w:p>
      <w:pPr>
        <w:spacing w:after="0" w:line="22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6"/>
          <w:szCs w:val="16"/>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2829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7"/>
          <w:szCs w:val="17"/>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2829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380"/>
          </w:cols>
          <w:pgMar w:left="320" w:top="459" w:right="119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Fidus Investment Corporation Chief Executive Officer Certification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spacing w:after="0" w:line="9" w:lineRule="exact"/>
        <w:rPr>
          <w:sz w:val="20"/>
          <w:szCs w:val="20"/>
          <w:color w:val="auto"/>
        </w:rPr>
      </w:pPr>
    </w:p>
    <w:p>
      <w:pPr>
        <w:ind w:left="2844"/>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Edward H. Ross, as Chief Executive Officer of Fidus Investment Corporation, certify that:</w:t>
      </w:r>
    </w:p>
    <w:p>
      <w:pPr>
        <w:spacing w:after="0" w:line="131" w:lineRule="exact"/>
        <w:rPr>
          <w:sz w:val="20"/>
          <w:szCs w:val="20"/>
          <w:color w:val="auto"/>
        </w:rPr>
      </w:pPr>
    </w:p>
    <w:p>
      <w:pPr>
        <w:ind w:left="424" w:hanging="424"/>
        <w:spacing w:after="0"/>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Fidus Investment Corporation;</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120" w:hanging="424"/>
        <w:spacing w:after="0" w:line="291" w:lineRule="auto"/>
        <w:tabs>
          <w:tab w:leader="none" w:pos="4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August 6, 2020</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Fidus Investment Corporation Chief Financial Officer Certification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Rule 13a-14 of the Securities Exchange Act of 1934,</w:t>
      </w:r>
    </w:p>
    <w:p>
      <w:pPr>
        <w:spacing w:after="0" w:line="9" w:lineRule="exact"/>
        <w:rPr>
          <w:sz w:val="20"/>
          <w:szCs w:val="20"/>
          <w:color w:val="auto"/>
        </w:rPr>
      </w:pPr>
    </w:p>
    <w:p>
      <w:pPr>
        <w:ind w:left="2844"/>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Shelby E. Sherard, as Chief Financial Officer of Fidus Investment Corporation, certify that:</w:t>
      </w:r>
    </w:p>
    <w:p>
      <w:pPr>
        <w:spacing w:after="0" w:line="131" w:lineRule="exact"/>
        <w:rPr>
          <w:sz w:val="20"/>
          <w:szCs w:val="20"/>
          <w:color w:val="auto"/>
        </w:rPr>
      </w:pPr>
    </w:p>
    <w:p>
      <w:pPr>
        <w:ind w:left="424" w:hanging="424"/>
        <w:spacing w:after="0"/>
        <w:tabs>
          <w:tab w:leader="none" w:pos="4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Fidus Investment Corporation;</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120" w:hanging="424"/>
        <w:spacing w:after="0" w:line="291" w:lineRule="auto"/>
        <w:tabs>
          <w:tab w:leader="none" w:pos="424"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August 6,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4"/>
          </w:cols>
          <w:pgMar w:left="436" w:top="121" w:right="4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on Form 10-Q of Fidus Investment Corporation (the “Company”) for the quarterly period ended June 30, 2020,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spacing w:after="0" w:line="92" w:lineRule="exact"/>
        <w:rPr>
          <w:sz w:val="20"/>
          <w:szCs w:val="20"/>
          <w:color w:val="auto"/>
        </w:rPr>
      </w:pPr>
    </w:p>
    <w:p>
      <w:pPr>
        <w:ind w:left="960" w:hanging="53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6"/>
          <w:szCs w:val="16"/>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Edward H. Ross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Shelby E. Sherard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lowerLetter"/>
      <w:start w:val="1"/>
    </w:lvl>
  </w:abstractNum>
  <w:abstractNum w:abstractNumId="3">
    <w:nsid w:val="2901D82"/>
    <w:multiLevelType w:val="hybridMultilevel"/>
    <w:lvl w:ilvl="0">
      <w:lvlJc w:val="left"/>
      <w:lvlText w:val="(%1)"/>
      <w:numFmt w:val="lowerLetter"/>
      <w:start w:val="5"/>
    </w:lvl>
  </w:abstractNum>
  <w:abstractNum w:abstractNumId="4">
    <w:nsid w:val="3A95F874"/>
    <w:multiLevelType w:val="hybridMultilevel"/>
    <w:lvl w:ilvl="0">
      <w:lvlJc w:val="left"/>
      <w:lvlText w:val="(%1)"/>
      <w:numFmt w:val="lowerLetter"/>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1)"/>
      <w:numFmt w:val="lowerRoman"/>
      <w:start w:val="1"/>
    </w:lvl>
  </w:abstractNum>
  <w:abstractNum w:abstractNumId="16">
    <w:nsid w:val="440BADFC"/>
    <w:multiLevelType w:val="hybridMultilevel"/>
    <w:lvl w:ilvl="0">
      <w:lvlJc w:val="left"/>
      <w:lvlText w:val="(%1)"/>
      <w:numFmt w:val="upperLetter"/>
      <w:start w:val="3"/>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decimal"/>
      <w:start w:val="6"/>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1)"/>
      <w:numFmt w:val="upperLetter"/>
      <w:start w:val="3"/>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95" Type="http://schemas.openxmlformats.org/officeDocument/2006/relationships/hyperlink" Target="http://www.sec.gov/Archives/edgar/data/1513363/000095012311041885/w81466a2exv99wxayx1y.htm" TargetMode="External"/><Relationship Id="rId96" Type="http://schemas.openxmlformats.org/officeDocument/2006/relationships/hyperlink" Target="http://www.sec.gov/Archives/edgar/data/1513363/000095012311041885/w81466a2exv99wxbyx1y.htm" TargetMode="External"/><Relationship Id="rId97" Type="http://schemas.openxmlformats.org/officeDocument/2006/relationships/hyperlink" Target="http://www.sec.gov/Archives/edgar/data/1513363/000095012311041885/w81466a2exv99wxdy.htm" TargetMode="External"/><Relationship Id="rId98" Type="http://schemas.openxmlformats.org/officeDocument/2006/relationships/hyperlink" Target="http://www.sec.gov/Archives/edgar/data/1513363/000119312520182488/d1501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2020-08-06T15:55:41Z</dcterms:created>
  <dcterms:modified xsi:type="dcterms:W3CDTF">2020-08-06T15:55:41Z</dcterms:modified>
</cp:coreProperties>
</file>