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color w:val="auto"/>
        </w:rPr>
        <w:t>________________</w:t>
      </w:r>
    </w:p>
    <w:p>
      <w:pPr>
        <w:spacing w:after="0" w:line="1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(Mark One)</w:t>
      </w:r>
    </w:p>
    <w:p>
      <w:pPr>
        <w:spacing w:after="0" w:line="24" w:lineRule="exact"/>
        <w:rPr>
          <w:sz w:val="24"/>
          <w:szCs w:val="24"/>
          <w:color w:val="auto"/>
        </w:rPr>
      </w:pPr>
    </w:p>
    <w:p>
      <w:pPr>
        <w:ind w:left="3580" w:right="1120" w:hanging="2398"/>
        <w:spacing w:after="0" w:line="324" w:lineRule="auto"/>
        <w:tabs>
          <w:tab w:leader="none" w:pos="1446" w:val="left"/>
        </w:tabs>
        <w:numPr>
          <w:ilvl w:val="0"/>
          <w:numId w:val="1"/>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spacing w:after="0" w:line="187" w:lineRule="exact"/>
        <w:rPr>
          <w:sz w:val="24"/>
          <w:szCs w:val="24"/>
          <w:color w:val="auto"/>
        </w:rPr>
      </w:pPr>
    </w:p>
    <w:p>
      <w:pPr>
        <w:ind w:left="1440" w:hanging="252"/>
        <w:spacing w:after="0"/>
        <w:tabs>
          <w:tab w:leader="none" w:pos="1440" w:val="left"/>
        </w:tabs>
        <w:numPr>
          <w:ilvl w:val="0"/>
          <w:numId w:val="2"/>
        </w:numPr>
        <w:rPr>
          <w:rFonts w:ascii="MS PGothic" w:cs="MS PGothic" w:eastAsia="MS PGothic" w:hAnsi="MS PGothic"/>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3820" w:type="dxa"/>
        <w:tblCellMar>
          <w:top w:w="0" w:type="dxa"/>
          <w:left w:w="0" w:type="dxa"/>
          <w:bottom w:w="0" w:type="dxa"/>
          <w:right w:w="0" w:type="dxa"/>
        </w:tblCellMar>
      </w:tblPr>
      <w:tr>
        <w:trPr>
          <w:trHeight w:val="184"/>
        </w:trPr>
        <w:tc>
          <w:tcPr>
            <w:tcW w:w="2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89"/>
              </w:rPr>
              <w:t>to</w:t>
            </w:r>
          </w:p>
        </w:tc>
      </w:tr>
      <w:tr>
        <w:trPr>
          <w:trHeight w:val="242"/>
        </w:trPr>
        <w:tc>
          <w:tcPr>
            <w:tcW w:w="266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w w:val="96"/>
              </w:rPr>
              <w:t>Commission file number 814-00861</w:t>
            </w:r>
          </w:p>
        </w:tc>
        <w:tc>
          <w:tcPr>
            <w:tcW w:w="160" w:type="dxa"/>
            <w:vAlign w:val="bottom"/>
          </w:tcPr>
          <w:p>
            <w:pPr>
              <w:spacing w:after="0"/>
              <w:rPr>
                <w:sz w:val="21"/>
                <w:szCs w:val="21"/>
                <w:color w:val="auto"/>
              </w:rPr>
            </w:pPr>
          </w:p>
        </w:tc>
      </w:tr>
    </w:tbl>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8"/>
          <w:szCs w:val="38"/>
          <w:b w:val="1"/>
          <w:bCs w:val="1"/>
          <w:color w:val="auto"/>
        </w:rPr>
        <w:t>Fidus Investment Corporation</w:t>
      </w:r>
    </w:p>
    <w:p>
      <w:pPr>
        <w:spacing w:after="0" w:line="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72" w:lineRule="exact"/>
        <w:rPr>
          <w:sz w:val="24"/>
          <w:szCs w:val="24"/>
          <w:color w:val="auto"/>
        </w:rPr>
      </w:pPr>
    </w:p>
    <w:tbl>
      <w:tblPr>
        <w:tblLayout w:type="fixed"/>
        <w:tblInd w:w="1740" w:type="dxa"/>
        <w:tblCellMar>
          <w:top w:w="0" w:type="dxa"/>
          <w:left w:w="0" w:type="dxa"/>
          <w:bottom w:w="0" w:type="dxa"/>
          <w:right w:w="0" w:type="dxa"/>
        </w:tblCellMar>
      </w:tblPr>
      <w:tr>
        <w:trPr>
          <w:trHeight w:val="205"/>
        </w:trPr>
        <w:tc>
          <w:tcPr>
            <w:tcW w:w="3620" w:type="dxa"/>
            <w:vAlign w:val="bottom"/>
          </w:tcPr>
          <w:p>
            <w:pPr>
              <w:jc w:val="center"/>
              <w:ind w:right="1208"/>
              <w:spacing w:after="0"/>
              <w:rPr>
                <w:sz w:val="20"/>
                <w:szCs w:val="20"/>
                <w:color w:val="auto"/>
              </w:rPr>
            </w:pPr>
            <w:r>
              <w:rPr>
                <w:rFonts w:ascii="Times New Roman" w:cs="Times New Roman" w:eastAsia="Times New Roman" w:hAnsi="Times New Roman"/>
                <w:sz w:val="16"/>
                <w:szCs w:val="16"/>
                <w:b w:val="1"/>
                <w:bCs w:val="1"/>
                <w:color w:val="auto"/>
                <w:w w:val="96"/>
              </w:rPr>
              <w:t>Maryland</w:t>
            </w:r>
          </w:p>
        </w:tc>
        <w:tc>
          <w:tcPr>
            <w:tcW w:w="2300" w:type="dxa"/>
            <w:vAlign w:val="bottom"/>
          </w:tcPr>
          <w:p>
            <w:pPr>
              <w:jc w:val="right"/>
              <w:ind w:right="69"/>
              <w:spacing w:after="0"/>
              <w:rPr>
                <w:sz w:val="20"/>
                <w:szCs w:val="20"/>
                <w:color w:val="auto"/>
              </w:rPr>
            </w:pPr>
            <w:r>
              <w:rPr>
                <w:rFonts w:ascii="Times New Roman" w:cs="Times New Roman" w:eastAsia="Times New Roman" w:hAnsi="Times New Roman"/>
                <w:sz w:val="16"/>
                <w:szCs w:val="16"/>
                <w:b w:val="1"/>
                <w:bCs w:val="1"/>
                <w:color w:val="auto"/>
              </w:rPr>
              <w:t>27-5017321</w:t>
            </w:r>
          </w:p>
        </w:tc>
      </w:tr>
      <w:tr>
        <w:trPr>
          <w:trHeight w:val="156"/>
        </w:trPr>
        <w:tc>
          <w:tcPr>
            <w:tcW w:w="3620" w:type="dxa"/>
            <w:vAlign w:val="bottom"/>
          </w:tcPr>
          <w:p>
            <w:pPr>
              <w:jc w:val="center"/>
              <w:ind w:right="120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300" w:type="dxa"/>
            <w:vAlign w:val="bottom"/>
          </w:tcPr>
          <w:p>
            <w:pPr>
              <w:jc w:val="center"/>
              <w:ind w:left="1189"/>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3620" w:type="dxa"/>
            <w:vAlign w:val="bottom"/>
          </w:tcPr>
          <w:p>
            <w:pPr>
              <w:jc w:val="center"/>
              <w:ind w:right="120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300" w:type="dxa"/>
            <w:vAlign w:val="bottom"/>
          </w:tcPr>
          <w:p>
            <w:pPr>
              <w:jc w:val="center"/>
              <w:ind w:left="1189"/>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69"/>
        </w:trPr>
        <w:tc>
          <w:tcPr>
            <w:tcW w:w="3620" w:type="dxa"/>
            <w:vAlign w:val="bottom"/>
          </w:tcPr>
          <w:p>
            <w:pPr>
              <w:jc w:val="center"/>
              <w:ind w:right="1208"/>
              <w:spacing w:after="0"/>
              <w:rPr>
                <w:sz w:val="20"/>
                <w:szCs w:val="20"/>
                <w:color w:val="auto"/>
              </w:rPr>
            </w:pPr>
            <w:r>
              <w:rPr>
                <w:rFonts w:ascii="Times New Roman" w:cs="Times New Roman" w:eastAsia="Times New Roman" w:hAnsi="Times New Roman"/>
                <w:sz w:val="16"/>
                <w:szCs w:val="16"/>
                <w:b w:val="1"/>
                <w:bCs w:val="1"/>
                <w:color w:val="auto"/>
                <w:w w:val="97"/>
              </w:rPr>
              <w:t>1603 Orrington Avenue, Suite 1005</w:t>
            </w:r>
          </w:p>
        </w:tc>
        <w:tc>
          <w:tcPr>
            <w:tcW w:w="2300" w:type="dxa"/>
            <w:vAlign w:val="bottom"/>
          </w:tcPr>
          <w:p>
            <w:pPr>
              <w:spacing w:after="0"/>
              <w:rPr>
                <w:sz w:val="23"/>
                <w:szCs w:val="23"/>
                <w:color w:val="auto"/>
              </w:rPr>
            </w:pPr>
          </w:p>
        </w:tc>
      </w:tr>
      <w:tr>
        <w:trPr>
          <w:trHeight w:val="205"/>
        </w:trPr>
        <w:tc>
          <w:tcPr>
            <w:tcW w:w="3620" w:type="dxa"/>
            <w:vAlign w:val="bottom"/>
          </w:tcPr>
          <w:p>
            <w:pPr>
              <w:jc w:val="center"/>
              <w:ind w:right="1208"/>
              <w:spacing w:after="0"/>
              <w:rPr>
                <w:sz w:val="20"/>
                <w:szCs w:val="20"/>
                <w:color w:val="auto"/>
              </w:rPr>
            </w:pPr>
            <w:r>
              <w:rPr>
                <w:rFonts w:ascii="Times New Roman" w:cs="Times New Roman" w:eastAsia="Times New Roman" w:hAnsi="Times New Roman"/>
                <w:sz w:val="16"/>
                <w:szCs w:val="16"/>
                <w:b w:val="1"/>
                <w:bCs w:val="1"/>
                <w:color w:val="auto"/>
                <w:w w:val="98"/>
              </w:rPr>
              <w:t>Evanston, Illinois</w:t>
            </w:r>
          </w:p>
        </w:tc>
        <w:tc>
          <w:tcPr>
            <w:tcW w:w="2300" w:type="dxa"/>
            <w:vAlign w:val="bottom"/>
          </w:tcPr>
          <w:p>
            <w:pPr>
              <w:jc w:val="right"/>
              <w:ind w:right="269"/>
              <w:spacing w:after="0"/>
              <w:rPr>
                <w:sz w:val="20"/>
                <w:szCs w:val="20"/>
                <w:color w:val="auto"/>
              </w:rPr>
            </w:pPr>
            <w:r>
              <w:rPr>
                <w:rFonts w:ascii="Times New Roman" w:cs="Times New Roman" w:eastAsia="Times New Roman" w:hAnsi="Times New Roman"/>
                <w:sz w:val="16"/>
                <w:szCs w:val="16"/>
                <w:b w:val="1"/>
                <w:bCs w:val="1"/>
                <w:color w:val="auto"/>
              </w:rPr>
              <w:t>60201</w:t>
            </w:r>
          </w:p>
        </w:tc>
      </w:tr>
      <w:tr>
        <w:trPr>
          <w:trHeight w:val="174"/>
        </w:trPr>
        <w:tc>
          <w:tcPr>
            <w:tcW w:w="3620" w:type="dxa"/>
            <w:vAlign w:val="bottom"/>
          </w:tcPr>
          <w:p>
            <w:pPr>
              <w:jc w:val="center"/>
              <w:ind w:right="120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300" w:type="dxa"/>
            <w:vAlign w:val="bottom"/>
          </w:tcPr>
          <w:p>
            <w:pPr>
              <w:jc w:val="center"/>
              <w:ind w:left="1189"/>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bl>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(847) 859-3940</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ind w:left="4660"/>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ind w:left="4700"/>
        <w:spacing w:after="0"/>
        <w:rPr>
          <w:sz w:val="20"/>
          <w:szCs w:val="20"/>
          <w:color w:val="auto"/>
        </w:rPr>
      </w:pPr>
      <w:r>
        <w:rPr>
          <w:rFonts w:ascii="Times New Roman" w:cs="Times New Roman" w:eastAsia="Times New Roman" w:hAnsi="Times New Roman"/>
          <w:sz w:val="16"/>
          <w:szCs w:val="16"/>
          <w:b w:val="1"/>
          <w:bCs w:val="1"/>
          <w:color w:val="auto"/>
        </w:rPr>
        <w:t>_______________</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40" w:orient="portrait"/>
          <w:cols w:equalWidth="0" w:num="1">
            <w:col w:w="10520"/>
          </w:cols>
          <w:pgMar w:left="660" w:top="1440" w:right="720" w:bottom="1440" w:gutter="0" w:footer="0" w:header="0"/>
        </w:sectPr>
      </w:pPr>
    </w:p>
    <w:p>
      <w:pPr>
        <w:spacing w:after="0" w:line="16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Trading Symbol</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p>
      <w:pPr>
        <w:spacing w:after="0" w:line="103" w:lineRule="exact"/>
        <w:rPr>
          <w:sz w:val="24"/>
          <w:szCs w:val="24"/>
          <w:color w:val="auto"/>
        </w:rPr>
      </w:pPr>
    </w:p>
    <w:p>
      <w:pPr>
        <w:sectPr>
          <w:pgSz w:w="11900" w:h="16840" w:orient="portrait"/>
          <w:cols w:equalWidth="0" w:num="3">
            <w:col w:w="3980" w:space="720"/>
            <w:col w:w="1860" w:space="720"/>
            <w:col w:w="3240"/>
          </w:cols>
          <w:pgMar w:left="660" w:top="1440" w:right="720"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FDUS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91" w:lineRule="exact"/>
        <w:rPr>
          <w:sz w:val="24"/>
          <w:szCs w:val="24"/>
          <w:color w:val="auto"/>
        </w:rPr>
      </w:pPr>
    </w:p>
    <w:p>
      <w:pPr>
        <w:sectPr>
          <w:pgSz w:w="11900" w:h="16840" w:orient="portrait"/>
          <w:cols w:equalWidth="0" w:num="3">
            <w:col w:w="4240" w:space="720"/>
            <w:col w:w="1680" w:space="720"/>
            <w:col w:w="3160"/>
          </w:cols>
          <w:pgMar w:left="660" w:top="1440" w:right="720" w:bottom="1440" w:gutter="0" w:footer="0" w:header="0"/>
          <w:type w:val="continuous"/>
        </w:sectPr>
      </w:pPr>
    </w:p>
    <w:p>
      <w:pPr>
        <w:ind w:right="60" w:firstLine="39"/>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ind w:right="60" w:firstLine="39"/>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 w:lineRule="exact"/>
        <w:rPr>
          <w:sz w:val="24"/>
          <w:szCs w:val="24"/>
          <w:color w:val="auto"/>
        </w:rPr>
      </w:pPr>
    </w:p>
    <w:p>
      <w:pPr>
        <w:ind w:firstLine="39"/>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4" w:lineRule="exact"/>
        <w:rPr>
          <w:sz w:val="24"/>
          <w:szCs w:val="24"/>
          <w:color w:val="auto"/>
        </w:rPr>
      </w:pPr>
    </w:p>
    <w:tbl>
      <w:tblPr>
        <w:tblLayout w:type="fixed"/>
        <w:tblInd w:w="280" w:type="dxa"/>
        <w:tblCellMar>
          <w:top w:w="0" w:type="dxa"/>
          <w:left w:w="0" w:type="dxa"/>
          <w:bottom w:w="0" w:type="dxa"/>
          <w:right w:w="0" w:type="dxa"/>
        </w:tblCellMar>
      </w:tblPr>
      <w:tr>
        <w:trPr>
          <w:trHeight w:val="191"/>
        </w:trPr>
        <w:tc>
          <w:tcPr>
            <w:tcW w:w="198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Accelerated filer</w:t>
            </w:r>
          </w:p>
        </w:tc>
        <w:tc>
          <w:tcPr>
            <w:tcW w:w="2040" w:type="dxa"/>
            <w:vAlign w:val="bottom"/>
          </w:tcPr>
          <w:p>
            <w:pPr>
              <w:jc w:val="center"/>
              <w:ind w:left="128"/>
              <w:spacing w:after="0"/>
              <w:rPr>
                <w:sz w:val="20"/>
                <w:szCs w:val="20"/>
                <w:color w:val="auto"/>
              </w:rPr>
            </w:pPr>
            <w:r>
              <w:rPr>
                <w:rFonts w:ascii="Times New Roman" w:cs="Times New Roman" w:eastAsia="Times New Roman" w:hAnsi="Times New Roman"/>
                <w:sz w:val="16"/>
                <w:szCs w:val="16"/>
                <w:color w:val="auto"/>
                <w:w w:val="97"/>
              </w:rPr>
              <w:t>Non-accelerated filer</w:t>
            </w:r>
          </w:p>
        </w:tc>
        <w:tc>
          <w:tcPr>
            <w:tcW w:w="4240" w:type="dxa"/>
            <w:vAlign w:val="bottom"/>
          </w:tcPr>
          <w:p>
            <w:pPr>
              <w:ind w:left="2380"/>
              <w:spacing w:after="0" w:line="184" w:lineRule="exact"/>
              <w:rPr>
                <w:sz w:val="20"/>
                <w:szCs w:val="20"/>
                <w:color w:val="auto"/>
              </w:rPr>
            </w:pPr>
            <w:r>
              <w:rPr>
                <w:rFonts w:ascii="Times New Roman" w:cs="Times New Roman" w:eastAsia="Times New Roman" w:hAnsi="Times New Roman"/>
                <w:sz w:val="16"/>
                <w:szCs w:val="16"/>
                <w:color w:val="auto"/>
                <w:w w:val="94"/>
              </w:rPr>
              <w:t xml:space="preserve">Emerging growth company </w:t>
            </w:r>
            <w:r>
              <w:rPr>
                <w:rFonts w:ascii="MS PGothic" w:cs="MS PGothic" w:eastAsia="MS PGothic" w:hAnsi="MS PGothic"/>
                <w:sz w:val="16"/>
                <w:szCs w:val="16"/>
                <w:color w:val="auto"/>
                <w:w w:val="94"/>
              </w:rPr>
              <w:t>☐</w:t>
            </w:r>
          </w:p>
        </w:tc>
        <w:tc>
          <w:tcPr>
            <w:tcW w:w="0" w:type="dxa"/>
            <w:vAlign w:val="bottom"/>
          </w:tcPr>
          <w:p>
            <w:pPr>
              <w:spacing w:after="0"/>
              <w:rPr>
                <w:sz w:val="1"/>
                <w:szCs w:val="1"/>
                <w:color w:val="auto"/>
              </w:rPr>
            </w:pPr>
          </w:p>
        </w:tc>
      </w:tr>
      <w:tr>
        <w:trPr>
          <w:trHeight w:val="263"/>
        </w:trPr>
        <w:tc>
          <w:tcPr>
            <w:tcW w:w="1980" w:type="dxa"/>
            <w:vAlign w:val="bottom"/>
            <w:vMerge w:val="continue"/>
          </w:tcPr>
          <w:p>
            <w:pPr>
              <w:spacing w:after="0"/>
              <w:rPr>
                <w:sz w:val="22"/>
                <w:szCs w:val="22"/>
                <w:color w:val="auto"/>
              </w:rPr>
            </w:pPr>
          </w:p>
        </w:tc>
        <w:tc>
          <w:tcPr>
            <w:tcW w:w="1900" w:type="dxa"/>
            <w:vAlign w:val="bottom"/>
          </w:tcPr>
          <w:p>
            <w:pPr>
              <w:jc w:val="center"/>
              <w:ind w:right="2"/>
              <w:spacing w:after="0" w:line="161" w:lineRule="exact"/>
              <w:rPr>
                <w:sz w:val="20"/>
                <w:szCs w:val="20"/>
                <w:color w:val="auto"/>
              </w:rPr>
            </w:pPr>
            <w:r>
              <w:rPr>
                <w:rFonts w:ascii="MS PGothic" w:cs="MS PGothic" w:eastAsia="MS PGothic" w:hAnsi="MS PGothic"/>
                <w:sz w:val="16"/>
                <w:szCs w:val="16"/>
                <w:color w:val="auto"/>
                <w:w w:val="87"/>
              </w:rPr>
              <w:t>☐</w:t>
            </w:r>
          </w:p>
        </w:tc>
        <w:tc>
          <w:tcPr>
            <w:tcW w:w="2040" w:type="dxa"/>
            <w:vAlign w:val="bottom"/>
          </w:tcPr>
          <w:p>
            <w:pPr>
              <w:jc w:val="center"/>
              <w:ind w:left="128"/>
              <w:spacing w:after="0" w:line="131" w:lineRule="exact"/>
              <w:rPr>
                <w:sz w:val="20"/>
                <w:szCs w:val="20"/>
                <w:color w:val="auto"/>
              </w:rPr>
            </w:pPr>
            <w:r>
              <w:rPr>
                <w:rFonts w:ascii="MS PGothic" w:cs="MS PGothic" w:eastAsia="MS PGothic" w:hAnsi="MS PGothic"/>
                <w:sz w:val="13"/>
                <w:szCs w:val="13"/>
                <w:color w:val="auto"/>
                <w:w w:val="91"/>
              </w:rPr>
              <w:t>☑</w:t>
            </w:r>
          </w:p>
        </w:tc>
        <w:tc>
          <w:tcPr>
            <w:tcW w:w="4240" w:type="dxa"/>
            <w:vAlign w:val="bottom"/>
          </w:tcPr>
          <w:p>
            <w:pPr>
              <w:ind w:left="260"/>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16" w:lineRule="exact"/>
        <w:rPr>
          <w:sz w:val="24"/>
          <w:szCs w:val="24"/>
          <w:color w:val="auto"/>
        </w:rPr>
      </w:pPr>
    </w:p>
    <w:p>
      <w:pPr>
        <w:ind w:right="240"/>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580"/>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6"/>
          <w:szCs w:val="16"/>
          <w:color w:val="auto"/>
        </w:rPr>
        <w:t xml:space="preserve"> As of October 30, 2024, the Registrant had outstanding 33,914,652 shares of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670750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30480"/>
                    </a:xfrm>
                    <a:prstGeom prst="rect">
                      <a:avLst/>
                    </a:prstGeom>
                    <a:noFill/>
                  </pic:spPr>
                </pic:pic>
              </a:graphicData>
            </a:graphic>
          </wp:anchor>
        </w:drawing>
      </w:r>
    </w:p>
    <w:p>
      <w:pPr>
        <w:spacing w:after="0" w:line="3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type w:val="continuous"/>
        </w:sectPr>
      </w:pPr>
    </w:p>
    <w:bookmarkStart w:id="1" w:name="page2"/>
    <w:bookmarkEnd w:id="1"/>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QUARTERLY REPORT ON FORM 10-Q</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900" w:type="dxa"/>
            <w:vAlign w:val="bottom"/>
            <w:gridSpan w:val="13"/>
          </w:tcPr>
          <w:p>
            <w:pPr>
              <w:spacing w:after="0"/>
              <w:rPr>
                <w:rFonts w:ascii="Times New Roman" w:cs="Times New Roman" w:eastAsia="Times New Roman" w:hAnsi="Times New Roman"/>
                <w:sz w:val="16"/>
                <w:szCs w:val="16"/>
                <w:b w:val="1"/>
                <w:bCs w:val="1"/>
                <w:color w:val="0000FF"/>
              </w:rPr>
            </w:pPr>
            <w:hyperlink w:anchor="page3">
              <w:r>
                <w:rPr>
                  <w:rFonts w:ascii="Times New Roman" w:cs="Times New Roman" w:eastAsia="Times New Roman" w:hAnsi="Times New Roman"/>
                  <w:sz w:val="16"/>
                  <w:szCs w:val="16"/>
                  <w:b w:val="1"/>
                  <w:bCs w:val="1"/>
                  <w:color w:val="0000FF"/>
                </w:rPr>
                <w:t>PART I — FINANCIAL INFORMATION</w:t>
              </w:r>
            </w:hyperlink>
          </w:p>
        </w:tc>
        <w:tc>
          <w:tcPr>
            <w:tcW w:w="620" w:type="dxa"/>
            <w:vAlign w:val="bottom"/>
          </w:tcPr>
          <w:p>
            <w:pPr>
              <w:spacing w:after="0"/>
              <w:rPr>
                <w:sz w:val="16"/>
                <w:szCs w:val="16"/>
                <w:color w:val="auto"/>
              </w:rPr>
            </w:pPr>
          </w:p>
        </w:tc>
      </w:tr>
      <w:tr>
        <w:trPr>
          <w:trHeight w:val="184"/>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1340" w:type="dxa"/>
            <w:vAlign w:val="bottom"/>
            <w:tcBorders>
              <w:bottom w:val="single" w:sz="8" w:color="0000FF"/>
            </w:tcBorders>
            <w:gridSpan w:val="5"/>
          </w:tcPr>
          <w:p>
            <w:pPr>
              <w:spacing w:after="0"/>
              <w:rPr>
                <w:rFonts w:ascii="Times New Roman" w:cs="Times New Roman" w:eastAsia="Times New Roman" w:hAnsi="Times New Roman"/>
                <w:sz w:val="16"/>
                <w:szCs w:val="16"/>
                <w:color w:val="0000FF"/>
                <w:w w:val="95"/>
              </w:rPr>
            </w:pPr>
            <w:hyperlink w:anchor="page3">
              <w:r>
                <w:rPr>
                  <w:rFonts w:ascii="Times New Roman" w:cs="Times New Roman" w:eastAsia="Times New Roman" w:hAnsi="Times New Roman"/>
                  <w:sz w:val="16"/>
                  <w:szCs w:val="16"/>
                  <w:color w:val="0000FF"/>
                  <w:w w:val="95"/>
                </w:rPr>
                <w:t>Financial Statements.</w:t>
              </w:r>
            </w:hyperlink>
          </w:p>
        </w:tc>
        <w:tc>
          <w:tcPr>
            <w:tcW w:w="1820" w:type="dxa"/>
            <w:vAlign w:val="bottom"/>
            <w:gridSpan w:val="4"/>
          </w:tcPr>
          <w:p>
            <w:pPr>
              <w:spacing w:after="0"/>
              <w:rPr>
                <w:sz w:val="16"/>
                <w:szCs w:val="16"/>
                <w:color w:val="auto"/>
              </w:rPr>
            </w:pPr>
          </w:p>
        </w:tc>
        <w:tc>
          <w:tcPr>
            <w:tcW w:w="2840" w:type="dxa"/>
            <w:vAlign w:val="bottom"/>
            <w:tcBorders>
              <w:top w:val="single" w:sz="8" w:color="0000FF"/>
            </w:tcBorders>
            <w:gridSpan w:val="7"/>
          </w:tcPr>
          <w:p>
            <w:pPr>
              <w:spacing w:after="0"/>
              <w:rPr>
                <w:sz w:val="16"/>
                <w:szCs w:val="16"/>
                <w:color w:val="auto"/>
              </w:rPr>
            </w:pPr>
          </w:p>
        </w:tc>
        <w:tc>
          <w:tcPr>
            <w:tcW w:w="3060" w:type="dxa"/>
            <w:vAlign w:val="bottom"/>
            <w:gridSpan w:val="6"/>
          </w:tcPr>
          <w:p>
            <w:pPr>
              <w:spacing w:after="0"/>
              <w:rPr>
                <w:sz w:val="16"/>
                <w:szCs w:val="16"/>
                <w:color w:val="auto"/>
              </w:rPr>
            </w:pPr>
          </w:p>
        </w:tc>
        <w:tc>
          <w:tcPr>
            <w:tcW w:w="62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60" w:type="dxa"/>
            <w:vAlign w:val="bottom"/>
            <w:tcBorders>
              <w:bottom w:val="single" w:sz="8" w:color="0000FF"/>
            </w:tcBorders>
            <w:gridSpan w:val="18"/>
          </w:tcPr>
          <w:p>
            <w:pPr>
              <w:spacing w:after="0"/>
              <w:rPr>
                <w:rFonts w:ascii="Times New Roman" w:cs="Times New Roman" w:eastAsia="Times New Roman" w:hAnsi="Times New Roman"/>
                <w:sz w:val="16"/>
                <w:szCs w:val="16"/>
                <w:color w:val="0000FF"/>
                <w:w w:val="97"/>
              </w:rPr>
            </w:pPr>
            <w:hyperlink w:anchor="page3">
              <w:r>
                <w:rPr>
                  <w:rFonts w:ascii="Times New Roman" w:cs="Times New Roman" w:eastAsia="Times New Roman" w:hAnsi="Times New Roman"/>
                  <w:sz w:val="16"/>
                  <w:szCs w:val="16"/>
                  <w:color w:val="0000FF"/>
                  <w:w w:val="97"/>
                </w:rPr>
                <w:t>Consolidated Statements of Assets and Liabilities — September 30, 2024 (unaudited) and December 31, 2023</w:t>
              </w:r>
            </w:hyperlink>
          </w:p>
        </w:tc>
        <w:tc>
          <w:tcPr>
            <w:tcW w:w="2200" w:type="dxa"/>
            <w:vAlign w:val="bottom"/>
            <w:gridSpan w:val="4"/>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8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w w:val="97"/>
              </w:rPr>
            </w:pPr>
            <w:hyperlink w:anchor="page4">
              <w:r>
                <w:rPr>
                  <w:rFonts w:ascii="Times New Roman" w:cs="Times New Roman" w:eastAsia="Times New Roman" w:hAnsi="Times New Roman"/>
                  <w:sz w:val="16"/>
                  <w:szCs w:val="16"/>
                  <w:color w:val="0000FF"/>
                  <w:w w:val="97"/>
                </w:rPr>
                <w:t>Consolidated Statements of Operations — three and nine months ended September 30, 2024 (unaudited) and 2023 (unaudited)</w:t>
              </w:r>
            </w:hyperlink>
          </w:p>
        </w:tc>
        <w:tc>
          <w:tcPr>
            <w:tcW w:w="1180" w:type="dxa"/>
            <w:vAlign w:val="bottom"/>
            <w:gridSpan w:val="3"/>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60" w:type="dxa"/>
            <w:vAlign w:val="bottom"/>
            <w:gridSpan w:val="22"/>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Consolidated Statements of Changes in Net Assets — three and nine months ended September 30, 2024 (unaudited) and 2023 (unaudited)</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0" w:type="dxa"/>
            <w:vAlign w:val="bottom"/>
            <w:tcBorders>
              <w:top w:val="single" w:sz="8" w:color="0000FF"/>
            </w:tcBorders>
            <w:gridSpan w:val="21"/>
          </w:tcPr>
          <w:p>
            <w:pPr>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Consolidated Statements of Cash Flows — three and nine months ended September 30, 2024 (unaudited) and 2023 (unaudited)</w:t>
              </w:r>
            </w:hyperlink>
          </w:p>
        </w:tc>
        <w:tc>
          <w:tcPr>
            <w:tcW w:w="4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20" w:type="dxa"/>
            <w:vAlign w:val="bottom"/>
            <w:tcBorders>
              <w:top w:val="single" w:sz="8" w:color="0000FF"/>
              <w:bottom w:val="single" w:sz="8" w:color="0000FF"/>
            </w:tcBorders>
            <w:gridSpan w:val="17"/>
          </w:tcPr>
          <w:p>
            <w:pPr>
              <w:spacing w:after="0"/>
              <w:rPr>
                <w:rFonts w:ascii="Times New Roman" w:cs="Times New Roman" w:eastAsia="Times New Roman" w:hAnsi="Times New Roman"/>
                <w:sz w:val="16"/>
                <w:szCs w:val="16"/>
                <w:color w:val="0000FF"/>
                <w:w w:val="97"/>
              </w:rPr>
            </w:pPr>
            <w:hyperlink w:anchor="page7">
              <w:r>
                <w:rPr>
                  <w:rFonts w:ascii="Times New Roman" w:cs="Times New Roman" w:eastAsia="Times New Roman" w:hAnsi="Times New Roman"/>
                  <w:sz w:val="16"/>
                  <w:szCs w:val="16"/>
                  <w:color w:val="0000FF"/>
                  <w:w w:val="97"/>
                </w:rPr>
                <w:t>Consolidated Schedules of Investments — September 30, 2024 (unaudited) and December 31, 2023</w:t>
              </w:r>
            </w:hyperlink>
          </w:p>
        </w:tc>
        <w:tc>
          <w:tcPr>
            <w:tcW w:w="1700" w:type="dxa"/>
            <w:vAlign w:val="bottom"/>
            <w:tcBorders>
              <w:top w:val="single" w:sz="8" w:color="0000FF"/>
            </w:tcBorders>
            <w:gridSpan w:val="3"/>
          </w:tcPr>
          <w:p>
            <w:pPr>
              <w:spacing w:after="0"/>
              <w:rPr>
                <w:sz w:val="16"/>
                <w:szCs w:val="16"/>
                <w:color w:val="auto"/>
              </w:rPr>
            </w:pPr>
          </w:p>
        </w:tc>
        <w:tc>
          <w:tcPr>
            <w:tcW w:w="1140" w:type="dxa"/>
            <w:vAlign w:val="bottom"/>
            <w:gridSpan w:val="2"/>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8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w w:val="96"/>
              </w:rPr>
            </w:pPr>
            <w:hyperlink w:anchor="page21">
              <w:r>
                <w:rPr>
                  <w:rFonts w:ascii="Times New Roman" w:cs="Times New Roman" w:eastAsia="Times New Roman" w:hAnsi="Times New Roman"/>
                  <w:sz w:val="16"/>
                  <w:szCs w:val="16"/>
                  <w:color w:val="0000FF"/>
                  <w:w w:val="96"/>
                </w:rPr>
                <w:t>Notes to Consolidated Financial Statements (unaudited)</w:t>
              </w:r>
            </w:hyperlink>
          </w:p>
        </w:tc>
        <w:tc>
          <w:tcPr>
            <w:tcW w:w="5580" w:type="dxa"/>
            <w:vAlign w:val="bottom"/>
            <w:gridSpan w:val="11"/>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4"/>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2.</w:t>
            </w:r>
          </w:p>
        </w:tc>
        <w:tc>
          <w:tcPr>
            <w:tcW w:w="9060" w:type="dxa"/>
            <w:vAlign w:val="bottom"/>
            <w:gridSpan w:val="22"/>
          </w:tcPr>
          <w:p>
            <w:pPr>
              <w:spacing w:after="0"/>
              <w:rPr>
                <w:rFonts w:ascii="Times New Roman" w:cs="Times New Roman" w:eastAsia="Times New Roman" w:hAnsi="Times New Roman"/>
                <w:sz w:val="16"/>
                <w:szCs w:val="16"/>
                <w:color w:val="0000FF"/>
              </w:rPr>
            </w:pPr>
            <w:hyperlink w:anchor="page44">
              <w:r>
                <w:rPr>
                  <w:rFonts w:ascii="Times New Roman" w:cs="Times New Roman" w:eastAsia="Times New Roman" w:hAnsi="Times New Roman"/>
                  <w:sz w:val="16"/>
                  <w:szCs w:val="16"/>
                  <w:color w:val="0000FF"/>
                </w:rPr>
                <w:t>Management’s Discussion and Analysis of Financial Condition and Results of Operations</w:t>
              </w:r>
            </w:hyperlink>
            <w:r>
              <w:rPr>
                <w:rFonts w:ascii="Times New Roman" w:cs="Times New Roman" w:eastAsia="Times New Roman" w:hAnsi="Times New Roman"/>
                <w:sz w:val="16"/>
                <w:szCs w:val="16"/>
                <w:color w:val="00000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84"/>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3.</w:t>
            </w:r>
          </w:p>
        </w:tc>
        <w:tc>
          <w:tcPr>
            <w:tcW w:w="382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6"/>
                <w:szCs w:val="16"/>
                <w:color w:val="0000FF"/>
                <w:w w:val="97"/>
              </w:rPr>
            </w:pPr>
            <w:hyperlink w:anchor="page61">
              <w:r>
                <w:rPr>
                  <w:rFonts w:ascii="Times New Roman" w:cs="Times New Roman" w:eastAsia="Times New Roman" w:hAnsi="Times New Roman"/>
                  <w:sz w:val="16"/>
                  <w:szCs w:val="16"/>
                  <w:color w:val="0000FF"/>
                  <w:w w:val="97"/>
                </w:rPr>
                <w:t>Quantitative and Qualitative Disclosures About Market Risk.</w:t>
              </w:r>
            </w:hyperlink>
          </w:p>
        </w:tc>
        <w:tc>
          <w:tcPr>
            <w:tcW w:w="1780" w:type="dxa"/>
            <w:vAlign w:val="bottom"/>
            <w:tcBorders>
              <w:top w:val="single" w:sz="8" w:color="0000FF"/>
            </w:tcBorders>
          </w:tcPr>
          <w:p>
            <w:pPr>
              <w:spacing w:after="0"/>
              <w:rPr>
                <w:sz w:val="16"/>
                <w:szCs w:val="16"/>
                <w:color w:val="auto"/>
              </w:rPr>
            </w:pPr>
          </w:p>
        </w:tc>
        <w:tc>
          <w:tcPr>
            <w:tcW w:w="3460" w:type="dxa"/>
            <w:vAlign w:val="bottom"/>
            <w:gridSpan w:val="8"/>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84"/>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4.</w:t>
            </w:r>
          </w:p>
        </w:tc>
        <w:tc>
          <w:tcPr>
            <w:tcW w:w="9060" w:type="dxa"/>
            <w:vAlign w:val="bottom"/>
            <w:gridSpan w:val="22"/>
          </w:tcPr>
          <w:p>
            <w:pPr>
              <w:spacing w:after="0"/>
              <w:rPr>
                <w:rFonts w:ascii="Times New Roman" w:cs="Times New Roman" w:eastAsia="Times New Roman" w:hAnsi="Times New Roman"/>
                <w:sz w:val="16"/>
                <w:szCs w:val="16"/>
                <w:color w:val="0000FF"/>
              </w:rPr>
            </w:pPr>
            <w:hyperlink w:anchor="page62">
              <w:r>
                <w:rPr>
                  <w:rFonts w:ascii="Times New Roman" w:cs="Times New Roman" w:eastAsia="Times New Roman" w:hAnsi="Times New Roman"/>
                  <w:sz w:val="16"/>
                  <w:szCs w:val="16"/>
                  <w:color w:val="0000FF"/>
                </w:rPr>
                <w:t>Controls and Procedures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40" w:type="dxa"/>
            <w:vAlign w:val="bottom"/>
            <w:gridSpan w:val="12"/>
          </w:tcPr>
          <w:p>
            <w:pPr>
              <w:ind w:left="20"/>
              <w:spacing w:after="0"/>
              <w:rPr>
                <w:rFonts w:ascii="Times New Roman" w:cs="Times New Roman" w:eastAsia="Times New Roman" w:hAnsi="Times New Roman"/>
                <w:sz w:val="16"/>
                <w:szCs w:val="16"/>
                <w:b w:val="1"/>
                <w:bCs w:val="1"/>
                <w:color w:val="0000FF"/>
              </w:rPr>
            </w:pPr>
            <w:hyperlink w:anchor="page62">
              <w:r>
                <w:rPr>
                  <w:rFonts w:ascii="Times New Roman" w:cs="Times New Roman" w:eastAsia="Times New Roman" w:hAnsi="Times New Roman"/>
                  <w:sz w:val="16"/>
                  <w:szCs w:val="16"/>
                  <w:b w:val="1"/>
                  <w:bCs w:val="1"/>
                  <w:color w:val="0000FF"/>
                </w:rPr>
                <w:t>PART II — OTHER INFORMATION</w:t>
              </w:r>
            </w:hyperlink>
          </w:p>
        </w:tc>
        <w:tc>
          <w:tcPr>
            <w:tcW w:w="620" w:type="dxa"/>
            <w:vAlign w:val="bottom"/>
          </w:tcPr>
          <w:p>
            <w:pPr>
              <w:spacing w:after="0"/>
              <w:rPr>
                <w:sz w:val="16"/>
                <w:szCs w:val="16"/>
                <w:color w:val="auto"/>
              </w:rPr>
            </w:pPr>
          </w:p>
        </w:tc>
      </w:tr>
      <w:tr>
        <w:trPr>
          <w:trHeight w:val="184"/>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6"/>
              </w:rPr>
            </w:pPr>
            <w:hyperlink w:anchor="page62">
              <w:r>
                <w:rPr>
                  <w:rFonts w:ascii="Times New Roman" w:cs="Times New Roman" w:eastAsia="Times New Roman" w:hAnsi="Times New Roman"/>
                  <w:sz w:val="16"/>
                  <w:szCs w:val="16"/>
                  <w:color w:val="0000FF"/>
                  <w:w w:val="96"/>
                </w:rPr>
                <w:t>Legal Proceedings.</w:t>
              </w:r>
            </w:hyperlink>
          </w:p>
        </w:tc>
        <w:tc>
          <w:tcPr>
            <w:tcW w:w="2120" w:type="dxa"/>
            <w:vAlign w:val="bottom"/>
            <w:gridSpan w:val="6"/>
          </w:tcPr>
          <w:p>
            <w:pPr>
              <w:spacing w:after="0"/>
              <w:rPr>
                <w:sz w:val="16"/>
                <w:szCs w:val="16"/>
                <w:color w:val="auto"/>
              </w:rPr>
            </w:pPr>
          </w:p>
        </w:tc>
        <w:tc>
          <w:tcPr>
            <w:tcW w:w="2580" w:type="dxa"/>
            <w:vAlign w:val="bottom"/>
            <w:tcBorders>
              <w:top w:val="single" w:sz="8" w:color="0000FF"/>
            </w:tcBorders>
            <w:gridSpan w:val="5"/>
          </w:tcPr>
          <w:p>
            <w:pPr>
              <w:spacing w:after="0"/>
              <w:rPr>
                <w:sz w:val="16"/>
                <w:szCs w:val="16"/>
                <w:color w:val="auto"/>
              </w:rPr>
            </w:pPr>
          </w:p>
        </w:tc>
        <w:tc>
          <w:tcPr>
            <w:tcW w:w="3160" w:type="dxa"/>
            <w:vAlign w:val="bottom"/>
            <w:gridSpan w:val="7"/>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84"/>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w w:val="94"/>
              </w:rPr>
            </w:pPr>
            <w:hyperlink w:anchor="page62">
              <w:r>
                <w:rPr>
                  <w:rFonts w:ascii="Times New Roman" w:cs="Times New Roman" w:eastAsia="Times New Roman" w:hAnsi="Times New Roman"/>
                  <w:sz w:val="16"/>
                  <w:szCs w:val="16"/>
                  <w:color w:val="0000FF"/>
                  <w:w w:val="94"/>
                </w:rPr>
                <w:t>Risk Factors.</w:t>
              </w:r>
            </w:hyperlink>
          </w:p>
        </w:tc>
        <w:tc>
          <w:tcPr>
            <w:tcW w:w="8240" w:type="dxa"/>
            <w:vAlign w:val="bottom"/>
            <w:gridSpan w:val="20"/>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84"/>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2.</w:t>
            </w:r>
          </w:p>
        </w:tc>
        <w:tc>
          <w:tcPr>
            <w:tcW w:w="380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6"/>
              </w:rPr>
            </w:pPr>
            <w:hyperlink w:anchor="page62">
              <w:r>
                <w:rPr>
                  <w:rFonts w:ascii="Times New Roman" w:cs="Times New Roman" w:eastAsia="Times New Roman" w:hAnsi="Times New Roman"/>
                  <w:sz w:val="16"/>
                  <w:szCs w:val="16"/>
                  <w:color w:val="0000FF"/>
                  <w:w w:val="96"/>
                </w:rPr>
                <w:t>Unregistered Sales of Equity Securities and Use of Proceeds.</w:t>
              </w:r>
            </w:hyperlink>
          </w:p>
        </w:tc>
        <w:tc>
          <w:tcPr>
            <w:tcW w:w="5260" w:type="dxa"/>
            <w:vAlign w:val="bottom"/>
            <w:gridSpan w:val="10"/>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184"/>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3.</w:t>
            </w:r>
          </w:p>
        </w:tc>
        <w:tc>
          <w:tcPr>
            <w:tcW w:w="9060" w:type="dxa"/>
            <w:vAlign w:val="bottom"/>
            <w:gridSpan w:val="22"/>
          </w:tcPr>
          <w:p>
            <w:pPr>
              <w:spacing w:after="0"/>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Defaults Upon Senior Securities.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84"/>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4.</w:t>
            </w:r>
          </w:p>
        </w:tc>
        <w:tc>
          <w:tcPr>
            <w:tcW w:w="2040" w:type="dxa"/>
            <w:vAlign w:val="bottom"/>
            <w:tcBorders>
              <w:top w:val="single" w:sz="8" w:color="0000FF"/>
            </w:tcBorders>
            <w:gridSpan w:val="8"/>
          </w:tcPr>
          <w:p>
            <w:pPr>
              <w:spacing w:after="0"/>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Mine Safety Disclosures.</w:t>
              </w:r>
            </w:hyperlink>
          </w:p>
        </w:tc>
        <w:tc>
          <w:tcPr>
            <w:tcW w:w="7020" w:type="dxa"/>
            <w:vAlign w:val="bottom"/>
            <w:gridSpan w:val="14"/>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84"/>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5.</w:t>
            </w:r>
          </w:p>
        </w:tc>
        <w:tc>
          <w:tcPr>
            <w:tcW w:w="1560" w:type="dxa"/>
            <w:vAlign w:val="bottom"/>
            <w:tcBorders>
              <w:top w:val="single" w:sz="8" w:color="0000FF"/>
            </w:tcBorders>
            <w:gridSpan w:val="7"/>
          </w:tcPr>
          <w:p>
            <w:pPr>
              <w:spacing w:after="0"/>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Other Information.</w:t>
              </w:r>
            </w:hyperlink>
          </w:p>
        </w:tc>
        <w:tc>
          <w:tcPr>
            <w:tcW w:w="7500" w:type="dxa"/>
            <w:vAlign w:val="bottom"/>
            <w:gridSpan w:val="15"/>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84"/>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Item 6.</w:t>
            </w:r>
          </w:p>
        </w:tc>
        <w:tc>
          <w:tcPr>
            <w:tcW w:w="1160" w:type="dxa"/>
            <w:vAlign w:val="bottom"/>
            <w:tcBorders>
              <w:top w:val="single" w:sz="8" w:color="0000FF"/>
            </w:tcBorders>
            <w:gridSpan w:val="3"/>
          </w:tcPr>
          <w:p>
            <w:pPr>
              <w:spacing w:after="0"/>
              <w:rPr>
                <w:rFonts w:ascii="Times New Roman" w:cs="Times New Roman" w:eastAsia="Times New Roman" w:hAnsi="Times New Roman"/>
                <w:sz w:val="16"/>
                <w:szCs w:val="16"/>
                <w:color w:val="0000FF"/>
              </w:rPr>
            </w:pPr>
            <w:hyperlink w:anchor="page64">
              <w:r>
                <w:rPr>
                  <w:rFonts w:ascii="Times New Roman" w:cs="Times New Roman" w:eastAsia="Times New Roman" w:hAnsi="Times New Roman"/>
                  <w:sz w:val="16"/>
                  <w:szCs w:val="16"/>
                  <w:color w:val="0000FF"/>
                </w:rPr>
                <w:t>Exhibits.</w:t>
              </w:r>
            </w:hyperlink>
          </w:p>
        </w:tc>
        <w:tc>
          <w:tcPr>
            <w:tcW w:w="7900" w:type="dxa"/>
            <w:vAlign w:val="bottom"/>
            <w:gridSpan w:val="19"/>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184"/>
        </w:trPr>
        <w:tc>
          <w:tcPr>
            <w:tcW w:w="880" w:type="dxa"/>
            <w:vAlign w:val="bottom"/>
            <w:gridSpan w:val="3"/>
          </w:tcPr>
          <w:p>
            <w:pPr>
              <w:ind w:left="20"/>
              <w:spacing w:after="0"/>
              <w:rPr>
                <w:rFonts w:ascii="Times New Roman" w:cs="Times New Roman" w:eastAsia="Times New Roman" w:hAnsi="Times New Roman"/>
                <w:sz w:val="16"/>
                <w:szCs w:val="16"/>
                <w:color w:val="0000FF"/>
              </w:rPr>
            </w:pPr>
            <w:hyperlink w:anchor="page66">
              <w:r>
                <w:rPr>
                  <w:rFonts w:ascii="Times New Roman" w:cs="Times New Roman" w:eastAsia="Times New Roman" w:hAnsi="Times New Roman"/>
                  <w:sz w:val="16"/>
                  <w:szCs w:val="16"/>
                  <w:color w:val="0000FF"/>
                </w:rPr>
                <w:t>Signatures</w:t>
              </w:r>
            </w:hyperlink>
          </w:p>
        </w:tc>
        <w:tc>
          <w:tcPr>
            <w:tcW w:w="560" w:type="dxa"/>
            <w:vAlign w:val="bottom"/>
            <w:tcBorders>
              <w:top w:val="single" w:sz="8" w:color="0000FF"/>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590"/>
        </w:trPr>
        <w:tc>
          <w:tcPr>
            <w:tcW w:w="2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14"/>
          </w:tcPr>
          <w:p>
            <w:pPr>
              <w:ind w:left="4360"/>
              <w:spacing w:after="0"/>
              <w:rPr>
                <w:sz w:val="20"/>
                <w:szCs w:val="20"/>
                <w:color w:val="auto"/>
              </w:rPr>
            </w:pPr>
            <w:r>
              <w:rPr>
                <w:rFonts w:ascii="Times New Roman" w:cs="Times New Roman" w:eastAsia="Times New Roman" w:hAnsi="Times New Roman"/>
                <w:sz w:val="16"/>
                <w:szCs w:val="16"/>
                <w:color w:val="auto"/>
              </w:rPr>
              <w:t>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74"/>
        </w:trPr>
        <w:tc>
          <w:tcPr>
            <w:tcW w:w="2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1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7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 w:name="page3"/>
    <w:bookmarkEnd w:id="2"/>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Consolidated Statements of Assets and Liabilities</w:t>
      </w:r>
    </w:p>
    <w:p>
      <w:pPr>
        <w:ind w:left="3680"/>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7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4"/>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4"/>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4"/>
        </w:trPr>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Control investments (cost: $6,832 and $6,832, respectively)</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Affiliate investments (cost: $48,019 and $46,485, respectively)</w:t>
            </w:r>
          </w:p>
        </w:tc>
        <w:tc>
          <w:tcPr>
            <w:tcW w:w="160" w:type="dxa"/>
            <w:vAlign w:val="bottom"/>
          </w:tcPr>
          <w:p>
            <w:pPr>
              <w:spacing w:after="0"/>
              <w:rPr>
                <w:sz w:val="15"/>
                <w:szCs w:val="15"/>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85,827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83,876</w:t>
            </w:r>
          </w:p>
        </w:tc>
      </w:tr>
      <w:tr>
        <w:trPr>
          <w:trHeight w:val="184"/>
        </w:trPr>
        <w:tc>
          <w:tcPr>
            <w:tcW w:w="7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Non-control/non-affiliate investments (cost: $1,019,953 and $883,312, respectively)</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1,004,848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874,030</w:t>
            </w: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investments, at fair value (cost: $1,074,804 and $936,629, respectively)</w:t>
            </w:r>
          </w:p>
        </w:tc>
        <w:tc>
          <w:tcPr>
            <w:tcW w:w="160" w:type="dxa"/>
            <w:vAlign w:val="bottom"/>
          </w:tcPr>
          <w:p>
            <w:pPr>
              <w:spacing w:after="0"/>
              <w:rPr>
                <w:sz w:val="15"/>
                <w:szCs w:val="15"/>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1,090,675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957,906</w:t>
            </w:r>
          </w:p>
        </w:tc>
      </w:tr>
      <w:tr>
        <w:trPr>
          <w:trHeight w:val="184"/>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54,443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119,131</w:t>
            </w: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receivable</w:t>
            </w:r>
          </w:p>
        </w:tc>
        <w:tc>
          <w:tcPr>
            <w:tcW w:w="160" w:type="dxa"/>
            <w:vAlign w:val="bottom"/>
          </w:tcPr>
          <w:p>
            <w:pPr>
              <w:spacing w:after="0"/>
              <w:rPr>
                <w:sz w:val="15"/>
                <w:szCs w:val="15"/>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14,317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11,965</w:t>
            </w:r>
          </w:p>
        </w:tc>
      </w:tr>
      <w:tr>
        <w:trPr>
          <w:trHeight w:val="184"/>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1,618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1,896</w:t>
            </w:r>
          </w:p>
        </w:tc>
      </w:tr>
      <w:tr>
        <w:trPr>
          <w:trHeight w:val="180"/>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1,161,053</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1,090,898</w:t>
            </w:r>
          </w:p>
        </w:tc>
      </w:tr>
      <w:tr>
        <w:trPr>
          <w:trHeight w:val="20"/>
        </w:trPr>
        <w:tc>
          <w:tcPr>
            <w:tcW w:w="7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debentures, net of deferred financing costs (Note 6)</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170,472</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204,472</w:t>
            </w:r>
          </w:p>
        </w:tc>
      </w:tr>
      <w:tr>
        <w:trPr>
          <w:trHeight w:val="184"/>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Notes, net of deferred financing costs (Note 6)</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248,081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247,243</w:t>
            </w: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Borrowings under Credit Facility, net of deferred financing costs (Note 6)</w:t>
            </w:r>
          </w:p>
        </w:tc>
        <w:tc>
          <w:tcPr>
            <w:tcW w:w="160" w:type="dxa"/>
            <w:vAlign w:val="bottom"/>
          </w:tcPr>
          <w:p>
            <w:pPr>
              <w:spacing w:after="0"/>
              <w:rPr>
                <w:sz w:val="15"/>
                <w:szCs w:val="15"/>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38,853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(1,082 )</w:t>
            </w:r>
          </w:p>
        </w:tc>
      </w:tr>
      <w:tr>
        <w:trPr>
          <w:trHeight w:val="184"/>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Secured borrowings</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14,025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15,880</w:t>
            </w: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interest and fees payable</w:t>
            </w:r>
          </w:p>
        </w:tc>
        <w:tc>
          <w:tcPr>
            <w:tcW w:w="160" w:type="dxa"/>
            <w:vAlign w:val="bottom"/>
          </w:tcPr>
          <w:p>
            <w:pPr>
              <w:spacing w:after="0"/>
              <w:rPr>
                <w:sz w:val="15"/>
                <w:szCs w:val="15"/>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3,544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5,924</w:t>
            </w:r>
          </w:p>
        </w:tc>
      </w:tr>
      <w:tr>
        <w:trPr>
          <w:trHeight w:val="184"/>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Base management fee payable, net of base management fee waiver – due to affiliate</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4,784</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4,151</w:t>
            </w: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incentive fee payable – due to affiliate</w:t>
            </w:r>
          </w:p>
        </w:tc>
        <w:tc>
          <w:tcPr>
            <w:tcW w:w="160" w:type="dxa"/>
            <w:vAlign w:val="bottom"/>
          </w:tcPr>
          <w:p>
            <w:pPr>
              <w:spacing w:after="0"/>
              <w:rPr>
                <w:sz w:val="15"/>
                <w:szCs w:val="15"/>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5,059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4,570</w:t>
            </w:r>
          </w:p>
        </w:tc>
      </w:tr>
      <w:tr>
        <w:trPr>
          <w:trHeight w:val="184"/>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Capital gains incentive fee payable – due to affiliate</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14,914</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17,509</w:t>
            </w: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Administration fee payable and other – due to affiliate</w:t>
            </w:r>
          </w:p>
        </w:tc>
        <w:tc>
          <w:tcPr>
            <w:tcW w:w="160" w:type="dxa"/>
            <w:vAlign w:val="bottom"/>
          </w:tcPr>
          <w:p>
            <w:pPr>
              <w:spacing w:after="0"/>
              <w:rPr>
                <w:sz w:val="15"/>
                <w:szCs w:val="15"/>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789</w:t>
            </w:r>
          </w:p>
        </w:tc>
      </w:tr>
      <w:tr>
        <w:trPr>
          <w:trHeight w:val="184"/>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Taxes payable</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751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1,227</w:t>
            </w: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160" w:type="dxa"/>
            <w:vAlign w:val="bottom"/>
          </w:tcPr>
          <w:p>
            <w:pPr>
              <w:spacing w:after="0"/>
              <w:rPr>
                <w:sz w:val="15"/>
                <w:szCs w:val="15"/>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1,190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741</w:t>
            </w:r>
          </w:p>
        </w:tc>
      </w:tr>
      <w:tr>
        <w:trPr>
          <w:trHeight w:val="184"/>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502,292</w:t>
            </w:r>
          </w:p>
        </w:tc>
        <w:tc>
          <w:tcPr>
            <w:tcW w:w="3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501,424</w:t>
            </w: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7)</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4"/>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$0.001 par value (100,000,000 shares authorized, 33,914,652 and 30,438,979 shares issued and</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4"/>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outstanding at September 30, 2024 and December 31, 2023, respectively)</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34</w:t>
            </w:r>
          </w:p>
        </w:tc>
        <w:tc>
          <w:tcPr>
            <w:tcW w:w="3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31</w:t>
            </w:r>
          </w:p>
        </w:tc>
      </w:tr>
      <w:tr>
        <w:trPr>
          <w:trHeight w:val="17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60" w:type="dxa"/>
            <w:vAlign w:val="bottom"/>
          </w:tcPr>
          <w:p>
            <w:pPr>
              <w:spacing w:after="0"/>
              <w:rPr>
                <w:sz w:val="15"/>
                <w:szCs w:val="15"/>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572,159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504,298</w:t>
            </w:r>
          </w:p>
        </w:tc>
      </w:tr>
      <w:tr>
        <w:trPr>
          <w:trHeight w:val="184"/>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distributable earnings</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86,568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85,145</w:t>
            </w:r>
          </w:p>
        </w:tc>
      </w:tr>
      <w:tr>
        <w:trPr>
          <w:trHeight w:val="177"/>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160" w:type="dxa"/>
            <w:vAlign w:val="bottom"/>
          </w:tcPr>
          <w:p>
            <w:pPr>
              <w:spacing w:after="0"/>
              <w:rPr>
                <w:sz w:val="15"/>
                <w:szCs w:val="15"/>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658,761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589,474</w:t>
            </w:r>
          </w:p>
        </w:tc>
      </w:tr>
      <w:tr>
        <w:trPr>
          <w:trHeight w:val="22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1,161,053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1,090,898</w:t>
            </w:r>
          </w:p>
        </w:tc>
      </w:tr>
      <w:tr>
        <w:trPr>
          <w:trHeight w:val="156"/>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 value per common share</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19.42</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19.37</w:t>
            </w:r>
          </w:p>
        </w:tc>
      </w:tr>
      <w:tr>
        <w:trPr>
          <w:trHeight w:val="20"/>
        </w:trPr>
        <w:tc>
          <w:tcPr>
            <w:tcW w:w="7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 (unaudited).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 w:name="page4"/>
    <w:bookmarkEnd w:id="3"/>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(unaudited)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80"/>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Control investments</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Affiliate investments</w:t>
            </w:r>
          </w:p>
        </w:tc>
        <w:tc>
          <w:tcPr>
            <w:tcW w:w="240" w:type="dxa"/>
            <w:vAlign w:val="bottom"/>
          </w:tcPr>
          <w:p>
            <w:pPr>
              <w:spacing w:after="0"/>
              <w:rPr>
                <w:sz w:val="15"/>
                <w:szCs w:val="15"/>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870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1,011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3,168</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30,987</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27,302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88,899</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77,268</w:t>
            </w:r>
          </w:p>
        </w:tc>
        <w:tc>
          <w:tcPr>
            <w:tcW w:w="0" w:type="dxa"/>
            <w:vAlign w:val="bottom"/>
          </w:tcPr>
          <w:p>
            <w:pPr>
              <w:spacing w:after="0"/>
              <w:rPr>
                <w:sz w:val="1"/>
                <w:szCs w:val="1"/>
                <w:color w:val="auto"/>
              </w:rPr>
            </w:pPr>
          </w:p>
        </w:tc>
      </w:tr>
      <w:tr>
        <w:trPr>
          <w:trHeight w:val="176"/>
        </w:trPr>
        <w:tc>
          <w:tcPr>
            <w:tcW w:w="54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interest income</w:t>
            </w:r>
          </w:p>
        </w:tc>
        <w:tc>
          <w:tcPr>
            <w:tcW w:w="24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31,857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28,313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91,502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80,436</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Payment-in-kind interest income</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Control investments</w:t>
            </w:r>
          </w:p>
        </w:tc>
        <w:tc>
          <w:tcPr>
            <w:tcW w:w="24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Affiliate investments</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240" w:type="dxa"/>
            <w:vAlign w:val="bottom"/>
          </w:tcPr>
          <w:p>
            <w:pPr>
              <w:spacing w:after="0"/>
              <w:rPr>
                <w:sz w:val="15"/>
                <w:szCs w:val="15"/>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1,851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2,789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5,745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4,661</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Total payment-in-kind interest income</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1,851</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2,789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5,745</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4,661</w:t>
            </w:r>
          </w:p>
        </w:tc>
        <w:tc>
          <w:tcPr>
            <w:tcW w:w="0" w:type="dxa"/>
            <w:vAlign w:val="bottom"/>
          </w:tcPr>
          <w:p>
            <w:pPr>
              <w:spacing w:after="0"/>
              <w:rPr>
                <w:sz w:val="1"/>
                <w:szCs w:val="1"/>
                <w:color w:val="auto"/>
              </w:rPr>
            </w:pPr>
          </w:p>
        </w:tc>
      </w:tr>
      <w:tr>
        <w:trPr>
          <w:trHeight w:val="176"/>
        </w:trPr>
        <w:tc>
          <w:tcPr>
            <w:tcW w:w="5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 income</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Control investments</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5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Affiliate investments</w:t>
            </w:r>
          </w:p>
        </w:tc>
        <w:tc>
          <w:tcPr>
            <w:tcW w:w="240" w:type="dxa"/>
            <w:vAlign w:val="bottom"/>
          </w:tcPr>
          <w:p>
            <w:pPr>
              <w:spacing w:after="0"/>
              <w:rPr>
                <w:sz w:val="15"/>
                <w:szCs w:val="15"/>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1,830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519</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431</w:t>
            </w:r>
          </w:p>
        </w:tc>
        <w:tc>
          <w:tcPr>
            <w:tcW w:w="0" w:type="dxa"/>
            <w:vAlign w:val="bottom"/>
          </w:tcPr>
          <w:p>
            <w:pPr>
              <w:spacing w:after="0"/>
              <w:rPr>
                <w:sz w:val="1"/>
                <w:szCs w:val="1"/>
                <w:color w:val="auto"/>
              </w:rPr>
            </w:pPr>
          </w:p>
        </w:tc>
      </w:tr>
      <w:tr>
        <w:trPr>
          <w:trHeight w:val="176"/>
        </w:trPr>
        <w:tc>
          <w:tcPr>
            <w:tcW w:w="54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dividend income</w:t>
            </w:r>
          </w:p>
        </w:tc>
        <w:tc>
          <w:tcPr>
            <w:tcW w:w="240" w:type="dxa"/>
            <w:vAlign w:val="bottom"/>
          </w:tcPr>
          <w:p>
            <w:pPr>
              <w:spacing w:after="0"/>
              <w:rPr>
                <w:sz w:val="15"/>
                <w:szCs w:val="15"/>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2,138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950</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Fee income</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Control investments</w:t>
            </w:r>
          </w:p>
        </w:tc>
        <w:tc>
          <w:tcPr>
            <w:tcW w:w="24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Affiliate investments</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76"/>
        </w:trPr>
        <w:tc>
          <w:tcPr>
            <w:tcW w:w="5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240" w:type="dxa"/>
            <w:vAlign w:val="bottom"/>
          </w:tcPr>
          <w:p>
            <w:pPr>
              <w:spacing w:after="0"/>
              <w:rPr>
                <w:sz w:val="15"/>
                <w:szCs w:val="15"/>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2,688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2,250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6,559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5,868</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3"/>
                <w:szCs w:val="13"/>
                <w:color w:val="auto"/>
              </w:rPr>
              <w:t>Total fee income</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2,693</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2,255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6,574</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5,928</w:t>
            </w:r>
          </w:p>
        </w:tc>
        <w:tc>
          <w:tcPr>
            <w:tcW w:w="0" w:type="dxa"/>
            <w:vAlign w:val="bottom"/>
          </w:tcPr>
          <w:p>
            <w:pPr>
              <w:spacing w:after="0"/>
              <w:rPr>
                <w:sz w:val="1"/>
                <w:szCs w:val="1"/>
                <w:color w:val="auto"/>
              </w:rPr>
            </w:pPr>
          </w:p>
        </w:tc>
      </w:tr>
      <w:tr>
        <w:trPr>
          <w:trHeight w:val="176"/>
        </w:trPr>
        <w:tc>
          <w:tcPr>
            <w:tcW w:w="5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on idle funds</w:t>
            </w:r>
          </w:p>
        </w:tc>
        <w:tc>
          <w:tcPr>
            <w:tcW w:w="240" w:type="dxa"/>
            <w:vAlign w:val="bottom"/>
          </w:tcPr>
          <w:p>
            <w:pPr>
              <w:spacing w:after="0"/>
              <w:rPr>
                <w:sz w:val="15"/>
                <w:szCs w:val="15"/>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597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2,738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1,824</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investment income</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38,382</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34,185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108,697</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93,799</w:t>
            </w:r>
          </w:p>
        </w:tc>
        <w:tc>
          <w:tcPr>
            <w:tcW w:w="0" w:type="dxa"/>
            <w:vAlign w:val="bottom"/>
          </w:tcPr>
          <w:p>
            <w:pPr>
              <w:spacing w:after="0"/>
              <w:rPr>
                <w:sz w:val="1"/>
                <w:szCs w:val="1"/>
                <w:color w:val="auto"/>
              </w:rPr>
            </w:pPr>
          </w:p>
        </w:tc>
      </w:tr>
      <w:tr>
        <w:trPr>
          <w:trHeight w:val="177"/>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Interest and financing expenses</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6,026</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5,985</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18,100</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16,761</w:t>
            </w:r>
          </w:p>
        </w:tc>
        <w:tc>
          <w:tcPr>
            <w:tcW w:w="0" w:type="dxa"/>
            <w:vAlign w:val="bottom"/>
          </w:tcPr>
          <w:p>
            <w:pPr>
              <w:spacing w:after="0"/>
              <w:rPr>
                <w:sz w:val="1"/>
                <w:szCs w:val="1"/>
                <w:color w:val="auto"/>
              </w:rPr>
            </w:pPr>
          </w:p>
        </w:tc>
      </w:tr>
      <w:tr>
        <w:trPr>
          <w:trHeight w:val="176"/>
        </w:trPr>
        <w:tc>
          <w:tcPr>
            <w:tcW w:w="5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Base management fee</w:t>
            </w:r>
          </w:p>
        </w:tc>
        <w:tc>
          <w:tcPr>
            <w:tcW w:w="240" w:type="dxa"/>
            <w:vAlign w:val="bottom"/>
          </w:tcPr>
          <w:p>
            <w:pPr>
              <w:spacing w:after="0"/>
              <w:rPr>
                <w:sz w:val="15"/>
                <w:szCs w:val="15"/>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4,848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4,161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13,986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12,066</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Incentive fee - income</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5,059</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4,478</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14,072</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11,959</w:t>
            </w:r>
          </w:p>
        </w:tc>
        <w:tc>
          <w:tcPr>
            <w:tcW w:w="0" w:type="dxa"/>
            <w:vAlign w:val="bottom"/>
          </w:tcPr>
          <w:p>
            <w:pPr>
              <w:spacing w:after="0"/>
              <w:rPr>
                <w:sz w:val="1"/>
                <w:szCs w:val="1"/>
                <w:color w:val="auto"/>
              </w:rPr>
            </w:pPr>
          </w:p>
        </w:tc>
      </w:tr>
      <w:tr>
        <w:trPr>
          <w:trHeight w:val="176"/>
        </w:trPr>
        <w:tc>
          <w:tcPr>
            <w:tcW w:w="5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Incentive fee (reversal) - capital gains</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1,528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942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507</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Administrative service expenses</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688</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581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1,894</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1,672</w:t>
            </w:r>
          </w:p>
        </w:tc>
        <w:tc>
          <w:tcPr>
            <w:tcW w:w="0" w:type="dxa"/>
            <w:vAlign w:val="bottom"/>
          </w:tcPr>
          <w:p>
            <w:pPr>
              <w:spacing w:after="0"/>
              <w:rPr>
                <w:sz w:val="1"/>
                <w:szCs w:val="1"/>
                <w:color w:val="auto"/>
              </w:rPr>
            </w:pPr>
          </w:p>
        </w:tc>
      </w:tr>
      <w:tr>
        <w:trPr>
          <w:trHeight w:val="176"/>
        </w:trPr>
        <w:tc>
          <w:tcPr>
            <w:tcW w:w="5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Professional fees</w:t>
            </w:r>
          </w:p>
        </w:tc>
        <w:tc>
          <w:tcPr>
            <w:tcW w:w="240" w:type="dxa"/>
            <w:vAlign w:val="bottom"/>
          </w:tcPr>
          <w:p>
            <w:pPr>
              <w:spacing w:after="0"/>
              <w:rPr>
                <w:sz w:val="15"/>
                <w:szCs w:val="15"/>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567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2,469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2,044</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Other general and administrative expenses</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764</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773</w:t>
            </w:r>
          </w:p>
        </w:tc>
        <w:tc>
          <w:tcPr>
            <w:tcW w:w="0" w:type="dxa"/>
            <w:vAlign w:val="bottom"/>
          </w:tcPr>
          <w:p>
            <w:pPr>
              <w:spacing w:after="0"/>
              <w:rPr>
                <w:sz w:val="1"/>
                <w:szCs w:val="1"/>
                <w:color w:val="auto"/>
              </w:rPr>
            </w:pPr>
          </w:p>
        </w:tc>
      </w:tr>
      <w:tr>
        <w:trPr>
          <w:trHeight w:val="176"/>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expenses before base management fee waiver</w:t>
            </w:r>
          </w:p>
        </w:tc>
        <w:tc>
          <w:tcPr>
            <w:tcW w:w="24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16,467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17,589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52,227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45,782</w:t>
            </w:r>
          </w:p>
        </w:tc>
        <w:tc>
          <w:tcPr>
            <w:tcW w:w="0" w:type="dxa"/>
            <w:vAlign w:val="bottom"/>
          </w:tcPr>
          <w:p>
            <w:pPr>
              <w:spacing w:after="0"/>
              <w:rPr>
                <w:sz w:val="1"/>
                <w:szCs w:val="1"/>
                <w:color w:val="auto"/>
              </w:rPr>
            </w:pPr>
          </w:p>
        </w:tc>
      </w:tr>
      <w:tr>
        <w:trPr>
          <w:trHeight w:val="148"/>
        </w:trPr>
        <w:tc>
          <w:tcPr>
            <w:tcW w:w="54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Base management fee waiver</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54"/>
              <w:spacing w:after="0" w:line="149" w:lineRule="exact"/>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34"/>
              <w:spacing w:after="0" w:line="149" w:lineRule="exact"/>
              <w:rPr>
                <w:sz w:val="20"/>
                <w:szCs w:val="20"/>
                <w:color w:val="auto"/>
              </w:rPr>
            </w:pPr>
            <w:r>
              <w:rPr>
                <w:rFonts w:ascii="Times New Roman" w:cs="Times New Roman" w:eastAsia="Times New Roman" w:hAnsi="Times New Roman"/>
                <w:sz w:val="13"/>
                <w:szCs w:val="13"/>
                <w:color w:val="auto"/>
              </w:rPr>
              <w:t>(216</w:t>
            </w:r>
          </w:p>
        </w:tc>
        <w:tc>
          <w:tcPr>
            <w:tcW w:w="0" w:type="dxa"/>
            <w:vAlign w:val="bottom"/>
          </w:tcPr>
          <w:p>
            <w:pPr>
              <w:spacing w:after="0"/>
              <w:rPr>
                <w:sz w:val="1"/>
                <w:szCs w:val="1"/>
                <w:color w:val="auto"/>
              </w:rPr>
            </w:pPr>
          </w:p>
        </w:tc>
      </w:tr>
      <w:tr>
        <w:trPr>
          <w:trHeight w:val="100"/>
        </w:trPr>
        <w:tc>
          <w:tcPr>
            <w:tcW w:w="5480" w:type="dxa"/>
            <w:vAlign w:val="bottom"/>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(64 )</w:t>
            </w: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1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80"/>
        </w:trPr>
        <w:tc>
          <w:tcPr>
            <w:tcW w:w="54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86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60" w:type="dxa"/>
            <w:vAlign w:val="bottom"/>
            <w:shd w:val="clear" w:color="auto" w:fill="CFF0FC"/>
          </w:tcPr>
          <w:p>
            <w:pPr>
              <w:spacing w:after="0"/>
              <w:rPr>
                <w:sz w:val="6"/>
                <w:szCs w:val="6"/>
                <w:color w:val="auto"/>
              </w:rPr>
            </w:pPr>
          </w:p>
        </w:tc>
        <w:tc>
          <w:tcPr>
            <w:tcW w:w="80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expenses, net of base management fee waiver</w:t>
            </w:r>
          </w:p>
        </w:tc>
        <w:tc>
          <w:tcPr>
            <w:tcW w:w="24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16,403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17,517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52,027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45,566</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investment income before income taxes</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21,979</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16,668</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56,670</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48,233</w:t>
            </w:r>
          </w:p>
        </w:tc>
        <w:tc>
          <w:tcPr>
            <w:tcW w:w="0" w:type="dxa"/>
            <w:vAlign w:val="bottom"/>
          </w:tcPr>
          <w:p>
            <w:pPr>
              <w:spacing w:after="0"/>
              <w:rPr>
                <w:sz w:val="1"/>
                <w:szCs w:val="1"/>
                <w:color w:val="auto"/>
              </w:rPr>
            </w:pPr>
          </w:p>
        </w:tc>
      </w:tr>
      <w:tr>
        <w:trPr>
          <w:trHeight w:val="176"/>
        </w:trPr>
        <w:tc>
          <w:tcPr>
            <w:tcW w:w="5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provision (benefit)</w:t>
            </w:r>
          </w:p>
        </w:tc>
        <w:tc>
          <w:tcPr>
            <w:tcW w:w="240" w:type="dxa"/>
            <w:vAlign w:val="bottom"/>
          </w:tcPr>
          <w:p>
            <w:pPr>
              <w:spacing w:after="0"/>
              <w:rPr>
                <w:sz w:val="15"/>
                <w:szCs w:val="15"/>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568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682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21,411</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16,660</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55,988</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48,167</w:t>
            </w:r>
          </w:p>
        </w:tc>
        <w:tc>
          <w:tcPr>
            <w:tcW w:w="0" w:type="dxa"/>
            <w:vAlign w:val="bottom"/>
          </w:tcPr>
          <w:p>
            <w:pPr>
              <w:spacing w:after="0"/>
              <w:rPr>
                <w:sz w:val="1"/>
                <w:szCs w:val="1"/>
                <w:color w:val="auto"/>
              </w:rPr>
            </w:pPr>
          </w:p>
        </w:tc>
      </w:tr>
      <w:tr>
        <w:trPr>
          <w:trHeight w:val="177"/>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gains (losses) on investments:</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realized gains (losses):</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Control investments</w:t>
            </w:r>
          </w:p>
        </w:tc>
        <w:tc>
          <w:tcPr>
            <w:tcW w:w="24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(11,458 )</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Affiliate investments</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76"/>
        </w:trPr>
        <w:tc>
          <w:tcPr>
            <w:tcW w:w="5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9,749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12,161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15,625</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Total net realized gain (loss) on investments</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(366 )</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9,750</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12,161</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4,267</w:t>
            </w:r>
          </w:p>
        </w:tc>
        <w:tc>
          <w:tcPr>
            <w:tcW w:w="0" w:type="dxa"/>
            <w:vAlign w:val="bottom"/>
          </w:tcPr>
          <w:p>
            <w:pPr>
              <w:spacing w:after="0"/>
              <w:rPr>
                <w:sz w:val="1"/>
                <w:szCs w:val="1"/>
                <w:color w:val="auto"/>
              </w:rPr>
            </w:pPr>
          </w:p>
        </w:tc>
      </w:tr>
      <w:tr>
        <w:trPr>
          <w:trHeight w:val="176"/>
        </w:trPr>
        <w:tc>
          <w:tcPr>
            <w:tcW w:w="5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(provision) benefit from realized gains on investments</w:t>
            </w:r>
          </w:p>
        </w:tc>
        <w:tc>
          <w:tcPr>
            <w:tcW w:w="24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(1,569 )</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Control investments</w:t>
            </w:r>
          </w:p>
        </w:tc>
        <w:tc>
          <w:tcPr>
            <w:tcW w:w="24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11,083</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Affiliate investments</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2,075</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(4,507 )</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(9,109 )</w:t>
            </w:r>
          </w:p>
        </w:tc>
        <w:tc>
          <w:tcPr>
            <w:tcW w:w="0" w:type="dxa"/>
            <w:vAlign w:val="bottom"/>
          </w:tcPr>
          <w:p>
            <w:pPr>
              <w:spacing w:after="0"/>
              <w:rPr>
                <w:sz w:val="1"/>
                <w:szCs w:val="1"/>
                <w:color w:val="auto"/>
              </w:rPr>
            </w:pPr>
          </w:p>
        </w:tc>
      </w:tr>
      <w:tr>
        <w:trPr>
          <w:trHeight w:val="176"/>
        </w:trPr>
        <w:tc>
          <w:tcPr>
            <w:tcW w:w="5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(6,643 )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2,450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(5,823 )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(2,113 )</w:t>
            </w:r>
          </w:p>
        </w:tc>
        <w:tc>
          <w:tcPr>
            <w:tcW w:w="0" w:type="dxa"/>
            <w:vAlign w:val="bottom"/>
          </w:tcPr>
          <w:p>
            <w:pPr>
              <w:spacing w:after="0"/>
              <w:rPr>
                <w:sz w:val="1"/>
                <w:szCs w:val="1"/>
                <w:color w:val="auto"/>
              </w:rPr>
            </w:pPr>
          </w:p>
        </w:tc>
      </w:tr>
      <w:tr>
        <w:trPr>
          <w:trHeight w:val="184"/>
        </w:trPr>
        <w:tc>
          <w:tcPr>
            <w:tcW w:w="5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Total net change in unrealized appreciation (depreciation) on investments</w:t>
            </w: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(4,568 )</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(2,057 )</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(5,406 )</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(139 )</w:t>
            </w:r>
          </w:p>
        </w:tc>
        <w:tc>
          <w:tcPr>
            <w:tcW w:w="0" w:type="dxa"/>
            <w:vAlign w:val="bottom"/>
          </w:tcPr>
          <w:p>
            <w:pPr>
              <w:spacing w:after="0"/>
              <w:rPr>
                <w:sz w:val="1"/>
                <w:szCs w:val="1"/>
                <w:color w:val="auto"/>
              </w:rPr>
            </w:pPr>
          </w:p>
        </w:tc>
      </w:tr>
      <w:tr>
        <w:trPr>
          <w:trHeight w:val="177"/>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gain (loss) on investments</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(4,934 )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7,662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5,232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2,559</w:t>
            </w:r>
          </w:p>
        </w:tc>
        <w:tc>
          <w:tcPr>
            <w:tcW w:w="0" w:type="dxa"/>
            <w:vAlign w:val="bottom"/>
          </w:tcPr>
          <w:p>
            <w:pPr>
              <w:spacing w:after="0"/>
              <w:rPr>
                <w:sz w:val="1"/>
                <w:szCs w:val="1"/>
                <w:color w:val="auto"/>
              </w:rPr>
            </w:pPr>
          </w:p>
        </w:tc>
      </w:tr>
      <w:tr>
        <w:trPr>
          <w:trHeight w:val="18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losses on extinguishment of debt</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(521 )</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0" w:type="dxa"/>
            <w:vAlign w:val="bottom"/>
          </w:tcPr>
          <w:p>
            <w:pPr>
              <w:spacing w:after="0"/>
              <w:rPr>
                <w:sz w:val="1"/>
                <w:szCs w:val="1"/>
                <w:color w:val="auto"/>
              </w:rPr>
            </w:pPr>
          </w:p>
        </w:tc>
      </w:tr>
      <w:tr>
        <w:trPr>
          <w:trHeight w:val="180"/>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16,477</w:t>
            </w:r>
          </w:p>
        </w:tc>
        <w:tc>
          <w:tcPr>
            <w:tcW w:w="46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24,299</w:t>
            </w:r>
          </w:p>
        </w:tc>
        <w:tc>
          <w:tcPr>
            <w:tcW w:w="3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60,699</w:t>
            </w:r>
          </w:p>
        </w:tc>
        <w:tc>
          <w:tcPr>
            <w:tcW w:w="46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50,703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Per common share data:</w:t>
            </w: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 per share-basic and diluted</w:t>
            </w: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0.64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0.63</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increase in net assets resulting from operations per share — basic and diluted</w:t>
            </w:r>
          </w:p>
        </w:tc>
        <w:tc>
          <w:tcPr>
            <w:tcW w:w="24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0.49</w:t>
            </w: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0.91</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1.99</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per share</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0.57</w:t>
            </w:r>
          </w:p>
        </w:tc>
        <w:tc>
          <w:tcPr>
            <w:tcW w:w="46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0.72</w:t>
            </w:r>
          </w:p>
        </w:tc>
        <w:tc>
          <w:tcPr>
            <w:tcW w:w="3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1.81</w:t>
            </w:r>
          </w:p>
        </w:tc>
        <w:tc>
          <w:tcPr>
            <w:tcW w:w="46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Weighted average number of shares outstanding — basic and diluted</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33,380,480</w:t>
            </w: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26,618,973</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32,138,865</w:t>
            </w: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25,490,379</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 (unaudited).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 w:name="page5"/>
    <w:bookmarkEnd w:id="4"/>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 (unaudited)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40" w:type="dxa"/>
            <w:vAlign w:val="bottom"/>
          </w:tcPr>
          <w:p>
            <w:pPr>
              <w:spacing w:after="0"/>
              <w:rPr>
                <w:sz w:val="17"/>
                <w:szCs w:val="17"/>
                <w:color w:val="auto"/>
              </w:rPr>
            </w:pPr>
          </w:p>
        </w:tc>
        <w:tc>
          <w:tcPr>
            <w:tcW w:w="2500" w:type="dxa"/>
            <w:vAlign w:val="bottom"/>
            <w:tcBorders>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4"/>
        </w:trPr>
        <w:tc>
          <w:tcPr>
            <w:tcW w:w="3340" w:type="dxa"/>
            <w:vAlign w:val="bottom"/>
          </w:tcPr>
          <w:p>
            <w:pPr>
              <w:spacing w:after="0"/>
              <w:rPr>
                <w:sz w:val="15"/>
                <w:szCs w:val="15"/>
                <w:color w:val="auto"/>
              </w:rPr>
            </w:pPr>
          </w:p>
        </w:tc>
        <w:tc>
          <w:tcPr>
            <w:tcW w:w="14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5"/>
                <w:szCs w:val="15"/>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Par</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distributable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Total net</w:t>
            </w:r>
          </w:p>
        </w:tc>
      </w:tr>
      <w:tr>
        <w:trPr>
          <w:trHeight w:val="202"/>
        </w:trPr>
        <w:tc>
          <w:tcPr>
            <w:tcW w:w="3340" w:type="dxa"/>
            <w:vAlign w:val="bottom"/>
          </w:tcPr>
          <w:p>
            <w:pPr>
              <w:spacing w:after="0"/>
              <w:rPr>
                <w:sz w:val="17"/>
                <w:szCs w:val="17"/>
                <w:color w:val="auto"/>
              </w:rPr>
            </w:pPr>
          </w:p>
        </w:tc>
        <w:tc>
          <w:tcPr>
            <w:tcW w:w="14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assets</w:t>
            </w:r>
          </w:p>
        </w:tc>
      </w:tr>
      <w:tr>
        <w:trPr>
          <w:trHeight w:val="180"/>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24,727,788</w:t>
            </w:r>
          </w:p>
        </w:tc>
        <w:tc>
          <w:tcPr>
            <w:tcW w:w="1080" w:type="dxa"/>
            <w:vAlign w:val="bottom"/>
            <w:gridSpan w:val="2"/>
            <w:shd w:val="clear" w:color="auto" w:fill="CFF0FC"/>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25</w:t>
            </w:r>
          </w:p>
        </w:tc>
        <w:tc>
          <w:tcPr>
            <w:tcW w:w="32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395,916</w:t>
            </w:r>
          </w:p>
        </w:tc>
        <w:tc>
          <w:tcPr>
            <w:tcW w:w="2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84,402</w:t>
            </w:r>
          </w:p>
        </w:tc>
        <w:tc>
          <w:tcPr>
            <w:tcW w:w="30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480,343</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Public offering of common stock, net of expenses</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260,610</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5,306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5,306</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14,723</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14,723</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 net of taxes</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unrealized appreciation (depreciation) on investments</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708</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708</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losses on extinguishment of debt</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declared</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(16,492 )</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(16,492 )</w:t>
            </w:r>
          </w:p>
        </w:tc>
      </w:tr>
      <w:tr>
        <w:trPr>
          <w:trHeight w:val="180"/>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2023</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24,988,398</w:t>
            </w:r>
          </w:p>
        </w:tc>
        <w:tc>
          <w:tcPr>
            <w:tcW w:w="1080" w:type="dxa"/>
            <w:vAlign w:val="bottom"/>
            <w:gridSpan w:val="2"/>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w:t>
            </w:r>
          </w:p>
        </w:tc>
        <w:tc>
          <w:tcPr>
            <w:tcW w:w="3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401,222</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83,399</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484,646</w:t>
            </w:r>
          </w:p>
        </w:tc>
      </w:tr>
      <w:tr>
        <w:trPr>
          <w:trHeight w:val="20"/>
        </w:trPr>
        <w:tc>
          <w:tcPr>
            <w:tcW w:w="3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68"/>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Public offering of common stock, net of expenses</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246,574</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4,837</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4,837</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issued under dividend reinvestment plan</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30,836</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604</w:t>
            </w:r>
          </w:p>
        </w:tc>
      </w:tr>
      <w:tr>
        <w:trPr>
          <w:trHeight w:val="24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16,784</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16,784</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 net of taxes</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(7,079 )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(7,079 )</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unrealized appreciation (depreciation) on investments</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1,210</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1,210</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Realized losses on extinguishment of debt</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declared</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(17,654 )</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(17,654 )</w:t>
            </w:r>
          </w:p>
        </w:tc>
      </w:tr>
      <w:tr>
        <w:trPr>
          <w:trHeight w:val="180"/>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2023</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25,265,808</w:t>
            </w:r>
          </w:p>
        </w:tc>
        <w:tc>
          <w:tcPr>
            <w:tcW w:w="1080" w:type="dxa"/>
            <w:vAlign w:val="bottom"/>
            <w:gridSpan w:val="2"/>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w:t>
            </w:r>
          </w:p>
        </w:tc>
        <w:tc>
          <w:tcPr>
            <w:tcW w:w="3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406,663</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76,660</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483,348</w:t>
            </w:r>
          </w:p>
        </w:tc>
      </w:tr>
      <w:tr>
        <w:trPr>
          <w:trHeight w:val="20"/>
        </w:trPr>
        <w:tc>
          <w:tcPr>
            <w:tcW w:w="3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Public offering of common stock, net of expenses</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3,187,661</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61,462</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61,465</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16,660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16,660</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 net of taxes</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9,719</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9,719</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unrealized appreciation (depreciation) on investments</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(2,057 )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(2,057 )</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Realized losses on extinguishment of debt</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(20,487 )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(20,487 )</w:t>
            </w:r>
          </w:p>
        </w:tc>
      </w:tr>
      <w:tr>
        <w:trPr>
          <w:trHeight w:val="256"/>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September 30, 2023</w:t>
            </w:r>
          </w:p>
        </w:tc>
        <w:tc>
          <w:tcPr>
            <w:tcW w:w="14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28,453,469</w:t>
            </w:r>
          </w:p>
        </w:tc>
        <w:tc>
          <w:tcPr>
            <w:tcW w:w="12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468,125</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80,472</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548,625</w:t>
            </w:r>
          </w:p>
        </w:tc>
      </w:tr>
      <w:tr>
        <w:trPr>
          <w:trHeight w:val="160"/>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30,438,979</w:t>
            </w:r>
          </w:p>
        </w:tc>
        <w:tc>
          <w:tcPr>
            <w:tcW w:w="1080" w:type="dxa"/>
            <w:vAlign w:val="bottom"/>
            <w:gridSpan w:val="2"/>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w:t>
            </w:r>
          </w:p>
        </w:tc>
        <w:tc>
          <w:tcPr>
            <w:tcW w:w="3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504,298</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85,145</w:t>
            </w:r>
          </w:p>
        </w:tc>
        <w:tc>
          <w:tcPr>
            <w:tcW w:w="30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589,474</w:t>
            </w:r>
          </w:p>
        </w:tc>
      </w:tr>
      <w:tr>
        <w:trPr>
          <w:trHeight w:val="20"/>
        </w:trPr>
        <w:tc>
          <w:tcPr>
            <w:tcW w:w="3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Public offering of common stock, net of expenses</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987,170</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19,169</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19,170</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17,627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17,627</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 net of taxes</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1,799</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1,799</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unrealized appreciation (depreciation) on investments</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1,218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1,218</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Realized losses on extinguishment of debt</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(521 )</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(521 )</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(20,427 )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(20,427 )</w:t>
            </w:r>
          </w:p>
        </w:tc>
      </w:tr>
      <w:tr>
        <w:trPr>
          <w:trHeight w:val="22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2024</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31,426,149</w:t>
            </w:r>
          </w:p>
        </w:tc>
        <w:tc>
          <w:tcPr>
            <w:tcW w:w="1080" w:type="dxa"/>
            <w:vAlign w:val="bottom"/>
            <w:gridSpan w:val="2"/>
            <w:shd w:val="clear" w:color="auto" w:fill="CFF0FC"/>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32</w:t>
            </w:r>
          </w:p>
        </w:tc>
        <w:tc>
          <w:tcPr>
            <w:tcW w:w="32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523,467</w:t>
            </w:r>
          </w:p>
        </w:tc>
        <w:tc>
          <w:tcPr>
            <w:tcW w:w="2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84,841</w:t>
            </w:r>
          </w:p>
        </w:tc>
        <w:tc>
          <w:tcPr>
            <w:tcW w:w="30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608,340</w:t>
            </w:r>
          </w:p>
        </w:tc>
      </w:tr>
      <w:tr>
        <w:trPr>
          <w:trHeight w:val="152"/>
        </w:trPr>
        <w:tc>
          <w:tcPr>
            <w:tcW w:w="3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Public offering of common stock, net of expenses</w:t>
            </w:r>
          </w:p>
        </w:tc>
        <w:tc>
          <w:tcPr>
            <w:tcW w:w="14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1,691,336</w:t>
            </w:r>
          </w:p>
        </w:tc>
        <w:tc>
          <w:tcPr>
            <w:tcW w:w="12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33,017</w:t>
            </w: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33,019</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under dividend reinvestment plan</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43,755</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847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847</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16,950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16,950</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 net of taxes</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9,205</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9,205</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unrealized appreciation (depreciation) on investments</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(2,056 )</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Realized losses on extinguishment of debt</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(19,539 )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(19,539 )</w:t>
            </w:r>
          </w:p>
        </w:tc>
      </w:tr>
      <w:tr>
        <w:trPr>
          <w:trHeight w:val="22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2024</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33,161,240</w:t>
            </w:r>
          </w:p>
        </w:tc>
        <w:tc>
          <w:tcPr>
            <w:tcW w:w="1080" w:type="dxa"/>
            <w:vAlign w:val="bottom"/>
            <w:gridSpan w:val="2"/>
            <w:shd w:val="clear" w:color="auto" w:fill="CFF0FC"/>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34</w:t>
            </w:r>
          </w:p>
        </w:tc>
        <w:tc>
          <w:tcPr>
            <w:tcW w:w="32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557,331</w:t>
            </w:r>
          </w:p>
        </w:tc>
        <w:tc>
          <w:tcPr>
            <w:tcW w:w="2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89,401</w:t>
            </w:r>
          </w:p>
        </w:tc>
        <w:tc>
          <w:tcPr>
            <w:tcW w:w="30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646,766</w:t>
            </w:r>
          </w:p>
        </w:tc>
      </w:tr>
      <w:tr>
        <w:trPr>
          <w:trHeight w:val="152"/>
        </w:trPr>
        <w:tc>
          <w:tcPr>
            <w:tcW w:w="3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Public offering of common stock, net of expenses</w:t>
            </w:r>
          </w:p>
        </w:tc>
        <w:tc>
          <w:tcPr>
            <w:tcW w:w="14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714,995</w:t>
            </w:r>
          </w:p>
        </w:tc>
        <w:tc>
          <w:tcPr>
            <w:tcW w:w="12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14,080</w:t>
            </w: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rPr>
              <w:t>14,080</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issued under dividend reinvestment plan</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38,417</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748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748</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21,411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21,411</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 net of taxes</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(366 )</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(366 )</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unrealized appreciation (depreciation) on investments</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(4,568 )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(4,568 )</w:t>
            </w:r>
          </w:p>
        </w:tc>
      </w:tr>
      <w:tr>
        <w:trPr>
          <w:trHeight w:val="18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Realized losses on extinguishment of debt</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(19,310 )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(19,310 )</w:t>
            </w:r>
          </w:p>
        </w:tc>
      </w:tr>
      <w:tr>
        <w:trPr>
          <w:trHeight w:val="224"/>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September 30, 2024</w:t>
            </w:r>
          </w:p>
        </w:tc>
        <w:tc>
          <w:tcPr>
            <w:tcW w:w="1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33,914,652</w:t>
            </w:r>
          </w:p>
        </w:tc>
        <w:tc>
          <w:tcPr>
            <w:tcW w:w="1080" w:type="dxa"/>
            <w:vAlign w:val="bottom"/>
            <w:gridSpan w:val="2"/>
            <w:shd w:val="clear" w:color="auto" w:fill="CFF0FC"/>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34</w:t>
            </w:r>
          </w:p>
        </w:tc>
        <w:tc>
          <w:tcPr>
            <w:tcW w:w="32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572,159</w:t>
            </w:r>
          </w:p>
        </w:tc>
        <w:tc>
          <w:tcPr>
            <w:tcW w:w="28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86,568</w:t>
            </w:r>
          </w:p>
        </w:tc>
        <w:tc>
          <w:tcPr>
            <w:tcW w:w="300" w:type="dxa"/>
            <w:vAlign w:val="bottom"/>
            <w:gridSpan w:val="2"/>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658,761</w:t>
            </w:r>
          </w:p>
        </w:tc>
      </w:tr>
      <w:tr>
        <w:trPr>
          <w:trHeight w:val="148"/>
        </w:trPr>
        <w:tc>
          <w:tcPr>
            <w:tcW w:w="3340" w:type="dxa"/>
            <w:vAlign w:val="bottom"/>
            <w:tcBorders>
              <w:top w:val="single" w:sz="8" w:color="CFF0FC"/>
            </w:tcBorders>
          </w:tcPr>
          <w:p>
            <w:pPr>
              <w:ind w:left="20"/>
              <w:spacing w:after="0" w:line="148" w:lineRule="exact"/>
              <w:rPr>
                <w:sz w:val="20"/>
                <w:szCs w:val="20"/>
                <w:color w:val="auto"/>
              </w:rPr>
            </w:pPr>
            <w:r>
              <w:rPr>
                <w:rFonts w:ascii="Times New Roman" w:cs="Times New Roman" w:eastAsia="Times New Roman" w:hAnsi="Times New Roman"/>
                <w:sz w:val="13"/>
                <w:szCs w:val="13"/>
                <w:color w:val="auto"/>
              </w:rPr>
              <w:t>*amount is greater than zero but less than one</w:t>
            </w:r>
          </w:p>
        </w:tc>
        <w:tc>
          <w:tcPr>
            <w:tcW w:w="14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 (unaudited).</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 w:name="page6"/>
    <w:bookmarkEnd w:id="5"/>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(unaudited)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5"/>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84"/>
        </w:trPr>
        <w:tc>
          <w:tcPr>
            <w:tcW w:w="7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r>
      <w:tr>
        <w:trPr>
          <w:trHeight w:val="184"/>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79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increase (decrease) in net assets resulting from operations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60,699</w:t>
            </w:r>
          </w:p>
        </w:tc>
        <w:tc>
          <w:tcPr>
            <w:tcW w:w="22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50,703</w:t>
            </w:r>
          </w:p>
        </w:tc>
        <w:tc>
          <w:tcPr>
            <w:tcW w:w="80" w:type="dxa"/>
            <w:vAlign w:val="bottom"/>
          </w:tcPr>
          <w:p>
            <w:pPr>
              <w:spacing w:after="0"/>
              <w:rPr>
                <w:sz w:val="15"/>
                <w:szCs w:val="15"/>
                <w:color w:val="auto"/>
              </w:rPr>
            </w:pPr>
          </w:p>
        </w:tc>
      </w:tr>
      <w:tr>
        <w:trPr>
          <w:trHeight w:val="184"/>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increase (decrease) in net assets resulting from operations to net cash provided by (used for) operating activities: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7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Net change in unrealized (appreciation) depreciation on investments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tcPr>
          <w:p>
            <w:pPr>
              <w:spacing w:after="0"/>
              <w:rPr>
                <w:sz w:val="15"/>
                <w:szCs w:val="15"/>
                <w:color w:val="auto"/>
              </w:rPr>
            </w:pPr>
          </w:p>
        </w:tc>
      </w:tr>
      <w:tr>
        <w:trPr>
          <w:trHeight w:val="184"/>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(12,161 )</w:t>
            </w: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(4,267 )</w:t>
            </w:r>
          </w:p>
        </w:tc>
      </w:tr>
      <w:tr>
        <w:trPr>
          <w:trHeight w:val="176"/>
        </w:trPr>
        <w:tc>
          <w:tcPr>
            <w:tcW w:w="7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Interest and dividend income paid-in-kind</w:t>
            </w:r>
          </w:p>
        </w:tc>
        <w:tc>
          <w:tcPr>
            <w:tcW w:w="1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(5,745 )</w:t>
            </w: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(4,661 )</w:t>
            </w:r>
          </w:p>
        </w:tc>
      </w:tr>
      <w:tr>
        <w:trPr>
          <w:trHeight w:val="184"/>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Accretion of original issue discount</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(335 )</w:t>
            </w: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(344 )</w:t>
            </w:r>
          </w:p>
        </w:tc>
      </w:tr>
      <w:tr>
        <w:trPr>
          <w:trHeight w:val="176"/>
        </w:trPr>
        <w:tc>
          <w:tcPr>
            <w:tcW w:w="7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Accretion of loan origination fees</w:t>
            </w:r>
          </w:p>
        </w:tc>
        <w:tc>
          <w:tcPr>
            <w:tcW w:w="1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(1,801 )</w:t>
            </w: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(1,809 )</w:t>
            </w:r>
          </w:p>
        </w:tc>
      </w:tr>
      <w:tr>
        <w:trPr>
          <w:trHeight w:val="184"/>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Purchase of investments</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(274,194 )</w:t>
            </w: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(204,049 )</w:t>
            </w:r>
          </w:p>
        </w:tc>
      </w:tr>
      <w:tr>
        <w:trPr>
          <w:trHeight w:val="176"/>
        </w:trPr>
        <w:tc>
          <w:tcPr>
            <w:tcW w:w="7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Proceeds from sales and repayments of investments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154,109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146,363</w:t>
            </w:r>
          </w:p>
        </w:tc>
        <w:tc>
          <w:tcPr>
            <w:tcW w:w="80" w:type="dxa"/>
            <w:vAlign w:val="bottom"/>
          </w:tcPr>
          <w:p>
            <w:pPr>
              <w:spacing w:after="0"/>
              <w:rPr>
                <w:sz w:val="15"/>
                <w:szCs w:val="15"/>
                <w:color w:val="auto"/>
              </w:rPr>
            </w:pPr>
          </w:p>
        </w:tc>
      </w:tr>
      <w:tr>
        <w:trPr>
          <w:trHeight w:val="184"/>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Proceeds from loan origination fees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2,098</w:t>
            </w:r>
          </w:p>
        </w:tc>
        <w:tc>
          <w:tcPr>
            <w:tcW w:w="80" w:type="dxa"/>
            <w:vAlign w:val="bottom"/>
            <w:shd w:val="clear" w:color="auto" w:fill="CFF0FC"/>
          </w:tcPr>
          <w:p>
            <w:pPr>
              <w:spacing w:after="0"/>
              <w:rPr>
                <w:sz w:val="16"/>
                <w:szCs w:val="16"/>
                <w:color w:val="auto"/>
              </w:rPr>
            </w:pPr>
          </w:p>
        </w:tc>
      </w:tr>
      <w:tr>
        <w:trPr>
          <w:trHeight w:val="176"/>
        </w:trPr>
        <w:tc>
          <w:tcPr>
            <w:tcW w:w="7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Realized losses on extinguishment of debt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5"/>
                <w:szCs w:val="15"/>
                <w:color w:val="auto"/>
              </w:rPr>
            </w:pPr>
          </w:p>
        </w:tc>
      </w:tr>
      <w:tr>
        <w:trPr>
          <w:trHeight w:val="184"/>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80" w:type="dxa"/>
            <w:vAlign w:val="bottom"/>
            <w:shd w:val="clear" w:color="auto" w:fill="CFF0FC"/>
          </w:tcPr>
          <w:p>
            <w:pPr>
              <w:spacing w:after="0"/>
              <w:rPr>
                <w:sz w:val="16"/>
                <w:szCs w:val="16"/>
                <w:color w:val="auto"/>
              </w:rPr>
            </w:pPr>
          </w:p>
        </w:tc>
      </w:tr>
      <w:tr>
        <w:trPr>
          <w:trHeight w:val="176"/>
        </w:trPr>
        <w:tc>
          <w:tcPr>
            <w:tcW w:w="7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Amortization of deferred equity financing costs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5"/>
                <w:szCs w:val="15"/>
                <w:color w:val="auto"/>
              </w:rPr>
            </w:pPr>
          </w:p>
        </w:tc>
      </w:tr>
      <w:tr>
        <w:trPr>
          <w:trHeight w:val="184"/>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6"/>
        </w:trPr>
        <w:tc>
          <w:tcPr>
            <w:tcW w:w="79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Interest receivable</w:t>
            </w:r>
          </w:p>
        </w:tc>
        <w:tc>
          <w:tcPr>
            <w:tcW w:w="1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(2,352 )</w:t>
            </w: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(1,903 )</w:t>
            </w:r>
          </w:p>
        </w:tc>
      </w:tr>
      <w:tr>
        <w:trPr>
          <w:trHeight w:val="184"/>
        </w:trPr>
        <w:tc>
          <w:tcPr>
            <w:tcW w:w="7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(384 )</w:t>
            </w:r>
          </w:p>
        </w:tc>
      </w:tr>
      <w:tr>
        <w:trPr>
          <w:trHeight w:val="176"/>
        </w:trPr>
        <w:tc>
          <w:tcPr>
            <w:tcW w:w="79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Accrued interest and fees payable</w:t>
            </w:r>
          </w:p>
        </w:tc>
        <w:tc>
          <w:tcPr>
            <w:tcW w:w="1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(2,380 )</w:t>
            </w: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(1,410 )</w:t>
            </w:r>
          </w:p>
        </w:tc>
      </w:tr>
      <w:tr>
        <w:trPr>
          <w:trHeight w:val="184"/>
        </w:trPr>
        <w:tc>
          <w:tcPr>
            <w:tcW w:w="7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Base management fee payable, net of base management fee waiver – due to affiliate</w:t>
            </w: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shd w:val="clear" w:color="auto" w:fill="CFF0FC"/>
          </w:tcPr>
          <w:p>
            <w:pPr>
              <w:spacing w:after="0"/>
              <w:rPr>
                <w:sz w:val="16"/>
                <w:szCs w:val="16"/>
                <w:color w:val="auto"/>
              </w:rPr>
            </w:pPr>
          </w:p>
        </w:tc>
      </w:tr>
      <w:tr>
        <w:trPr>
          <w:trHeight w:val="176"/>
        </w:trPr>
        <w:tc>
          <w:tcPr>
            <w:tcW w:w="79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Income incentive fee payable – due to affiliate</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1,444</w:t>
            </w:r>
          </w:p>
        </w:tc>
        <w:tc>
          <w:tcPr>
            <w:tcW w:w="80" w:type="dxa"/>
            <w:vAlign w:val="bottom"/>
          </w:tcPr>
          <w:p>
            <w:pPr>
              <w:spacing w:after="0"/>
              <w:rPr>
                <w:sz w:val="15"/>
                <w:szCs w:val="15"/>
                <w:color w:val="auto"/>
              </w:rPr>
            </w:pPr>
          </w:p>
        </w:tc>
      </w:tr>
      <w:tr>
        <w:trPr>
          <w:trHeight w:val="184"/>
        </w:trPr>
        <w:tc>
          <w:tcPr>
            <w:tcW w:w="7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Capital gains incentive fee (reversal) – due to (from) affiliate</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(2,595 )</w:t>
            </w: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(7,048 )</w:t>
            </w:r>
          </w:p>
        </w:tc>
      </w:tr>
      <w:tr>
        <w:trPr>
          <w:trHeight w:val="176"/>
        </w:trPr>
        <w:tc>
          <w:tcPr>
            <w:tcW w:w="79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Administration fee payable and other – due to (from) affiliate</w:t>
            </w:r>
          </w:p>
        </w:tc>
        <w:tc>
          <w:tcPr>
            <w:tcW w:w="1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(170 )</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r>
      <w:tr>
        <w:trPr>
          <w:trHeight w:val="184"/>
        </w:trPr>
        <w:tc>
          <w:tcPr>
            <w:tcW w:w="79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Taxes payable</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(476 )</w:t>
            </w: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(9,660 )</w:t>
            </w:r>
          </w:p>
        </w:tc>
      </w:tr>
      <w:tr>
        <w:trPr>
          <w:trHeight w:val="176"/>
        </w:trPr>
        <w:tc>
          <w:tcPr>
            <w:tcW w:w="79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r>
      <w:tr>
        <w:trPr>
          <w:trHeight w:val="184"/>
        </w:trPr>
        <w:tc>
          <w:tcPr>
            <w:tcW w:w="7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3"/>
                <w:szCs w:val="13"/>
                <w:b w:val="1"/>
                <w:bCs w:val="1"/>
                <w:color w:val="auto"/>
              </w:rPr>
              <w:t>Net cash provided by (used for) operating activities</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(75,810 )</w:t>
            </w: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(32,807 )</w:t>
            </w:r>
          </w:p>
        </w:tc>
      </w:tr>
      <w:tr>
        <w:trPr>
          <w:trHeight w:val="177"/>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Proceeds from common stock offerings, net of expenses</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66,269</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71,608</w:t>
            </w:r>
          </w:p>
        </w:tc>
        <w:tc>
          <w:tcPr>
            <w:tcW w:w="80" w:type="dxa"/>
            <w:vAlign w:val="bottom"/>
            <w:shd w:val="clear" w:color="auto" w:fill="CFF0FC"/>
          </w:tcPr>
          <w:p>
            <w:pPr>
              <w:spacing w:after="0"/>
              <w:rPr>
                <w:sz w:val="15"/>
                <w:szCs w:val="15"/>
                <w:color w:val="auto"/>
              </w:rPr>
            </w:pPr>
          </w:p>
        </w:tc>
      </w:tr>
      <w:tr>
        <w:trPr>
          <w:trHeight w:val="176"/>
        </w:trPr>
        <w:tc>
          <w:tcPr>
            <w:tcW w:w="7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Proceeds received from SBA debentures</w:t>
            </w: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tcPr>
          <w:p>
            <w:pPr>
              <w:spacing w:after="0"/>
              <w:rPr>
                <w:sz w:val="15"/>
                <w:szCs w:val="15"/>
                <w:color w:val="auto"/>
              </w:rPr>
            </w:pPr>
          </w:p>
        </w:tc>
      </w:tr>
      <w:tr>
        <w:trPr>
          <w:trHeight w:val="184"/>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Repayments of SBA debentures</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(35,000 )</w:t>
            </w: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(5,000 )</w:t>
            </w:r>
          </w:p>
        </w:tc>
      </w:tr>
      <w:tr>
        <w:trPr>
          <w:trHeight w:val="176"/>
        </w:trPr>
        <w:tc>
          <w:tcPr>
            <w:tcW w:w="7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Proceeds received from (repayments of) borrowings under Credit Facility, net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Proceeds received from (repayments of) Secured Borrowings, net</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(1,855 )</w:t>
            </w: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(561 )</w:t>
            </w:r>
          </w:p>
        </w:tc>
      </w:tr>
      <w:tr>
        <w:trPr>
          <w:trHeight w:val="176"/>
        </w:trPr>
        <w:tc>
          <w:tcPr>
            <w:tcW w:w="7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Payment of deferred financing costs</w:t>
            </w:r>
          </w:p>
        </w:tc>
        <w:tc>
          <w:tcPr>
            <w:tcW w:w="1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(611 )</w:t>
            </w: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(1,224 )</w:t>
            </w:r>
          </w:p>
        </w:tc>
      </w:tr>
      <w:tr>
        <w:trPr>
          <w:trHeight w:val="184"/>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Dividends paid to stockholders, including expenses</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(57,681 )</w:t>
            </w:r>
          </w:p>
        </w:tc>
        <w:tc>
          <w:tcPr>
            <w:tcW w:w="2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(54,029 )</w:t>
            </w:r>
          </w:p>
        </w:tc>
      </w:tr>
      <w:tr>
        <w:trPr>
          <w:trHeight w:val="177"/>
        </w:trPr>
        <w:tc>
          <w:tcPr>
            <w:tcW w:w="794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Net cash provided by (used for) financing activities</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50,794</w:t>
            </w:r>
          </w:p>
        </w:tc>
        <w:tc>
          <w:tcPr>
            <w:tcW w:w="80" w:type="dxa"/>
            <w:vAlign w:val="bottom"/>
          </w:tcPr>
          <w:p>
            <w:pPr>
              <w:spacing w:after="0"/>
              <w:rPr>
                <w:sz w:val="15"/>
                <w:szCs w:val="15"/>
                <w:color w:val="auto"/>
              </w:rPr>
            </w:pPr>
          </w:p>
        </w:tc>
      </w:tr>
      <w:tr>
        <w:trPr>
          <w:trHeight w:val="183"/>
        </w:trPr>
        <w:tc>
          <w:tcPr>
            <w:tcW w:w="79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3"/>
                <w:szCs w:val="13"/>
                <w:b w:val="1"/>
                <w:bCs w:val="1"/>
                <w:color w:val="auto"/>
              </w:rPr>
              <w:t>Net increase (decrease) in cash and cash equivalents</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(64,688 )</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17,987</w:t>
            </w:r>
          </w:p>
        </w:tc>
        <w:tc>
          <w:tcPr>
            <w:tcW w:w="80" w:type="dxa"/>
            <w:vAlign w:val="bottom"/>
            <w:shd w:val="clear" w:color="auto" w:fill="CFF0FC"/>
          </w:tcPr>
          <w:p>
            <w:pPr>
              <w:spacing w:after="0"/>
              <w:rPr>
                <w:sz w:val="15"/>
                <w:szCs w:val="15"/>
                <w:color w:val="auto"/>
              </w:rPr>
            </w:pPr>
          </w:p>
        </w:tc>
      </w:tr>
      <w:tr>
        <w:trPr>
          <w:trHeight w:val="177"/>
        </w:trPr>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Beginning of period</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119,131</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62,350</w:t>
            </w:r>
          </w:p>
        </w:tc>
        <w:tc>
          <w:tcPr>
            <w:tcW w:w="80" w:type="dxa"/>
            <w:vAlign w:val="bottom"/>
            <w:shd w:val="clear" w:color="auto" w:fill="CFF0FC"/>
          </w:tcPr>
          <w:p>
            <w:pPr>
              <w:spacing w:after="0"/>
              <w:rPr>
                <w:sz w:val="15"/>
                <w:szCs w:val="15"/>
                <w:color w:val="auto"/>
              </w:rPr>
            </w:pPr>
          </w:p>
        </w:tc>
      </w:tr>
      <w:tr>
        <w:trPr>
          <w:trHeight w:val="180"/>
        </w:trPr>
        <w:tc>
          <w:tcPr>
            <w:tcW w:w="7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End of period</w:t>
            </w: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54,443</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80,337</w:t>
            </w:r>
          </w:p>
        </w:tc>
        <w:tc>
          <w:tcPr>
            <w:tcW w:w="80" w:type="dxa"/>
            <w:vAlign w:val="bottom"/>
          </w:tcPr>
          <w:p>
            <w:pPr>
              <w:spacing w:after="0"/>
              <w:rPr>
                <w:sz w:val="15"/>
                <w:szCs w:val="15"/>
                <w:color w:val="auto"/>
              </w:rPr>
            </w:pPr>
          </w:p>
        </w:tc>
      </w:tr>
      <w:tr>
        <w:trPr>
          <w:trHeight w:val="20"/>
        </w:trPr>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information and non-cash activities</w:t>
            </w: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79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Cash payments for interest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18,929</w:t>
            </w:r>
          </w:p>
        </w:tc>
        <w:tc>
          <w:tcPr>
            <w:tcW w:w="22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16,578</w:t>
            </w:r>
          </w:p>
        </w:tc>
        <w:tc>
          <w:tcPr>
            <w:tcW w:w="80" w:type="dxa"/>
            <w:vAlign w:val="bottom"/>
          </w:tcPr>
          <w:p>
            <w:pPr>
              <w:spacing w:after="0"/>
              <w:rPr>
                <w:sz w:val="15"/>
                <w:szCs w:val="15"/>
                <w:color w:val="auto"/>
              </w:rPr>
            </w:pPr>
          </w:p>
        </w:tc>
      </w:tr>
      <w:tr>
        <w:trPr>
          <w:trHeight w:val="184"/>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Cash payments for taxes, net of tax refunds received</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2,681</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11,295</w:t>
            </w:r>
          </w:p>
        </w:tc>
        <w:tc>
          <w:tcPr>
            <w:tcW w:w="80" w:type="dxa"/>
            <w:vAlign w:val="bottom"/>
            <w:shd w:val="clear" w:color="auto" w:fill="CFF0FC"/>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 (unaudited).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 w:name="page7"/>
    <w:bookmarkEnd w:id="6"/>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b w:val="1"/>
                <w:bCs w:val="1"/>
                <w:color w:val="auto"/>
              </w:rPr>
              <w:t>Portfolio Company (a)(b)</w:t>
            </w:r>
          </w:p>
        </w:tc>
        <w:tc>
          <w:tcPr>
            <w:tcW w:w="1720" w:type="dxa"/>
            <w:vAlign w:val="bottom"/>
          </w:tcPr>
          <w:p>
            <w:pPr>
              <w:spacing w:after="0"/>
              <w:rPr>
                <w:sz w:val="9"/>
                <w:szCs w:val="9"/>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8"/>
                <w:szCs w:val="8"/>
                <w:b w:val="1"/>
                <w:bCs w:val="1"/>
                <w:color w:val="auto"/>
              </w:rPr>
              <w:t>Variable Index</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b w:val="1"/>
                <w:bCs w:val="1"/>
                <w:color w:val="auto"/>
              </w:rPr>
              <w:t>Rate (e)</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b w:val="1"/>
                <w:bCs w:val="1"/>
                <w:color w:val="auto"/>
              </w:rPr>
              <w:t>Investment</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right"/>
              <w:ind w:right="258"/>
              <w:spacing w:after="0"/>
              <w:rPr>
                <w:sz w:val="20"/>
                <w:szCs w:val="20"/>
                <w:color w:val="auto"/>
              </w:rPr>
            </w:pPr>
            <w:r>
              <w:rPr>
                <w:rFonts w:ascii="Times New Roman" w:cs="Times New Roman" w:eastAsia="Times New Roman" w:hAnsi="Times New Roman"/>
                <w:sz w:val="8"/>
                <w:szCs w:val="8"/>
                <w:b w:val="1"/>
                <w:bCs w:val="1"/>
                <w:color w:val="auto"/>
              </w:rPr>
              <w:t>Principal</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Fair</w:t>
            </w:r>
          </w:p>
        </w:tc>
        <w:tc>
          <w:tcPr>
            <w:tcW w:w="680" w:type="dxa"/>
            <w:vAlign w:val="bottom"/>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Percent of</w:t>
            </w:r>
          </w:p>
        </w:tc>
        <w:tc>
          <w:tcPr>
            <w:tcW w:w="0" w:type="dxa"/>
            <w:vAlign w:val="bottom"/>
          </w:tcPr>
          <w:p>
            <w:pPr>
              <w:spacing w:after="0"/>
              <w:rPr>
                <w:sz w:val="1"/>
                <w:szCs w:val="1"/>
                <w:color w:val="auto"/>
              </w:rPr>
            </w:pPr>
          </w:p>
        </w:tc>
      </w:tr>
      <w:tr>
        <w:trPr>
          <w:trHeight w:val="132"/>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b w:val="1"/>
                <w:bCs w:val="1"/>
                <w:color w:val="auto"/>
              </w:rPr>
              <w:t>Investment Type (c)</w:t>
            </w:r>
          </w:p>
        </w:tc>
        <w:tc>
          <w:tcPr>
            <w:tcW w:w="172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rPr>
              <w:t>Industry</w:t>
            </w:r>
          </w:p>
        </w:tc>
        <w:tc>
          <w:tcPr>
            <w:tcW w:w="1320" w:type="dxa"/>
            <w:vAlign w:val="bottom"/>
          </w:tcPr>
          <w:p>
            <w:pPr>
              <w:ind w:left="400"/>
              <w:spacing w:after="0"/>
              <w:rPr>
                <w:sz w:val="20"/>
                <w:szCs w:val="20"/>
                <w:color w:val="auto"/>
              </w:rPr>
            </w:pPr>
            <w:r>
              <w:rPr>
                <w:rFonts w:ascii="Times New Roman" w:cs="Times New Roman" w:eastAsia="Times New Roman" w:hAnsi="Times New Roman"/>
                <w:sz w:val="8"/>
                <w:szCs w:val="8"/>
                <w:b w:val="1"/>
                <w:bCs w:val="1"/>
                <w:color w:val="auto"/>
              </w:rPr>
              <w:t>Spread / Floor (d)</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b w:val="1"/>
                <w:bCs w:val="1"/>
                <w:color w:val="auto"/>
              </w:rPr>
              <w:t>Cash/PIK</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b w:val="1"/>
                <w:bCs w:val="1"/>
                <w:color w:val="auto"/>
              </w:rPr>
              <w:t>Date (f)</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b w:val="1"/>
                <w:bCs w:val="1"/>
                <w:color w:val="auto"/>
              </w:rPr>
              <w:t>Maturity</w:t>
            </w:r>
          </w:p>
        </w:tc>
        <w:tc>
          <w:tcPr>
            <w:tcW w:w="180" w:type="dxa"/>
            <w:vAlign w:val="bottom"/>
          </w:tcPr>
          <w:p>
            <w:pPr>
              <w:spacing w:after="0"/>
              <w:rPr>
                <w:sz w:val="11"/>
                <w:szCs w:val="11"/>
                <w:color w:val="auto"/>
              </w:rPr>
            </w:pPr>
          </w:p>
        </w:tc>
        <w:tc>
          <w:tcPr>
            <w:tcW w:w="640" w:type="dxa"/>
            <w:vAlign w:val="bottom"/>
          </w:tcPr>
          <w:p>
            <w:pPr>
              <w:jc w:val="right"/>
              <w:ind w:right="258"/>
              <w:spacing w:after="0"/>
              <w:rPr>
                <w:sz w:val="20"/>
                <w:szCs w:val="20"/>
                <w:color w:val="auto"/>
              </w:rPr>
            </w:pPr>
            <w:r>
              <w:rPr>
                <w:rFonts w:ascii="Times New Roman" w:cs="Times New Roman" w:eastAsia="Times New Roman" w:hAnsi="Times New Roman"/>
                <w:sz w:val="8"/>
                <w:szCs w:val="8"/>
                <w:b w:val="1"/>
                <w:bCs w:val="1"/>
                <w:color w:val="auto"/>
              </w:rPr>
              <w:t>Amount</w:t>
            </w:r>
          </w:p>
        </w:tc>
        <w:tc>
          <w:tcPr>
            <w:tcW w:w="100" w:type="dxa"/>
            <w:vAlign w:val="bottom"/>
          </w:tcPr>
          <w:p>
            <w:pPr>
              <w:spacing w:after="0"/>
              <w:rPr>
                <w:sz w:val="11"/>
                <w:szCs w:val="11"/>
                <w:color w:val="auto"/>
              </w:rPr>
            </w:pPr>
          </w:p>
        </w:tc>
        <w:tc>
          <w:tcPr>
            <w:tcW w:w="500" w:type="dxa"/>
            <w:vAlign w:val="bottom"/>
          </w:tcPr>
          <w:p>
            <w:pPr>
              <w:jc w:val="right"/>
              <w:ind w:right="238"/>
              <w:spacing w:after="0"/>
              <w:rPr>
                <w:sz w:val="20"/>
                <w:szCs w:val="20"/>
                <w:color w:val="auto"/>
              </w:rPr>
            </w:pPr>
            <w:r>
              <w:rPr>
                <w:rFonts w:ascii="Times New Roman" w:cs="Times New Roman" w:eastAsia="Times New Roman" w:hAnsi="Times New Roman"/>
                <w:sz w:val="8"/>
                <w:szCs w:val="8"/>
                <w:b w:val="1"/>
                <w:bCs w:val="1"/>
                <w:color w:val="auto"/>
              </w:rPr>
              <w:t>Cost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Value (g)</w:t>
            </w:r>
          </w:p>
        </w:tc>
        <w:tc>
          <w:tcPr>
            <w:tcW w:w="680" w:type="dxa"/>
            <w:vAlign w:val="bottom"/>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Net Assets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Control Investments (t)</w:t>
            </w:r>
          </w:p>
        </w:tc>
        <w:tc>
          <w:tcPr>
            <w:tcW w:w="17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shd w:val="clear" w:color="auto" w:fill="CFF0FC"/>
          </w:tcPr>
          <w:p>
            <w:pPr>
              <w:spacing w:after="0"/>
              <w:rPr>
                <w:sz w:val="2"/>
                <w:szCs w:val="2"/>
                <w:color w:val="auto"/>
              </w:rPr>
            </w:pPr>
          </w:p>
        </w:tc>
        <w:tc>
          <w:tcPr>
            <w:tcW w:w="860" w:type="dxa"/>
            <w:vAlign w:val="bottom"/>
            <w:tcBorders>
              <w:right w:val="single" w:sz="8" w:color="CFF0FC"/>
            </w:tcBorders>
            <w:shd w:val="clear" w:color="auto" w:fill="000000"/>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72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i w:val="1"/>
                <w:iCs w:val="1"/>
                <w:color w:val="auto"/>
              </w:rPr>
              <w:t>US GreenFiber, LLC (n)</w:t>
            </w:r>
          </w:p>
        </w:tc>
        <w:tc>
          <w:tcPr>
            <w:tcW w:w="1720" w:type="dxa"/>
            <w:vAlign w:val="bottom"/>
          </w:tcPr>
          <w:p>
            <w:pPr>
              <w:ind w:left="80"/>
              <w:spacing w:after="0"/>
              <w:rPr>
                <w:sz w:val="20"/>
                <w:szCs w:val="20"/>
                <w:color w:val="auto"/>
              </w:rPr>
            </w:pPr>
            <w:r>
              <w:rPr>
                <w:rFonts w:ascii="Times New Roman" w:cs="Times New Roman" w:eastAsia="Times New Roman" w:hAnsi="Times New Roman"/>
                <w:sz w:val="8"/>
                <w:szCs w:val="8"/>
                <w:color w:val="auto"/>
              </w:rPr>
              <w:t>Building Products Manufacturing</w:t>
            </w: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Second Lien Debt (j)(y)</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0.00%/0.00%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7/3/2014</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8/30/2024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5,226</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5,223</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Common Equity (2,522 units) (h)(j)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7/3/2014</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586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Common Equity (425,508 units) (j)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8/30/2019</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Common Equity (1,022,813 units) (h)(j)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7/1/2020</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1,022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8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6,832</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Total Control Investments</w:t>
            </w:r>
          </w:p>
        </w:tc>
        <w:tc>
          <w:tcPr>
            <w:tcW w:w="17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6,832</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08"/>
        </w:trPr>
        <w:tc>
          <w:tcPr>
            <w:tcW w:w="20" w:type="dxa"/>
            <w:vAlign w:val="bottom"/>
            <w:tcBorders>
              <w:top w:val="single" w:sz="8" w:color="CFF0FC"/>
            </w:tcBorders>
          </w:tcPr>
          <w:p>
            <w:pPr>
              <w:spacing w:after="0"/>
              <w:rPr>
                <w:sz w:val="9"/>
                <w:szCs w:val="9"/>
                <w:color w:val="auto"/>
              </w:rPr>
            </w:pPr>
          </w:p>
        </w:tc>
        <w:tc>
          <w:tcPr>
            <w:tcW w:w="860" w:type="dxa"/>
            <w:vAlign w:val="bottom"/>
            <w:tcBorders>
              <w:top w:val="single" w:sz="8" w:color="CFF0FC"/>
            </w:tcBorders>
          </w:tcPr>
          <w:p>
            <w:pPr>
              <w:spacing w:after="0"/>
              <w:rPr>
                <w:sz w:val="9"/>
                <w:szCs w:val="9"/>
                <w:color w:val="auto"/>
              </w:rPr>
            </w:pPr>
          </w:p>
        </w:tc>
        <w:tc>
          <w:tcPr>
            <w:tcW w:w="500" w:type="dxa"/>
            <w:vAlign w:val="bottom"/>
            <w:tcBorders>
              <w:top w:val="single" w:sz="8" w:color="CFF0FC"/>
            </w:tcBorders>
          </w:tcPr>
          <w:p>
            <w:pPr>
              <w:spacing w:after="0"/>
              <w:rPr>
                <w:sz w:val="9"/>
                <w:szCs w:val="9"/>
                <w:color w:val="auto"/>
              </w:rPr>
            </w:pPr>
          </w:p>
        </w:tc>
        <w:tc>
          <w:tcPr>
            <w:tcW w:w="1060" w:type="dxa"/>
            <w:vAlign w:val="bottom"/>
            <w:tcBorders>
              <w:top w:val="single" w:sz="8" w:color="CFF0FC"/>
            </w:tcBorders>
          </w:tcPr>
          <w:p>
            <w:pPr>
              <w:spacing w:after="0"/>
              <w:rPr>
                <w:sz w:val="9"/>
                <w:szCs w:val="9"/>
                <w:color w:val="auto"/>
              </w:rPr>
            </w:pPr>
          </w:p>
        </w:tc>
        <w:tc>
          <w:tcPr>
            <w:tcW w:w="1720" w:type="dxa"/>
            <w:vAlign w:val="bottom"/>
            <w:tcBorders>
              <w:top w:val="single" w:sz="8" w:color="CFF0FC"/>
            </w:tcBorders>
          </w:tcPr>
          <w:p>
            <w:pPr>
              <w:spacing w:after="0"/>
              <w:rPr>
                <w:sz w:val="9"/>
                <w:szCs w:val="9"/>
                <w:color w:val="auto"/>
              </w:rPr>
            </w:pPr>
          </w:p>
        </w:tc>
        <w:tc>
          <w:tcPr>
            <w:tcW w:w="1320" w:type="dxa"/>
            <w:vAlign w:val="bottom"/>
            <w:tcBorders>
              <w:top w:val="single" w:sz="8" w:color="CFF0FC"/>
            </w:tcBorders>
          </w:tcPr>
          <w:p>
            <w:pPr>
              <w:spacing w:after="0"/>
              <w:rPr>
                <w:sz w:val="9"/>
                <w:szCs w:val="9"/>
                <w:color w:val="auto"/>
              </w:rPr>
            </w:pPr>
          </w:p>
        </w:tc>
        <w:tc>
          <w:tcPr>
            <w:tcW w:w="880" w:type="dxa"/>
            <w:vAlign w:val="bottom"/>
            <w:tcBorders>
              <w:top w:val="single" w:sz="8" w:color="CFF0FC"/>
            </w:tcBorders>
          </w:tcPr>
          <w:p>
            <w:pPr>
              <w:spacing w:after="0"/>
              <w:rPr>
                <w:sz w:val="9"/>
                <w:szCs w:val="9"/>
                <w:color w:val="auto"/>
              </w:rPr>
            </w:pPr>
          </w:p>
        </w:tc>
        <w:tc>
          <w:tcPr>
            <w:tcW w:w="740" w:type="dxa"/>
            <w:vAlign w:val="bottom"/>
            <w:tcBorders>
              <w:top w:val="single" w:sz="8" w:color="CFF0FC"/>
            </w:tcBorders>
          </w:tcPr>
          <w:p>
            <w:pPr>
              <w:spacing w:after="0"/>
              <w:rPr>
                <w:sz w:val="9"/>
                <w:szCs w:val="9"/>
                <w:color w:val="auto"/>
              </w:rPr>
            </w:pPr>
          </w:p>
        </w:tc>
        <w:tc>
          <w:tcPr>
            <w:tcW w:w="700" w:type="dxa"/>
            <w:vAlign w:val="bottom"/>
            <w:tcBorders>
              <w:top w:val="single" w:sz="8" w:color="CFF0FC"/>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6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8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Affiliate Investments (l)</w:t>
            </w:r>
          </w:p>
        </w:tc>
        <w:tc>
          <w:tcPr>
            <w:tcW w:w="17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shd w:val="clear" w:color="auto" w:fill="CFF0FC"/>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72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i w:val="1"/>
                <w:iCs w:val="1"/>
                <w:color w:val="auto"/>
              </w:rPr>
              <w:t>Applegate Greenfiber Intermediate Inc. (fka US GreenFiber, LLC)</w:t>
            </w:r>
          </w:p>
        </w:tc>
        <w:tc>
          <w:tcPr>
            <w:tcW w:w="1720" w:type="dxa"/>
            <w:vAlign w:val="bottom"/>
          </w:tcPr>
          <w:p>
            <w:pPr>
              <w:ind w:left="80"/>
              <w:spacing w:after="0"/>
              <w:rPr>
                <w:sz w:val="20"/>
                <w:szCs w:val="20"/>
                <w:color w:val="auto"/>
              </w:rPr>
            </w:pPr>
            <w:r>
              <w:rPr>
                <w:rFonts w:ascii="Times New Roman" w:cs="Times New Roman" w:eastAsia="Times New Roman" w:hAnsi="Times New Roman"/>
                <w:sz w:val="8"/>
                <w:szCs w:val="8"/>
                <w:color w:val="auto"/>
              </w:rPr>
              <w:t>Building Products Manufacturing</w:t>
            </w: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Subordinated Debt (j)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11.00%/0.00%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12/31/2021</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12/31/2027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9,602</w:t>
            </w:r>
          </w:p>
        </w:tc>
        <w:tc>
          <w:tcPr>
            <w:tcW w:w="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9,602</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9,602</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Common Equity (5,690 units) (h)(j)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12/31/2021</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5,690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6,233</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Common Equity (7,113 units) (h)(j)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12/31/2021</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7,113</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8,780</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Common Equity (2,012 units) (h)(j)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12/31/2021</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8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22,405</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24,615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26"/>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i w:val="1"/>
                <w:iCs w:val="1"/>
                <w:color w:val="auto"/>
              </w:rPr>
              <w:t>Medsurant Holdings, LLC</w:t>
            </w:r>
          </w:p>
        </w:tc>
        <w:tc>
          <w:tcPr>
            <w:tcW w:w="1720" w:type="dxa"/>
            <w:vAlign w:val="bottom"/>
          </w:tcPr>
          <w:p>
            <w:pPr>
              <w:ind w:left="80"/>
              <w:spacing w:after="0"/>
              <w:rPr>
                <w:sz w:val="20"/>
                <w:szCs w:val="20"/>
                <w:color w:val="auto"/>
              </w:rPr>
            </w:pPr>
            <w:r>
              <w:rPr>
                <w:rFonts w:ascii="Times New Roman" w:cs="Times New Roman" w:eastAsia="Times New Roman" w:hAnsi="Times New Roman"/>
                <w:sz w:val="8"/>
                <w:szCs w:val="8"/>
                <w:color w:val="auto"/>
              </w:rPr>
              <w:t>Healthcare Services</w:t>
            </w: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Preferred Equity (84,997 units) (h)(j)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4/12/2011</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315</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2,343</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Warrant (252,588 units) (h)(j)(m)</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4/12/2011</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2,258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7,835</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8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2,573</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10,178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26"/>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i w:val="1"/>
                <w:iCs w:val="1"/>
                <w:color w:val="auto"/>
              </w:rPr>
              <w:t>Pfanstiehl, Inc.</w:t>
            </w:r>
          </w:p>
        </w:tc>
        <w:tc>
          <w:tcPr>
            <w:tcW w:w="1720" w:type="dxa"/>
            <w:vAlign w:val="bottom"/>
          </w:tcPr>
          <w:p>
            <w:pPr>
              <w:ind w:left="80"/>
              <w:spacing w:after="0"/>
              <w:rPr>
                <w:sz w:val="20"/>
                <w:szCs w:val="20"/>
                <w:color w:val="auto"/>
              </w:rPr>
            </w:pPr>
            <w:r>
              <w:rPr>
                <w:rFonts w:ascii="Times New Roman" w:cs="Times New Roman" w:eastAsia="Times New Roman" w:hAnsi="Times New Roman"/>
                <w:sz w:val="8"/>
                <w:szCs w:val="8"/>
                <w:color w:val="auto"/>
              </w:rPr>
              <w:t>Healthcare Products</w:t>
            </w: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Common Equity (2,550 units) (j)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3/29/2013</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255</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33,020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5 %</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Spectra A&amp;D Acquisition, Inc. (fka FDS Avionics Corp.)</w:t>
            </w:r>
          </w:p>
        </w:tc>
        <w:tc>
          <w:tcPr>
            <w:tcW w:w="1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Aerospace &amp; Defense Manufacturing</w:t>
            </w:r>
          </w:p>
        </w:tc>
        <w:tc>
          <w:tcPr>
            <w:tcW w:w="13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First Lien Debt (j)(ag)</w:t>
            </w:r>
          </w:p>
        </w:tc>
        <w:tc>
          <w:tcPr>
            <w:tcW w:w="1720" w:type="dxa"/>
            <w:vAlign w:val="bottom"/>
          </w:tcPr>
          <w:p>
            <w:pPr>
              <w:spacing w:after="0"/>
              <w:rPr>
                <w:sz w:val="10"/>
                <w:szCs w:val="10"/>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8"/>
                <w:szCs w:val="8"/>
                <w:color w:val="auto"/>
              </w:rPr>
              <w:t>(S + 6.00%) / (1.00%)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10.87%/0.00%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2/12/2021</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2/11/2026</w:t>
            </w:r>
          </w:p>
        </w:tc>
        <w:tc>
          <w:tcPr>
            <w:tcW w:w="180" w:type="dxa"/>
            <w:vAlign w:val="bottom"/>
          </w:tcPr>
          <w:p>
            <w:pPr>
              <w:spacing w:after="0"/>
              <w:rPr>
                <w:sz w:val="10"/>
                <w:szCs w:val="10"/>
                <w:color w:val="auto"/>
              </w:rPr>
            </w:pPr>
          </w:p>
        </w:tc>
        <w:tc>
          <w:tcPr>
            <w:tcW w:w="6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15,000</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14,969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13,905</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Common Equity (12,035 units) (j)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8/25/2021</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1,204</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Common Equity (38,493 units) (j)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12/16/2022</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2,609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Common Equity (6,783 units) (j)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7/10/2023</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686</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Common Equity (4,663 units) (j)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9/16/2022</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472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Common Equity (18,204 units) (j)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5/22/2024</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1,846</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21,786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13,905</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38"/>
        </w:trPr>
        <w:tc>
          <w:tcPr>
            <w:tcW w:w="2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Steward Holding LLC (dba Steward Advanced Materials)</w:t>
            </w:r>
          </w:p>
        </w:tc>
        <w:tc>
          <w:tcPr>
            <w:tcW w:w="1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Aerospace &amp; Defense Manufacturing</w:t>
            </w: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Common Equity (1,000,000 units) (j)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11/12/2015</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1,000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4,109</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8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gridSpan w:val="2"/>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b w:val="1"/>
                <w:bCs w:val="1"/>
                <w:color w:val="auto"/>
              </w:rPr>
              <w:t>Total Affiliate Investments</w:t>
            </w:r>
          </w:p>
        </w:tc>
        <w:tc>
          <w:tcPr>
            <w:tcW w:w="17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48,019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85,827</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shd w:val="clear" w:color="auto" w:fill="CFF0FC"/>
          </w:tcPr>
          <w:p>
            <w:pPr>
              <w:spacing w:after="0"/>
              <w:rPr>
                <w:sz w:val="9"/>
                <w:szCs w:val="9"/>
                <w:color w:val="auto"/>
              </w:rPr>
            </w:pPr>
          </w:p>
        </w:tc>
        <w:tc>
          <w:tcPr>
            <w:tcW w:w="860" w:type="dxa"/>
            <w:vAlign w:val="bottom"/>
            <w:tcBorders>
              <w:right w:val="single" w:sz="8" w:color="CFF0FC"/>
            </w:tcBorders>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7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b w:val="1"/>
                <w:bCs w:val="1"/>
                <w:color w:val="auto"/>
              </w:rPr>
              <w:t>Non-control/Non-affiliate Investments</w:t>
            </w:r>
          </w:p>
        </w:tc>
        <w:tc>
          <w:tcPr>
            <w:tcW w:w="17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2KDirect, Inc. (dba iPromote)</w:t>
            </w:r>
          </w:p>
        </w:tc>
        <w:tc>
          <w:tcPr>
            <w:tcW w:w="1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13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First Lien Debt (k)(at)</w:t>
            </w:r>
          </w:p>
        </w:tc>
        <w:tc>
          <w:tcPr>
            <w:tcW w:w="1720" w:type="dxa"/>
            <w:vAlign w:val="bottom"/>
          </w:tcPr>
          <w:p>
            <w:pPr>
              <w:spacing w:after="0"/>
              <w:rPr>
                <w:sz w:val="10"/>
                <w:szCs w:val="10"/>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8"/>
                <w:szCs w:val="8"/>
                <w:color w:val="auto"/>
              </w:rPr>
              <w:t>(S + 8.00%) / (0.50%)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13.47%/0.00%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6/25/2021</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6/25/2026</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7,196</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7,166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7,196</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First Lien Debt (j)(aa)</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8"/>
                <w:szCs w:val="8"/>
                <w:color w:val="auto"/>
              </w:rPr>
              <w:t>(S + 8.00%) / (0.50%)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9.72%/0.00%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7/30/2021</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6/25/2026</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2,214</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2,214</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2,214</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Common Equity (1,000,000 units)</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6/25/2021</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1,000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8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10,380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9,410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26"/>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i w:val="1"/>
                <w:iCs w:val="1"/>
                <w:color w:val="auto"/>
              </w:rPr>
              <w:t>301 Edison Holdings Inc. (dba LGG Industrial)</w:t>
            </w:r>
          </w:p>
        </w:tc>
        <w:tc>
          <w:tcPr>
            <w:tcW w:w="1720" w:type="dxa"/>
            <w:vAlign w:val="bottom"/>
          </w:tcPr>
          <w:p>
            <w:pPr>
              <w:ind w:left="80"/>
              <w:spacing w:after="0"/>
              <w:rPr>
                <w:sz w:val="20"/>
                <w:szCs w:val="20"/>
                <w:color w:val="auto"/>
              </w:rPr>
            </w:pPr>
            <w:r>
              <w:rPr>
                <w:rFonts w:ascii="Times New Roman" w:cs="Times New Roman" w:eastAsia="Times New Roman" w:hAnsi="Times New Roman"/>
                <w:sz w:val="8"/>
                <w:szCs w:val="8"/>
                <w:color w:val="auto"/>
              </w:rPr>
              <w:t>Specialty Distribution</w:t>
            </w: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First Lien Debt (j)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11.75%/1.50%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11/14/2023</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11/13/2028</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11,597</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11,463</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11,597</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Preferred Equity (519,244 units) (j)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11/14/2023</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1,000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1,000</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8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12,463</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12,597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26"/>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i w:val="1"/>
                <w:iCs w:val="1"/>
                <w:color w:val="auto"/>
              </w:rPr>
              <w:t>Acendre Midco, Inc.</w:t>
            </w:r>
          </w:p>
        </w:tc>
        <w:tc>
          <w:tcPr>
            <w:tcW w:w="1720" w:type="dxa"/>
            <w:vAlign w:val="bottom"/>
          </w:tcPr>
          <w:p>
            <w:pPr>
              <w:ind w:left="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First Lien Debt (j)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8"/>
                <w:szCs w:val="8"/>
                <w:color w:val="auto"/>
              </w:rPr>
              <w:t>(S + 7.75%) / (0.50%)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13.34%/0.00%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10/6/2021</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10/6/2026</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5,418</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5,411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5,353</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First Lien Debt (j)</w:t>
            </w:r>
          </w:p>
        </w:tc>
        <w:tc>
          <w:tcPr>
            <w:tcW w:w="1720" w:type="dxa"/>
            <w:vAlign w:val="bottom"/>
          </w:tcPr>
          <w:p>
            <w:pPr>
              <w:spacing w:after="0"/>
              <w:rPr>
                <w:sz w:val="10"/>
                <w:szCs w:val="10"/>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8"/>
                <w:szCs w:val="8"/>
                <w:color w:val="auto"/>
              </w:rPr>
              <w:t>(S + 7.75%) / (0.50%)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13.34%/0.00%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10/6/2021</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10/6/2026</w:t>
            </w:r>
          </w:p>
        </w:tc>
        <w:tc>
          <w:tcPr>
            <w:tcW w:w="180" w:type="dxa"/>
            <w:vAlign w:val="bottom"/>
          </w:tcPr>
          <w:p>
            <w:pPr>
              <w:spacing w:after="0"/>
              <w:rPr>
                <w:sz w:val="10"/>
                <w:szCs w:val="10"/>
                <w:color w:val="auto"/>
              </w:rPr>
            </w:pPr>
          </w:p>
        </w:tc>
        <w:tc>
          <w:tcPr>
            <w:tcW w:w="6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12,313</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12,286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12,138</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Revolving Loan (j)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8"/>
                <w:szCs w:val="8"/>
                <w:color w:val="auto"/>
              </w:rPr>
              <w:t>(S + 7.75%) / (0.50%)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13.34%/0.00%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10/6/2021</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10/6/2026</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1,000</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1,000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986</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Common Equity (500,000 shares) (j)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10/6/2021</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371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471</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Warrant (150,000 shares) (j)(m)</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10/6/2021</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129</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Preferred Equity (77,016 shares) (j)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9/26/2022</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88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143</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8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19,285</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19,091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26"/>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i w:val="1"/>
                <w:iCs w:val="1"/>
                <w:color w:val="auto"/>
              </w:rPr>
              <w:t>Ad Info Parent, Inc. (dba MediaRadar)</w:t>
            </w:r>
          </w:p>
        </w:tc>
        <w:tc>
          <w:tcPr>
            <w:tcW w:w="1720" w:type="dxa"/>
            <w:vAlign w:val="bottom"/>
          </w:tcPr>
          <w:p>
            <w:pPr>
              <w:ind w:left="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First Lien Debt (j)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8"/>
                <w:szCs w:val="8"/>
                <w:color w:val="auto"/>
              </w:rPr>
              <w:t>(S + 6.25%) / (1.00%)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10.75%/0.00%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11/1/2023</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9/16/2029</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12,406</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12,347</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12,530</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Revolving Loan ($1,442 unfunded commitment) (i)(j)</w:t>
            </w:r>
          </w:p>
        </w:tc>
        <w:tc>
          <w:tcPr>
            <w:tcW w:w="1720" w:type="dxa"/>
            <w:vAlign w:val="bottom"/>
          </w:tcPr>
          <w:p>
            <w:pPr>
              <w:spacing w:after="0"/>
              <w:rPr>
                <w:sz w:val="10"/>
                <w:szCs w:val="10"/>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8"/>
                <w:szCs w:val="8"/>
                <w:color w:val="auto"/>
              </w:rPr>
              <w:t>(S + 6.25%) / (1.00%)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10.75%/0.00%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11/1/2023</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9/16/2029</w:t>
            </w:r>
          </w:p>
        </w:tc>
        <w:tc>
          <w:tcPr>
            <w:tcW w:w="180" w:type="dxa"/>
            <w:vAlign w:val="bottom"/>
          </w:tcPr>
          <w:p>
            <w:pPr>
              <w:spacing w:after="0"/>
              <w:rPr>
                <w:sz w:val="10"/>
                <w:szCs w:val="10"/>
                <w:color w:val="auto"/>
              </w:rPr>
            </w:pPr>
          </w:p>
        </w:tc>
        <w:tc>
          <w:tcPr>
            <w:tcW w:w="6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(7 )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Preferred Equity (1,250,000 units) (j)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11/1/2023</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1,250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1,057</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13,590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13,587</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38"/>
        </w:trPr>
        <w:tc>
          <w:tcPr>
            <w:tcW w:w="2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Aldinger Company</w:t>
            </w:r>
          </w:p>
        </w:tc>
        <w:tc>
          <w:tcPr>
            <w:tcW w:w="1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Business Services</w:t>
            </w: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Common Equity (12,504 units)</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6/30/2023</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254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1,368</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Preferred Equity (12,861 units)</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6/30/2023</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1,286</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1,433</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1,540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2,801</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38"/>
        </w:trPr>
        <w:tc>
          <w:tcPr>
            <w:tcW w:w="2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Allredi, LLC (fka Marco Group International OpCo, LLC)</w:t>
            </w:r>
          </w:p>
        </w:tc>
        <w:tc>
          <w:tcPr>
            <w:tcW w:w="1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Industrial Cleaning &amp; Coatings</w:t>
            </w: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Second Lien Debt (j)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0.00%/15.00%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3/2/2020</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9/2/2026</w:t>
            </w:r>
          </w:p>
        </w:tc>
        <w:tc>
          <w:tcPr>
            <w:tcW w:w="180" w:type="dxa"/>
            <w:vAlign w:val="bottom"/>
          </w:tcPr>
          <w:p>
            <w:pPr>
              <w:spacing w:after="0"/>
              <w:rPr>
                <w:sz w:val="10"/>
                <w:szCs w:val="10"/>
                <w:color w:val="auto"/>
              </w:rPr>
            </w:pPr>
          </w:p>
        </w:tc>
        <w:tc>
          <w:tcPr>
            <w:tcW w:w="6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13,082</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13,042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11,755</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Common Equity (570,636 units) (h)(j)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7/21/2017</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637</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82</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Common Equity (39,443 units) (h)(j)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11/24/2021</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32</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Common Equity (524,624units) (h)(j)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8/3/2023</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45</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75</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13,746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11,944</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38"/>
        </w:trPr>
        <w:tc>
          <w:tcPr>
            <w:tcW w:w="2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American AllWaste LLC (dba WasteWater Transport Services)</w:t>
            </w:r>
          </w:p>
        </w:tc>
        <w:tc>
          <w:tcPr>
            <w:tcW w:w="1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Environmental Industries</w:t>
            </w: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First Lien Debt (j)(p)</w:t>
            </w:r>
          </w:p>
        </w:tc>
        <w:tc>
          <w:tcPr>
            <w:tcW w:w="1720" w:type="dxa"/>
            <w:vAlign w:val="bottom"/>
          </w:tcPr>
          <w:p>
            <w:pPr>
              <w:spacing w:after="0"/>
              <w:rPr>
                <w:sz w:val="10"/>
                <w:szCs w:val="10"/>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8"/>
                <w:szCs w:val="8"/>
                <w:color w:val="auto"/>
              </w:rPr>
              <w:t>(S + 6.75%) / (1.00%)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11.62%/0.00%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6/28/2021</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3/31/2025</w:t>
            </w:r>
          </w:p>
        </w:tc>
        <w:tc>
          <w:tcPr>
            <w:tcW w:w="180" w:type="dxa"/>
            <w:vAlign w:val="bottom"/>
          </w:tcPr>
          <w:p>
            <w:pPr>
              <w:spacing w:after="0"/>
              <w:rPr>
                <w:sz w:val="10"/>
                <w:szCs w:val="10"/>
                <w:color w:val="auto"/>
              </w:rPr>
            </w:pPr>
          </w:p>
        </w:tc>
        <w:tc>
          <w:tcPr>
            <w:tcW w:w="6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22,218</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22,140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21,799</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First Lien Debt (j)(o)</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8"/>
                <w:szCs w:val="8"/>
                <w:color w:val="auto"/>
              </w:rPr>
              <w:t>(S + 6.75%) / (1.00%)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9.12%/0.00%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6/28/2021</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3/31/2025</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330</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330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324</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First Lien Debt (j)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15.25%/0.00%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3/28/2024</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3/31/2025</w:t>
            </w:r>
          </w:p>
        </w:tc>
        <w:tc>
          <w:tcPr>
            <w:tcW w:w="180" w:type="dxa"/>
            <w:vAlign w:val="bottom"/>
          </w:tcPr>
          <w:p>
            <w:pPr>
              <w:spacing w:after="0"/>
              <w:rPr>
                <w:sz w:val="10"/>
                <w:szCs w:val="10"/>
                <w:color w:val="auto"/>
              </w:rPr>
            </w:pPr>
          </w:p>
        </w:tc>
        <w:tc>
          <w:tcPr>
            <w:tcW w:w="6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5,864</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5,864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5,753</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Preferred Equity (500 units) (h)(j)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5/31/2018</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500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Preferred Equity (207 units) (h)(j)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8/6/2019</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250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FF0FC"/>
          </w:tcPr>
          <w:p>
            <w:pPr>
              <w:spacing w:after="0"/>
              <w:rPr>
                <w:sz w:val="10"/>
                <w:szCs w:val="10"/>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Preferred Equity (141 units) (h)(j)</w:t>
            </w:r>
          </w:p>
        </w:tc>
        <w:tc>
          <w:tcPr>
            <w:tcW w:w="172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11/2/2020</w:t>
            </w:r>
          </w:p>
        </w:tc>
        <w:tc>
          <w:tcPr>
            <w:tcW w:w="7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171</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vMerge w:val="restart"/>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shd w:val="clear" w:color="auto" w:fill="CFF0FC"/>
          </w:tcPr>
          <w:p>
            <w:pPr>
              <w:spacing w:after="0"/>
              <w:rPr>
                <w:sz w:val="5"/>
                <w:szCs w:val="5"/>
                <w:color w:val="auto"/>
              </w:rPr>
            </w:pPr>
          </w:p>
        </w:tc>
        <w:tc>
          <w:tcPr>
            <w:tcW w:w="860" w:type="dxa"/>
            <w:vAlign w:val="bottom"/>
            <w:tcBorders>
              <w:right w:val="single" w:sz="8" w:color="CFF0FC"/>
            </w:tcBorders>
            <w:shd w:val="clear" w:color="auto" w:fill="CFF0FC"/>
          </w:tcPr>
          <w:p>
            <w:pPr>
              <w:spacing w:after="0"/>
              <w:rPr>
                <w:sz w:val="5"/>
                <w:szCs w:val="5"/>
                <w:color w:val="auto"/>
              </w:rPr>
            </w:pPr>
          </w:p>
        </w:tc>
        <w:tc>
          <w:tcPr>
            <w:tcW w:w="50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720" w:type="dxa"/>
            <w:vAlign w:val="bottom"/>
            <w:shd w:val="clear" w:color="auto" w:fill="CFF0FC"/>
          </w:tcPr>
          <w:p>
            <w:pPr>
              <w:spacing w:after="0"/>
              <w:rPr>
                <w:sz w:val="5"/>
                <w:szCs w:val="5"/>
                <w:color w:val="auto"/>
              </w:rPr>
            </w:pPr>
          </w:p>
        </w:tc>
        <w:tc>
          <w:tcPr>
            <w:tcW w:w="132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740" w:type="dxa"/>
            <w:vAlign w:val="bottom"/>
            <w:vMerge w:val="continue"/>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1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 w:type="dxa"/>
            <w:vAlign w:val="bottom"/>
            <w:shd w:val="clear" w:color="auto" w:fill="CFF0FC"/>
          </w:tcPr>
          <w:p>
            <w:pPr>
              <w:spacing w:after="0"/>
              <w:rPr>
                <w:sz w:val="5"/>
                <w:szCs w:val="5"/>
                <w:color w:val="auto"/>
              </w:rPr>
            </w:pPr>
          </w:p>
        </w:tc>
        <w:tc>
          <w:tcPr>
            <w:tcW w:w="500" w:type="dxa"/>
            <w:vAlign w:val="bottom"/>
            <w:vMerge w:val="continue"/>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Preferred Equity (74 units) (h)(j)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12/29/2021</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97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8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29,352</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27,876</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26"/>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i w:val="1"/>
                <w:iCs w:val="1"/>
                <w:color w:val="auto"/>
              </w:rPr>
              <w:t>AmeriWater, LLC</w:t>
            </w:r>
          </w:p>
        </w:tc>
        <w:tc>
          <w:tcPr>
            <w:tcW w:w="1720" w:type="dxa"/>
            <w:vAlign w:val="bottom"/>
          </w:tcPr>
          <w:p>
            <w:pPr>
              <w:ind w:left="80"/>
              <w:spacing w:after="0"/>
              <w:rPr>
                <w:sz w:val="20"/>
                <w:szCs w:val="20"/>
                <w:color w:val="auto"/>
              </w:rPr>
            </w:pPr>
            <w:r>
              <w:rPr>
                <w:rFonts w:ascii="Times New Roman" w:cs="Times New Roman" w:eastAsia="Times New Roman" w:hAnsi="Times New Roman"/>
                <w:sz w:val="8"/>
                <w:szCs w:val="8"/>
                <w:color w:val="auto"/>
              </w:rPr>
              <w:t>Component Manufacturing</w:t>
            </w: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First Lien Debt (af)</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8"/>
                <w:szCs w:val="8"/>
                <w:color w:val="auto"/>
              </w:rPr>
              <w:t>(S + 6.25%) / (1.00%)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10.85%/0.00%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7/8/2022</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7/8/2027</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7,545</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7,519</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7,545</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Subordinated Debt (j)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7.00%/7.00%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7/8/2022</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1/8/2028</w:t>
            </w:r>
          </w:p>
        </w:tc>
        <w:tc>
          <w:tcPr>
            <w:tcW w:w="180" w:type="dxa"/>
            <w:vAlign w:val="bottom"/>
          </w:tcPr>
          <w:p>
            <w:pPr>
              <w:spacing w:after="0"/>
              <w:rPr>
                <w:sz w:val="10"/>
                <w:szCs w:val="10"/>
                <w:color w:val="auto"/>
              </w:rPr>
            </w:pPr>
          </w:p>
        </w:tc>
        <w:tc>
          <w:tcPr>
            <w:tcW w:w="6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2,341</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2,334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2,340</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Common Equity (1,000 units) (h)(j)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7/8/2022</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1,000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1,077</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10,853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10,962</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38"/>
        </w:trPr>
        <w:tc>
          <w:tcPr>
            <w:tcW w:w="2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AOM Intermediate Holdco, LLC (dba AllOver Media)</w:t>
            </w:r>
          </w:p>
        </w:tc>
        <w:tc>
          <w:tcPr>
            <w:tcW w:w="1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Common Equity (1,232 units) (h)(j)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2/1/2022</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1,371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1,493</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8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i w:val="1"/>
                <w:iCs w:val="1"/>
                <w:color w:val="auto"/>
              </w:rPr>
              <w:t>APM Intermediate Holdings, LLC (dba Artistic Paver Manufacturing,</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i w:val="1"/>
                <w:iCs w:val="1"/>
                <w:color w:val="auto"/>
              </w:rPr>
              <w:t>Inc.)</w:t>
            </w:r>
          </w:p>
        </w:tc>
        <w:tc>
          <w:tcPr>
            <w:tcW w:w="1720" w:type="dxa"/>
            <w:vAlign w:val="bottom"/>
          </w:tcPr>
          <w:p>
            <w:pPr>
              <w:ind w:left="80"/>
              <w:spacing w:after="0"/>
              <w:rPr>
                <w:sz w:val="20"/>
                <w:szCs w:val="20"/>
                <w:color w:val="auto"/>
              </w:rPr>
            </w:pPr>
            <w:r>
              <w:rPr>
                <w:rFonts w:ascii="Times New Roman" w:cs="Times New Roman" w:eastAsia="Times New Roman" w:hAnsi="Times New Roman"/>
                <w:sz w:val="8"/>
                <w:szCs w:val="8"/>
                <w:color w:val="auto"/>
              </w:rPr>
              <w:t>Building Products Manufacturing</w:t>
            </w: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First Lien Debt (ai)</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8"/>
                <w:szCs w:val="8"/>
                <w:color w:val="auto"/>
              </w:rPr>
              <w:t>(S + 7.00%) / (2.00%)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12.33%/0.00%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11/8/2022</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11/8/2027</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18,200</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18,117</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17,861</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Common Equity (1,200 units) (h)(j)</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11/8/2022</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1,200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873</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860" w:type="dxa"/>
            <w:vAlign w:val="bottom"/>
            <w:tcBorders>
              <w:right w:val="single" w:sz="8" w:color="CFF0FC"/>
            </w:tcBorders>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19,317</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18,734</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26"/>
        </w:trPr>
        <w:tc>
          <w:tcPr>
            <w:tcW w:w="2440" w:type="dxa"/>
            <w:vAlign w:val="bottom"/>
            <w:gridSpan w:val="4"/>
          </w:tcPr>
          <w:p>
            <w:pPr>
              <w:ind w:left="20"/>
              <w:spacing w:after="0"/>
              <w:rPr>
                <w:sz w:val="20"/>
                <w:szCs w:val="20"/>
                <w:color w:val="auto"/>
              </w:rPr>
            </w:pPr>
            <w:r>
              <w:rPr>
                <w:rFonts w:ascii="Times New Roman" w:cs="Times New Roman" w:eastAsia="Times New Roman" w:hAnsi="Times New Roman"/>
                <w:sz w:val="8"/>
                <w:szCs w:val="8"/>
                <w:i w:val="1"/>
                <w:iCs w:val="1"/>
                <w:color w:val="auto"/>
              </w:rPr>
              <w:t>Auto CRM LLC (dba Dealer Holdings)</w:t>
            </w:r>
          </w:p>
        </w:tc>
        <w:tc>
          <w:tcPr>
            <w:tcW w:w="1720" w:type="dxa"/>
            <w:vAlign w:val="bottom"/>
          </w:tcPr>
          <w:p>
            <w:pPr>
              <w:ind w:left="8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First Lien Debt (am)</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8"/>
                <w:szCs w:val="8"/>
                <w:color w:val="auto"/>
              </w:rPr>
              <w:t>(P + 5.50%) / (3.25%)</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13.50%/0.85%</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10/1/2021</w:t>
            </w:r>
          </w:p>
        </w:tc>
        <w:tc>
          <w:tcPr>
            <w:tcW w:w="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10/1/2026</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7,697</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7,667</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7,697</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Subordinated Debt</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0.00%/14.50%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10/1/2021</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12/31/2026</w:t>
            </w:r>
          </w:p>
        </w:tc>
        <w:tc>
          <w:tcPr>
            <w:tcW w:w="180" w:type="dxa"/>
            <w:vAlign w:val="bottom"/>
          </w:tcPr>
          <w:p>
            <w:pPr>
              <w:spacing w:after="0"/>
              <w:rPr>
                <w:sz w:val="10"/>
                <w:szCs w:val="10"/>
                <w:color w:val="auto"/>
              </w:rPr>
            </w:pPr>
          </w:p>
        </w:tc>
        <w:tc>
          <w:tcPr>
            <w:tcW w:w="6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755</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753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755</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Common Equity (500 units) (j)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10/1/2021</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500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149</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8,920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8,601</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38"/>
        </w:trPr>
        <w:tc>
          <w:tcPr>
            <w:tcW w:w="2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Bad Boy Mowers JV Acquisition, LLC</w:t>
            </w:r>
          </w:p>
        </w:tc>
        <w:tc>
          <w:tcPr>
            <w:tcW w:w="1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Consumer Products</w:t>
            </w: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gridSpan w:val="3"/>
          </w:tcPr>
          <w:p>
            <w:pPr>
              <w:ind w:left="120"/>
              <w:spacing w:after="0"/>
              <w:rPr>
                <w:sz w:val="20"/>
                <w:szCs w:val="20"/>
                <w:color w:val="auto"/>
              </w:rPr>
            </w:pPr>
            <w:r>
              <w:rPr>
                <w:rFonts w:ascii="Times New Roman" w:cs="Times New Roman" w:eastAsia="Times New Roman" w:hAnsi="Times New Roman"/>
                <w:sz w:val="8"/>
                <w:szCs w:val="8"/>
                <w:color w:val="auto"/>
              </w:rPr>
              <w:t>Subordinated Debt (k)</w:t>
            </w: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9.00%/4.50%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11/9/2023</w:t>
            </w:r>
          </w:p>
        </w:tc>
        <w:tc>
          <w:tcPr>
            <w:tcW w:w="7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11/9/2030</w:t>
            </w:r>
          </w:p>
        </w:tc>
        <w:tc>
          <w:tcPr>
            <w:tcW w:w="180" w:type="dxa"/>
            <w:vAlign w:val="bottom"/>
          </w:tcPr>
          <w:p>
            <w:pPr>
              <w:spacing w:after="0"/>
              <w:rPr>
                <w:sz w:val="10"/>
                <w:szCs w:val="10"/>
                <w:color w:val="auto"/>
              </w:rPr>
            </w:pPr>
          </w:p>
        </w:tc>
        <w:tc>
          <w:tcPr>
            <w:tcW w:w="64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13,539</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13,468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13,539</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24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Preferred Equity (13,000 units) (j)</w:t>
            </w:r>
          </w:p>
        </w:tc>
        <w:tc>
          <w:tcPr>
            <w:tcW w:w="17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11/9/2023</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1,300</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1,404</w:t>
            </w: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14,768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14,943</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38"/>
        </w:trPr>
        <w:tc>
          <w:tcPr>
            <w:tcW w:w="24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Barefoot Mosquito and Pest Control, LLC</w:t>
            </w:r>
          </w:p>
        </w:tc>
        <w:tc>
          <w:tcPr>
            <w:tcW w:w="1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8"/>
                <w:szCs w:val="8"/>
                <w:color w:val="auto"/>
              </w:rPr>
              <w:t>Consumer Services</w:t>
            </w:r>
          </w:p>
        </w:tc>
        <w:tc>
          <w:tcPr>
            <w:tcW w:w="1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1440" w:right="680" w:bottom="101"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32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(k)</w:t>
            </w:r>
          </w:p>
        </w:tc>
        <w:tc>
          <w:tcPr>
            <w:tcW w:w="2220" w:type="dxa"/>
            <w:vAlign w:val="bottom"/>
          </w:tcPr>
          <w:p>
            <w:pPr>
              <w:ind w:left="1300"/>
              <w:spacing w:after="0"/>
              <w:rPr>
                <w:sz w:val="20"/>
                <w:szCs w:val="20"/>
                <w:color w:val="auto"/>
              </w:rPr>
            </w:pPr>
            <w:r>
              <w:rPr>
                <w:rFonts w:ascii="Times New Roman" w:cs="Times New Roman" w:eastAsia="Times New Roman" w:hAnsi="Times New Roman"/>
                <w:sz w:val="8"/>
                <w:szCs w:val="8"/>
                <w:color w:val="auto"/>
              </w:rPr>
              <w:t>(S + 7.00%) / (2.00%)</w:t>
            </w:r>
          </w:p>
        </w:tc>
        <w:tc>
          <w:tcPr>
            <w:tcW w:w="8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12.33%/0.00%</w:t>
            </w:r>
          </w:p>
        </w:tc>
        <w:tc>
          <w:tcPr>
            <w:tcW w:w="74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12/22/2023</w:t>
            </w:r>
          </w:p>
        </w:tc>
        <w:tc>
          <w:tcPr>
            <w:tcW w:w="80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12/22/2029</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38,800</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38,593</w:t>
            </w:r>
          </w:p>
        </w:tc>
        <w:tc>
          <w:tcPr>
            <w:tcW w:w="1240" w:type="dxa"/>
            <w:vAlign w:val="bottom"/>
          </w:tcPr>
          <w:p>
            <w:pPr>
              <w:jc w:val="right"/>
              <w:ind w:right="738"/>
              <w:spacing w:after="0"/>
              <w:rPr>
                <w:sz w:val="20"/>
                <w:szCs w:val="20"/>
                <w:color w:val="auto"/>
              </w:rPr>
            </w:pPr>
            <w:r>
              <w:rPr>
                <w:rFonts w:ascii="Times New Roman" w:cs="Times New Roman" w:eastAsia="Times New Roman" w:hAnsi="Times New Roman"/>
                <w:sz w:val="8"/>
                <w:szCs w:val="8"/>
                <w:color w:val="auto"/>
              </w:rPr>
              <w:t>38,800</w:t>
            </w:r>
          </w:p>
        </w:tc>
      </w:tr>
      <w:tr>
        <w:trPr>
          <w:trHeight w:val="138"/>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($1,500 unfunded commitment) (i)(j)</w:t>
            </w:r>
          </w:p>
        </w:tc>
        <w:tc>
          <w:tcPr>
            <w:tcW w:w="222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8"/>
                <w:szCs w:val="8"/>
                <w:color w:val="auto"/>
              </w:rPr>
              <w:t>(S + 7.00%) / (2.00%)</w:t>
            </w:r>
          </w:p>
        </w:tc>
        <w:tc>
          <w:tcPr>
            <w:tcW w:w="88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12.33%/0.00%</w:t>
            </w:r>
          </w:p>
        </w:tc>
        <w:tc>
          <w:tcPr>
            <w:tcW w:w="74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rPr>
              <w:t>12/22/2023</w:t>
            </w:r>
          </w:p>
        </w:tc>
        <w:tc>
          <w:tcPr>
            <w:tcW w:w="80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12/22/2029</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8"/>
                <w:szCs w:val="8"/>
                <w:color w:val="auto"/>
              </w:rPr>
              <w:t>—</w:t>
            </w:r>
          </w:p>
        </w:tc>
      </w:tr>
      <w:tr>
        <w:trPr>
          <w:trHeight w:val="126"/>
        </w:trPr>
        <w:tc>
          <w:tcPr>
            <w:tcW w:w="32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(4,181 units) (h)(j)</w:t>
            </w:r>
          </w:p>
        </w:tc>
        <w:tc>
          <w:tcPr>
            <w:tcW w:w="2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rPr>
              <w:t>12/22/2023</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Pr>
          <w:p>
            <w:pPr>
              <w:jc w:val="right"/>
              <w:ind w:right="738"/>
              <w:spacing w:after="0"/>
              <w:rPr>
                <w:sz w:val="20"/>
                <w:szCs w:val="20"/>
                <w:color w:val="auto"/>
              </w:rPr>
            </w:pPr>
            <w:r>
              <w:rPr>
                <w:rFonts w:ascii="Times New Roman" w:cs="Times New Roman" w:eastAsia="Times New Roman" w:hAnsi="Times New Roman"/>
                <w:sz w:val="8"/>
                <w:szCs w:val="8"/>
                <w:color w:val="auto"/>
              </w:rPr>
              <w:t>41</w:t>
            </w:r>
          </w:p>
        </w:tc>
      </w:tr>
      <w:tr>
        <w:trPr>
          <w:trHeight w:val="138"/>
        </w:trPr>
        <w:tc>
          <w:tcPr>
            <w:tcW w:w="3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(15,784 units) (h)(j)</w:t>
            </w:r>
          </w:p>
        </w:tc>
        <w:tc>
          <w:tcPr>
            <w:tcW w:w="2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rPr>
              <w:t>12/22/2023</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1,579</w:t>
            </w:r>
          </w:p>
        </w:tc>
        <w:tc>
          <w:tcPr>
            <w:tcW w:w="124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8"/>
                <w:szCs w:val="8"/>
                <w:color w:val="auto"/>
              </w:rPr>
              <w:t>1,667</w:t>
            </w:r>
          </w:p>
        </w:tc>
      </w:tr>
    </w:tbl>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3" w:right="680" w:bottom="1440" w:gutter="0" w:footer="0" w:header="0"/>
        </w:sectPr>
      </w:pPr>
    </w:p>
    <w:bookmarkStart w:id="8" w:name="page9"/>
    <w:bookmarkEnd w:id="8"/>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40,172</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40,508</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BCM One Group Holdings, Inc.</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00" w:type="dxa"/>
            <w:vAlign w:val="bottom"/>
          </w:tcPr>
          <w:p>
            <w:pPr>
              <w:spacing w:after="0"/>
              <w:rPr>
                <w:sz w:val="10"/>
                <w:szCs w:val="10"/>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11.75%/0.00%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11/17/2021</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11/17/2028</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18,333</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18,221</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18,333</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Bedford Precision Parts LLC</w:t>
            </w:r>
          </w:p>
        </w:tc>
        <w:tc>
          <w:tcPr>
            <w:tcW w:w="31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Specialty Distribution</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(500,000 units) (h)(j)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3/12/2019</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470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391</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Brightmore Brands LLC</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Retail</w:t>
            </w:r>
          </w:p>
        </w:tc>
        <w:tc>
          <w:tcPr>
            <w:tcW w:w="8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(j)(al)</w:t>
            </w:r>
          </w:p>
        </w:tc>
        <w:tc>
          <w:tcPr>
            <w:tcW w:w="310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+ 5.38%) / (1.50%)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10.71%/0.00%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9/13/2022</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9/9/2029</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24,000</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23,658</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23,315</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(1,000 units) (j)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9/13/2022</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1,000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1,678</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(371 units) (j)</w:t>
            </w: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9/9/2024</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713</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714</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25,371</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25,707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BurgerFi International, LLC (dba BurgerFi)</w:t>
            </w:r>
          </w:p>
        </w:tc>
        <w:tc>
          <w:tcPr>
            <w:tcW w:w="31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Restaurants</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(14,201 units) (j)(ad)(ao)</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11/3/2022</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521</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(9,787 units) (j)(ad)(ao)</w:t>
            </w: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11/3/2022</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49</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570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Cardback Intermediate, LLC (dba Chargeback Gurus)</w:t>
            </w:r>
          </w:p>
        </w:tc>
        <w:tc>
          <w:tcPr>
            <w:tcW w:w="31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(j)(ah)</w:t>
            </w:r>
          </w:p>
        </w:tc>
        <w:tc>
          <w:tcPr>
            <w:tcW w:w="310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8"/>
                <w:szCs w:val="8"/>
                <w:color w:val="auto"/>
              </w:rPr>
              <w:t>(S + 6.50%) / (0.75%)</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12.08%/0.00%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8/10/2021</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8/10/2026</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10,296</w:t>
            </w: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10,266</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10,296</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(495 shares) (j)</w:t>
            </w: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8/10/2021</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125</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34</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(495 shares) (j)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8/10/2021</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125</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318</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10,516</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10,648</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25"/>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Choice Technology Solutions, LLC (dba Choice Merchant Solutions,</w:t>
            </w:r>
          </w:p>
        </w:tc>
        <w:tc>
          <w:tcPr>
            <w:tcW w:w="3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LLC)</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0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+ 7.25%) / (1.00%)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12.83%/0.00%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4/1/2022</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4/1/2027</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10,550</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10,526</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10,550</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($1,000 unfunded commitment) (i)(j)</w:t>
            </w:r>
          </w:p>
        </w:tc>
        <w:tc>
          <w:tcPr>
            <w:tcW w:w="310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8"/>
                <w:szCs w:val="8"/>
                <w:color w:val="auto"/>
              </w:rPr>
              <w:t>(S + 6.25%) / (1.00%)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11.83%/0.00%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4/1/2022</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4/1/2027</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(500,000 units) (h)(j)</w:t>
            </w: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8/21/2023</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500</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258</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11,026</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10,808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CIH Intermediate, LLC</w:t>
            </w:r>
          </w:p>
        </w:tc>
        <w:tc>
          <w:tcPr>
            <w:tcW w:w="31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Business Services</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(k)</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10.00%/1.00%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3/3/2022</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3/3/2028</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13,998</w:t>
            </w: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13,919</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13,997</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(563 shares) (j)</w:t>
            </w: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3/3/2022</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400</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1,746</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(563 shares) (j)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3/3/2022</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400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976</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14,719</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16,719</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CRS Solutions Holdings, LLC (dba CRS Texas)</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Business Services</w:t>
            </w: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(574,929 units) (h)(j)</w:t>
            </w: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6/28/2022</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272</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21</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CTM Group, Inc. (dba Venuplus, Inc.)</w:t>
            </w:r>
          </w:p>
        </w:tc>
        <w:tc>
          <w:tcPr>
            <w:tcW w:w="31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Business Services</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w:t>
            </w:r>
          </w:p>
        </w:tc>
        <w:tc>
          <w:tcPr>
            <w:tcW w:w="310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8"/>
                <w:szCs w:val="8"/>
                <w:color w:val="auto"/>
              </w:rPr>
              <w:t>(S + 6.75%) / (1.00%)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11.96%/0.25%</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2/28/2023</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11/30/2026</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7,907</w:t>
            </w: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7,814</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7,907</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w:t>
            </w:r>
          </w:p>
        </w:tc>
        <w:tc>
          <w:tcPr>
            <w:tcW w:w="3100" w:type="dxa"/>
            <w:vAlign w:val="bottom"/>
          </w:tcPr>
          <w:p>
            <w:pPr>
              <w:spacing w:after="0"/>
              <w:rPr>
                <w:sz w:val="10"/>
                <w:szCs w:val="10"/>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11.50%/2.25%</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2/28/2023</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11/30/2027</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2,067</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2,051</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1,822</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(400,000 units)</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2/28/2023</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400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89</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10,265</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9,818</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Dataguise, Inc.</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00" w:type="dxa"/>
            <w:vAlign w:val="bottom"/>
          </w:tcPr>
          <w:p>
            <w:pPr>
              <w:spacing w:after="0"/>
              <w:rPr>
                <w:sz w:val="10"/>
                <w:szCs w:val="10"/>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11.00%/2.00%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12/30/2022</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11/23/2027</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22,240</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22,208</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22,240</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(909 shares) (j)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12/31/2020</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1,500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1,291</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23,708</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23,531</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Dealerbuilt Acquisition, LLC</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(ac)</w:t>
            </w:r>
          </w:p>
        </w:tc>
        <w:tc>
          <w:tcPr>
            <w:tcW w:w="310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+ 5.75%) / (4.00%)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11.07%/1.00%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7/21/2023</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7/21/2026</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13,372</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13,313</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13,372</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7.50%/7.50%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7/21/2023</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1/21/2027</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5,473</w:t>
            </w: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5,453</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5,473</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(1,000 Units) (h)(j)</w:t>
            </w: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7/21/2023</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(1,000 Units) (h)(j)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7/21/2023</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1,000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918</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19,766</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19,763</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Detechtion Holdings, LLC</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420" w:type="dxa"/>
            <w:vAlign w:val="bottom"/>
            <w:vMerge w:val="restart"/>
          </w:tcPr>
          <w:p>
            <w:pPr>
              <w:ind w:left="140"/>
              <w:spacing w:after="0"/>
              <w:rPr>
                <w:sz w:val="20"/>
                <w:szCs w:val="20"/>
                <w:color w:val="auto"/>
              </w:rPr>
            </w:pPr>
            <w:r>
              <w:rPr>
                <w:rFonts w:ascii="Times New Roman" w:cs="Times New Roman" w:eastAsia="Times New Roman" w:hAnsi="Times New Roman"/>
                <w:sz w:val="8"/>
                <w:szCs w:val="8"/>
                <w:color w:val="auto"/>
              </w:rPr>
              <w:t>First Lien Debt (k)</w:t>
            </w:r>
          </w:p>
        </w:tc>
        <w:tc>
          <w:tcPr>
            <w:tcW w:w="3100" w:type="dxa"/>
            <w:vAlign w:val="bottom"/>
            <w:vMerge w:val="restart"/>
          </w:tcPr>
          <w:p>
            <w:pPr>
              <w:ind w:left="2140"/>
              <w:spacing w:after="0"/>
              <w:rPr>
                <w:sz w:val="20"/>
                <w:szCs w:val="20"/>
                <w:color w:val="auto"/>
              </w:rPr>
            </w:pPr>
            <w:r>
              <w:rPr>
                <w:rFonts w:ascii="Times New Roman" w:cs="Times New Roman" w:eastAsia="Times New Roman" w:hAnsi="Times New Roman"/>
                <w:sz w:val="8"/>
                <w:szCs w:val="8"/>
                <w:color w:val="auto"/>
              </w:rPr>
              <w:t>(S + 5.75%) / (2.25%)</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11.08%/2.00%</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8"/>
                <w:szCs w:val="8"/>
                <w:color w:val="auto"/>
              </w:rPr>
              <w:t>6/21/2023</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8"/>
                <w:szCs w:val="8"/>
                <w:color w:val="auto"/>
              </w:rPr>
              <w:t>6/21/2028</w:t>
            </w:r>
          </w:p>
        </w:tc>
        <w:tc>
          <w:tcPr>
            <w:tcW w:w="740" w:type="dxa"/>
            <w:vAlign w:val="bottom"/>
            <w:vMerge w:val="restart"/>
          </w:tcPr>
          <w:p>
            <w:pPr>
              <w:jc w:val="right"/>
              <w:ind w:right="218"/>
              <w:spacing w:after="0"/>
              <w:rPr>
                <w:sz w:val="20"/>
                <w:szCs w:val="20"/>
                <w:color w:val="auto"/>
              </w:rPr>
            </w:pPr>
            <w:r>
              <w:rPr>
                <w:rFonts w:ascii="Times New Roman" w:cs="Times New Roman" w:eastAsia="Times New Roman" w:hAnsi="Times New Roman"/>
                <w:sz w:val="8"/>
                <w:szCs w:val="8"/>
                <w:color w:val="auto"/>
              </w:rPr>
              <w:t>23,484</w:t>
            </w:r>
          </w:p>
        </w:tc>
        <w:tc>
          <w:tcPr>
            <w:tcW w:w="720" w:type="dxa"/>
            <w:vAlign w:val="bottom"/>
            <w:vMerge w:val="restart"/>
          </w:tcPr>
          <w:p>
            <w:pPr>
              <w:jc w:val="right"/>
              <w:ind w:right="218"/>
              <w:spacing w:after="0"/>
              <w:rPr>
                <w:sz w:val="20"/>
                <w:szCs w:val="20"/>
                <w:color w:val="auto"/>
              </w:rPr>
            </w:pPr>
            <w:r>
              <w:rPr>
                <w:rFonts w:ascii="Times New Roman" w:cs="Times New Roman" w:eastAsia="Times New Roman" w:hAnsi="Times New Roman"/>
                <w:sz w:val="8"/>
                <w:szCs w:val="8"/>
                <w:color w:val="auto"/>
              </w:rPr>
              <w:t>23,381</w:t>
            </w:r>
          </w:p>
        </w:tc>
        <w:tc>
          <w:tcPr>
            <w:tcW w:w="740" w:type="dxa"/>
            <w:vAlign w:val="bottom"/>
            <w:vMerge w:val="restart"/>
          </w:tcPr>
          <w:p>
            <w:pPr>
              <w:jc w:val="right"/>
              <w:ind w:right="278"/>
              <w:spacing w:after="0"/>
              <w:rPr>
                <w:sz w:val="20"/>
                <w:szCs w:val="20"/>
                <w:color w:val="auto"/>
              </w:rPr>
            </w:pPr>
            <w:r>
              <w:rPr>
                <w:rFonts w:ascii="Times New Roman" w:cs="Times New Roman" w:eastAsia="Times New Roman" w:hAnsi="Times New Roman"/>
                <w:sz w:val="8"/>
                <w:szCs w:val="8"/>
                <w:color w:val="auto"/>
              </w:rPr>
              <w:t>23,484</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420" w:type="dxa"/>
            <w:vAlign w:val="bottom"/>
            <w:vMerge w:val="continue"/>
          </w:tcPr>
          <w:p>
            <w:pPr>
              <w:spacing w:after="0"/>
              <w:rPr>
                <w:sz w:val="8"/>
                <w:szCs w:val="8"/>
                <w:color w:val="auto"/>
              </w:rPr>
            </w:pPr>
          </w:p>
        </w:tc>
        <w:tc>
          <w:tcPr>
            <w:tcW w:w="31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($1,000 unfunded commitment) (j)(w)</w:t>
            </w:r>
          </w:p>
        </w:tc>
        <w:tc>
          <w:tcPr>
            <w:tcW w:w="310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8"/>
                <w:szCs w:val="8"/>
                <w:color w:val="auto"/>
              </w:rPr>
              <w:t>(S + 7.75%) / (2.25%)</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13.08%/0.00%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7/12/2024</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6/21/2028</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(5 )</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100" w:type="dxa"/>
            <w:vAlign w:val="bottom"/>
          </w:tcPr>
          <w:p>
            <w:pPr>
              <w:spacing w:after="0"/>
              <w:rPr>
                <w:sz w:val="10"/>
                <w:szCs w:val="10"/>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0.00%/14.00%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6/21/2023</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6/21/2028</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2,392</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2,382</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2,391</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(601,532 units) (h)(j)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6/21/2023</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602</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657</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26,360</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26,532</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Diversified Search LLC</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Business Services</w:t>
            </w: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(j)(r)</w:t>
            </w:r>
          </w:p>
        </w:tc>
        <w:tc>
          <w:tcPr>
            <w:tcW w:w="310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+ 7.25%) / (1.00%)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12.12%/0.00%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2/7/2019</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9/30/2025</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24,155</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24,114</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23,370</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(573 units) (h)(j)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2/7/2019</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552</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197</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24,666</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23,567</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Donovan Food Brokerage, LLC</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Business Services</w:t>
            </w: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(ae)</w:t>
            </w:r>
          </w:p>
        </w:tc>
        <w:tc>
          <w:tcPr>
            <w:tcW w:w="310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+ 6.25%) / (2.00%)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11.58%/0.00%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2/23/2024</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2/23/2029</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17,108</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17,039</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17,108</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(598,832 units) (j)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2/23/2024</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599</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842</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17,638</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17,950</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Elements Brands, LLC</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Consumer Products</w:t>
            </w: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00" w:type="dxa"/>
            <w:vAlign w:val="bottom"/>
          </w:tcPr>
          <w:p>
            <w:pPr>
              <w:spacing w:after="0"/>
              <w:rPr>
                <w:sz w:val="10"/>
                <w:szCs w:val="10"/>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12.25%/0.00%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12/31/2020</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12/31/2024</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2,025</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2,023</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2,025</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12.25%/0.00%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12/31/2020</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12/31/2024</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1,500</w:t>
            </w: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1,499</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1,500</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3,522</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3,525</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Enterprise Asset Management FM Purchaser, Inc. (dba MCIM)</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0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+ 5.75%) / (2.00%)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11.08%/2.00%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5/20/2024</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5/20/2029</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17,127</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17,048</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17,048</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(551,470 units) (j)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5/20/2024</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750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750</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17,798</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17,798</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Fishbowl Solutions, LLC</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(ar)</w:t>
            </w:r>
          </w:p>
        </w:tc>
        <w:tc>
          <w:tcPr>
            <w:tcW w:w="310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+ 7.75%) / (1.00%)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13.33%/0.00%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3/25/2022</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3/25/2027</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13,811</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13,757</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13,711</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Global Plasma Solutions, Inc.</w:t>
            </w:r>
          </w:p>
        </w:tc>
        <w:tc>
          <w:tcPr>
            <w:tcW w:w="31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Component Manufacturing</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(584 shares) (j)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2/1/2024</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155</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249</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(1,656 shares) (j)</w:t>
            </w: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9/21/2018</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177</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342</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332</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591</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GMP HVAC, LLC (dba McGee Heating &amp; Air, LLC)</w:t>
            </w:r>
          </w:p>
        </w:tc>
        <w:tc>
          <w:tcPr>
            <w:tcW w:w="31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Utilities: Services</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0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8"/>
                <w:szCs w:val="8"/>
                <w:color w:val="auto"/>
              </w:rPr>
              <w:t>(S + 7.00%) / (2.00%)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12.33%/0.00%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12/8/2023</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12/8/2028</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20,648</w:t>
            </w: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20,543</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20,648</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Revolving Loan ($1,500 unfunded commitment) (i)(j)</w:t>
            </w:r>
          </w:p>
        </w:tc>
        <w:tc>
          <w:tcPr>
            <w:tcW w:w="310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+ 7.00%) / (2.00%)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12.33%/0.00%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12/8/2023</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12/8/2028</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rPr>
              <w:t>(7 )</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(1,394 units) (h)(j)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12/8/2023</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1,406</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1,699</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21,942</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22,347</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GP&amp;C Operations, LLC (dba Garlock Printing and Converting)</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Component Manufacturing</w:t>
            </w: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(515,625 units) (h)(j)</w:t>
            </w: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1/22/2021</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516</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698</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Green Cubes Technology, LLC (dba Green Cubes)</w:t>
            </w:r>
          </w:p>
        </w:tc>
        <w:tc>
          <w:tcPr>
            <w:tcW w:w="31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0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8"/>
                <w:szCs w:val="8"/>
                <w:color w:val="auto"/>
              </w:rPr>
              <w:t>(S + 13.00%) / (0.00%)</w:t>
            </w: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18.17%/0.00%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12/17/2021</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12/17/2024</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11,513</w:t>
            </w: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11,507</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11,628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Haematologic Technologies, Inc.</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Healthcare Services</w:t>
            </w:r>
          </w:p>
        </w:tc>
        <w:tc>
          <w:tcPr>
            <w:tcW w:w="8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(x)</w:t>
            </w:r>
          </w:p>
        </w:tc>
        <w:tc>
          <w:tcPr>
            <w:tcW w:w="310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+ 8.25%) / (2.00%)</w:t>
            </w:r>
          </w:p>
        </w:tc>
        <w:tc>
          <w:tcPr>
            <w:tcW w:w="84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13.10%/0.00%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10/11/2019</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10/11/2024</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5,385</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5,384</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5,385</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(630 units) (h)(j)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10/11/2019</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630</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(89 units) (h)(j)</w:t>
            </w: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6/26/2023</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89</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152</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6,103</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5,537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Hallmark Health Care Solutions, Inc.</w:t>
            </w:r>
          </w:p>
        </w:tc>
        <w:tc>
          <w:tcPr>
            <w:tcW w:w="31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Healthcare Services</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(3,645,752 units) (j)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9/18/2023</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3,647</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3,997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Healthfuse, LLC</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Healthcare Services</w:t>
            </w:r>
          </w:p>
        </w:tc>
        <w:tc>
          <w:tcPr>
            <w:tcW w:w="8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(197,980 units)</w:t>
            </w: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11/13/2020</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739</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2,579</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Hub Acquisition Sub, LLC (dba Hub Pen)</w:t>
            </w:r>
          </w:p>
        </w:tc>
        <w:tc>
          <w:tcPr>
            <w:tcW w:w="31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Promotional products</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11.50%/1.25%</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4/25/2023</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6/30/2028</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24,725</w:t>
            </w: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24,464</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24,726</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(5,837 units) (j)</w:t>
            </w: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3/23/2016</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1,382</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(637 units) (j)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8/7/2023</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28</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151</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(868 units) (j)</w:t>
            </w:r>
          </w:p>
        </w:tc>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10/16/2020</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154</w:t>
            </w:r>
          </w:p>
        </w:tc>
        <w:tc>
          <w:tcPr>
            <w:tcW w:w="74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338</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spacing w:after="0"/>
              <w:rPr>
                <w:sz w:val="12"/>
                <w:szCs w:val="12"/>
                <w:color w:val="auto"/>
              </w:rPr>
            </w:pP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24,646</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26,597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0" w:type="dxa"/>
            <w:vAlign w:val="bottom"/>
          </w:tcPr>
          <w:p>
            <w:pPr>
              <w:spacing w:after="0"/>
              <w:rPr>
                <w:sz w:val="1"/>
                <w:szCs w:val="1"/>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IBH Holdings, LLC (fka Inflexxion, Inc.)</w:t>
            </w:r>
          </w:p>
        </w:tc>
        <w:tc>
          <w:tcPr>
            <w:tcW w:w="3100" w:type="dxa"/>
            <w:vAlign w:val="bottom"/>
          </w:tcPr>
          <w:p>
            <w:pPr>
              <w:ind w:left="100"/>
              <w:spacing w:after="0"/>
              <w:rPr>
                <w:sz w:val="20"/>
                <w:szCs w:val="20"/>
                <w:color w:val="auto"/>
              </w:rPr>
            </w:pPr>
            <w:r>
              <w:rPr>
                <w:rFonts w:ascii="Times New Roman" w:cs="Times New Roman" w:eastAsia="Times New Roman" w:hAnsi="Times New Roman"/>
                <w:sz w:val="8"/>
                <w:szCs w:val="8"/>
                <w:color w:val="auto"/>
              </w:rPr>
              <w:t>Business Services</w:t>
            </w: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(150,000 units) (j)</w:t>
            </w:r>
          </w:p>
        </w:tc>
        <w:tc>
          <w:tcPr>
            <w:tcW w:w="3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6/20/2018</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w:t>
            </w:r>
          </w:p>
        </w:tc>
        <w:tc>
          <w:tcPr>
            <w:tcW w:w="74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21</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InductiveHealth Informatics, LLC</w:t>
            </w:r>
          </w:p>
        </w:tc>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Healthcare Services</w:t>
            </w:r>
          </w:p>
        </w:tc>
        <w:tc>
          <w:tcPr>
            <w:tcW w:w="8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1440" w:right="680" w:bottom="53"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300" w:type="dxa"/>
            <w:vAlign w:val="bottom"/>
            <w:vMerge w:val="restart"/>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180" w:type="dxa"/>
            <w:vAlign w:val="bottom"/>
          </w:tcPr>
          <w:p>
            <w:pPr>
              <w:ind w:left="2260"/>
              <w:spacing w:after="0"/>
              <w:rPr>
                <w:sz w:val="20"/>
                <w:szCs w:val="20"/>
                <w:color w:val="auto"/>
              </w:rPr>
            </w:pPr>
            <w:r>
              <w:rPr>
                <w:rFonts w:ascii="Times New Roman" w:cs="Times New Roman" w:eastAsia="Times New Roman" w:hAnsi="Times New Roman"/>
                <w:sz w:val="8"/>
                <w:szCs w:val="8"/>
                <w:color w:val="auto"/>
              </w:rPr>
              <w:t>(S + 7.75%) / (2.00%)</w:t>
            </w:r>
          </w:p>
        </w:tc>
        <w:tc>
          <w:tcPr>
            <w:tcW w:w="8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color w:val="auto"/>
              </w:rPr>
              <w:t>12.44%/0.50%</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8"/>
                <w:szCs w:val="8"/>
                <w:color w:val="auto"/>
              </w:rPr>
              <w:t>9/20/2024</w:t>
            </w: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8"/>
                <w:szCs w:val="8"/>
                <w:color w:val="auto"/>
              </w:rPr>
              <w:t>9/20/2028</w:t>
            </w:r>
          </w:p>
        </w:tc>
        <w:tc>
          <w:tcPr>
            <w:tcW w:w="760" w:type="dxa"/>
            <w:vAlign w:val="bottom"/>
            <w:vMerge w:val="restart"/>
          </w:tcPr>
          <w:p>
            <w:pPr>
              <w:jc w:val="right"/>
              <w:ind w:right="218"/>
              <w:spacing w:after="0"/>
              <w:rPr>
                <w:sz w:val="20"/>
                <w:szCs w:val="20"/>
                <w:color w:val="auto"/>
              </w:rPr>
            </w:pPr>
            <w:r>
              <w:rPr>
                <w:rFonts w:ascii="Times New Roman" w:cs="Times New Roman" w:eastAsia="Times New Roman" w:hAnsi="Times New Roman"/>
                <w:sz w:val="8"/>
                <w:szCs w:val="8"/>
                <w:color w:val="auto"/>
              </w:rPr>
              <w:t>20,003</w:t>
            </w:r>
          </w:p>
        </w:tc>
        <w:tc>
          <w:tcPr>
            <w:tcW w:w="680" w:type="dxa"/>
            <w:vAlign w:val="bottom"/>
            <w:vMerge w:val="restart"/>
          </w:tcPr>
          <w:p>
            <w:pPr>
              <w:jc w:val="right"/>
              <w:ind w:right="178"/>
              <w:spacing w:after="0"/>
              <w:rPr>
                <w:sz w:val="20"/>
                <w:szCs w:val="20"/>
                <w:color w:val="auto"/>
              </w:rPr>
            </w:pPr>
            <w:r>
              <w:rPr>
                <w:rFonts w:ascii="Times New Roman" w:cs="Times New Roman" w:eastAsia="Times New Roman" w:hAnsi="Times New Roman"/>
                <w:sz w:val="8"/>
                <w:szCs w:val="8"/>
                <w:color w:val="auto"/>
              </w:rPr>
              <w:t>19,780</w:t>
            </w:r>
          </w:p>
        </w:tc>
        <w:tc>
          <w:tcPr>
            <w:tcW w:w="780" w:type="dxa"/>
            <w:vAlign w:val="bottom"/>
            <w:vMerge w:val="restart"/>
          </w:tcPr>
          <w:p>
            <w:pPr>
              <w:jc w:val="right"/>
              <w:ind w:right="278"/>
              <w:spacing w:after="0"/>
              <w:rPr>
                <w:sz w:val="20"/>
                <w:szCs w:val="20"/>
                <w:color w:val="auto"/>
              </w:rPr>
            </w:pPr>
            <w:r>
              <w:rPr>
                <w:rFonts w:ascii="Times New Roman" w:cs="Times New Roman" w:eastAsia="Times New Roman" w:hAnsi="Times New Roman"/>
                <w:sz w:val="8"/>
                <w:szCs w:val="8"/>
                <w:color w:val="auto"/>
              </w:rPr>
              <w:t>19,780</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300" w:type="dxa"/>
            <w:vAlign w:val="bottom"/>
            <w:vMerge w:val="continue"/>
          </w:tcPr>
          <w:p>
            <w:pPr>
              <w:spacing w:after="0"/>
              <w:rPr>
                <w:sz w:val="5"/>
                <w:szCs w:val="5"/>
                <w:color w:val="auto"/>
              </w:rPr>
            </w:pPr>
          </w:p>
        </w:tc>
        <w:tc>
          <w:tcPr>
            <w:tcW w:w="31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(367 units) (j)</w:t>
            </w:r>
          </w:p>
        </w:tc>
        <w:tc>
          <w:tcPr>
            <w:tcW w:w="3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9/20/2024</w:t>
            </w:r>
          </w:p>
        </w:tc>
        <w:tc>
          <w:tcPr>
            <w:tcW w:w="8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367</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367</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(1,361 units) (j)</w:t>
            </w:r>
          </w:p>
        </w:tc>
        <w:tc>
          <w:tcPr>
            <w:tcW w:w="3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9/20/2024</w:t>
            </w: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300" w:type="dxa"/>
            <w:vAlign w:val="bottom"/>
            <w:shd w:val="clear" w:color="auto" w:fill="CFF0FC"/>
          </w:tcPr>
          <w:p>
            <w:pPr>
              <w:spacing w:after="0"/>
              <w:rPr>
                <w:sz w:val="12"/>
                <w:szCs w:val="12"/>
                <w:color w:val="auto"/>
              </w:rPr>
            </w:pPr>
          </w:p>
        </w:tc>
        <w:tc>
          <w:tcPr>
            <w:tcW w:w="3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20,147</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20,147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c>
          <w:tcPr>
            <w:tcW w:w="0" w:type="dxa"/>
            <w:vAlign w:val="bottom"/>
          </w:tcPr>
          <w:p>
            <w:pPr>
              <w:spacing w:after="0"/>
              <w:rPr>
                <w:sz w:val="1"/>
                <w:szCs w:val="1"/>
                <w:color w:val="auto"/>
              </w:rPr>
            </w:pPr>
          </w:p>
        </w:tc>
      </w:tr>
      <w:tr>
        <w:trPr>
          <w:trHeight w:val="126"/>
        </w:trPr>
        <w:tc>
          <w:tcPr>
            <w:tcW w:w="230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Informatics Holdings, Inc. (dba Wasp Barcode Technologies)</w:t>
            </w:r>
          </w:p>
        </w:tc>
        <w:tc>
          <w:tcPr>
            <w:tcW w:w="31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(j)(v)</w:t>
            </w:r>
          </w:p>
        </w:tc>
        <w:tc>
          <w:tcPr>
            <w:tcW w:w="318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8"/>
                <w:szCs w:val="8"/>
                <w:color w:val="auto"/>
              </w:rPr>
              <w:t>(S + 6.50%) / (2.50%)</w:t>
            </w:r>
          </w:p>
        </w:tc>
        <w:tc>
          <w:tcPr>
            <w:tcW w:w="88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11.83%/0.00%</w:t>
            </w:r>
          </w:p>
        </w:tc>
        <w:tc>
          <w:tcPr>
            <w:tcW w:w="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5/1/2024</w:t>
            </w:r>
          </w:p>
        </w:tc>
        <w:tc>
          <w:tcPr>
            <w:tcW w:w="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3/7/2029</w:t>
            </w:r>
          </w:p>
        </w:tc>
        <w:tc>
          <w:tcPr>
            <w:tcW w:w="76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9,000</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8,985</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9,000</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83" w:right="680" w:bottom="1440" w:gutter="0" w:footer="0" w:header="0"/>
        </w:sectPr>
      </w:pPr>
    </w:p>
    <w:bookmarkStart w:id="10" w:name="page11"/>
    <w:bookmarkEnd w:id="10"/>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(1,000,000 units) (j)</w:t>
            </w:r>
          </w:p>
        </w:tc>
        <w:tc>
          <w:tcPr>
            <w:tcW w:w="2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3/7/2024</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1,000</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1,156</w:t>
            </w:r>
          </w:p>
        </w:tc>
        <w:tc>
          <w:tcPr>
            <w:tcW w:w="460" w:type="dxa"/>
            <w:vAlign w:val="bottom"/>
          </w:tcPr>
          <w:p>
            <w:pPr>
              <w:spacing w:after="0"/>
              <w:rPr>
                <w:sz w:val="9"/>
                <w:szCs w:val="9"/>
                <w:color w:val="auto"/>
              </w:rPr>
            </w:pP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9,985</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10,156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2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ISI PSG Holdings, LLC (dba Incentive Solutions, Inc.)</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Business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(j)(aj)</w:t>
            </w:r>
          </w:p>
        </w:tc>
        <w:tc>
          <w:tcPr>
            <w:tcW w:w="2960" w:type="dxa"/>
            <w:vAlign w:val="bottom"/>
            <w:shd w:val="clear" w:color="auto" w:fill="CFF0FC"/>
          </w:tcPr>
          <w:p>
            <w:pPr>
              <w:ind w:left="2040"/>
              <w:spacing w:after="0"/>
              <w:rPr>
                <w:sz w:val="20"/>
                <w:szCs w:val="20"/>
                <w:color w:val="auto"/>
              </w:rPr>
            </w:pPr>
            <w:r>
              <w:rPr>
                <w:rFonts w:ascii="Times New Roman" w:cs="Times New Roman" w:eastAsia="Times New Roman" w:hAnsi="Times New Roman"/>
                <w:sz w:val="8"/>
                <w:szCs w:val="8"/>
                <w:color w:val="auto"/>
              </w:rPr>
              <w:t>(S + 7.50%) / (0.50%)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12.25%/0.00%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4/5/2021</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4/5/2026</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10,886</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10,854</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10,886</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(j)(an)</w:t>
            </w:r>
          </w:p>
        </w:tc>
        <w:tc>
          <w:tcPr>
            <w:tcW w:w="2960" w:type="dxa"/>
            <w:vAlign w:val="bottom"/>
          </w:tcPr>
          <w:p>
            <w:pPr>
              <w:ind w:left="2040"/>
              <w:spacing w:after="0"/>
              <w:rPr>
                <w:sz w:val="20"/>
                <w:szCs w:val="20"/>
                <w:color w:val="auto"/>
              </w:rPr>
            </w:pPr>
            <w:r>
              <w:rPr>
                <w:rFonts w:ascii="Times New Roman" w:cs="Times New Roman" w:eastAsia="Times New Roman" w:hAnsi="Times New Roman"/>
                <w:sz w:val="8"/>
                <w:szCs w:val="8"/>
                <w:color w:val="auto"/>
              </w:rPr>
              <w:t>(S + 7.50%) / (0.50%)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8.75%/0.00%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6/30/2021</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4/5/2026</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11,481</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11,481</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11,481</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(256,964 units) (h)(j)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4/5/2021</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500</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492</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22,835</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22,859</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3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Janus Health Technologies, Inc.</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w:t>
            </w:r>
          </w:p>
        </w:tc>
        <w:tc>
          <w:tcPr>
            <w:tcW w:w="296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12.00%/0.00%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1/3/2024</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1/3/2028</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5,000</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4,981</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5,000</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12.00%/0.00%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1/3/2024</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6/3/2025</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2,500</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2,495</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2,500</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(68,361 units)</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1/3/2024</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1,500</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1,497</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8,976</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8,997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2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Jumo Health, Inc.</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Healthcare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50"/>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(j)(aw)</w:t>
            </w:r>
          </w:p>
        </w:tc>
        <w:tc>
          <w:tcPr>
            <w:tcW w:w="2960" w:type="dxa"/>
            <w:vAlign w:val="bottom"/>
            <w:shd w:val="clear" w:color="auto" w:fill="CFF0FC"/>
          </w:tcPr>
          <w:p>
            <w:pPr>
              <w:ind w:left="2040"/>
              <w:spacing w:after="0"/>
              <w:rPr>
                <w:sz w:val="20"/>
                <w:szCs w:val="20"/>
                <w:color w:val="auto"/>
              </w:rPr>
            </w:pPr>
            <w:r>
              <w:rPr>
                <w:rFonts w:ascii="Times New Roman" w:cs="Times New Roman" w:eastAsia="Times New Roman" w:hAnsi="Times New Roman"/>
                <w:sz w:val="8"/>
                <w:szCs w:val="8"/>
                <w:color w:val="auto"/>
              </w:rPr>
              <w:t>(S + 5.50%) / (2.00%)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10.63%/0.00%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8/16/2024</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8/16/2029</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6,000</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5,931</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5,931</w:t>
            </w:r>
          </w:p>
        </w:tc>
        <w:tc>
          <w:tcPr>
            <w:tcW w:w="460" w:type="dxa"/>
            <w:vAlign w:val="bottom"/>
            <w:shd w:val="clear" w:color="auto" w:fill="CFF0FC"/>
          </w:tcPr>
          <w:p>
            <w:pPr>
              <w:spacing w:after="0"/>
              <w:rPr>
                <w:sz w:val="13"/>
                <w:szCs w:val="13"/>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(1,359 shares) (j)</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8/16/2024</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(1,359 shares) (j)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8/16/2024</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750</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750</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6,681</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6,681</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3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The Kyjen Company, LLC (dba Outward Hound)</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Consumer Products</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(855 shares) (j)</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12/8/2017</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933</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Level Education Group, LLC (dba CE4Less)</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Business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(ak)</w:t>
            </w:r>
          </w:p>
        </w:tc>
        <w:tc>
          <w:tcPr>
            <w:tcW w:w="2960" w:type="dxa"/>
            <w:vAlign w:val="bottom"/>
            <w:shd w:val="clear" w:color="auto" w:fill="CFF0FC"/>
          </w:tcPr>
          <w:p>
            <w:pPr>
              <w:ind w:left="2040"/>
              <w:spacing w:after="0"/>
              <w:rPr>
                <w:sz w:val="20"/>
                <w:szCs w:val="20"/>
                <w:color w:val="auto"/>
              </w:rPr>
            </w:pPr>
            <w:r>
              <w:rPr>
                <w:rFonts w:ascii="Times New Roman" w:cs="Times New Roman" w:eastAsia="Times New Roman" w:hAnsi="Times New Roman"/>
                <w:sz w:val="8"/>
                <w:szCs w:val="8"/>
                <w:color w:val="auto"/>
              </w:rPr>
              <w:t>(S + 5.75%) / (2.00%)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11.33%/0.00%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4/1/2021</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4/1/2026</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4,226</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4,213</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4,226</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(1,000,000 units) (j)</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4/1/2021</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1,000</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1,411</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5,213</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5,637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2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LifeSpan Biosciences, Inc.</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Healthcare Products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11.50%/0.00%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3/19/2021</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4/7/2028</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16,000</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15,970</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15,970</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(108 shares) (j)</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6/7/2024</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595</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595</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16,565</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16,565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2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MBS Opco, LLC (dba Marketron)</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2960" w:type="dxa"/>
            <w:vAlign w:val="bottom"/>
            <w:shd w:val="clear" w:color="auto" w:fill="CFF0FC"/>
          </w:tcPr>
          <w:p>
            <w:pPr>
              <w:ind w:left="2040"/>
              <w:spacing w:after="0"/>
              <w:rPr>
                <w:sz w:val="20"/>
                <w:szCs w:val="20"/>
                <w:color w:val="auto"/>
              </w:rPr>
            </w:pPr>
            <w:r>
              <w:rPr>
                <w:rFonts w:ascii="Times New Roman" w:cs="Times New Roman" w:eastAsia="Times New Roman" w:hAnsi="Times New Roman"/>
                <w:sz w:val="8"/>
                <w:szCs w:val="8"/>
                <w:color w:val="auto"/>
              </w:rPr>
              <w:t>(S + 8.50%) / (1.50%)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14.09%/0.00%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9/29/2022</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9/28/2026</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27,000</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26,933</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27,000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4 %</w:t>
            </w:r>
          </w:p>
        </w:tc>
      </w:tr>
      <w:tr>
        <w:trPr>
          <w:trHeight w:val="132"/>
        </w:trPr>
        <w:tc>
          <w:tcPr>
            <w:tcW w:w="25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MDME Holding Corp.</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Healthcare Products</w:t>
            </w:r>
          </w:p>
        </w:tc>
        <w:tc>
          <w:tcPr>
            <w:tcW w:w="8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w:t>
            </w:r>
          </w:p>
        </w:tc>
        <w:tc>
          <w:tcPr>
            <w:tcW w:w="2960" w:type="dxa"/>
            <w:vAlign w:val="bottom"/>
          </w:tcPr>
          <w:p>
            <w:pPr>
              <w:ind w:left="2040"/>
              <w:spacing w:after="0"/>
              <w:rPr>
                <w:sz w:val="20"/>
                <w:szCs w:val="20"/>
                <w:color w:val="auto"/>
              </w:rPr>
            </w:pPr>
            <w:r>
              <w:rPr>
                <w:rFonts w:ascii="Times New Roman" w:cs="Times New Roman" w:eastAsia="Times New Roman" w:hAnsi="Times New Roman"/>
                <w:sz w:val="8"/>
                <w:szCs w:val="8"/>
                <w:color w:val="auto"/>
              </w:rPr>
              <w:t>(S + 6.25%) / (1.00%)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11.00%/0.00%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8/31/2023</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8/3/2027</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11,804</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11,735</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10,473</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(4,735 units) (j)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9/18/2023</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(12,500 units) (j)</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9/18/2023</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1,250</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335</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12,985</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10,808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19"/>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Micronics Filtration Holdings, Inc. (dba Micronics Engineered Filtration</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15"/>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Group, Inc.)</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Component Manufacturing</w:t>
            </w: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(k)(as)</w:t>
            </w:r>
          </w:p>
        </w:tc>
        <w:tc>
          <w:tcPr>
            <w:tcW w:w="2960" w:type="dxa"/>
            <w:vAlign w:val="bottom"/>
            <w:shd w:val="clear" w:color="auto" w:fill="CFF0FC"/>
          </w:tcPr>
          <w:p>
            <w:pPr>
              <w:ind w:left="2040"/>
              <w:spacing w:after="0"/>
              <w:rPr>
                <w:sz w:val="20"/>
                <w:szCs w:val="20"/>
                <w:color w:val="auto"/>
              </w:rPr>
            </w:pPr>
            <w:r>
              <w:rPr>
                <w:rFonts w:ascii="Times New Roman" w:cs="Times New Roman" w:eastAsia="Times New Roman" w:hAnsi="Times New Roman"/>
                <w:sz w:val="8"/>
                <w:szCs w:val="8"/>
                <w:color w:val="auto"/>
              </w:rPr>
              <w:t>(S + 5.25%) / (0.50%)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10.84%/0.00%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2/17/2022</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2/17/2027</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30,000</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29,381</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30,000</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(14,400 units) (j)</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2/17/2022</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1,440</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6,126</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30,821</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36,126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5 %</w:t>
            </w:r>
          </w:p>
        </w:tc>
      </w:tr>
      <w:tr>
        <w:trPr>
          <w:trHeight w:val="12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Netbase Solutions, Inc. (dba Netbase Quid)</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(k)(ap)</w:t>
            </w:r>
          </w:p>
        </w:tc>
        <w:tc>
          <w:tcPr>
            <w:tcW w:w="2960" w:type="dxa"/>
            <w:vAlign w:val="bottom"/>
            <w:shd w:val="clear" w:color="auto" w:fill="CFF0FC"/>
          </w:tcPr>
          <w:p>
            <w:pPr>
              <w:ind w:left="2040"/>
              <w:spacing w:after="0"/>
              <w:rPr>
                <w:sz w:val="20"/>
                <w:szCs w:val="20"/>
                <w:color w:val="auto"/>
              </w:rPr>
            </w:pPr>
            <w:r>
              <w:rPr>
                <w:rFonts w:ascii="Times New Roman" w:cs="Times New Roman" w:eastAsia="Times New Roman" w:hAnsi="Times New Roman"/>
                <w:sz w:val="8"/>
                <w:szCs w:val="8"/>
                <w:color w:val="auto"/>
              </w:rPr>
              <w:t>(P + 4.00%) / (3.25%)</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12.00%/0.00%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11/18/2021</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11/18/2025</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15,869</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15,833</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15,869</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32"/>
        </w:trPr>
        <w:tc>
          <w:tcPr>
            <w:tcW w:w="25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NWS Technologies, LLC</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Utilities: Services</w:t>
            </w:r>
          </w:p>
        </w:tc>
        <w:tc>
          <w:tcPr>
            <w:tcW w:w="8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(u)</w:t>
            </w:r>
          </w:p>
        </w:tc>
        <w:tc>
          <w:tcPr>
            <w:tcW w:w="2960" w:type="dxa"/>
            <w:vAlign w:val="bottom"/>
          </w:tcPr>
          <w:p>
            <w:pPr>
              <w:ind w:left="2040"/>
              <w:spacing w:after="0"/>
              <w:rPr>
                <w:sz w:val="20"/>
                <w:szCs w:val="20"/>
                <w:color w:val="auto"/>
              </w:rPr>
            </w:pPr>
            <w:r>
              <w:rPr>
                <w:rFonts w:ascii="Times New Roman" w:cs="Times New Roman" w:eastAsia="Times New Roman" w:hAnsi="Times New Roman"/>
                <w:sz w:val="8"/>
                <w:szCs w:val="8"/>
                <w:color w:val="auto"/>
              </w:rPr>
              <w:t>(S + 8.00%) / (2.50%)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13.32%/0.00%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6/20/2023</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6/16/2028</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17,000</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16,811</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17,000</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 unit) (h)(j)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6/20/2023</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1,110</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948</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(0.375 units) (h)(j)</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6/20/2023</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370</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404</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18,291</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18,352</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2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OnePath Systems, LLC</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(s)</w:t>
            </w:r>
          </w:p>
        </w:tc>
        <w:tc>
          <w:tcPr>
            <w:tcW w:w="2960" w:type="dxa"/>
            <w:vAlign w:val="bottom"/>
            <w:shd w:val="clear" w:color="auto" w:fill="CFF0FC"/>
          </w:tcPr>
          <w:p>
            <w:pPr>
              <w:ind w:left="2040"/>
              <w:spacing w:after="0"/>
              <w:rPr>
                <w:sz w:val="20"/>
                <w:szCs w:val="20"/>
                <w:color w:val="auto"/>
              </w:rPr>
            </w:pPr>
            <w:r>
              <w:rPr>
                <w:rFonts w:ascii="Times New Roman" w:cs="Times New Roman" w:eastAsia="Times New Roman" w:hAnsi="Times New Roman"/>
                <w:sz w:val="8"/>
                <w:szCs w:val="8"/>
                <w:color w:val="auto"/>
              </w:rPr>
              <w:t>(S + 7.50%) / (1.00%)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12.83%/0.00%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9/30/2022</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9/30/2027</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11,000</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10,950</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11,000</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(732,542 shares) (j)</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9/30/2022</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500</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1,020</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11,450</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12,020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2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Palmetto Moon, LLC</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Retail</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(499 units) (j)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11/3/2016</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265</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822</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32"/>
        </w:trPr>
        <w:tc>
          <w:tcPr>
            <w:tcW w:w="25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Pinnergy, Ltd.</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Oil &amp; Gas Services</w:t>
            </w:r>
          </w:p>
        </w:tc>
        <w:tc>
          <w:tcPr>
            <w:tcW w:w="8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296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10.00%/0.00%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6/30/2022</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6/30/2027</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10,200</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10,158</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10,199</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PowerGrid Services Acquisition, LLC</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Utilities: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(5,461 units) (h)(j)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9/21/2021</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538</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1,143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32"/>
        </w:trPr>
        <w:tc>
          <w:tcPr>
            <w:tcW w:w="25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Prime AE Group, Inc.</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Business Services</w:t>
            </w:r>
          </w:p>
        </w:tc>
        <w:tc>
          <w:tcPr>
            <w:tcW w:w="8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(j)(ab)</w:t>
            </w:r>
          </w:p>
        </w:tc>
        <w:tc>
          <w:tcPr>
            <w:tcW w:w="2960" w:type="dxa"/>
            <w:vAlign w:val="bottom"/>
          </w:tcPr>
          <w:p>
            <w:pPr>
              <w:ind w:left="2040"/>
              <w:spacing w:after="0"/>
              <w:rPr>
                <w:sz w:val="20"/>
                <w:szCs w:val="20"/>
                <w:color w:val="auto"/>
              </w:rPr>
            </w:pPr>
            <w:r>
              <w:rPr>
                <w:rFonts w:ascii="Times New Roman" w:cs="Times New Roman" w:eastAsia="Times New Roman" w:hAnsi="Times New Roman"/>
                <w:sz w:val="8"/>
                <w:szCs w:val="8"/>
                <w:color w:val="auto"/>
              </w:rPr>
              <w:t>(S + 8.25%) / (2.00%)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13.21%/0.00%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11/25/2019</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11/22/2025</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5,500</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5,485</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5,500</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(900,000 shares) (j)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11/25/2019</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900</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412</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6,385</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5,912</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3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Puget Collision, LLC</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Retail</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(j)(av)</w:t>
            </w:r>
          </w:p>
        </w:tc>
        <w:tc>
          <w:tcPr>
            <w:tcW w:w="2960" w:type="dxa"/>
            <w:vAlign w:val="bottom"/>
          </w:tcPr>
          <w:p>
            <w:pPr>
              <w:ind w:left="2040"/>
              <w:spacing w:after="0"/>
              <w:rPr>
                <w:sz w:val="20"/>
                <w:szCs w:val="20"/>
                <w:color w:val="auto"/>
              </w:rPr>
            </w:pPr>
            <w:r>
              <w:rPr>
                <w:rFonts w:ascii="Times New Roman" w:cs="Times New Roman" w:eastAsia="Times New Roman" w:hAnsi="Times New Roman"/>
                <w:sz w:val="8"/>
                <w:szCs w:val="8"/>
                <w:color w:val="auto"/>
              </w:rPr>
              <w:t>(S + 7.00%) / (2.00%)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12.33%/0.00%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1/4/2024</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1/4/2029</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22,232</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22,003</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22,232</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(299 units) (h)(j)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1/4/2024</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774</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1,167</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22,777</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23,399</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4 %</w:t>
            </w:r>
          </w:p>
        </w:tc>
      </w:tr>
      <w:tr>
        <w:trPr>
          <w:trHeight w:val="13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QED Technologies International, Inc.</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Component Manufacturing</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(q)</w:t>
            </w:r>
          </w:p>
        </w:tc>
        <w:tc>
          <w:tcPr>
            <w:tcW w:w="2960" w:type="dxa"/>
            <w:vAlign w:val="bottom"/>
          </w:tcPr>
          <w:p>
            <w:pPr>
              <w:ind w:left="2040"/>
              <w:spacing w:after="0"/>
              <w:rPr>
                <w:sz w:val="20"/>
                <w:szCs w:val="20"/>
                <w:color w:val="auto"/>
              </w:rPr>
            </w:pPr>
            <w:r>
              <w:rPr>
                <w:rFonts w:ascii="Times New Roman" w:cs="Times New Roman" w:eastAsia="Times New Roman" w:hAnsi="Times New Roman"/>
                <w:sz w:val="8"/>
                <w:szCs w:val="8"/>
                <w:color w:val="auto"/>
              </w:rPr>
              <w:t>(S + 5.25%) / (1.50%)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10.58%/0.50%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3/1/2023</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3/1/2028</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15,551</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15,462</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15,551</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(140 shares) (j)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2/28/2023</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1,402</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2,901</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16,864</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18,452</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3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Quantum IR Technologies, LLC</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296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14.00%/0.00%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3/19/2024</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12/20/2026</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12,000</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11,964</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11,964</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(12,183 shares) (j)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3/19/2024</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2,400</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2,400</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14,364</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14,364</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3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Quest Software US Holdings Inc.</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2960" w:type="dxa"/>
            <w:vAlign w:val="bottom"/>
          </w:tcPr>
          <w:p>
            <w:pPr>
              <w:ind w:left="2040"/>
              <w:spacing w:after="0"/>
              <w:rPr>
                <w:sz w:val="20"/>
                <w:szCs w:val="20"/>
                <w:color w:val="auto"/>
              </w:rPr>
            </w:pPr>
            <w:r>
              <w:rPr>
                <w:rFonts w:ascii="Times New Roman" w:cs="Times New Roman" w:eastAsia="Times New Roman" w:hAnsi="Times New Roman"/>
                <w:sz w:val="8"/>
                <w:szCs w:val="8"/>
                <w:color w:val="auto"/>
              </w:rPr>
              <w:t>(S + 7.50%) / (0.50%)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12.90%/0.00%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3/1/2022</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2/1/2030</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20,000</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19,517</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9,869</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R1 Holdings, LLC (dba RoadOne IntermodaLogistics)</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Transportation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2960" w:type="dxa"/>
            <w:vAlign w:val="bottom"/>
            <w:shd w:val="clear" w:color="auto" w:fill="CFF0FC"/>
          </w:tcPr>
          <w:p>
            <w:pPr>
              <w:ind w:left="2040"/>
              <w:spacing w:after="0"/>
              <w:rPr>
                <w:sz w:val="20"/>
                <w:szCs w:val="20"/>
                <w:color w:val="auto"/>
              </w:rPr>
            </w:pPr>
            <w:r>
              <w:rPr>
                <w:rFonts w:ascii="Times New Roman" w:cs="Times New Roman" w:eastAsia="Times New Roman" w:hAnsi="Times New Roman"/>
                <w:sz w:val="8"/>
                <w:szCs w:val="8"/>
                <w:color w:val="auto"/>
              </w:rPr>
              <w:t>(S + 6.25%) / (1.00%)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11.10%/0.00%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12/30/2022</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12/30/2028</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6,295</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6,141</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6,295</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296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8.75%/5.00%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12/30/2022</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6/30/2029</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1,457</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1,423</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1,457</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(280,000 units) (j)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12/30/2022</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280</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246</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7,844</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7,998</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3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R.F. Fager Company LLC</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Specialty Distribution</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296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12.75%/0.00%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3/4/2024</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8/4/2030</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14,000</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13,928</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14,000</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(12,500 units) (h)(j)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3/4/2024</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1,221</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1,243</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15,149</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15,243</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38"/>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Rhino Assembly Company, LLC (n)</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Specialty Distribution</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(Class A Units) (10,915 units) (h)(j)</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8/11/2017</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(Units N/A) (h) (j)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12/10/2020</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(Class F Units) (710 units) (h)(j)</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12/10/2020</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2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Road Safety Services, Inc. (n)</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Business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(779units) (j)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9/18/2018</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19</w:t>
            </w: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(97 units) (j)</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2/3/2023</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2</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21</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2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ServicePower, Inc.</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(k)</w:t>
            </w:r>
          </w:p>
        </w:tc>
        <w:tc>
          <w:tcPr>
            <w:tcW w:w="2960" w:type="dxa"/>
            <w:vAlign w:val="bottom"/>
            <w:shd w:val="clear" w:color="auto" w:fill="CFF0FC"/>
          </w:tcPr>
          <w:p>
            <w:pPr>
              <w:ind w:left="2040"/>
              <w:spacing w:after="0"/>
              <w:rPr>
                <w:sz w:val="20"/>
                <w:szCs w:val="20"/>
                <w:color w:val="auto"/>
              </w:rPr>
            </w:pPr>
            <w:r>
              <w:rPr>
                <w:rFonts w:ascii="Times New Roman" w:cs="Times New Roman" w:eastAsia="Times New Roman" w:hAnsi="Times New Roman"/>
                <w:sz w:val="8"/>
                <w:szCs w:val="8"/>
                <w:color w:val="auto"/>
              </w:rPr>
              <w:t>(S + 8.00%) / (3.25%)</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13.32%/0.00%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3/15/2024</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3/15/2028</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21,000</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20,730</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21,000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32"/>
        </w:trPr>
        <w:tc>
          <w:tcPr>
            <w:tcW w:w="25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SES Investors, LLC (dba SES Foam) (n)</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Building Products Manufacturing</w:t>
            </w:r>
          </w:p>
        </w:tc>
        <w:tc>
          <w:tcPr>
            <w:tcW w:w="8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(6,000 units) (h)(j)</w:t>
            </w: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9/8/2016</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38"/>
        </w:trPr>
        <w:tc>
          <w:tcPr>
            <w:tcW w:w="2520" w:type="dxa"/>
            <w:vAlign w:val="bottom"/>
            <w:shd w:val="clear" w:color="auto" w:fill="CFF0FC"/>
          </w:tcPr>
          <w:p>
            <w:pPr>
              <w:spacing w:after="0"/>
              <w:rPr>
                <w:sz w:val="12"/>
                <w:szCs w:val="12"/>
                <w:color w:val="auto"/>
              </w:rPr>
            </w:pP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r>
      <w:tr>
        <w:trPr>
          <w:trHeight w:val="126"/>
        </w:trPr>
        <w:tc>
          <w:tcPr>
            <w:tcW w:w="25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Sonicwall US Holdings, Inc.</w:t>
            </w:r>
          </w:p>
        </w:tc>
        <w:tc>
          <w:tcPr>
            <w:tcW w:w="2960" w:type="dxa"/>
            <w:vAlign w:val="bottom"/>
          </w:tcPr>
          <w:p>
            <w:pPr>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2960" w:type="dxa"/>
            <w:vAlign w:val="bottom"/>
            <w:shd w:val="clear" w:color="auto" w:fill="CFF0FC"/>
          </w:tcPr>
          <w:p>
            <w:pPr>
              <w:ind w:left="2040"/>
              <w:spacing w:after="0"/>
              <w:rPr>
                <w:sz w:val="20"/>
                <w:szCs w:val="20"/>
                <w:color w:val="auto"/>
              </w:rPr>
            </w:pPr>
            <w:r>
              <w:rPr>
                <w:rFonts w:ascii="Times New Roman" w:cs="Times New Roman" w:eastAsia="Times New Roman" w:hAnsi="Times New Roman"/>
                <w:sz w:val="8"/>
                <w:szCs w:val="8"/>
                <w:color w:val="auto"/>
              </w:rPr>
              <w:t>(S + 7.50%) / (0.00%)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12.25%/0.00%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9/6/2022</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5/18/2026</w:t>
            </w:r>
          </w:p>
        </w:tc>
        <w:tc>
          <w:tcPr>
            <w:tcW w:w="74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3,581</w:t>
            </w: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3,450</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3,498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32"/>
        </w:trPr>
        <w:tc>
          <w:tcPr>
            <w:tcW w:w="25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Suited Connector LLC</w:t>
            </w: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26"/>
        </w:trPr>
        <w:tc>
          <w:tcPr>
            <w:tcW w:w="25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 (j)(y)</w:t>
            </w:r>
          </w:p>
        </w:tc>
        <w:tc>
          <w:tcPr>
            <w:tcW w:w="296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0.00%/14.00%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10/29/2021</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6/1/2028</w:t>
            </w: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16,000</w:t>
            </w: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15,934</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5,166</w:t>
            </w:r>
          </w:p>
        </w:tc>
        <w:tc>
          <w:tcPr>
            <w:tcW w:w="460" w:type="dxa"/>
            <w:vAlign w:val="bottom"/>
          </w:tcPr>
          <w:p>
            <w:pPr>
              <w:spacing w:after="0"/>
              <w:rPr>
                <w:sz w:val="10"/>
                <w:szCs w:val="10"/>
                <w:color w:val="auto"/>
              </w:rPr>
            </w:pPr>
          </w:p>
        </w:tc>
      </w:tr>
      <w:tr>
        <w:trPr>
          <w:trHeight w:val="138"/>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(56,382 units) (h)(j)</w:t>
            </w:r>
          </w:p>
        </w:tc>
        <w:tc>
          <w:tcPr>
            <w:tcW w:w="29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12/1/2021</w:t>
            </w:r>
          </w:p>
        </w:tc>
        <w:tc>
          <w:tcPr>
            <w:tcW w:w="8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835</w:t>
            </w:r>
          </w:p>
        </w:tc>
        <w:tc>
          <w:tcPr>
            <w:tcW w:w="780" w:type="dxa"/>
            <w:vAlign w:val="bottom"/>
            <w:shd w:val="clear" w:color="auto" w:fill="CFF0FC"/>
          </w:tcPr>
          <w:p>
            <w:pPr>
              <w:jc w:val="right"/>
              <w:ind w:right="278"/>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FF0FC"/>
          </w:tcPr>
          <w:p>
            <w:pPr>
              <w:spacing w:after="0"/>
              <w:rPr>
                <w:sz w:val="12"/>
                <w:szCs w:val="12"/>
                <w:color w:val="auto"/>
              </w:rPr>
            </w:pPr>
          </w:p>
        </w:tc>
      </w:tr>
      <w:tr>
        <w:trPr>
          <w:trHeight w:val="120"/>
        </w:trPr>
        <w:tc>
          <w:tcPr>
            <w:tcW w:w="25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16,769</w:t>
            </w:r>
          </w:p>
        </w:tc>
        <w:tc>
          <w:tcPr>
            <w:tcW w:w="780" w:type="dxa"/>
            <w:vAlign w:val="bottom"/>
          </w:tcPr>
          <w:p>
            <w:pPr>
              <w:jc w:val="right"/>
              <w:ind w:right="278"/>
              <w:spacing w:after="0"/>
              <w:rPr>
                <w:sz w:val="20"/>
                <w:szCs w:val="20"/>
                <w:color w:val="auto"/>
              </w:rPr>
            </w:pPr>
            <w:r>
              <w:rPr>
                <w:rFonts w:ascii="Times New Roman" w:cs="Times New Roman" w:eastAsia="Times New Roman" w:hAnsi="Times New Roman"/>
                <w:sz w:val="8"/>
                <w:szCs w:val="8"/>
                <w:color w:val="auto"/>
              </w:rPr>
              <w:t>5,166</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bl>
    <w:p>
      <w:pPr>
        <w:sectPr>
          <w:pgSz w:w="11900" w:h="16840" w:orient="portrait"/>
          <w:cols w:equalWidth="0" w:num="1">
            <w:col w:w="10560"/>
          </w:cols>
          <w:pgMar w:left="660" w:top="1440" w:right="680" w:bottom="17"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Tedia Company, LLC</w:t>
            </w:r>
          </w:p>
        </w:tc>
        <w:tc>
          <w:tcPr>
            <w:tcW w:w="3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8"/>
                <w:szCs w:val="8"/>
                <w:color w:val="auto"/>
              </w:rPr>
              <w:t>Healthcare Products</w:t>
            </w:r>
          </w:p>
        </w:tc>
        <w:tc>
          <w:tcPr>
            <w:tcW w:w="8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r>
      <w:tr>
        <w:trPr>
          <w:trHeight w:val="126"/>
        </w:trPr>
        <w:tc>
          <w:tcPr>
            <w:tcW w:w="22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240" w:type="dxa"/>
            <w:vAlign w:val="bottom"/>
          </w:tcPr>
          <w:p>
            <w:pPr>
              <w:ind w:left="2320"/>
              <w:spacing w:after="0"/>
              <w:rPr>
                <w:sz w:val="20"/>
                <w:szCs w:val="20"/>
                <w:color w:val="auto"/>
              </w:rPr>
            </w:pPr>
            <w:r>
              <w:rPr>
                <w:rFonts w:ascii="Times New Roman" w:cs="Times New Roman" w:eastAsia="Times New Roman" w:hAnsi="Times New Roman"/>
                <w:sz w:val="8"/>
                <w:szCs w:val="8"/>
                <w:color w:val="auto"/>
              </w:rPr>
              <w:t>(S + 8.75%) / (1.00%)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14.34%/0.00%</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3/4/2022</w:t>
            </w:r>
          </w:p>
        </w:tc>
        <w:tc>
          <w:tcPr>
            <w:tcW w:w="80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3/4/2027</w:t>
            </w:r>
          </w:p>
        </w:tc>
        <w:tc>
          <w:tcPr>
            <w:tcW w:w="78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15,600</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15,558</w:t>
            </w:r>
          </w:p>
        </w:tc>
        <w:tc>
          <w:tcPr>
            <w:tcW w:w="1200" w:type="dxa"/>
            <w:vAlign w:val="bottom"/>
          </w:tcPr>
          <w:p>
            <w:pPr>
              <w:jc w:val="right"/>
              <w:ind w:right="738"/>
              <w:spacing w:after="0"/>
              <w:rPr>
                <w:sz w:val="20"/>
                <w:szCs w:val="20"/>
                <w:color w:val="auto"/>
              </w:rPr>
            </w:pPr>
            <w:r>
              <w:rPr>
                <w:rFonts w:ascii="Times New Roman" w:cs="Times New Roman" w:eastAsia="Times New Roman" w:hAnsi="Times New Roman"/>
                <w:sz w:val="8"/>
                <w:szCs w:val="8"/>
                <w:color w:val="auto"/>
              </w:rPr>
              <w:t>15,600</w:t>
            </w:r>
          </w:p>
        </w:tc>
      </w:tr>
      <w:tr>
        <w:trPr>
          <w:trHeight w:val="138"/>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Revolving Loan ($2,250 unfunded commitment) (i)(j)</w:t>
            </w:r>
          </w:p>
        </w:tc>
        <w:tc>
          <w:tcPr>
            <w:tcW w:w="3240" w:type="dxa"/>
            <w:vAlign w:val="bottom"/>
            <w:shd w:val="clear" w:color="auto" w:fill="CFF0FC"/>
          </w:tcPr>
          <w:p>
            <w:pPr>
              <w:ind w:left="2320"/>
              <w:spacing w:after="0"/>
              <w:rPr>
                <w:sz w:val="20"/>
                <w:szCs w:val="20"/>
                <w:color w:val="auto"/>
              </w:rPr>
            </w:pPr>
            <w:r>
              <w:rPr>
                <w:rFonts w:ascii="Times New Roman" w:cs="Times New Roman" w:eastAsia="Times New Roman" w:hAnsi="Times New Roman"/>
                <w:sz w:val="8"/>
                <w:szCs w:val="8"/>
                <w:color w:val="auto"/>
              </w:rPr>
              <w:t>(S + 8.75%) / (1.00%)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14.34%/0.00%</w:t>
            </w: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3/4/2022</w:t>
            </w:r>
          </w:p>
        </w:tc>
        <w:tc>
          <w:tcPr>
            <w:tcW w:w="800" w:type="dxa"/>
            <w:vAlign w:val="bottom"/>
            <w:shd w:val="clear" w:color="auto" w:fill="CFF0FC"/>
          </w:tcPr>
          <w:p>
            <w:pPr>
              <w:jc w:val="right"/>
              <w:ind w:right="258"/>
              <w:spacing w:after="0"/>
              <w:rPr>
                <w:sz w:val="20"/>
                <w:szCs w:val="20"/>
                <w:color w:val="auto"/>
              </w:rPr>
            </w:pPr>
            <w:r>
              <w:rPr>
                <w:rFonts w:ascii="Times New Roman" w:cs="Times New Roman" w:eastAsia="Times New Roman" w:hAnsi="Times New Roman"/>
                <w:sz w:val="8"/>
                <w:szCs w:val="8"/>
                <w:color w:val="auto"/>
              </w:rPr>
              <w:t>3/4/2027</w:t>
            </w:r>
          </w:p>
        </w:tc>
        <w:tc>
          <w:tcPr>
            <w:tcW w:w="78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w:t>
            </w:r>
          </w:p>
        </w:tc>
        <w:tc>
          <w:tcPr>
            <w:tcW w:w="72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8"/>
                <w:szCs w:val="8"/>
                <w:color w:val="auto"/>
              </w:rPr>
              <w:t>(11 )</w:t>
            </w:r>
          </w:p>
        </w:tc>
        <w:tc>
          <w:tcPr>
            <w:tcW w:w="120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8"/>
                <w:szCs w:val="8"/>
                <w:color w:val="auto"/>
              </w:rPr>
              <w:t>—</w:t>
            </w:r>
          </w:p>
        </w:tc>
      </w:tr>
      <w:tr>
        <w:trPr>
          <w:trHeight w:val="126"/>
        </w:trPr>
        <w:tc>
          <w:tcPr>
            <w:tcW w:w="22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24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7.75%/7.75%</w:t>
            </w:r>
          </w:p>
        </w:tc>
        <w:tc>
          <w:tcPr>
            <w:tcW w:w="70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3/4/2022</w:t>
            </w:r>
          </w:p>
        </w:tc>
        <w:tc>
          <w:tcPr>
            <w:tcW w:w="800" w:type="dxa"/>
            <w:vAlign w:val="bottom"/>
          </w:tcPr>
          <w:p>
            <w:pPr>
              <w:jc w:val="right"/>
              <w:ind w:right="258"/>
              <w:spacing w:after="0"/>
              <w:rPr>
                <w:sz w:val="20"/>
                <w:szCs w:val="20"/>
                <w:color w:val="auto"/>
              </w:rPr>
            </w:pPr>
            <w:r>
              <w:rPr>
                <w:rFonts w:ascii="Times New Roman" w:cs="Times New Roman" w:eastAsia="Times New Roman" w:hAnsi="Times New Roman"/>
                <w:sz w:val="8"/>
                <w:szCs w:val="8"/>
                <w:color w:val="auto"/>
              </w:rPr>
              <w:t>9/4/2027</w:t>
            </w:r>
          </w:p>
        </w:tc>
        <w:tc>
          <w:tcPr>
            <w:tcW w:w="78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3,028</w:t>
            </w: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8"/>
                <w:szCs w:val="8"/>
                <w:color w:val="auto"/>
              </w:rPr>
              <w:t>3,020</w:t>
            </w:r>
          </w:p>
        </w:tc>
        <w:tc>
          <w:tcPr>
            <w:tcW w:w="1200" w:type="dxa"/>
            <w:vAlign w:val="bottom"/>
          </w:tcPr>
          <w:p>
            <w:pPr>
              <w:jc w:val="right"/>
              <w:ind w:right="738"/>
              <w:spacing w:after="0"/>
              <w:rPr>
                <w:sz w:val="20"/>
                <w:szCs w:val="20"/>
                <w:color w:val="auto"/>
              </w:rPr>
            </w:pPr>
            <w:r>
              <w:rPr>
                <w:rFonts w:ascii="Times New Roman" w:cs="Times New Roman" w:eastAsia="Times New Roman" w:hAnsi="Times New Roman"/>
                <w:sz w:val="8"/>
                <w:szCs w:val="8"/>
                <w:color w:val="auto"/>
              </w:rPr>
              <w:t>3,463</w:t>
            </w:r>
          </w:p>
        </w:tc>
      </w:tr>
      <w:tr>
        <w:trPr>
          <w:trHeight w:val="138"/>
        </w:trPr>
        <w:tc>
          <w:tcPr>
            <w:tcW w:w="2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(1,000 units) (h)(j)</w:t>
            </w:r>
          </w:p>
        </w:tc>
        <w:tc>
          <w:tcPr>
            <w:tcW w:w="32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3/4/2022</w:t>
            </w:r>
          </w:p>
        </w:tc>
        <w:tc>
          <w:tcPr>
            <w:tcW w:w="8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8"/>
                <w:szCs w:val="8"/>
                <w:color w:val="auto"/>
              </w:rPr>
              <w:t>1,000</w:t>
            </w:r>
          </w:p>
        </w:tc>
        <w:tc>
          <w:tcPr>
            <w:tcW w:w="1200" w:type="dxa"/>
            <w:vAlign w:val="bottom"/>
            <w:shd w:val="clear" w:color="auto" w:fill="CFF0FC"/>
          </w:tcPr>
          <w:p>
            <w:pPr>
              <w:jc w:val="right"/>
              <w:ind w:right="738"/>
              <w:spacing w:after="0"/>
              <w:rPr>
                <w:sz w:val="20"/>
                <w:szCs w:val="20"/>
                <w:color w:val="auto"/>
              </w:rPr>
            </w:pPr>
            <w:r>
              <w:rPr>
                <w:rFonts w:ascii="Times New Roman" w:cs="Times New Roman" w:eastAsia="Times New Roman" w:hAnsi="Times New Roman"/>
                <w:sz w:val="8"/>
                <w:szCs w:val="8"/>
                <w:color w:val="auto"/>
              </w:rPr>
              <w:t>1,078</w:t>
            </w:r>
          </w:p>
        </w:tc>
      </w:tr>
    </w:tbl>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02" w:right="680" w:bottom="1440" w:gutter="0" w:footer="0" w:header="0"/>
        </w:sectPr>
      </w:pPr>
    </w:p>
    <w:bookmarkStart w:id="12" w:name="page13"/>
    <w:bookmarkEnd w:id="12"/>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24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19,567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20,141</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Thrust Flight LLC</w:t>
            </w:r>
          </w:p>
        </w:tc>
        <w:tc>
          <w:tcPr>
            <w:tcW w:w="3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Business Services</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($2,625 unfunded commitment)(i)(j)(au)</w:t>
            </w:r>
          </w:p>
        </w:tc>
        <w:tc>
          <w:tcPr>
            <w:tcW w:w="306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+ 5.75%) / (2.00%)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10.68%/0.00%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9/9/2024</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9/9/2029</w:t>
            </w: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9,800</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9,705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9,705</w:t>
            </w: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(1,050,000 units) (h)(j)</w:t>
            </w: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9/9/2024</w:t>
            </w: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1,050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1,050</w:t>
            </w: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10,755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10,755</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Tiger Calcium Services Inc. (aq)</w:t>
            </w:r>
          </w:p>
        </w:tc>
        <w:tc>
          <w:tcPr>
            <w:tcW w:w="3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Transportation services</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 (j) (ao)</w:t>
            </w:r>
          </w:p>
        </w:tc>
        <w:tc>
          <w:tcPr>
            <w:tcW w:w="306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12.50%/0.00%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12/21/2022</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5/31/2025</w:t>
            </w: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12,500</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12,483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12,500</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38"/>
        </w:trPr>
        <w:tc>
          <w:tcPr>
            <w:tcW w:w="242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UBEO, LLC</w:t>
            </w:r>
          </w:p>
        </w:tc>
        <w:tc>
          <w:tcPr>
            <w:tcW w:w="30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Business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(705,000 units) (h)(j)</w:t>
            </w: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4/3/2018</w:t>
            </w: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655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2,426</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32"/>
        </w:trPr>
        <w:tc>
          <w:tcPr>
            <w:tcW w:w="24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United Biologics, LLC</w:t>
            </w:r>
          </w:p>
        </w:tc>
        <w:tc>
          <w:tcPr>
            <w:tcW w:w="3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Healthcare Services</w:t>
            </w:r>
          </w:p>
        </w:tc>
        <w:tc>
          <w:tcPr>
            <w:tcW w:w="8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(98,377 units) (h)(j)</w:t>
            </w:r>
          </w:p>
        </w:tc>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4/1/2012</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891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Warrant (57,469 units) (j)(m)</w:t>
            </w: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3/5/2012</w:t>
            </w: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564</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(1 )</w:t>
            </w: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1,455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(1 )</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US Fertility Enterprises, LLC</w:t>
            </w:r>
          </w:p>
        </w:tc>
        <w:tc>
          <w:tcPr>
            <w:tcW w:w="3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Healthcare Services</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06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4.00%/9.75%</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5/19/2023</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6/1/2028</w:t>
            </w: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14,794</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14,518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14,793</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38"/>
        </w:trPr>
        <w:tc>
          <w:tcPr>
            <w:tcW w:w="242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USG AS Holdings, LLC</w:t>
            </w:r>
          </w:p>
        </w:tc>
        <w:tc>
          <w:tcPr>
            <w:tcW w:w="30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Utilities: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06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8"/>
                <w:szCs w:val="8"/>
                <w:color w:val="auto"/>
              </w:rPr>
              <w:t>(S + 8.50%) / (2.50%)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13.98%/0.00%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2/23/2023</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2/23/2028</w:t>
            </w:r>
          </w:p>
        </w:tc>
        <w:tc>
          <w:tcPr>
            <w:tcW w:w="7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10,000</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9,932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10,000</w:t>
            </w: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(Units N/A) (j)</w:t>
            </w:r>
          </w:p>
        </w:tc>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2/21/2023</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387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726</w:t>
            </w: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10,319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10,726</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Virginia Tile Company, LLC (n)</w:t>
            </w:r>
          </w:p>
        </w:tc>
        <w:tc>
          <w:tcPr>
            <w:tcW w:w="30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Specialty Distribution</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(17 units) (j)</w:t>
            </w: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12/19/2014</w:t>
            </w: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27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32"/>
        </w:trPr>
        <w:tc>
          <w:tcPr>
            <w:tcW w:w="24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Virtex Enterprises, LP</w:t>
            </w:r>
          </w:p>
        </w:tc>
        <w:tc>
          <w:tcPr>
            <w:tcW w:w="3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Component Manufacturing</w:t>
            </w:r>
          </w:p>
        </w:tc>
        <w:tc>
          <w:tcPr>
            <w:tcW w:w="8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Second Lien Debt (y)</w:t>
            </w:r>
          </w:p>
        </w:tc>
        <w:tc>
          <w:tcPr>
            <w:tcW w:w="306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+ 0.00%) / (2.50%)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4.95%/9.75%</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4/13/2022</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6/30/2026</w:t>
            </w: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11,002</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10,906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5,188</w:t>
            </w: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Subordinated Debt</w:t>
            </w:r>
          </w:p>
        </w:tc>
        <w:tc>
          <w:tcPr>
            <w:tcW w:w="306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8"/>
                <w:szCs w:val="8"/>
                <w:color w:val="auto"/>
              </w:rPr>
              <w:t>(S + 4.00%) / (2.50%)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9.06%/0.00%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9/20/2023</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12/31/2025</w:t>
            </w:r>
          </w:p>
        </w:tc>
        <w:tc>
          <w:tcPr>
            <w:tcW w:w="7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354</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353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296</w:t>
            </w: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11,259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5,484</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W50 Holdings, LLC</w:t>
            </w:r>
          </w:p>
        </w:tc>
        <w:tc>
          <w:tcPr>
            <w:tcW w:w="3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Business Services</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Subordinated Debt (j)</w:t>
            </w:r>
          </w:p>
        </w:tc>
        <w:tc>
          <w:tcPr>
            <w:tcW w:w="3060" w:type="dxa"/>
            <w:vAlign w:val="bottom"/>
          </w:tcPr>
          <w:p>
            <w:pPr>
              <w:spacing w:after="0"/>
              <w:rPr>
                <w:sz w:val="10"/>
                <w:szCs w:val="10"/>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12.50%/0.00%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3/22/2024</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3/24/2031</w:t>
            </w: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12,500</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12,355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12,500</w:t>
            </w: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Preferred Equity (Units N/A) ($100 unfunded commitment) (j)</w:t>
            </w: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3/21/2024</w:t>
            </w: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900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882</w:t>
            </w: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13,255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13,382</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White Label Communication, LLC</w:t>
            </w:r>
          </w:p>
        </w:tc>
        <w:tc>
          <w:tcPr>
            <w:tcW w:w="3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06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+ 6.25%) / (1.00%)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11.10%/0.00%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10/11/2023</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10/11/2029</w:t>
            </w: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17,369</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17,286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17,369</w:t>
            </w: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(536 units) (h)(j)</w:t>
            </w: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10/11/2023</w:t>
            </w: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Preferred Equity (5,000 units) (h)(j)</w:t>
            </w:r>
          </w:p>
        </w:tc>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10/11/2023</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500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507</w:t>
            </w: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17,786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17,876</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Winona Foods, Inc.</w:t>
            </w:r>
          </w:p>
        </w:tc>
        <w:tc>
          <w:tcPr>
            <w:tcW w:w="30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Specialty Distribution</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06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8"/>
                <w:szCs w:val="8"/>
                <w:color w:val="auto"/>
              </w:rPr>
              <w:t>(S + 6.00%) / (6.00%)</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17.00%/0.00%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12/13/2023</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6/13/2027</w:t>
            </w:r>
          </w:p>
        </w:tc>
        <w:tc>
          <w:tcPr>
            <w:tcW w:w="7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2,057</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2,033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2,057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0 %</w:t>
            </w:r>
          </w:p>
        </w:tc>
      </w:tr>
      <w:tr>
        <w:trPr>
          <w:trHeight w:val="132"/>
        </w:trPr>
        <w:tc>
          <w:tcPr>
            <w:tcW w:w="24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Wonderware Holdings, LLC (dba CORE Business Technologies)</w:t>
            </w:r>
          </w:p>
        </w:tc>
        <w:tc>
          <w:tcPr>
            <w:tcW w:w="3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Information Technology Services</w:t>
            </w:r>
          </w:p>
        </w:tc>
        <w:tc>
          <w:tcPr>
            <w:tcW w:w="8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(k)(z)</w:t>
            </w:r>
          </w:p>
        </w:tc>
        <w:tc>
          <w:tcPr>
            <w:tcW w:w="306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+ 7.00%) / (1.00%)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12.28%/0.00%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2/10/2021</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3/31/2025</w:t>
            </w: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8,316</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8,314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8,316</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38"/>
        </w:trPr>
        <w:tc>
          <w:tcPr>
            <w:tcW w:w="242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i w:val="1"/>
                <w:iCs w:val="1"/>
                <w:color w:val="auto"/>
              </w:rPr>
              <w:t>Worldwide Express Operations, LLC</w:t>
            </w:r>
          </w:p>
        </w:tc>
        <w:tc>
          <w:tcPr>
            <w:tcW w:w="30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Transportation services</w:t>
            </w: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Second Lien Debt (j)</w:t>
            </w:r>
          </w:p>
        </w:tc>
        <w:tc>
          <w:tcPr>
            <w:tcW w:w="3060" w:type="dxa"/>
            <w:vAlign w:val="bottom"/>
            <w:shd w:val="clear" w:color="auto" w:fill="CFF0FC"/>
          </w:tcPr>
          <w:p>
            <w:pPr>
              <w:ind w:left="2140"/>
              <w:spacing w:after="0"/>
              <w:rPr>
                <w:sz w:val="20"/>
                <w:szCs w:val="20"/>
                <w:color w:val="auto"/>
              </w:rPr>
            </w:pPr>
            <w:r>
              <w:rPr>
                <w:rFonts w:ascii="Times New Roman" w:cs="Times New Roman" w:eastAsia="Times New Roman" w:hAnsi="Times New Roman"/>
                <w:sz w:val="8"/>
                <w:szCs w:val="8"/>
                <w:color w:val="auto"/>
              </w:rPr>
              <w:t>(S + 7.00%) / (0.75%)</w:t>
            </w:r>
          </w:p>
        </w:tc>
        <w:tc>
          <w:tcPr>
            <w:tcW w:w="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8"/>
                <w:szCs w:val="8"/>
                <w:color w:val="auto"/>
              </w:rPr>
              <w:t>11.87%/0.00%</w:t>
            </w: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8/2/2021</w:t>
            </w:r>
          </w:p>
        </w:tc>
        <w:tc>
          <w:tcPr>
            <w:tcW w:w="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8"/>
                <w:szCs w:val="8"/>
                <w:color w:val="auto"/>
              </w:rPr>
              <w:t>7/26/2029</w:t>
            </w:r>
          </w:p>
        </w:tc>
        <w:tc>
          <w:tcPr>
            <w:tcW w:w="720" w:type="dxa"/>
            <w:vAlign w:val="bottom"/>
            <w:shd w:val="clear" w:color="auto" w:fill="CFF0FC"/>
          </w:tcPr>
          <w:p>
            <w:pPr>
              <w:jc w:val="right"/>
              <w:ind w:right="198"/>
              <w:spacing w:after="0"/>
              <w:rPr>
                <w:sz w:val="20"/>
                <w:szCs w:val="20"/>
                <w:color w:val="auto"/>
              </w:rPr>
            </w:pPr>
            <w:r>
              <w:rPr>
                <w:rFonts w:ascii="Times New Roman" w:cs="Times New Roman" w:eastAsia="Times New Roman" w:hAnsi="Times New Roman"/>
                <w:sz w:val="8"/>
                <w:szCs w:val="8"/>
                <w:color w:val="auto"/>
              </w:rPr>
              <w:t>27,497</w:t>
            </w: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26,686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27,205</w:t>
            </w: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Common Equity (795,000 units) (j)</w:t>
            </w:r>
          </w:p>
        </w:tc>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7/21/2021</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795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806</w:t>
            </w: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(752,380 units) (h)(j)</w:t>
            </w: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7/26/2021</w:t>
            </w: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225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629</w:t>
            </w: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27,706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28,640</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4 %</w:t>
            </w:r>
          </w:p>
        </w:tc>
      </w:tr>
      <w:tr>
        <w:trPr>
          <w:trHeight w:val="138"/>
        </w:trPr>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i w:val="1"/>
                <w:iCs w:val="1"/>
                <w:color w:val="auto"/>
              </w:rPr>
              <w:t>Zonkd, LLC</w:t>
            </w:r>
          </w:p>
        </w:tc>
        <w:tc>
          <w:tcPr>
            <w:tcW w:w="3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8"/>
                <w:szCs w:val="8"/>
                <w:color w:val="auto"/>
              </w:rPr>
              <w:t>Component Manufacturing</w:t>
            </w: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First Lien Debt (j)</w:t>
            </w:r>
          </w:p>
        </w:tc>
        <w:tc>
          <w:tcPr>
            <w:tcW w:w="3060" w:type="dxa"/>
            <w:vAlign w:val="bottom"/>
          </w:tcPr>
          <w:p>
            <w:pPr>
              <w:ind w:left="2140"/>
              <w:spacing w:after="0"/>
              <w:rPr>
                <w:sz w:val="20"/>
                <w:szCs w:val="20"/>
                <w:color w:val="auto"/>
              </w:rPr>
            </w:pPr>
            <w:r>
              <w:rPr>
                <w:rFonts w:ascii="Times New Roman" w:cs="Times New Roman" w:eastAsia="Times New Roman" w:hAnsi="Times New Roman"/>
                <w:sz w:val="8"/>
                <w:szCs w:val="8"/>
                <w:color w:val="auto"/>
              </w:rPr>
              <w:t>(S + 9.00%) / (1.00%)</w:t>
            </w:r>
          </w:p>
        </w:tc>
        <w:tc>
          <w:tcPr>
            <w:tcW w:w="88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15.27%/0.00%</w:t>
            </w:r>
          </w:p>
        </w:tc>
        <w:tc>
          <w:tcPr>
            <w:tcW w:w="740" w:type="dxa"/>
            <w:vAlign w:val="bottom"/>
          </w:tcPr>
          <w:p>
            <w:pPr>
              <w:ind w:left="180"/>
              <w:spacing w:after="0"/>
              <w:rPr>
                <w:sz w:val="20"/>
                <w:szCs w:val="20"/>
                <w:color w:val="auto"/>
              </w:rPr>
            </w:pPr>
            <w:r>
              <w:rPr>
                <w:rFonts w:ascii="Times New Roman" w:cs="Times New Roman" w:eastAsia="Times New Roman" w:hAnsi="Times New Roman"/>
                <w:sz w:val="8"/>
                <w:szCs w:val="8"/>
                <w:color w:val="auto"/>
              </w:rPr>
              <w:t>3/18/2022</w:t>
            </w:r>
          </w:p>
        </w:tc>
        <w:tc>
          <w:tcPr>
            <w:tcW w:w="800" w:type="dxa"/>
            <w:vAlign w:val="bottom"/>
          </w:tcPr>
          <w:p>
            <w:pPr>
              <w:ind w:left="160"/>
              <w:spacing w:after="0"/>
              <w:rPr>
                <w:sz w:val="20"/>
                <w:szCs w:val="20"/>
                <w:color w:val="auto"/>
              </w:rPr>
            </w:pPr>
            <w:r>
              <w:rPr>
                <w:rFonts w:ascii="Times New Roman" w:cs="Times New Roman" w:eastAsia="Times New Roman" w:hAnsi="Times New Roman"/>
                <w:sz w:val="8"/>
                <w:szCs w:val="8"/>
                <w:color w:val="auto"/>
              </w:rPr>
              <w:t>3/18/2027</w:t>
            </w: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8"/>
                <w:szCs w:val="8"/>
                <w:color w:val="auto"/>
              </w:rPr>
              <w:t>3,500</w:t>
            </w: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3,387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3,500</w:t>
            </w:r>
          </w:p>
        </w:tc>
        <w:tc>
          <w:tcPr>
            <w:tcW w:w="680" w:type="dxa"/>
            <w:vAlign w:val="bottom"/>
          </w:tcPr>
          <w:p>
            <w:pPr>
              <w:spacing w:after="0"/>
              <w:rPr>
                <w:sz w:val="10"/>
                <w:szCs w:val="10"/>
                <w:color w:val="auto"/>
              </w:rPr>
            </w:pPr>
          </w:p>
        </w:tc>
      </w:tr>
      <w:tr>
        <w:trPr>
          <w:trHeight w:val="138"/>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Common Equity (4,987 units) (h)(j)</w:t>
            </w: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8"/>
                <w:szCs w:val="8"/>
                <w:color w:val="auto"/>
              </w:rPr>
              <w:t>3/18/2022</w:t>
            </w: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169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559</w:t>
            </w:r>
          </w:p>
        </w:tc>
        <w:tc>
          <w:tcPr>
            <w:tcW w:w="680" w:type="dxa"/>
            <w:vAlign w:val="bottom"/>
            <w:shd w:val="clear" w:color="auto" w:fill="CFF0FC"/>
          </w:tcPr>
          <w:p>
            <w:pPr>
              <w:spacing w:after="0"/>
              <w:rPr>
                <w:sz w:val="12"/>
                <w:szCs w:val="12"/>
                <w:color w:val="auto"/>
              </w:rPr>
            </w:pPr>
          </w:p>
        </w:tc>
      </w:tr>
      <w:tr>
        <w:trPr>
          <w:trHeight w:val="126"/>
        </w:trPr>
        <w:tc>
          <w:tcPr>
            <w:tcW w:w="24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3,556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4,059</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1 %</w:t>
            </w:r>
          </w:p>
        </w:tc>
      </w:tr>
      <w:tr>
        <w:trPr>
          <w:trHeight w:val="138"/>
        </w:trPr>
        <w:tc>
          <w:tcPr>
            <w:tcW w:w="242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32"/>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Total Non-control/Non-affiliate Investments</w:t>
            </w:r>
          </w:p>
        </w:tc>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1,019,953</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1,004,848</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153 %</w:t>
            </w:r>
          </w:p>
        </w:tc>
      </w:tr>
      <w:tr>
        <w:trPr>
          <w:trHeight w:val="20"/>
        </w:trPr>
        <w:tc>
          <w:tcPr>
            <w:tcW w:w="24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08"/>
        </w:trPr>
        <w:tc>
          <w:tcPr>
            <w:tcW w:w="2420" w:type="dxa"/>
            <w:vAlign w:val="bottom"/>
            <w:shd w:val="clear" w:color="auto" w:fill="CFF0FC"/>
          </w:tcPr>
          <w:p>
            <w:pPr>
              <w:spacing w:after="0"/>
              <w:rPr>
                <w:sz w:val="9"/>
                <w:szCs w:val="9"/>
                <w:color w:val="auto"/>
              </w:rPr>
            </w:pPr>
          </w:p>
        </w:tc>
        <w:tc>
          <w:tcPr>
            <w:tcW w:w="30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820" w:type="dxa"/>
            <w:vAlign w:val="bottom"/>
            <w:gridSpan w:val="2"/>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80" w:type="dxa"/>
            <w:vAlign w:val="bottom"/>
            <w:gridSpan w:val="2"/>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32"/>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Total Investments</w:t>
            </w:r>
          </w:p>
        </w:tc>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jc w:val="right"/>
              <w:ind w:right="34"/>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1,074,804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1,090,675</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166 %</w:t>
            </w:r>
          </w:p>
        </w:tc>
      </w:tr>
      <w:tr>
        <w:trPr>
          <w:trHeight w:val="20"/>
        </w:trPr>
        <w:tc>
          <w:tcPr>
            <w:tcW w:w="24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08"/>
        </w:trPr>
        <w:tc>
          <w:tcPr>
            <w:tcW w:w="2420" w:type="dxa"/>
            <w:vAlign w:val="bottom"/>
            <w:shd w:val="clear" w:color="auto" w:fill="CFF0FC"/>
          </w:tcPr>
          <w:p>
            <w:pPr>
              <w:spacing w:after="0"/>
              <w:rPr>
                <w:sz w:val="9"/>
                <w:szCs w:val="9"/>
                <w:color w:val="auto"/>
              </w:rPr>
            </w:pPr>
          </w:p>
        </w:tc>
        <w:tc>
          <w:tcPr>
            <w:tcW w:w="30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r>
      <w:tr>
        <w:trPr>
          <w:trHeight w:val="126"/>
        </w:trPr>
        <w:tc>
          <w:tcPr>
            <w:tcW w:w="242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Money market funds (included in cash and cash equivalents)</w:t>
            </w:r>
          </w:p>
        </w:tc>
        <w:tc>
          <w:tcPr>
            <w:tcW w:w="3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6"/>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Goldman Sachs Financial Square Treasury Obligation Institution</w:t>
            </w:r>
          </w:p>
        </w:tc>
        <w:tc>
          <w:tcPr>
            <w:tcW w:w="30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r>
      <w:tr>
        <w:trPr>
          <w:trHeight w:val="120"/>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CUSIP (38141W323) (ad)</w:t>
            </w:r>
          </w:p>
        </w:tc>
        <w:tc>
          <w:tcPr>
            <w:tcW w:w="30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37,367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37,367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5 %</w:t>
            </w:r>
          </w:p>
        </w:tc>
      </w:tr>
      <w:tr>
        <w:trPr>
          <w:trHeight w:val="132"/>
        </w:trPr>
        <w:tc>
          <w:tcPr>
            <w:tcW w:w="2420" w:type="dxa"/>
            <w:vAlign w:val="bottom"/>
          </w:tcPr>
          <w:p>
            <w:pPr>
              <w:ind w:left="220"/>
              <w:spacing w:after="0"/>
              <w:rPr>
                <w:sz w:val="20"/>
                <w:szCs w:val="20"/>
                <w:color w:val="auto"/>
              </w:rPr>
            </w:pPr>
            <w:r>
              <w:rPr>
                <w:rFonts w:ascii="Times New Roman" w:cs="Times New Roman" w:eastAsia="Times New Roman" w:hAnsi="Times New Roman"/>
                <w:sz w:val="8"/>
                <w:szCs w:val="8"/>
                <w:b w:val="1"/>
                <w:bCs w:val="1"/>
                <w:color w:val="auto"/>
              </w:rPr>
              <w:t>Total money market funds</w:t>
            </w:r>
          </w:p>
        </w:tc>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37,367</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37,367</w:t>
            </w:r>
          </w:p>
        </w:tc>
        <w:tc>
          <w:tcPr>
            <w:tcW w:w="6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5 %</w:t>
            </w:r>
          </w:p>
        </w:tc>
      </w:tr>
      <w:tr>
        <w:trPr>
          <w:trHeight w:val="20"/>
        </w:trPr>
        <w:tc>
          <w:tcPr>
            <w:tcW w:w="24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48"/>
        </w:trPr>
        <w:tc>
          <w:tcPr>
            <w:tcW w:w="2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8"/>
                <w:szCs w:val="8"/>
                <w:b w:val="1"/>
                <w:bCs w:val="1"/>
                <w:color w:val="auto"/>
              </w:rPr>
              <w:t>Total Investments and Money Market Funds</w:t>
            </w:r>
          </w:p>
        </w:tc>
        <w:tc>
          <w:tcPr>
            <w:tcW w:w="306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rPr>
              <w:t>1,112,171</w:t>
            </w:r>
          </w:p>
        </w:tc>
        <w:tc>
          <w:tcPr>
            <w:tcW w:w="1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8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8"/>
                <w:szCs w:val="8"/>
                <w:color w:val="auto"/>
              </w:rPr>
              <w:t>1,128,042</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67075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9" w:lineRule="exact"/>
        <w:rPr>
          <w:sz w:val="20"/>
          <w:szCs w:val="20"/>
          <w:color w:val="auto"/>
        </w:rPr>
      </w:pPr>
    </w:p>
    <w:p>
      <w:pPr>
        <w:ind w:left="140" w:hanging="134"/>
        <w:spacing w:after="0"/>
        <w:tabs>
          <w:tab w:leader="none" w:pos="14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Note 3 to the consolidated financial statements for portfolio composition by geographic location.</w:t>
      </w:r>
    </w:p>
    <w:p>
      <w:pPr>
        <w:spacing w:after="0" w:line="8" w:lineRule="exact"/>
        <w:rPr>
          <w:rFonts w:ascii="Times New Roman" w:cs="Times New Roman" w:eastAsia="Times New Roman" w:hAnsi="Times New Roman"/>
          <w:sz w:val="10"/>
          <w:szCs w:val="10"/>
          <w:color w:val="auto"/>
        </w:rPr>
      </w:pPr>
    </w:p>
    <w:p>
      <w:pPr>
        <w:ind w:right="380" w:firstLine="6"/>
        <w:spacing w:after="0" w:line="250" w:lineRule="auto"/>
        <w:tabs>
          <w:tab w:leader="none" w:pos="132"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Equity ownership may be held in shares or units of companies related to the portfolio companies. The Company’s investments are generally classified as “restricted securities”, unless otherwise noted, as such term is defined under Regulation S-X Rule 6-03(f) or Securities Act Rule 144. As of September 30, 2024, the Company held restricted securities with an aggregate fair value of $1,090,675, or 166% of the Company's net assets.</w:t>
      </w:r>
    </w:p>
    <w:p>
      <w:pPr>
        <w:ind w:left="140" w:hanging="134"/>
        <w:spacing w:after="0"/>
        <w:tabs>
          <w:tab w:leader="none" w:pos="14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debt investments are income producing, unless otherwise indicated. Equity investments are non-income producing unless otherwise noted.</w:t>
      </w:r>
    </w:p>
    <w:p>
      <w:pPr>
        <w:spacing w:after="0" w:line="5" w:lineRule="exact"/>
        <w:rPr>
          <w:rFonts w:ascii="Times New Roman" w:cs="Times New Roman" w:eastAsia="Times New Roman" w:hAnsi="Times New Roman"/>
          <w:sz w:val="10"/>
          <w:szCs w:val="10"/>
          <w:color w:val="auto"/>
        </w:rPr>
      </w:pPr>
    </w:p>
    <w:p>
      <w:pPr>
        <w:ind w:right="220" w:firstLine="6"/>
        <w:spacing w:after="0" w:line="250" w:lineRule="auto"/>
        <w:tabs>
          <w:tab w:leader="none" w:pos="136"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September 30, 2024.</w:t>
      </w:r>
    </w:p>
    <w:p>
      <w:pPr>
        <w:ind w:left="140" w:hanging="134"/>
        <w:spacing w:after="0"/>
        <w:tabs>
          <w:tab w:leader="none" w:pos="14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Rate includes the cash interest or dividend rate and paid-in-kind interest or dividend rate, if any, as of September 30, 2024. Generally, payment-in-kind interest can be paid-in-kind or all in cash.</w:t>
      </w:r>
    </w:p>
    <w:p>
      <w:pPr>
        <w:spacing w:after="0" w:line="5" w:lineRule="exact"/>
        <w:rPr>
          <w:rFonts w:ascii="Times New Roman" w:cs="Times New Roman" w:eastAsia="Times New Roman" w:hAnsi="Times New Roman"/>
          <w:sz w:val="10"/>
          <w:szCs w:val="10"/>
          <w:color w:val="auto"/>
        </w:rPr>
      </w:pPr>
    </w:p>
    <w:p>
      <w:pPr>
        <w:ind w:left="120" w:hanging="114"/>
        <w:spacing w:after="0"/>
        <w:tabs>
          <w:tab w:leader="none" w:pos="12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date represents the date of the initial investment in the security.</w:t>
      </w:r>
    </w:p>
    <w:p>
      <w:pPr>
        <w:spacing w:after="0" w:line="5" w:lineRule="exact"/>
        <w:rPr>
          <w:rFonts w:ascii="Times New Roman" w:cs="Times New Roman" w:eastAsia="Times New Roman" w:hAnsi="Times New Roman"/>
          <w:sz w:val="10"/>
          <w:szCs w:val="10"/>
          <w:color w:val="auto"/>
        </w:rPr>
      </w:pPr>
    </w:p>
    <w:p>
      <w:pPr>
        <w:ind w:right="60" w:firstLine="6"/>
        <w:spacing w:after="0" w:line="250" w:lineRule="auto"/>
        <w:tabs>
          <w:tab w:leader="none" w:pos="132"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140" w:hanging="134"/>
        <w:spacing w:after="0"/>
        <w:tabs>
          <w:tab w:leader="none" w:pos="14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is held by a taxable subsidiary of the Company.</w:t>
      </w:r>
    </w:p>
    <w:p>
      <w:pPr>
        <w:spacing w:after="0" w:line="5" w:lineRule="exact"/>
        <w:rPr>
          <w:rFonts w:ascii="Times New Roman" w:cs="Times New Roman" w:eastAsia="Times New Roman" w:hAnsi="Times New Roman"/>
          <w:sz w:val="10"/>
          <w:szCs w:val="10"/>
          <w:color w:val="auto"/>
        </w:rPr>
      </w:pPr>
    </w:p>
    <w:p>
      <w:pPr>
        <w:ind w:left="120" w:hanging="114"/>
        <w:spacing w:after="0"/>
        <w:tabs>
          <w:tab w:leader="none" w:pos="120" w:val="left"/>
        </w:tabs>
        <w:numPr>
          <w:ilvl w:val="0"/>
          <w:numId w:val="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disclosed commitment represents the unfunded amount as of September 30, 2024. The Company is earning 0.50% interest on the unfunded balance of the commitment. The interest rate disclosed represents the rate which will be earned if the commitment is funded.</w:t>
      </w:r>
    </w:p>
    <w:p>
      <w:pPr>
        <w:spacing w:after="0" w:line="28" w:lineRule="exact"/>
        <w:rPr>
          <w:rFonts w:ascii="Times New Roman" w:cs="Times New Roman" w:eastAsia="Times New Roman" w:hAnsi="Times New Roman"/>
          <w:sz w:val="8"/>
          <w:szCs w:val="8"/>
          <w:color w:val="auto"/>
        </w:rPr>
      </w:pPr>
    </w:p>
    <w:p>
      <w:pPr>
        <w:ind w:right="300" w:firstLine="6"/>
        <w:spacing w:after="0" w:line="250" w:lineRule="auto"/>
        <w:tabs>
          <w:tab w:leader="none" w:pos="12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180" w:firstLine="6"/>
        <w:spacing w:after="0" w:line="250" w:lineRule="auto"/>
        <w:tabs>
          <w:tab w:leader="none" w:pos="132"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portion of the investment not held by the SBIC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220" w:firstLine="6"/>
        <w:spacing w:after="0" w:line="250" w:lineRule="auto"/>
        <w:tabs>
          <w:tab w:leader="none" w:pos="12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180" w:hanging="174"/>
        <w:spacing w:after="0"/>
        <w:tabs>
          <w:tab w:leader="none" w:pos="180" w:val="left"/>
        </w:tabs>
        <w:numPr>
          <w:ilvl w:val="0"/>
          <w:numId w:val="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28" w:lineRule="exact"/>
        <w:rPr>
          <w:rFonts w:ascii="Times New Roman" w:cs="Times New Roman" w:eastAsia="Times New Roman" w:hAnsi="Times New Roman"/>
          <w:sz w:val="8"/>
          <w:szCs w:val="8"/>
          <w:color w:val="auto"/>
        </w:rPr>
      </w:pPr>
    </w:p>
    <w:p>
      <w:pPr>
        <w:ind w:left="140" w:hanging="134"/>
        <w:spacing w:after="0"/>
        <w:tabs>
          <w:tab w:leader="none" w:pos="14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in portfolio company that has sold its operations and is in the process of winding down.</w:t>
      </w:r>
    </w:p>
    <w:p>
      <w:pPr>
        <w:spacing w:after="0" w:line="5" w:lineRule="exact"/>
        <w:rPr>
          <w:rFonts w:ascii="Times New Roman" w:cs="Times New Roman" w:eastAsia="Times New Roman" w:hAnsi="Times New Roman"/>
          <w:sz w:val="10"/>
          <w:szCs w:val="10"/>
          <w:color w:val="auto"/>
        </w:rPr>
      </w:pPr>
    </w:p>
    <w:p>
      <w:pPr>
        <w:ind w:right="40" w:firstLine="6"/>
        <w:spacing w:after="0" w:line="250" w:lineRule="auto"/>
        <w:tabs>
          <w:tab w:leader="none" w:pos="132"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140" w:firstLine="6"/>
        <w:spacing w:after="0" w:line="250" w:lineRule="auto"/>
        <w:tabs>
          <w:tab w:leader="none" w:pos="132"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4.52%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40" w:firstLine="6"/>
        <w:spacing w:after="0" w:line="250" w:lineRule="auto"/>
        <w:tabs>
          <w:tab w:leader="none" w:pos="132"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2.94%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firstLine="6"/>
        <w:spacing w:after="0" w:line="250" w:lineRule="auto"/>
        <w:tabs>
          <w:tab w:leader="none" w:pos="12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3.03%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firstLine="6"/>
        <w:spacing w:after="0" w:line="250" w:lineRule="auto"/>
        <w:tabs>
          <w:tab w:leader="none" w:pos="12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20" w:firstLine="6"/>
        <w:spacing w:after="0" w:line="313" w:lineRule="auto"/>
        <w:tabs>
          <w:tab w:leader="none" w:pos="120" w:val="left"/>
        </w:tabs>
        <w:numPr>
          <w:ilvl w:val="0"/>
          <w:numId w:val="3"/>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right="140" w:firstLine="6"/>
        <w:spacing w:after="0" w:line="250" w:lineRule="auto"/>
        <w:tabs>
          <w:tab w:leader="none" w:pos="132"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40" w:firstLine="6"/>
        <w:spacing w:after="0" w:line="250" w:lineRule="auto"/>
        <w:tabs>
          <w:tab w:leader="none" w:pos="132"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1.15%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firstLine="6"/>
        <w:spacing w:after="0" w:line="250" w:lineRule="auto"/>
        <w:tabs>
          <w:tab w:leader="none" w:pos="156"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disclosed commitment represents the unfunded amount as of September 30, 2024. The Company is earning 0.75% interest on the unfunded balance of the commitment. The interest rate disclosed represents the rate earned on the outstanding, funded balance of the commitment.</w:t>
      </w:r>
    </w:p>
    <w:p>
      <w:pPr>
        <w:ind w:right="140" w:firstLine="6"/>
        <w:spacing w:after="0" w:line="250" w:lineRule="auto"/>
        <w:tabs>
          <w:tab w:leader="none" w:pos="136"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1.89%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126" w:gutter="0" w:footer="0" w:header="0"/>
        </w:sectPr>
      </w:pPr>
    </w:p>
    <w:bookmarkStart w:id="13" w:name="page14"/>
    <w:bookmarkEnd w:id="13"/>
    <w:p>
      <w:pPr>
        <w:spacing w:after="0" w:line="31" w:lineRule="exact"/>
        <w:rPr>
          <w:sz w:val="20"/>
          <w:szCs w:val="20"/>
          <w:color w:val="auto"/>
        </w:rPr>
      </w:pPr>
    </w:p>
    <w:p>
      <w:pPr>
        <w:ind w:left="140" w:hanging="134"/>
        <w:spacing w:after="0"/>
        <w:tabs>
          <w:tab w:leader="none" w:pos="140" w:val="left"/>
        </w:tabs>
        <w:numPr>
          <w:ilvl w:val="0"/>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was on non-accrual status as of September 30, 2024.</w:t>
      </w:r>
    </w:p>
    <w:p>
      <w:pPr>
        <w:spacing w:after="0" w:line="8" w:lineRule="exact"/>
        <w:rPr>
          <w:rFonts w:ascii="Times New Roman" w:cs="Times New Roman" w:eastAsia="Times New Roman" w:hAnsi="Times New Roman"/>
          <w:sz w:val="10"/>
          <w:szCs w:val="10"/>
          <w:color w:val="auto"/>
        </w:rPr>
      </w:pPr>
    </w:p>
    <w:p>
      <w:pPr>
        <w:ind w:right="140" w:firstLine="6"/>
        <w:spacing w:after="0" w:line="250" w:lineRule="auto"/>
        <w:tabs>
          <w:tab w:leader="none" w:pos="132" w:val="left"/>
        </w:tabs>
        <w:numPr>
          <w:ilvl w:val="0"/>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4.35%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firstLine="6"/>
        <w:spacing w:after="0" w:line="250" w:lineRule="auto"/>
        <w:tabs>
          <w:tab w:leader="none" w:pos="168" w:val="left"/>
        </w:tabs>
        <w:numPr>
          <w:ilvl w:val="0"/>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(ab) In addition to the interest earned based on the stated interest rate of this security, the Company is entitled to receive an additional interest amount of 9.55%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6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(ac) In addition to the interest earned based on the stated interest rate of this security, the Company is entitled to receive an additional cash interest amount of 1.80% and PIK interest amount of 1.51%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 This investment is classified as a Level 1 investment. For further detail on the fair value measurements, see Note 4 to the consolidated financial statements.</w:t>
      </w:r>
    </w:p>
    <w:p>
      <w:pPr>
        <w:spacing w:after="0" w:line="5" w:lineRule="exact"/>
        <w:rPr>
          <w:rFonts w:ascii="Times New Roman" w:cs="Times New Roman" w:eastAsia="Times New Roman" w:hAnsi="Times New Roman"/>
          <w:sz w:val="10"/>
          <w:szCs w:val="10"/>
          <w:color w:val="auto"/>
        </w:rPr>
      </w:pP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(ae) In addition to the interest earned based on the stated interest rate of this security, the Company is entitled to receive an additional interest amount of 0.31%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(af) In addition to the interest earned based on the stated interest rate of this security, the Company is entitled to receive an additional interest amount of 3.29%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(ag) In addition to the interest earned based on the stated interest rate of this security, the Company is entitled to receive an additional interest amount of 4.00%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(ai) In addition to the interest earned based on the stated interest rate of this security, the Company is entitled to receive an additional interest amount of 3.27%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(ak) In addition to the interest earned based on the stated interest rate of this security, the Company is entitled to receive an additional interest amount of 3.48%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 In addition to the interest earned based on the stated interest rate of this security, the Company is entitled to receive an additional interest amount of 4.14%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8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 In addition to the interest earned based on the stated interest rate of this security, the Company is entitled to receive an additional interest amount of 3.16%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3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September 30, 2024, total non-qualifying assets at fair value represented 1.07% of the Company's total assets calculated in accordance with the 1940 Act.</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(ap) In addition to the interest earned based on the stated interest rate of this security, the Company is entitled to receive an additional cash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(aq) The headquarters of this portfolio company is located in Canada.</w:t>
      </w:r>
    </w:p>
    <w:p>
      <w:pPr>
        <w:spacing w:after="0" w:line="5" w:lineRule="exact"/>
        <w:rPr>
          <w:rFonts w:ascii="Times New Roman" w:cs="Times New Roman" w:eastAsia="Times New Roman" w:hAnsi="Times New Roman"/>
          <w:sz w:val="10"/>
          <w:szCs w:val="10"/>
          <w:color w:val="auto"/>
        </w:rPr>
      </w:pP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(ar) In addition to the interest earned based on the stated interest rate of this security, the Company is entitled to receive an additional interest amount of 3.23%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In addition to the interest earned based on the stated interest rate of this security, the Company is entitled to receive an additional interest amount of 3.14%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(at) In addition to the interest earned based on the stated interest rate of this security, the Company is entitled to receive an additional interest amount of 2.60%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(au) In addition to the interest earned based on the stated interest rate of this security, the Company is entitled to receive an additional interest amount of 2.23%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(av) In addition to the interest earned based on the stated interest rate of this security, the Company is entitled to receive an additional interest amount of 0.71%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80"/>
        <w:spacing w:after="0" w:line="261"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(aw) 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i w:val="1"/>
          <w:iCs w:val="1"/>
          <w:color w:val="auto"/>
        </w:rPr>
        <w:t>See Notes to Consolidated Financial Statements (unaudited).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Portfolio Company (a)(b)</w:t>
            </w:r>
          </w:p>
        </w:tc>
        <w:tc>
          <w:tcPr>
            <w:tcW w:w="1780" w:type="dxa"/>
            <w:vAlign w:val="bottom"/>
          </w:tcPr>
          <w:p>
            <w:pPr>
              <w:spacing w:after="0"/>
              <w:rPr>
                <w:sz w:val="10"/>
                <w:szCs w:val="10"/>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0"/>
                <w:szCs w:val="10"/>
                <w:b w:val="1"/>
                <w:bCs w:val="1"/>
                <w:color w:val="auto"/>
              </w:rPr>
              <w:t>Variable Index</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Rate (e)</w:t>
            </w: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Investment</w:t>
            </w:r>
          </w:p>
        </w:tc>
        <w:tc>
          <w:tcPr>
            <w:tcW w:w="680" w:type="dxa"/>
            <w:vAlign w:val="bottom"/>
          </w:tcPr>
          <w:p>
            <w:pPr>
              <w:spacing w:after="0"/>
              <w:rPr>
                <w:sz w:val="10"/>
                <w:szCs w:val="10"/>
                <w:color w:val="auto"/>
              </w:rPr>
            </w:pPr>
          </w:p>
        </w:tc>
        <w:tc>
          <w:tcPr>
            <w:tcW w:w="800" w:type="dxa"/>
            <w:vAlign w:val="bottom"/>
            <w:gridSpan w:val="2"/>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rPr>
              <w:t>Fair</w:t>
            </w:r>
          </w:p>
        </w:tc>
        <w:tc>
          <w:tcPr>
            <w:tcW w:w="76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Percent of</w:t>
            </w:r>
          </w:p>
        </w:tc>
      </w:tr>
      <w:tr>
        <w:trPr>
          <w:trHeight w:val="144"/>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Investment Type (c)</w:t>
            </w:r>
          </w:p>
        </w:tc>
        <w:tc>
          <w:tcPr>
            <w:tcW w:w="178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Industry</w:t>
            </w:r>
          </w:p>
        </w:tc>
        <w:tc>
          <w:tcPr>
            <w:tcW w:w="1280" w:type="dxa"/>
            <w:vAlign w:val="bottom"/>
          </w:tcPr>
          <w:p>
            <w:pPr>
              <w:ind w:left="300"/>
              <w:spacing w:after="0"/>
              <w:rPr>
                <w:sz w:val="20"/>
                <w:szCs w:val="20"/>
                <w:color w:val="auto"/>
              </w:rPr>
            </w:pPr>
            <w:r>
              <w:rPr>
                <w:rFonts w:ascii="Times New Roman" w:cs="Times New Roman" w:eastAsia="Times New Roman" w:hAnsi="Times New Roman"/>
                <w:sz w:val="10"/>
                <w:szCs w:val="10"/>
                <w:b w:val="1"/>
                <w:bCs w:val="1"/>
                <w:color w:val="auto"/>
              </w:rPr>
              <w:t>Spread / Floor (d)</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Cash/PIK</w:t>
            </w: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Date (f)</w:t>
            </w:r>
          </w:p>
        </w:tc>
        <w:tc>
          <w:tcPr>
            <w:tcW w:w="68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80" w:type="dxa"/>
            <w:vAlign w:val="bottom"/>
          </w:tcPr>
          <w:p>
            <w:pPr>
              <w:spacing w:after="0"/>
              <w:rPr>
                <w:sz w:val="12"/>
                <w:szCs w:val="12"/>
                <w:color w:val="auto"/>
              </w:rPr>
            </w:pPr>
          </w:p>
        </w:tc>
        <w:tc>
          <w:tcPr>
            <w:tcW w:w="6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w w:val="91"/>
              </w:rPr>
              <w:t>Amount</w:t>
            </w:r>
          </w:p>
        </w:tc>
        <w:tc>
          <w:tcPr>
            <w:tcW w:w="120" w:type="dxa"/>
            <w:vAlign w:val="bottom"/>
          </w:tcPr>
          <w:p>
            <w:pPr>
              <w:spacing w:after="0"/>
              <w:rPr>
                <w:sz w:val="12"/>
                <w:szCs w:val="12"/>
                <w:color w:val="auto"/>
              </w:rPr>
            </w:pP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Cost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Value (g)</w:t>
            </w:r>
          </w:p>
        </w:tc>
        <w:tc>
          <w:tcPr>
            <w:tcW w:w="76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Net Assets</w:t>
            </w:r>
          </w:p>
        </w:tc>
      </w:tr>
      <w:tr>
        <w:trPr>
          <w:trHeight w:val="152"/>
        </w:trPr>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20"/>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Control Investments (t)</w:t>
            </w:r>
          </w:p>
        </w:tc>
        <w:tc>
          <w:tcPr>
            <w:tcW w:w="17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r>
      <w:tr>
        <w:trPr>
          <w:trHeight w:val="24"/>
        </w:trPr>
        <w:tc>
          <w:tcPr>
            <w:tcW w:w="1000" w:type="dxa"/>
            <w:vAlign w:val="bottom"/>
            <w:tcBorders>
              <w:left w:val="single" w:sz="8" w:color="CFF0FC"/>
              <w:right w:val="single" w:sz="8" w:color="CFF0FC"/>
            </w:tcBorders>
            <w:shd w:val="clear" w:color="auto" w:fill="000000"/>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r>
      <w:tr>
        <w:trPr>
          <w:trHeight w:val="140"/>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0"/>
                <w:szCs w:val="10"/>
                <w:i w:val="1"/>
                <w:iCs w:val="1"/>
                <w:color w:val="auto"/>
              </w:rPr>
              <w:t>US GreenFiber, LLC (n)</w:t>
            </w:r>
          </w:p>
        </w:tc>
        <w:tc>
          <w:tcPr>
            <w:tcW w:w="17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Building Products Manufacturing</w:t>
            </w: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Second Lien Debt (j)(y)</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10.00%/3.00%</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7/3/2014</w:t>
            </w:r>
          </w:p>
        </w:tc>
        <w:tc>
          <w:tcPr>
            <w:tcW w:w="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8/30/2024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5,226</w:t>
            </w:r>
          </w:p>
        </w:tc>
        <w:tc>
          <w:tcPr>
            <w:tcW w:w="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5,223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Common Equity (2,522 units) (h)(j)</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7/3/2014</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(425,508 units) (j)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8/30/2019</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Common Equity (1,022,813 units) (h)(j)</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7/1/2020</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2"/>
                <w:szCs w:val="12"/>
                <w:color w:val="auto"/>
              </w:rPr>
            </w:pPr>
          </w:p>
        </w:tc>
      </w:tr>
      <w:tr>
        <w:trPr>
          <w:trHeight w:val="148"/>
        </w:trPr>
        <w:tc>
          <w:tcPr>
            <w:tcW w:w="1000" w:type="dxa"/>
            <w:vAlign w:val="bottom"/>
            <w:tcBorders>
              <w:left w:val="single" w:sz="8" w:color="CFF0FC"/>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6,832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0 %</w:t>
            </w:r>
          </w:p>
        </w:tc>
      </w:tr>
      <w:tr>
        <w:trPr>
          <w:trHeight w:val="144"/>
        </w:trPr>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4"/>
        </w:trPr>
        <w:tc>
          <w:tcPr>
            <w:tcW w:w="248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Control Investments</w:t>
            </w:r>
          </w:p>
        </w:tc>
        <w:tc>
          <w:tcPr>
            <w:tcW w:w="178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6,832</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0 %</w:t>
            </w:r>
          </w:p>
        </w:tc>
      </w:tr>
      <w:tr>
        <w:trPr>
          <w:trHeight w:val="120"/>
        </w:trPr>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Affiliate Investments (l)</w:t>
            </w:r>
          </w:p>
        </w:tc>
        <w:tc>
          <w:tcPr>
            <w:tcW w:w="17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r>
      <w:tr>
        <w:trPr>
          <w:trHeight w:val="24"/>
        </w:trPr>
        <w:tc>
          <w:tcPr>
            <w:tcW w:w="1000" w:type="dxa"/>
            <w:vAlign w:val="bottom"/>
            <w:tcBorders>
              <w:left w:val="single" w:sz="8" w:color="CFF0FC"/>
              <w:right w:val="single" w:sz="8" w:color="auto"/>
            </w:tcBorders>
            <w:shd w:val="clear" w:color="auto" w:fill="000000"/>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r>
      <w:tr>
        <w:trPr>
          <w:trHeight w:val="131"/>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0"/>
                <w:szCs w:val="10"/>
                <w:i w:val="1"/>
                <w:iCs w:val="1"/>
                <w:color w:val="auto"/>
              </w:rPr>
              <w:t>Applegate Greenfiber Intermediate Inc. (fka US GreenFiber,</w:t>
            </w:r>
          </w:p>
        </w:tc>
        <w:tc>
          <w:tcPr>
            <w:tcW w:w="17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0"/>
                <w:szCs w:val="10"/>
                <w:i w:val="1"/>
                <w:iCs w:val="1"/>
                <w:color w:val="auto"/>
              </w:rPr>
              <w:t>LLC)</w:t>
            </w:r>
          </w:p>
        </w:tc>
        <w:tc>
          <w:tcPr>
            <w:tcW w:w="17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Building Products Manufacturing</w:t>
            </w:r>
          </w:p>
        </w:tc>
        <w:tc>
          <w:tcPr>
            <w:tcW w:w="1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Subordinated Debt (j)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10.00%/0.00%</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12/31/2021</w:t>
            </w:r>
          </w:p>
        </w:tc>
        <w:tc>
          <w:tcPr>
            <w:tcW w:w="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12/31/2027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9,602</w:t>
            </w:r>
          </w:p>
        </w:tc>
        <w:tc>
          <w:tcPr>
            <w:tcW w:w="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9,602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9,602</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Common Equity (5,690 units) (h)(j)</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12/31/2021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5,690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6,708</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(7,113 units) (h)(j)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12/31/2021</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7,113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8,280</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Common Equity (2,012 units) (h)(j)</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12/31/2021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2"/>
                <w:szCs w:val="12"/>
                <w:color w:val="auto"/>
              </w:rPr>
            </w:pPr>
          </w:p>
        </w:tc>
      </w:tr>
      <w:tr>
        <w:trPr>
          <w:trHeight w:val="148"/>
        </w:trPr>
        <w:tc>
          <w:tcPr>
            <w:tcW w:w="1000" w:type="dxa"/>
            <w:vAlign w:val="bottom"/>
            <w:tcBorders>
              <w:left w:val="single" w:sz="8" w:color="CFF0FC"/>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22,405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24,590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4 %</w:t>
            </w:r>
          </w:p>
        </w:tc>
      </w:tr>
      <w:tr>
        <w:trPr>
          <w:trHeight w:val="140"/>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0"/>
                <w:szCs w:val="10"/>
                <w:i w:val="1"/>
                <w:iCs w:val="1"/>
                <w:color w:val="auto"/>
              </w:rPr>
              <w:t>Medsurant Holdings, LLC</w:t>
            </w:r>
          </w:p>
        </w:tc>
        <w:tc>
          <w:tcPr>
            <w:tcW w:w="17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Healthcare Services</w:t>
            </w: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Preferred Equity (84,997 units) (h)(j)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4/12/2011</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644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1,305</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Warrant (252,588 units) (h)(j)(m)</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4/12/2011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4,625</w:t>
            </w:r>
          </w:p>
        </w:tc>
        <w:tc>
          <w:tcPr>
            <w:tcW w:w="760" w:type="dxa"/>
            <w:vAlign w:val="bottom"/>
          </w:tcPr>
          <w:p>
            <w:pPr>
              <w:spacing w:after="0"/>
              <w:rPr>
                <w:sz w:val="12"/>
                <w:szCs w:val="12"/>
                <w:color w:val="auto"/>
              </w:rPr>
            </w:pPr>
          </w:p>
        </w:tc>
      </w:tr>
      <w:tr>
        <w:trPr>
          <w:trHeight w:val="148"/>
        </w:trPr>
        <w:tc>
          <w:tcPr>
            <w:tcW w:w="1000" w:type="dxa"/>
            <w:vAlign w:val="bottom"/>
            <w:tcBorders>
              <w:left w:val="single" w:sz="8" w:color="CFF0FC"/>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2,902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5,930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1 %</w:t>
            </w:r>
          </w:p>
        </w:tc>
      </w:tr>
      <w:tr>
        <w:trPr>
          <w:trHeight w:val="140"/>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0"/>
                <w:szCs w:val="10"/>
                <w:i w:val="1"/>
                <w:iCs w:val="1"/>
                <w:color w:val="auto"/>
              </w:rPr>
              <w:t>Pfanstiehl, Inc.</w:t>
            </w:r>
          </w:p>
        </w:tc>
        <w:tc>
          <w:tcPr>
            <w:tcW w:w="17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Healthcare Products</w:t>
            </w: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(2,550 units) (j)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3/29/2013</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33,321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6 %</w:t>
            </w:r>
          </w:p>
        </w:tc>
      </w:tr>
      <w:tr>
        <w:trPr>
          <w:trHeight w:val="144"/>
        </w:trPr>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Spectra A&amp;D Acquisition, Inc. (fka FDS Avionics Corp.)</w:t>
            </w:r>
          </w:p>
        </w:tc>
        <w:tc>
          <w:tcPr>
            <w:tcW w:w="1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Aerospace &amp; Defense Manufacturing</w:t>
            </w: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First Lien Debt (k)(ag)</w:t>
            </w:r>
          </w:p>
        </w:tc>
        <w:tc>
          <w:tcPr>
            <w:tcW w:w="1780" w:type="dxa"/>
            <w:vAlign w:val="bottom"/>
          </w:tcPr>
          <w:p>
            <w:pPr>
              <w:spacing w:after="0"/>
              <w:rPr>
                <w:sz w:val="12"/>
                <w:szCs w:val="12"/>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(S + 5.75%) / (1.00%)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11.36%/0.00%</w:t>
            </w: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2/12/2021</w:t>
            </w:r>
          </w:p>
        </w:tc>
        <w:tc>
          <w:tcPr>
            <w:tcW w:w="6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2/11/2026</w:t>
            </w:r>
          </w:p>
        </w:tc>
        <w:tc>
          <w:tcPr>
            <w:tcW w:w="180" w:type="dxa"/>
            <w:vAlign w:val="bottom"/>
          </w:tcPr>
          <w:p>
            <w:pPr>
              <w:spacing w:after="0"/>
              <w:rPr>
                <w:sz w:val="12"/>
                <w:szCs w:val="12"/>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15,000</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14,952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14,003</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(12,035 units) (j)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8/25/2021</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1,204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111</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Common Equity (38,493 units) (j)</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12/16/2022</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(6,783 units) (j)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7/10/2023</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686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686</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Common Equity (4,663 units) (j)</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9/16/2022</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521</w:t>
            </w:r>
          </w:p>
        </w:tc>
        <w:tc>
          <w:tcPr>
            <w:tcW w:w="760" w:type="dxa"/>
            <w:vAlign w:val="bottom"/>
          </w:tcPr>
          <w:p>
            <w:pPr>
              <w:spacing w:after="0"/>
              <w:rPr>
                <w:sz w:val="12"/>
                <w:szCs w:val="12"/>
                <w:color w:val="auto"/>
              </w:rPr>
            </w:pPr>
          </w:p>
        </w:tc>
      </w:tr>
      <w:tr>
        <w:trPr>
          <w:trHeight w:val="148"/>
        </w:trPr>
        <w:tc>
          <w:tcPr>
            <w:tcW w:w="1000" w:type="dxa"/>
            <w:vAlign w:val="bottom"/>
            <w:tcBorders>
              <w:left w:val="single" w:sz="8" w:color="CFF0FC"/>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19,923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15,321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2 %</w:t>
            </w:r>
          </w:p>
        </w:tc>
      </w:tr>
      <w:tr>
        <w:trPr>
          <w:trHeight w:val="140"/>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0"/>
                <w:szCs w:val="10"/>
                <w:i w:val="1"/>
                <w:iCs w:val="1"/>
                <w:color w:val="auto"/>
              </w:rPr>
              <w:t>Steward Holding LLC (dba Steward Advanced Materials)</w:t>
            </w:r>
          </w:p>
        </w:tc>
        <w:tc>
          <w:tcPr>
            <w:tcW w:w="17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Aerospace &amp; Defense Manufacturing</w:t>
            </w: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(1,000,000 units)</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11/12/2015</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4,714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1 %</w:t>
            </w:r>
          </w:p>
        </w:tc>
      </w:tr>
      <w:tr>
        <w:trPr>
          <w:trHeight w:val="144"/>
        </w:trPr>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4"/>
        </w:trPr>
        <w:tc>
          <w:tcPr>
            <w:tcW w:w="248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Affiliate Investments</w:t>
            </w:r>
          </w:p>
        </w:tc>
        <w:tc>
          <w:tcPr>
            <w:tcW w:w="178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46,485</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83,876</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14 %</w:t>
            </w:r>
          </w:p>
        </w:tc>
      </w:tr>
      <w:tr>
        <w:trPr>
          <w:trHeight w:val="120"/>
        </w:trPr>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Non-control/Non-affiliate Investments</w:t>
            </w:r>
          </w:p>
        </w:tc>
        <w:tc>
          <w:tcPr>
            <w:tcW w:w="17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r>
      <w:tr>
        <w:trPr>
          <w:trHeight w:val="24"/>
        </w:trPr>
        <w:tc>
          <w:tcPr>
            <w:tcW w:w="1000" w:type="dxa"/>
            <w:vAlign w:val="bottom"/>
            <w:tcBorders>
              <w:left w:val="single" w:sz="8" w:color="CFF0FC"/>
              <w:right w:val="single" w:sz="8" w:color="auto"/>
            </w:tcBorders>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r>
      <w:tr>
        <w:trPr>
          <w:trHeight w:val="140"/>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0"/>
                <w:szCs w:val="10"/>
                <w:i w:val="1"/>
                <w:iCs w:val="1"/>
                <w:color w:val="auto"/>
              </w:rPr>
              <w:t>2KDirect, Inc. (dba iPromote)</w:t>
            </w:r>
          </w:p>
        </w:tc>
        <w:tc>
          <w:tcPr>
            <w:tcW w:w="17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(k)(at)</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0"/>
                <w:szCs w:val="10"/>
                <w:color w:val="auto"/>
              </w:rPr>
              <w:t>(S + 7.25%) / (0.50%)</w:t>
            </w: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12.80%/0.00%</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6/25/2021</w:t>
            </w:r>
          </w:p>
        </w:tc>
        <w:tc>
          <w:tcPr>
            <w:tcW w:w="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6/25/2026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10,815</w:t>
            </w:r>
          </w:p>
        </w:tc>
        <w:tc>
          <w:tcPr>
            <w:tcW w:w="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10,772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10,815</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First Lien Debt (j)(aa)</w:t>
            </w:r>
          </w:p>
        </w:tc>
        <w:tc>
          <w:tcPr>
            <w:tcW w:w="1780" w:type="dxa"/>
            <w:vAlign w:val="bottom"/>
          </w:tcPr>
          <w:p>
            <w:pPr>
              <w:spacing w:after="0"/>
              <w:rPr>
                <w:sz w:val="12"/>
                <w:szCs w:val="12"/>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(S + 7.25%) / (0.50%)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9.05%/0.00%</w:t>
            </w: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7/30/2021</w:t>
            </w:r>
          </w:p>
        </w:tc>
        <w:tc>
          <w:tcPr>
            <w:tcW w:w="6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6/25/2026</w:t>
            </w:r>
          </w:p>
        </w:tc>
        <w:tc>
          <w:tcPr>
            <w:tcW w:w="180" w:type="dxa"/>
            <w:vAlign w:val="bottom"/>
          </w:tcPr>
          <w:p>
            <w:pPr>
              <w:spacing w:after="0"/>
              <w:rPr>
                <w:sz w:val="12"/>
                <w:szCs w:val="12"/>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3,328</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3,328</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(1,000,000 units)</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6/25/2021</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616</w:t>
            </w:r>
          </w:p>
        </w:tc>
        <w:tc>
          <w:tcPr>
            <w:tcW w:w="760" w:type="dxa"/>
            <w:vAlign w:val="bottom"/>
            <w:shd w:val="clear" w:color="auto" w:fill="CFF0FC"/>
          </w:tcPr>
          <w:p>
            <w:pPr>
              <w:spacing w:after="0"/>
              <w:rPr>
                <w:sz w:val="12"/>
                <w:szCs w:val="12"/>
                <w:color w:val="auto"/>
              </w:rPr>
            </w:pPr>
          </w:p>
        </w:tc>
      </w:tr>
      <w:tr>
        <w:trPr>
          <w:trHeight w:val="140"/>
        </w:trPr>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14,759</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r>
      <w:tr>
        <w:trPr>
          <w:trHeight w:val="14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301 Edison Holdings Inc. (dba LGG Industrial)</w:t>
            </w:r>
          </w:p>
        </w:tc>
        <w:tc>
          <w:tcPr>
            <w:tcW w:w="1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Specialty Distribution</w:t>
            </w: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11.75%/1.50%</w:t>
            </w: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11/14/2023</w:t>
            </w:r>
          </w:p>
        </w:tc>
        <w:tc>
          <w:tcPr>
            <w:tcW w:w="6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11/13/2028</w:t>
            </w:r>
          </w:p>
        </w:tc>
        <w:tc>
          <w:tcPr>
            <w:tcW w:w="180" w:type="dxa"/>
            <w:vAlign w:val="bottom"/>
          </w:tcPr>
          <w:p>
            <w:pPr>
              <w:spacing w:after="0"/>
              <w:rPr>
                <w:sz w:val="12"/>
                <w:szCs w:val="12"/>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13,027</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12,868</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Preferred Equity (518,135 units) (j)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11/14/2023</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760" w:type="dxa"/>
            <w:vAlign w:val="bottom"/>
            <w:shd w:val="clear" w:color="auto" w:fill="CFF0FC"/>
          </w:tcPr>
          <w:p>
            <w:pPr>
              <w:spacing w:after="0"/>
              <w:rPr>
                <w:sz w:val="12"/>
                <w:szCs w:val="12"/>
                <w:color w:val="auto"/>
              </w:rPr>
            </w:pPr>
          </w:p>
        </w:tc>
      </w:tr>
      <w:tr>
        <w:trPr>
          <w:trHeight w:val="140"/>
        </w:trPr>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13,868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r>
      <w:tr>
        <w:trPr>
          <w:trHeight w:val="14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Acendre Midco, Inc.</w:t>
            </w:r>
          </w:p>
        </w:tc>
        <w:tc>
          <w:tcPr>
            <w:tcW w:w="1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1780" w:type="dxa"/>
            <w:vAlign w:val="bottom"/>
          </w:tcPr>
          <w:p>
            <w:pPr>
              <w:spacing w:after="0"/>
              <w:rPr>
                <w:sz w:val="12"/>
                <w:szCs w:val="12"/>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(S + 7.75%) / (0.50%)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13.41%/0.00%</w:t>
            </w: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10/6/2021</w:t>
            </w:r>
          </w:p>
        </w:tc>
        <w:tc>
          <w:tcPr>
            <w:tcW w:w="6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10/6/2026</w:t>
            </w:r>
          </w:p>
        </w:tc>
        <w:tc>
          <w:tcPr>
            <w:tcW w:w="180" w:type="dxa"/>
            <w:vAlign w:val="bottom"/>
          </w:tcPr>
          <w:p>
            <w:pPr>
              <w:spacing w:after="0"/>
              <w:rPr>
                <w:sz w:val="12"/>
                <w:szCs w:val="12"/>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5,459</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5,459</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0"/>
                <w:szCs w:val="10"/>
                <w:color w:val="auto"/>
              </w:rPr>
              <w:t>(S + 7.75%) / (0.50%)</w:t>
            </w: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13.41%/0.00%</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10/6/2021</w:t>
            </w:r>
          </w:p>
        </w:tc>
        <w:tc>
          <w:tcPr>
            <w:tcW w:w="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10/6/2026</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12,406</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12,369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12,406</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Revolving Loan ($250 unfunded commitment) (i)(j)</w:t>
            </w:r>
          </w:p>
        </w:tc>
        <w:tc>
          <w:tcPr>
            <w:tcW w:w="1780" w:type="dxa"/>
            <w:vAlign w:val="bottom"/>
          </w:tcPr>
          <w:p>
            <w:pPr>
              <w:spacing w:after="0"/>
              <w:rPr>
                <w:sz w:val="12"/>
                <w:szCs w:val="12"/>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(S + 7.75%) / (0.50%)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13.41%/0.00%</w:t>
            </w: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10/6/2021</w:t>
            </w:r>
          </w:p>
        </w:tc>
        <w:tc>
          <w:tcPr>
            <w:tcW w:w="6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10/6/2026</w:t>
            </w:r>
          </w:p>
        </w:tc>
        <w:tc>
          <w:tcPr>
            <w:tcW w:w="180" w:type="dxa"/>
            <w:vAlign w:val="bottom"/>
          </w:tcPr>
          <w:p>
            <w:pPr>
              <w:spacing w:after="0"/>
              <w:rPr>
                <w:sz w:val="12"/>
                <w:szCs w:val="12"/>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750</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(500,000 shares) (j)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10/6/2021</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371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475</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Warrant (150,000 shares) (j)(m)</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10/6/2021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Preferred Equity (77,016 shares) (j)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9/26/2022</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143</w:t>
            </w:r>
          </w:p>
        </w:tc>
        <w:tc>
          <w:tcPr>
            <w:tcW w:w="760" w:type="dxa"/>
            <w:vAlign w:val="bottom"/>
            <w:shd w:val="clear" w:color="auto" w:fill="CFF0FC"/>
          </w:tcPr>
          <w:p>
            <w:pPr>
              <w:spacing w:after="0"/>
              <w:rPr>
                <w:sz w:val="12"/>
                <w:szCs w:val="12"/>
                <w:color w:val="auto"/>
              </w:rPr>
            </w:pPr>
          </w:p>
        </w:tc>
      </w:tr>
      <w:tr>
        <w:trPr>
          <w:trHeight w:val="140"/>
        </w:trPr>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19,156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19,376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r>
      <w:tr>
        <w:trPr>
          <w:trHeight w:val="14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Ad Info Parent, Inc. (dba MediaRadar)</w:t>
            </w:r>
          </w:p>
        </w:tc>
        <w:tc>
          <w:tcPr>
            <w:tcW w:w="1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1780" w:type="dxa"/>
            <w:vAlign w:val="bottom"/>
          </w:tcPr>
          <w:p>
            <w:pPr>
              <w:spacing w:after="0"/>
              <w:rPr>
                <w:sz w:val="12"/>
                <w:szCs w:val="12"/>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(S + 6.25%) / (1.00%)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11.75%/0.00%</w:t>
            </w: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11/1/2023</w:t>
            </w:r>
          </w:p>
        </w:tc>
        <w:tc>
          <w:tcPr>
            <w:tcW w:w="6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9/16/2029</w:t>
            </w:r>
          </w:p>
        </w:tc>
        <w:tc>
          <w:tcPr>
            <w:tcW w:w="180" w:type="dxa"/>
            <w:vAlign w:val="bottom"/>
          </w:tcPr>
          <w:p>
            <w:pPr>
              <w:spacing w:after="0"/>
              <w:rPr>
                <w:sz w:val="12"/>
                <w:szCs w:val="12"/>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12,500</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12,432</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Revolving Loan ($1,442 unfunded commitment) (i)(j)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0"/>
                <w:szCs w:val="10"/>
                <w:color w:val="auto"/>
              </w:rPr>
              <w:t>(S + 6.25%) / (1.00%)</w:t>
            </w: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11.75%/0.00%</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11/1/2023</w:t>
            </w:r>
          </w:p>
        </w:tc>
        <w:tc>
          <w:tcPr>
            <w:tcW w:w="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9/16/2029</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(8 )</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Preferred Equity (1,250,000 units) (j)</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11/1/2023</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760" w:type="dxa"/>
            <w:vAlign w:val="bottom"/>
          </w:tcPr>
          <w:p>
            <w:pPr>
              <w:spacing w:after="0"/>
              <w:rPr>
                <w:sz w:val="12"/>
                <w:szCs w:val="12"/>
                <w:color w:val="auto"/>
              </w:rPr>
            </w:pPr>
          </w:p>
        </w:tc>
      </w:tr>
      <w:tr>
        <w:trPr>
          <w:trHeight w:val="148"/>
        </w:trPr>
        <w:tc>
          <w:tcPr>
            <w:tcW w:w="1000" w:type="dxa"/>
            <w:vAlign w:val="bottom"/>
            <w:tcBorders>
              <w:left w:val="single" w:sz="8" w:color="CFF0FC"/>
              <w:right w:val="single" w:sz="8" w:color="CFF0FC"/>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13,673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13,682</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2 %</w:t>
            </w:r>
          </w:p>
        </w:tc>
      </w:tr>
      <w:tr>
        <w:trPr>
          <w:trHeight w:val="140"/>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0"/>
                <w:szCs w:val="10"/>
                <w:i w:val="1"/>
                <w:iCs w:val="1"/>
                <w:color w:val="auto"/>
              </w:rPr>
              <w:t>Aldinger Company</w:t>
            </w:r>
          </w:p>
        </w:tc>
        <w:tc>
          <w:tcPr>
            <w:tcW w:w="178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Business Services</w:t>
            </w: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(ae)</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0"/>
                <w:szCs w:val="10"/>
                <w:color w:val="auto"/>
              </w:rPr>
              <w:t>(S + 6.50%) / (2.00%)</w:t>
            </w: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11.89%/0.00%</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6/30/2023</w:t>
            </w:r>
          </w:p>
        </w:tc>
        <w:tc>
          <w:tcPr>
            <w:tcW w:w="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6/29/2029</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13,780</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13,683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13,780</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Common Equity (7,883 units)</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6/30/2023</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205</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Preferred Equity (7,883 units)</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6/30/2023</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788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788</w:t>
            </w:r>
          </w:p>
        </w:tc>
        <w:tc>
          <w:tcPr>
            <w:tcW w:w="760" w:type="dxa"/>
            <w:vAlign w:val="bottom"/>
            <w:shd w:val="clear" w:color="auto" w:fill="CFF0FC"/>
          </w:tcPr>
          <w:p>
            <w:pPr>
              <w:spacing w:after="0"/>
              <w:rPr>
                <w:sz w:val="12"/>
                <w:szCs w:val="12"/>
                <w:color w:val="auto"/>
              </w:rPr>
            </w:pPr>
          </w:p>
        </w:tc>
      </w:tr>
      <w:tr>
        <w:trPr>
          <w:trHeight w:val="140"/>
        </w:trPr>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14,773</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r>
      <w:tr>
        <w:trPr>
          <w:trHeight w:val="14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Allredi, LLC (fka Marco Group International OpCo, LLC)</w:t>
            </w:r>
          </w:p>
        </w:tc>
        <w:tc>
          <w:tcPr>
            <w:tcW w:w="1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Industrial Cleaning &amp; Coatings</w:t>
            </w: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Second Lien Debt</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5.00%/10.00%</w:t>
            </w: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3/2/2020</w:t>
            </w:r>
          </w:p>
        </w:tc>
        <w:tc>
          <w:tcPr>
            <w:tcW w:w="6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9/2/2026</w:t>
            </w:r>
          </w:p>
        </w:tc>
        <w:tc>
          <w:tcPr>
            <w:tcW w:w="180" w:type="dxa"/>
            <w:vAlign w:val="bottom"/>
          </w:tcPr>
          <w:p>
            <w:pPr>
              <w:spacing w:after="0"/>
              <w:rPr>
                <w:sz w:val="12"/>
                <w:szCs w:val="12"/>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11,415</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11,362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9,924</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(570,636 units) (h)(j)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7/21/2017</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637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127</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Common Equity (39,443 units) (h)(j)</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11/24/2021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(524,624units) (h)(j)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8/3/2023</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109</w:t>
            </w:r>
          </w:p>
        </w:tc>
        <w:tc>
          <w:tcPr>
            <w:tcW w:w="760" w:type="dxa"/>
            <w:vAlign w:val="bottom"/>
            <w:shd w:val="clear" w:color="auto" w:fill="CFF0FC"/>
          </w:tcPr>
          <w:p>
            <w:pPr>
              <w:spacing w:after="0"/>
              <w:rPr>
                <w:sz w:val="12"/>
                <w:szCs w:val="12"/>
                <w:color w:val="auto"/>
              </w:rPr>
            </w:pPr>
          </w:p>
        </w:tc>
      </w:tr>
      <w:tr>
        <w:trPr>
          <w:trHeight w:val="140"/>
        </w:trPr>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10,192</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r>
      <w:tr>
        <w:trPr>
          <w:trHeight w:val="14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w w:val="96"/>
              </w:rPr>
              <w:t>American AllWaste LLC (dba WasteWater Transport Services)</w:t>
            </w:r>
          </w:p>
        </w:tc>
        <w:tc>
          <w:tcPr>
            <w:tcW w:w="1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Environmental Industries</w:t>
            </w: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First Lien Debt (j)(p)</w:t>
            </w:r>
          </w:p>
        </w:tc>
        <w:tc>
          <w:tcPr>
            <w:tcW w:w="1780" w:type="dxa"/>
            <w:vAlign w:val="bottom"/>
          </w:tcPr>
          <w:p>
            <w:pPr>
              <w:spacing w:after="0"/>
              <w:rPr>
                <w:sz w:val="12"/>
                <w:szCs w:val="12"/>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(S + 6.50%) / (1.00%)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12.16%/0.00%</w:t>
            </w: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6/28/2021</w:t>
            </w:r>
          </w:p>
        </w:tc>
        <w:tc>
          <w:tcPr>
            <w:tcW w:w="6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6/28/2026</w:t>
            </w:r>
          </w:p>
        </w:tc>
        <w:tc>
          <w:tcPr>
            <w:tcW w:w="180" w:type="dxa"/>
            <w:vAlign w:val="bottom"/>
          </w:tcPr>
          <w:p>
            <w:pPr>
              <w:spacing w:after="0"/>
              <w:rPr>
                <w:sz w:val="12"/>
                <w:szCs w:val="12"/>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21,183</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19,634</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(j)(o)</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0"/>
                <w:szCs w:val="10"/>
                <w:color w:val="auto"/>
              </w:rPr>
              <w:t>(S + 4.00%) / (1.00%)</w:t>
            </w: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9.66%/0.00%</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6/28/2021</w:t>
            </w:r>
          </w:p>
        </w:tc>
        <w:tc>
          <w:tcPr>
            <w:tcW w:w="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6/28/2026</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330</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304</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Preferred Equity (500 units) (h)(j)</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5/31/2018</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Preferred Equity (207 units) (h)(j)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8/6/2019</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250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Preferred Equity (141 units) (h)(j)</w:t>
            </w: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11/2/2020</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Preferred Equity (74 units) (h)(j)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12/29/2021</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FF0FC"/>
          </w:tcPr>
          <w:p>
            <w:pPr>
              <w:spacing w:after="0"/>
              <w:rPr>
                <w:sz w:val="12"/>
                <w:szCs w:val="12"/>
                <w:color w:val="auto"/>
              </w:rPr>
            </w:pPr>
          </w:p>
        </w:tc>
      </w:tr>
      <w:tr>
        <w:trPr>
          <w:trHeight w:val="140"/>
        </w:trPr>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22,356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19,938</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r>
      <w:tr>
        <w:trPr>
          <w:trHeight w:val="148"/>
        </w:trPr>
        <w:tc>
          <w:tcPr>
            <w:tcW w:w="248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AmeriWater, LLC</w:t>
            </w:r>
          </w:p>
        </w:tc>
        <w:tc>
          <w:tcPr>
            <w:tcW w:w="1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rPr>
              <w:t>Component Manufacturing</w:t>
            </w: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r>
      <w:tr>
        <w:trPr>
          <w:trHeight w:val="140"/>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First Lien Debt (af)</w:t>
            </w:r>
          </w:p>
        </w:tc>
        <w:tc>
          <w:tcPr>
            <w:tcW w:w="1780" w:type="dxa"/>
            <w:vAlign w:val="bottom"/>
          </w:tcPr>
          <w:p>
            <w:pPr>
              <w:spacing w:after="0"/>
              <w:rPr>
                <w:sz w:val="12"/>
                <w:szCs w:val="12"/>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0"/>
                <w:szCs w:val="10"/>
                <w:color w:val="auto"/>
              </w:rPr>
              <w:t>(S + 6.25%) / (1.00%)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11.60%/0.00%</w:t>
            </w: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7/8/2022</w:t>
            </w:r>
          </w:p>
        </w:tc>
        <w:tc>
          <w:tcPr>
            <w:tcW w:w="6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7/8/2027</w:t>
            </w:r>
          </w:p>
        </w:tc>
        <w:tc>
          <w:tcPr>
            <w:tcW w:w="180" w:type="dxa"/>
            <w:vAlign w:val="bottom"/>
          </w:tcPr>
          <w:p>
            <w:pPr>
              <w:spacing w:after="0"/>
              <w:rPr>
                <w:sz w:val="12"/>
                <w:szCs w:val="12"/>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7,613</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7,613</w:t>
            </w:r>
          </w:p>
        </w:tc>
        <w:tc>
          <w:tcPr>
            <w:tcW w:w="760" w:type="dxa"/>
            <w:vAlign w:val="bottom"/>
          </w:tcPr>
          <w:p>
            <w:pPr>
              <w:spacing w:after="0"/>
              <w:rPr>
                <w:sz w:val="12"/>
                <w:szCs w:val="12"/>
                <w:color w:val="auto"/>
              </w:rPr>
            </w:pPr>
          </w:p>
        </w:tc>
      </w:tr>
      <w:tr>
        <w:trPr>
          <w:trHeight w:val="148"/>
        </w:trPr>
        <w:tc>
          <w:tcPr>
            <w:tcW w:w="2480" w:type="dxa"/>
            <w:vAlign w:val="bottom"/>
            <w:tcBorders>
              <w:left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Subordinated Debt (j)</w:t>
            </w:r>
          </w:p>
        </w:tc>
        <w:tc>
          <w:tcPr>
            <w:tcW w:w="17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7.00%/7.00%</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7/8/2022</w:t>
            </w:r>
          </w:p>
        </w:tc>
        <w:tc>
          <w:tcPr>
            <w:tcW w:w="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1/8/2028</w:t>
            </w: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2,220</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2,213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2,220</w:t>
            </w:r>
          </w:p>
        </w:tc>
        <w:tc>
          <w:tcPr>
            <w:tcW w:w="760" w:type="dxa"/>
            <w:vAlign w:val="bottom"/>
            <w:shd w:val="clear" w:color="auto" w:fill="CFF0FC"/>
          </w:tcPr>
          <w:p>
            <w:pPr>
              <w:spacing w:after="0"/>
              <w:rPr>
                <w:sz w:val="12"/>
                <w:szCs w:val="12"/>
                <w:color w:val="auto"/>
              </w:rPr>
            </w:pPr>
          </w:p>
        </w:tc>
      </w:tr>
      <w:tr>
        <w:trPr>
          <w:trHeight w:val="136"/>
        </w:trPr>
        <w:tc>
          <w:tcPr>
            <w:tcW w:w="248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Common Equity (1,000 units) (h)(j)</w:t>
            </w:r>
          </w:p>
        </w:tc>
        <w:tc>
          <w:tcPr>
            <w:tcW w:w="17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7/8/2022</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1,203</w:t>
            </w:r>
          </w:p>
        </w:tc>
        <w:tc>
          <w:tcPr>
            <w:tcW w:w="760" w:type="dxa"/>
            <w:vAlign w:val="bottom"/>
          </w:tcPr>
          <w:p>
            <w:pPr>
              <w:spacing w:after="0"/>
              <w:rPr>
                <w:sz w:val="11"/>
                <w:szCs w:val="1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4"/>
        </w:trPr>
        <w:tc>
          <w:tcPr>
            <w:tcW w:w="2400" w:type="dxa"/>
            <w:vAlign w:val="bottom"/>
            <w:shd w:val="clear" w:color="auto" w:fill="CFF0FC"/>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10,793</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11,036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AOM Intermediate Holdco, LLC (dba AllOver Media)</w:t>
            </w:r>
          </w:p>
        </w:tc>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(1,232 units) (h)(j)</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2/1/2022</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1,372</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1,600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APM Intermediate Holdings, LLC (dba Artistic Paver</w:t>
            </w:r>
          </w:p>
        </w:tc>
        <w:tc>
          <w:tcPr>
            <w:tcW w:w="3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Manufacturing, Inc.)</w:t>
            </w: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Building Products Manufacturing</w:t>
            </w:r>
          </w:p>
        </w:tc>
        <w:tc>
          <w:tcPr>
            <w:tcW w:w="8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(ai)</w:t>
            </w:r>
          </w:p>
        </w:tc>
        <w:tc>
          <w:tcPr>
            <w:tcW w:w="314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+ 7.00%) / (2.00%)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12.39%/0.00%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11/8/2022</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11/8/2027</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18,200</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18,093</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18,047</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(1,200 units) (h)(j)</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11/8/2022</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1,200</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1,323</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19,293</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19,370</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Applied Data Corporation</w:t>
            </w: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(k)(v)</w:t>
            </w:r>
          </w:p>
        </w:tc>
        <w:tc>
          <w:tcPr>
            <w:tcW w:w="314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+ 6.25%) / (1.50%)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11.84%/0.00%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11/6/2020</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11/6/2025</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21,505</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21,434</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21,505</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(24 units)</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11/6/2020</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66</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1,260</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Preferred Equity (1,184,711 units)</w:t>
            </w: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11/6/2020</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1,185</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1,460</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22,685</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24,225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Auto CRM LLC (dba Dealer Holdings)</w:t>
            </w:r>
          </w:p>
        </w:tc>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(am)</w:t>
            </w:r>
          </w:p>
        </w:tc>
        <w:tc>
          <w:tcPr>
            <w:tcW w:w="314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(P + 5.50%) / (3.25%)</w:t>
            </w: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14.00%/0.85%</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10/1/2021</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10/1/2026</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7,647</w:t>
            </w: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7,606</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7,647</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Subordinated Debt</w:t>
            </w:r>
          </w:p>
        </w:tc>
        <w:tc>
          <w:tcPr>
            <w:tcW w:w="3140" w:type="dxa"/>
            <w:vAlign w:val="bottom"/>
          </w:tcPr>
          <w:p>
            <w:pPr>
              <w:spacing w:after="0"/>
              <w:rPr>
                <w:sz w:val="12"/>
                <w:szCs w:val="12"/>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0.00%/14.50%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10/1/2021</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12/31/2026</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677</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674</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677</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(500 units) (j)</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10/1/2021</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500</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237</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8,780</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8,561</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Bad Boy Mowers JV Acquisition, LLC</w:t>
            </w: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Consumer Products</w:t>
            </w: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Subordinated Debt (k)</w:t>
            </w:r>
          </w:p>
        </w:tc>
        <w:tc>
          <w:tcPr>
            <w:tcW w:w="3140" w:type="dxa"/>
            <w:vAlign w:val="bottom"/>
          </w:tcPr>
          <w:p>
            <w:pPr>
              <w:spacing w:after="0"/>
              <w:rPr>
                <w:sz w:val="12"/>
                <w:szCs w:val="12"/>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9.00%/4.50%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11/9/2023</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11/9/2030</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13,087</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13,006</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13,007</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Preferred Equity (13,000 units) (j)</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11/9/2023</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1,300</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1,300</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14,306</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14,307</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Barefoot Mosquito and Pest Control, LLC</w:t>
            </w: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Consumer Services</w:t>
            </w: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(k)</w:t>
            </w:r>
          </w:p>
        </w:tc>
        <w:tc>
          <w:tcPr>
            <w:tcW w:w="314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+ 7.00%) / (2.00%)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12.37%/0.00%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12/22/2023</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12/22/2029</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29,000</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28,822</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28,822</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Revolving Loan ($1,500 unfunded commitment) (i)(j)</w:t>
            </w:r>
          </w:p>
        </w:tc>
        <w:tc>
          <w:tcPr>
            <w:tcW w:w="314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+ 7.00%) / (2.00%)</w:t>
            </w: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12.37%/0.00%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12/22/2023</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12/22/2029</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(3,974 units) (h)(j)</w:t>
            </w: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12/22/2023</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Preferred Equity (15,000 units) (h)(j)</w:t>
            </w:r>
          </w:p>
        </w:tc>
        <w:tc>
          <w:tcPr>
            <w:tcW w:w="3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12/22/2023</w:t>
            </w:r>
          </w:p>
        </w:tc>
        <w:tc>
          <w:tcPr>
            <w:tcW w:w="8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1,500</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1,500</w:t>
            </w:r>
          </w:p>
        </w:tc>
        <w:tc>
          <w:tcPr>
            <w:tcW w:w="4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30,322</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30,322</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BCM One Group Holdings, Inc.</w:t>
            </w: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Subordinated Debt (j)</w:t>
            </w:r>
          </w:p>
        </w:tc>
        <w:tc>
          <w:tcPr>
            <w:tcW w:w="3140" w:type="dxa"/>
            <w:vAlign w:val="bottom"/>
          </w:tcPr>
          <w:p>
            <w:pPr>
              <w:spacing w:after="0"/>
              <w:rPr>
                <w:sz w:val="12"/>
                <w:szCs w:val="12"/>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11.75%/0.00%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11/17/2021</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11/17/2028</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18,333</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18,201</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18,333</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Bedford Precision Parts LLC</w:t>
            </w:r>
          </w:p>
        </w:tc>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Specialty Distribution</w:t>
            </w: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(500,000 units) (h)(j)</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3/12/2019</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484</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377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BP Thrift Buyer, LLC (dba myUnique and Ecothrift)</w:t>
            </w: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Retail</w:t>
            </w: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(j)(al)</w:t>
            </w:r>
          </w:p>
        </w:tc>
        <w:tc>
          <w:tcPr>
            <w:tcW w:w="314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+ 5.75%) / (1.50%)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11.14%/0.00%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9/13/2022</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9/13/2027</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20,000</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19,657</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20,000</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314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+ 5.75%) / (1.50%)</w:t>
            </w: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8.89%/0.00%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5/12/2023</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9/13/2027</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1,911</w:t>
            </w: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1,911</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1,911</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(1,000 units) (j)</w:t>
            </w: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9/13/2022</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960</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1,432</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22,528</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23,343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BurgerFi International, LLC (dba BurgerFi) (ad)</w:t>
            </w:r>
          </w:p>
        </w:tc>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Restaurants</w:t>
            </w: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(14,201 units) (j)(ao)</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11/3/2022</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521</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12</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Preferred Equity (9,787 units) (j)(ao)</w:t>
            </w: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11/3/2022</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49</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245</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570</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257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Cardback Intermediate, LLC (dba Chargeback Gurus)</w:t>
            </w:r>
          </w:p>
        </w:tc>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(j)(ah)</w:t>
            </w:r>
          </w:p>
        </w:tc>
        <w:tc>
          <w:tcPr>
            <w:tcW w:w="314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+ 6.50%) / (0.75%)</w:t>
            </w: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12.16%/0.00%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8/10/2021</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8/10/2026</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11,734</w:t>
            </w: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11,693</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11,734</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(495 shares) (j)</w:t>
            </w: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8/10/2021</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125</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Preferred Equity (495 shares) (j)</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8/10/2021</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125</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243</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11,943</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11,977</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35"/>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Choice Technology Solutions, LLC (dba Choice Merchant</w:t>
            </w:r>
          </w:p>
        </w:tc>
        <w:tc>
          <w:tcPr>
            <w:tcW w:w="3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Solutions, LLC)</w:t>
            </w: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314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+ 7.25%) / (1.00%)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12.89%/0.00%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4/1/2022</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4/1/2027</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8,500</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8,469</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8,500</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Revolving Loan ($1,000 unfunded commitment) (i)(j)</w:t>
            </w:r>
          </w:p>
        </w:tc>
        <w:tc>
          <w:tcPr>
            <w:tcW w:w="314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+ 6.25%) / (1.00%)</w:t>
            </w: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11.89%/0.00%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4/1/2022</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4/1/2027</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Preferred Equity (500,000 units) (h)(j)</w:t>
            </w: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8/21/2023</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500</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688</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8,969</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9,188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CIH Intermediate, LLC</w:t>
            </w:r>
          </w:p>
        </w:tc>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Business Services</w:t>
            </w: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Subordinated Debt (k)</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10.00%/1.00%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3/3/2022</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3/3/2028</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13,891</w:t>
            </w: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13,797</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13,891</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(563 shares) (j)</w:t>
            </w: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3/3/2022</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400</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1,396</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Preferred Equity (563 shares) (j)</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3/3/2022</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400</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921</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14,597</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16,208</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Comply365, LLC</w:t>
            </w: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Aerospace &amp; Defense Manufacturing</w:t>
            </w: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(868,922 units)</w:t>
            </w: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12/22/2023</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2,576</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2,576</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CRS Solutions Holdings, LLC (dba CRS Texas)</w:t>
            </w:r>
          </w:p>
        </w:tc>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Business Services</w:t>
            </w: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(574,929 units) (h)(j)</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6/28/2022</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272</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50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CTM Group, Inc.</w:t>
            </w: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Business Services</w:t>
            </w: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w:t>
            </w:r>
          </w:p>
        </w:tc>
        <w:tc>
          <w:tcPr>
            <w:tcW w:w="314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+ 6.75%) / (1.00%)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12.29%/0.00%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2/28/2023</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11/30/2026</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7,940</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7,816</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7,940</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Subordinated Debt</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11.50%/2.00%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2/28/2023</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11/30/2027</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2,034</w:t>
            </w: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2,014</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2,034</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(400,000 units)</w:t>
            </w: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2/28/2023</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400</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485</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10,230</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10,459</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Dataguise, Inc.</w:t>
            </w:r>
          </w:p>
        </w:tc>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Subordinated Debt (j)</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11.00%/2.00%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12/30/2022</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11/23/2027</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21,875</w:t>
            </w: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21,835</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21,875</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(909 shares) (j)</w:t>
            </w: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12/31/2020</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1,500</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1,311</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23,335</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23,186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Dealerbuilt Acquisition, LLC</w:t>
            </w:r>
          </w:p>
        </w:tc>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(ac)</w:t>
            </w:r>
          </w:p>
        </w:tc>
        <w:tc>
          <w:tcPr>
            <w:tcW w:w="314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+ 5.75%) / (4.00%)</w:t>
            </w: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11.15%/1.00%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7/21/2023</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7/21/2026</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13,130</w:t>
            </w: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13,048</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13,048</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Subordinated Debt (j)</w:t>
            </w:r>
          </w:p>
        </w:tc>
        <w:tc>
          <w:tcPr>
            <w:tcW w:w="3140" w:type="dxa"/>
            <w:vAlign w:val="bottom"/>
          </w:tcPr>
          <w:p>
            <w:pPr>
              <w:spacing w:after="0"/>
              <w:rPr>
                <w:sz w:val="12"/>
                <w:szCs w:val="12"/>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7.50%/7.50%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7/21/2023</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1/21/2027</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5,172</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5,145</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5,145</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(1,000 Units) (h)(j)</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7/21/2023</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Preferred Equity (1,000 Units) (h)(j)</w:t>
            </w: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7/21/2023</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1,000</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1,000</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19,193</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19,193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Detechtion Holdings, LLC</w:t>
            </w:r>
          </w:p>
        </w:tc>
        <w:tc>
          <w:tcPr>
            <w:tcW w:w="3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(k)</w:t>
            </w:r>
          </w:p>
        </w:tc>
        <w:tc>
          <w:tcPr>
            <w:tcW w:w="314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+ 5.75%) / (2.25%)</w:t>
            </w:r>
          </w:p>
        </w:tc>
        <w:tc>
          <w:tcPr>
            <w:tcW w:w="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11.14%/2.00%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6/21/2023</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6/21/2028</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17,689</w:t>
            </w: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17,597</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17,689</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Subordinated Debt (j)</w:t>
            </w:r>
          </w:p>
        </w:tc>
        <w:tc>
          <w:tcPr>
            <w:tcW w:w="3140" w:type="dxa"/>
            <w:vAlign w:val="bottom"/>
          </w:tcPr>
          <w:p>
            <w:pPr>
              <w:spacing w:after="0"/>
              <w:rPr>
                <w:sz w:val="12"/>
                <w:szCs w:val="12"/>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0.00%/14.00%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6/21/2023</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6/21/2028</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2,154</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2,144</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2,154</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(500,000 units) (h)(j)</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6/21/2023</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500</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538</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20,241</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20,381</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Diversified Search LLC</w:t>
            </w: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Business Services</w:t>
            </w: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First Lien Debt (k)(r)</w:t>
            </w:r>
          </w:p>
        </w:tc>
        <w:tc>
          <w:tcPr>
            <w:tcW w:w="3140" w:type="dxa"/>
            <w:vAlign w:val="bottom"/>
            <w:vMerge w:val="restart"/>
          </w:tcPr>
          <w:p>
            <w:pPr>
              <w:ind w:left="2160"/>
              <w:spacing w:after="0"/>
              <w:rPr>
                <w:sz w:val="20"/>
                <w:szCs w:val="20"/>
                <w:color w:val="auto"/>
              </w:rPr>
            </w:pPr>
            <w:r>
              <w:rPr>
                <w:rFonts w:ascii="Times New Roman" w:cs="Times New Roman" w:eastAsia="Times New Roman" w:hAnsi="Times New Roman"/>
                <w:sz w:val="10"/>
                <w:szCs w:val="10"/>
                <w:color w:val="auto"/>
              </w:rPr>
              <w:t>(S + 6.50%) / (1.00%)</w:t>
            </w: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12.11%/0.00%</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2/7/2019</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9/30/2025</w:t>
            </w:r>
          </w:p>
        </w:tc>
        <w:tc>
          <w:tcPr>
            <w:tcW w:w="70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24,155</w:t>
            </w:r>
          </w:p>
        </w:tc>
        <w:tc>
          <w:tcPr>
            <w:tcW w:w="70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color w:val="auto"/>
              </w:rPr>
              <w:t>24,083</w:t>
            </w:r>
          </w:p>
        </w:tc>
        <w:tc>
          <w:tcPr>
            <w:tcW w:w="780" w:type="dxa"/>
            <w:vAlign w:val="bottom"/>
            <w:vMerge w:val="restart"/>
          </w:tcPr>
          <w:p>
            <w:pPr>
              <w:jc w:val="right"/>
              <w:ind w:right="272"/>
              <w:spacing w:after="0"/>
              <w:rPr>
                <w:sz w:val="20"/>
                <w:szCs w:val="20"/>
                <w:color w:val="auto"/>
              </w:rPr>
            </w:pPr>
            <w:r>
              <w:rPr>
                <w:rFonts w:ascii="Times New Roman" w:cs="Times New Roman" w:eastAsia="Times New Roman" w:hAnsi="Times New Roman"/>
                <w:sz w:val="10"/>
                <w:szCs w:val="10"/>
                <w:color w:val="auto"/>
              </w:rPr>
              <w:t>24,155</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400" w:type="dxa"/>
            <w:vAlign w:val="bottom"/>
            <w:vMerge w:val="continue"/>
          </w:tcPr>
          <w:p>
            <w:pPr>
              <w:spacing w:after="0"/>
              <w:rPr>
                <w:sz w:val="4"/>
                <w:szCs w:val="4"/>
                <w:color w:val="auto"/>
              </w:rPr>
            </w:pPr>
          </w:p>
        </w:tc>
        <w:tc>
          <w:tcPr>
            <w:tcW w:w="314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(573 units) (h)(j)</w:t>
            </w: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2/7/2019</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0"/>
                <w:szCs w:val="10"/>
                <w:color w:val="auto"/>
              </w:rPr>
              <w:t>552</w:t>
            </w:r>
          </w:p>
        </w:tc>
        <w:tc>
          <w:tcPr>
            <w:tcW w:w="78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436</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24,635</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24,591</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Education Incites, LLC (dba Acceleration Academies)</w:t>
            </w:r>
          </w:p>
        </w:tc>
        <w:tc>
          <w:tcPr>
            <w:tcW w:w="3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Business Services</w:t>
            </w: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Second Lien Debt</w:t>
            </w:r>
          </w:p>
        </w:tc>
        <w:tc>
          <w:tcPr>
            <w:tcW w:w="3140" w:type="dxa"/>
            <w:vAlign w:val="bottom"/>
          </w:tcPr>
          <w:p>
            <w:pPr>
              <w:spacing w:after="0"/>
              <w:rPr>
                <w:sz w:val="12"/>
                <w:szCs w:val="12"/>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12.75%/0.00%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10/31/2022</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10/29/2027</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6,000</w:t>
            </w: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rPr>
              <w:t>5,978</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6,000</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411480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0" w:right="68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3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Elements Brands, LLC</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Consumer Products</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12.25%/0.00%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12/31/2020</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6/30/2024</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1,525</w:t>
            </w: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1,517</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1,525</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Revolving Loan (j)</w:t>
            </w:r>
          </w:p>
        </w:tc>
        <w:tc>
          <w:tcPr>
            <w:tcW w:w="3060" w:type="dxa"/>
            <w:vAlign w:val="bottom"/>
          </w:tcPr>
          <w:p>
            <w:pPr>
              <w:spacing w:after="0"/>
              <w:rPr>
                <w:sz w:val="12"/>
                <w:szCs w:val="12"/>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12.25%/0.00%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12/31/2020</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6/30/2024</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1,500</w:t>
            </w: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1,497</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1,500</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3,014</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3,025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Fishbowl Solutions, LLC</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(ar)</w:t>
            </w:r>
          </w:p>
        </w:tc>
        <w:tc>
          <w:tcPr>
            <w:tcW w:w="30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0"/>
                <w:szCs w:val="10"/>
                <w:color w:val="auto"/>
              </w:rPr>
              <w:t>(S + 7.75%) / (1.00%)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13.40%/0.00%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3/25/2022</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3/25/2027</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14,174</w:t>
            </w: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14,103</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14,174</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Global Plasma Solutions, Inc.</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Component Manufacturing</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Subordinated Debt (j)</w:t>
            </w:r>
          </w:p>
        </w:tc>
        <w:tc>
          <w:tcPr>
            <w:tcW w:w="3060" w:type="dxa"/>
            <w:vAlign w:val="bottom"/>
          </w:tcPr>
          <w:p>
            <w:pPr>
              <w:spacing w:after="0"/>
              <w:rPr>
                <w:sz w:val="12"/>
                <w:szCs w:val="12"/>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0.00%/18.80%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3/31/2023</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3/18/2024</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208</w:t>
            </w: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208</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208</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(947 shares) (j)</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9/21/2018</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52</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48</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260</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256</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GMP HVAC, LLC (dba McGee Heating &amp; Air, LLC)</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Utilities: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3060" w:type="dxa"/>
            <w:vAlign w:val="bottom"/>
          </w:tcPr>
          <w:p>
            <w:pPr>
              <w:ind w:left="2060"/>
              <w:spacing w:after="0"/>
              <w:rPr>
                <w:sz w:val="20"/>
                <w:szCs w:val="20"/>
                <w:color w:val="auto"/>
              </w:rPr>
            </w:pPr>
            <w:r>
              <w:rPr>
                <w:rFonts w:ascii="Times New Roman" w:cs="Times New Roman" w:eastAsia="Times New Roman" w:hAnsi="Times New Roman"/>
                <w:sz w:val="10"/>
                <w:szCs w:val="10"/>
                <w:color w:val="auto"/>
              </w:rPr>
              <w:t>(S + 7.00%) / (2.00%)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12.38%/0.00%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12/8/2023</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12/8/2028</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3,000</w:t>
            </w: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2,983</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2,983</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Revolving Loan ($1,000 unfunded commitment) (i)(j)</w:t>
            </w:r>
          </w:p>
        </w:tc>
        <w:tc>
          <w:tcPr>
            <w:tcW w:w="30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0"/>
                <w:szCs w:val="10"/>
                <w:color w:val="auto"/>
              </w:rPr>
              <w:t>(S + 7.00%) / (2.00%)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12.38%/0.00%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12/8/2023</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12/8/2028</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(6 )</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Preferred Equity (1,000 units) (h)(j)</w:t>
            </w: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12/8/2023</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1,000</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1,000</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3,977</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3,983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 xml:space="preserve">GP&amp;C Operations, LLC (dba Garlock Printing and Converting) </w:t>
            </w:r>
            <w:r>
              <w:rPr>
                <w:rFonts w:ascii="Times New Roman" w:cs="Times New Roman" w:eastAsia="Times New Roman" w:hAnsi="Times New Roman"/>
                <w:sz w:val="10"/>
                <w:szCs w:val="10"/>
                <w:color w:val="auto"/>
              </w:rPr>
              <w:t>Component Manufacturing</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(515,625 units) (h)(j)</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1/22/2021</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516</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427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Green Cubes Technology, LLC (dba Green Cubes)</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3060" w:type="dxa"/>
            <w:vAlign w:val="bottom"/>
          </w:tcPr>
          <w:p>
            <w:pPr>
              <w:ind w:left="2060"/>
              <w:spacing w:after="0"/>
              <w:rPr>
                <w:sz w:val="20"/>
                <w:szCs w:val="20"/>
                <w:color w:val="auto"/>
              </w:rPr>
            </w:pPr>
            <w:r>
              <w:rPr>
                <w:rFonts w:ascii="Times New Roman" w:cs="Times New Roman" w:eastAsia="Times New Roman" w:hAnsi="Times New Roman"/>
                <w:sz w:val="10"/>
                <w:szCs w:val="10"/>
                <w:color w:val="auto"/>
              </w:rPr>
              <w:t>(S + 13.00%) / (0.00%)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18.53%/0.00%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12/17/2021</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12/17/2024</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12,000</w:t>
            </w: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11,977</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12,000</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Gurobi Optimization, LLC</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(3 shares)</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12/19/2017</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563</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3,255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Haematologic Technologies, Inc.</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Healthcare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(x)</w:t>
            </w:r>
          </w:p>
        </w:tc>
        <w:tc>
          <w:tcPr>
            <w:tcW w:w="3060" w:type="dxa"/>
            <w:vAlign w:val="bottom"/>
          </w:tcPr>
          <w:p>
            <w:pPr>
              <w:ind w:left="2060"/>
              <w:spacing w:after="0"/>
              <w:rPr>
                <w:sz w:val="20"/>
                <w:szCs w:val="20"/>
                <w:color w:val="auto"/>
              </w:rPr>
            </w:pPr>
            <w:r>
              <w:rPr>
                <w:rFonts w:ascii="Times New Roman" w:cs="Times New Roman" w:eastAsia="Times New Roman" w:hAnsi="Times New Roman"/>
                <w:sz w:val="10"/>
                <w:szCs w:val="10"/>
                <w:color w:val="auto"/>
              </w:rPr>
              <w:t>(S + 8.25%) / (2.00%)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13.85%/0.00%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10/11/2019</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10/11/2024</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5,385</w:t>
            </w: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5,378</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5,329</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(630 units) (h)(j)</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10/11/2019</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630</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(89 units) (h)(j)</w:t>
            </w: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6/26/2023</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89</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42</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6,097</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5,371</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Hallmark Health Care Solutions, Inc.</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Healthcare Services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(3,645,752units) (j)</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9/18/2023</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3,645</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3,646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Healthfuse, LLC</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Healthcare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Preferred Equity (197,980 units)</w:t>
            </w: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11/13/2020</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749</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1,721</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Hub Acquisition Sub, LLC (dba Hub Pen)</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Promotional products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Second Lien Debt (k)</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12.50%/1.00%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4/25/2023</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6/30/2028</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20,140</w:t>
            </w: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19,880</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20,140</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(5,837 units)</w:t>
            </w: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3/23/2016</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390</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1,385</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(637 units) (j)</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8/7/2023</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102</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151</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Preferred Equity (868 units) (j)</w:t>
            </w: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10/16/2020</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154</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309</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20,526</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21,985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IBH Holdings, LLC (fka Inflexxion, Inc.)</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Business Services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(150,000 units)</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6/20/2018</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9</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ISI PSG Holdings, LLC (dba Incentive Solutions, Inc.)</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Business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(j)(aj)</w:t>
            </w:r>
          </w:p>
        </w:tc>
        <w:tc>
          <w:tcPr>
            <w:tcW w:w="3060" w:type="dxa"/>
            <w:vAlign w:val="bottom"/>
          </w:tcPr>
          <w:p>
            <w:pPr>
              <w:ind w:left="2060"/>
              <w:spacing w:after="0"/>
              <w:rPr>
                <w:sz w:val="20"/>
                <w:szCs w:val="20"/>
                <w:color w:val="auto"/>
              </w:rPr>
            </w:pPr>
            <w:r>
              <w:rPr>
                <w:rFonts w:ascii="Times New Roman" w:cs="Times New Roman" w:eastAsia="Times New Roman" w:hAnsi="Times New Roman"/>
                <w:sz w:val="10"/>
                <w:szCs w:val="10"/>
                <w:color w:val="auto"/>
              </w:rPr>
              <w:t>(S + 7.50%) / (0.50%)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13.00%/0.00%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4/5/2021</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4/5/2026</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11,517</w:t>
            </w: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11,470</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11,517</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(j)(an)</w:t>
            </w:r>
          </w:p>
        </w:tc>
        <w:tc>
          <w:tcPr>
            <w:tcW w:w="30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0"/>
                <w:szCs w:val="10"/>
                <w:color w:val="auto"/>
              </w:rPr>
              <w:t>(S + 7.50%) / (0.50%)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9.50%/0.00%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6/30/2021</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4/5/2026</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12,222</w:t>
            </w: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12,221</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12,168</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(256,964 units) (h)(j)</w:t>
            </w: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4/5/2021</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500</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553</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24,191</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24,238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The Kyjen Company, LLC (dba Outward Hound)</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Consumer Products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(855 shares) (j)</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12/8/2017</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933</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7</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Level Education Group, LLC (dba CE4Less)</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Business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50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First Lien Debt (ak)</w:t>
            </w:r>
          </w:p>
        </w:tc>
        <w:tc>
          <w:tcPr>
            <w:tcW w:w="3060" w:type="dxa"/>
            <w:vAlign w:val="bottom"/>
            <w:vMerge w:val="restart"/>
          </w:tcPr>
          <w:p>
            <w:pPr>
              <w:ind w:left="2060"/>
              <w:spacing w:after="0"/>
              <w:rPr>
                <w:sz w:val="20"/>
                <w:szCs w:val="20"/>
                <w:color w:val="auto"/>
              </w:rPr>
            </w:pPr>
            <w:r>
              <w:rPr>
                <w:rFonts w:ascii="Times New Roman" w:cs="Times New Roman" w:eastAsia="Times New Roman" w:hAnsi="Times New Roman"/>
                <w:sz w:val="10"/>
                <w:szCs w:val="10"/>
                <w:color w:val="auto"/>
              </w:rPr>
              <w:t>(S + 5.75%) / (2.00%)</w:t>
            </w: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auto"/>
              </w:rPr>
              <w:t>11.41%/0.00%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4/1/2021</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4/1/2026</w:t>
            </w:r>
          </w:p>
        </w:tc>
        <w:tc>
          <w:tcPr>
            <w:tcW w:w="70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4,622</w:t>
            </w:r>
          </w:p>
        </w:tc>
        <w:tc>
          <w:tcPr>
            <w:tcW w:w="72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color w:val="auto"/>
              </w:rPr>
              <w:t>4,604</w:t>
            </w:r>
          </w:p>
        </w:tc>
        <w:tc>
          <w:tcPr>
            <w:tcW w:w="760" w:type="dxa"/>
            <w:vAlign w:val="bottom"/>
            <w:vMerge w:val="restart"/>
          </w:tcPr>
          <w:p>
            <w:pPr>
              <w:jc w:val="right"/>
              <w:ind w:right="272"/>
              <w:spacing w:after="0"/>
              <w:rPr>
                <w:sz w:val="20"/>
                <w:szCs w:val="20"/>
                <w:color w:val="auto"/>
              </w:rPr>
            </w:pPr>
            <w:r>
              <w:rPr>
                <w:rFonts w:ascii="Times New Roman" w:cs="Times New Roman" w:eastAsia="Times New Roman" w:hAnsi="Times New Roman"/>
                <w:sz w:val="10"/>
                <w:szCs w:val="10"/>
                <w:color w:val="auto"/>
              </w:rPr>
              <w:t>4,622</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500" w:type="dxa"/>
            <w:vAlign w:val="bottom"/>
            <w:vMerge w:val="continue"/>
          </w:tcPr>
          <w:p>
            <w:pPr>
              <w:spacing w:after="0"/>
              <w:rPr>
                <w:sz w:val="8"/>
                <w:szCs w:val="8"/>
                <w:color w:val="auto"/>
              </w:rPr>
            </w:pPr>
          </w:p>
        </w:tc>
        <w:tc>
          <w:tcPr>
            <w:tcW w:w="30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(1,000,000 units) (j)</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4/1/2021</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1,000</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1,458</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5,604</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6,080</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LifeSpan Biosciences, Inc.</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Healthcare Products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Subordinated Debt (j)</w:t>
            </w:r>
          </w:p>
        </w:tc>
        <w:tc>
          <w:tcPr>
            <w:tcW w:w="3060" w:type="dxa"/>
            <w:vAlign w:val="bottom"/>
          </w:tcPr>
          <w:p>
            <w:pPr>
              <w:spacing w:after="0"/>
              <w:rPr>
                <w:sz w:val="12"/>
                <w:szCs w:val="12"/>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11.50%/0.00%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3/19/2021</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9/19/2026</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16,000</w:t>
            </w: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15,959</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15,102</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(100 shares) (j)</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3/19/2021</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1,000</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442</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16,959</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15,544</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Magenta Buyer LLC (dba Trellix)</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Second Lien Debt (j)</w:t>
            </w:r>
          </w:p>
        </w:tc>
        <w:tc>
          <w:tcPr>
            <w:tcW w:w="3060" w:type="dxa"/>
            <w:vAlign w:val="bottom"/>
          </w:tcPr>
          <w:p>
            <w:pPr>
              <w:ind w:left="2060"/>
              <w:spacing w:after="0"/>
              <w:rPr>
                <w:sz w:val="20"/>
                <w:szCs w:val="20"/>
                <w:color w:val="auto"/>
              </w:rPr>
            </w:pPr>
            <w:r>
              <w:rPr>
                <w:rFonts w:ascii="Times New Roman" w:cs="Times New Roman" w:eastAsia="Times New Roman" w:hAnsi="Times New Roman"/>
                <w:sz w:val="10"/>
                <w:szCs w:val="10"/>
                <w:color w:val="auto"/>
              </w:rPr>
              <w:t>(S + 8.25%) / (0.75%)</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13.89%/0.00%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7/19/2022</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7/27/2029</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7,182</w:t>
            </w: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6,864</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5,103</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MBS Opco, LLC (dba Marketron)</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30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0"/>
                <w:szCs w:val="10"/>
                <w:color w:val="auto"/>
              </w:rPr>
              <w:t>(S + 8.50%) / (1.50%)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14.16%/0.00%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9/29/2022</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9/28/2026</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27,000</w:t>
            </w: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26,907</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27,000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284"/>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MDME Holding Corp.</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Healthcare Products</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w:t>
            </w:r>
          </w:p>
        </w:tc>
        <w:tc>
          <w:tcPr>
            <w:tcW w:w="30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0"/>
                <w:szCs w:val="10"/>
                <w:color w:val="auto"/>
              </w:rPr>
              <w:t>(S + 6.25%) / (1.00%)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11.75%/0.00%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8/31/2023</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8/3/2027</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11,893</w:t>
            </w: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11,806</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11,806</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(4,735 units) (j)</w:t>
            </w: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9/18/2023</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Preferred Equity (12,500 units) (j)</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9/18/2023</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1,250</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1,250</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13,056</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13,056</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35"/>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w w:val="96"/>
              </w:rPr>
              <w:t>Micronics Filtration Holdings, Inc. (dba Micronics Engineered</w:t>
            </w:r>
          </w:p>
        </w:tc>
        <w:tc>
          <w:tcPr>
            <w:tcW w:w="30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Filtration Group, Inc.)</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Component Manufacturing</w:t>
            </w:r>
          </w:p>
        </w:tc>
        <w:tc>
          <w:tcPr>
            <w:tcW w:w="8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(j)(as)</w:t>
            </w:r>
          </w:p>
        </w:tc>
        <w:tc>
          <w:tcPr>
            <w:tcW w:w="3060" w:type="dxa"/>
            <w:vAlign w:val="bottom"/>
          </w:tcPr>
          <w:p>
            <w:pPr>
              <w:ind w:left="2060"/>
              <w:spacing w:after="0"/>
              <w:rPr>
                <w:sz w:val="20"/>
                <w:szCs w:val="20"/>
                <w:color w:val="auto"/>
              </w:rPr>
            </w:pPr>
            <w:r>
              <w:rPr>
                <w:rFonts w:ascii="Times New Roman" w:cs="Times New Roman" w:eastAsia="Times New Roman" w:hAnsi="Times New Roman"/>
                <w:sz w:val="10"/>
                <w:szCs w:val="10"/>
                <w:color w:val="auto"/>
              </w:rPr>
              <w:t>(S + 5.50%) / (0.50%)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10.84%/0.00%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2/17/2022</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2/17/2027</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20,636</w:t>
            </w: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19,873</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20,636</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(au)</w:t>
            </w:r>
          </w:p>
        </w:tc>
        <w:tc>
          <w:tcPr>
            <w:tcW w:w="30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0"/>
                <w:szCs w:val="10"/>
                <w:color w:val="auto"/>
              </w:rPr>
              <w:t>(S + 5.50%) / (0.50%)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10.84%/0.00%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2/17/2022</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2/17/2027</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9,364</w:t>
            </w: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9,314</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9,364</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(14,400 units) (j)</w:t>
            </w: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2/17/2022</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1,440</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5,440</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30,627</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35,440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7 %</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Netbase Solutions, Inc. (dba Netbase Quid)</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(k)(ap)</w:t>
            </w:r>
          </w:p>
        </w:tc>
        <w:tc>
          <w:tcPr>
            <w:tcW w:w="30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0"/>
                <w:szCs w:val="10"/>
                <w:color w:val="auto"/>
              </w:rPr>
              <w:t>(P + 4.00%) / (3.25%)</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12.50%/0.00%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11/18/2021</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11/18/2025</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16,708</w:t>
            </w: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16,650</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16,459</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NWS Technologies, LLC</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Utilities: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(u)</w:t>
            </w:r>
          </w:p>
        </w:tc>
        <w:tc>
          <w:tcPr>
            <w:tcW w:w="3060" w:type="dxa"/>
            <w:vAlign w:val="bottom"/>
          </w:tcPr>
          <w:p>
            <w:pPr>
              <w:ind w:left="2060"/>
              <w:spacing w:after="0"/>
              <w:rPr>
                <w:sz w:val="20"/>
                <w:szCs w:val="20"/>
                <w:color w:val="auto"/>
              </w:rPr>
            </w:pPr>
            <w:r>
              <w:rPr>
                <w:rFonts w:ascii="Times New Roman" w:cs="Times New Roman" w:eastAsia="Times New Roman" w:hAnsi="Times New Roman"/>
                <w:sz w:val="10"/>
                <w:szCs w:val="10"/>
                <w:color w:val="auto"/>
              </w:rPr>
              <w:t>(S + 8.00%) / (2.50%)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13.39%/0.00%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6/20/2023</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6/16/2028</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17,000</w:t>
            </w: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16,773</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17,000</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(1 unit) (h)(j)</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6/20/2023</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1,125</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946</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Preferred Equity (0.375 units) (h)(j)</w:t>
            </w: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6/20/2023</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375</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387</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18,273</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18,333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OnePath Systems, LLC</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(s)</w:t>
            </w:r>
          </w:p>
        </w:tc>
        <w:tc>
          <w:tcPr>
            <w:tcW w:w="30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0"/>
                <w:szCs w:val="10"/>
                <w:color w:val="auto"/>
              </w:rPr>
              <w:t>(S + 7.50%) / (1.00%)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12.83%/0.00%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9/30/2022</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9/30/2027</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11,000</w:t>
            </w: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10,938</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11,000</w:t>
            </w: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(732,542 shares) (j)</w:t>
            </w: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9/30/2022</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500</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704</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spacing w:after="0"/>
              <w:rPr>
                <w:sz w:val="12"/>
                <w:szCs w:val="12"/>
                <w:color w:val="auto"/>
              </w:rPr>
            </w:pP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11,438</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11,704</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0"/>
        </w:trPr>
        <w:tc>
          <w:tcPr>
            <w:tcW w:w="25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Palmetto Moon, LLC</w:t>
            </w:r>
          </w:p>
        </w:tc>
        <w:tc>
          <w:tcPr>
            <w:tcW w:w="30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Retail</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(499 units) (j)</w:t>
            </w:r>
          </w:p>
        </w:tc>
        <w:tc>
          <w:tcPr>
            <w:tcW w:w="30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11/3/2016</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265</w:t>
            </w:r>
          </w:p>
        </w:tc>
        <w:tc>
          <w:tcPr>
            <w:tcW w:w="76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0"/>
                <w:szCs w:val="10"/>
                <w:color w:val="auto"/>
              </w:rPr>
              <w:t>306</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Pinnergy, Ltd.</w:t>
            </w:r>
          </w:p>
        </w:tc>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Oil &amp; Gas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5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Subordinated Debt (j)</w:t>
            </w:r>
          </w:p>
        </w:tc>
        <w:tc>
          <w:tcPr>
            <w:tcW w:w="3060" w:type="dxa"/>
            <w:vAlign w:val="bottom"/>
          </w:tcPr>
          <w:p>
            <w:pPr>
              <w:spacing w:after="0"/>
              <w:rPr>
                <w:sz w:val="11"/>
                <w:szCs w:val="11"/>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9.00%/0.00%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6/30/2022</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6/30/2027</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12,850</w:t>
            </w:r>
          </w:p>
        </w:tc>
        <w:tc>
          <w:tcPr>
            <w:tcW w:w="7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12,798</w:t>
            </w: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12,850</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60" w:right="680" w:bottom="993" w:gutter="0" w:footer="0" w:header="0"/>
        </w:sectPr>
      </w:pPr>
    </w:p>
    <w:bookmarkStart w:id="17" w:name="page18"/>
    <w:bookmarkEnd w:id="17"/>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857250</wp:posOffset>
            </wp:positionV>
            <wp:extent cx="6707505"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Pool &amp; Electrical Products, LLC</w:t>
            </w:r>
          </w:p>
        </w:tc>
        <w:tc>
          <w:tcPr>
            <w:tcW w:w="31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Specialty Distribution</w:t>
            </w: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(15,000 units) (h)(j)</w:t>
            </w: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10/28/2020</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549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4,649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PowerGrid Services Acquisition, LLC</w:t>
            </w: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Utilities: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Second Lien Debt (j)</w:t>
            </w:r>
          </w:p>
        </w:tc>
        <w:tc>
          <w:tcPr>
            <w:tcW w:w="316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+ 9.50%) / (1.00%)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15.15%/0.00%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9/21/2021</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3/21/2029</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10,831</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10,793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10,831</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(5,341 units) (h)(j)</w:t>
            </w: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9/21/2021</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534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561</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11,327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11,392</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Prime AE Group, Inc.</w:t>
            </w: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Business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(j)(ab)</w:t>
            </w:r>
          </w:p>
        </w:tc>
        <w:tc>
          <w:tcPr>
            <w:tcW w:w="316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+ 7.25%) / (2.00%)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12.72%/0.00%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11/25/2019</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11/25/2024</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5,833</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5,833</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Preferred Equity (900,000 shares) (j)</w:t>
            </w: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11/25/2019</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348</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6,698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6,181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Puget Collision, LLC</w:t>
            </w: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Retail</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First Lien Debt (k)</w:t>
            </w:r>
          </w:p>
        </w:tc>
        <w:tc>
          <w:tcPr>
            <w:tcW w:w="3160" w:type="dxa"/>
            <w:vAlign w:val="bottom"/>
            <w:vMerge w:val="restart"/>
          </w:tcPr>
          <w:p>
            <w:pPr>
              <w:ind w:left="2160"/>
              <w:spacing w:after="0"/>
              <w:rPr>
                <w:sz w:val="20"/>
                <w:szCs w:val="20"/>
                <w:color w:val="auto"/>
              </w:rPr>
            </w:pPr>
            <w:r>
              <w:rPr>
                <w:rFonts w:ascii="Times New Roman" w:cs="Times New Roman" w:eastAsia="Times New Roman" w:hAnsi="Times New Roman"/>
                <w:sz w:val="10"/>
                <w:szCs w:val="10"/>
                <w:color w:val="auto"/>
              </w:rPr>
              <w:t>(S + 8.50%) / (1.00%)</w:t>
            </w: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auto"/>
              </w:rPr>
              <w:t>13.84%/0.00%</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4/28/2023</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9/12/2027</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17,546</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17,465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17,546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4 %</w:t>
            </w:r>
          </w:p>
        </w:tc>
        <w:tc>
          <w:tcPr>
            <w:tcW w:w="0" w:type="dxa"/>
            <w:vAlign w:val="bottom"/>
          </w:tcPr>
          <w:p>
            <w:pPr>
              <w:spacing w:after="0"/>
              <w:rPr>
                <w:sz w:val="1"/>
                <w:szCs w:val="1"/>
                <w:color w:val="auto"/>
              </w:rPr>
            </w:pPr>
          </w:p>
        </w:tc>
      </w:tr>
      <w:tr>
        <w:trPr>
          <w:trHeight w:val="52"/>
        </w:trPr>
        <w:tc>
          <w:tcPr>
            <w:tcW w:w="2400" w:type="dxa"/>
            <w:vAlign w:val="bottom"/>
            <w:vMerge w:val="continue"/>
          </w:tcPr>
          <w:p>
            <w:pPr>
              <w:spacing w:after="0"/>
              <w:rPr>
                <w:sz w:val="4"/>
                <w:szCs w:val="4"/>
                <w:color w:val="auto"/>
              </w:rPr>
            </w:pPr>
          </w:p>
        </w:tc>
        <w:tc>
          <w:tcPr>
            <w:tcW w:w="316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QED Technologies International, Inc.</w:t>
            </w:r>
          </w:p>
        </w:tc>
        <w:tc>
          <w:tcPr>
            <w:tcW w:w="31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Component Manufacturing</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(q)</w:t>
            </w:r>
          </w:p>
        </w:tc>
        <w:tc>
          <w:tcPr>
            <w:tcW w:w="316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+ 6.25%) / (1.50%)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11.14%/0.50%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3/1/2023</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3/1/2028</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17,348</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17,240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17,348</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(140 shares) (j)</w:t>
            </w: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2/28/2023</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1,923</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18,642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19,271</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Quest Software US Holdings Inc.</w:t>
            </w:r>
          </w:p>
        </w:tc>
        <w:tc>
          <w:tcPr>
            <w:tcW w:w="31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Second Lien Debt (j)</w:t>
            </w:r>
          </w:p>
        </w:tc>
        <w:tc>
          <w:tcPr>
            <w:tcW w:w="316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+ 7.50%) / (0.50%)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13.03%/0.00%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3/1/2022</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2/1/2030</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20,000</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19,450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14,927</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R1 Holdings, LLC (dba RoadOne IntermodaLogistics)</w:t>
            </w: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Transportation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($1,596 unfunded commitment) (j)(w)</w:t>
            </w:r>
          </w:p>
        </w:tc>
        <w:tc>
          <w:tcPr>
            <w:tcW w:w="316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+ 6.25%) / (1.00%)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11.72%/0.00%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12/30/2022</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12/30/2028</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6,343</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6,162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6,343</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Subordinated Debt ($417 unfunded commitment) (j)(w)</w:t>
            </w: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8.75%/5.00%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12/30/2022</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6/30/2029</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1,403</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1,363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1,403</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(280,000 units) ($70 unfunded</w:t>
            </w:r>
          </w:p>
        </w:tc>
        <w:tc>
          <w:tcPr>
            <w:tcW w:w="3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commitment) (j)</w:t>
            </w:r>
          </w:p>
        </w:tc>
        <w:tc>
          <w:tcPr>
            <w:tcW w:w="3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12/30/2022</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317</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7,805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8,063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Sonicwall US Holdings, Inc.</w:t>
            </w:r>
          </w:p>
        </w:tc>
        <w:tc>
          <w:tcPr>
            <w:tcW w:w="31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Second Lien Debt (j)</w:t>
            </w:r>
          </w:p>
        </w:tc>
        <w:tc>
          <w:tcPr>
            <w:tcW w:w="316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+ 7.50%) / (0.00%)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13.01%/0.00%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9/6/2022</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5/18/2026</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3,581</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3,391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3,356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Suited Connector LLC</w:t>
            </w: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Second Lien Debt (j)(y)</w:t>
            </w:r>
          </w:p>
        </w:tc>
        <w:tc>
          <w:tcPr>
            <w:tcW w:w="3160" w:type="dxa"/>
            <w:vAlign w:val="bottom"/>
          </w:tcPr>
          <w:p>
            <w:pPr>
              <w:spacing w:after="0"/>
              <w:rPr>
                <w:sz w:val="12"/>
                <w:szCs w:val="12"/>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0.00%/12.00%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10/29/2021</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6/1/2028</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16,000</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4,324</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(56,382 units) (h)(j)</w:t>
            </w: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12/1/2021</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836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16,769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4,324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Tedia Company, LLC</w:t>
            </w: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Healthcare Products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316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+ 7.75%) / (1.00%)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13.41%/0.00%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3/4/2022</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3/4/2027</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15,600</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15,600</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Revolving Loan ($2,400 unfunded commitment) (j)(i)</w:t>
            </w:r>
          </w:p>
        </w:tc>
        <w:tc>
          <w:tcPr>
            <w:tcW w:w="316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+ 7.75%) / (1.00%)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13.41%/0.00%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3/4/2022</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3/4/2027</w:t>
            </w:r>
          </w:p>
        </w:tc>
        <w:tc>
          <w:tcPr>
            <w:tcW w:w="820" w:type="dxa"/>
            <w:vAlign w:val="bottom"/>
            <w:gridSpan w:val="2"/>
            <w:shd w:val="clear" w:color="auto" w:fill="CFF0FC"/>
          </w:tcPr>
          <w:p>
            <w:pPr>
              <w:jc w:val="right"/>
              <w:ind w:right="29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(14 )</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Subordinated Debt (j)</w:t>
            </w:r>
          </w:p>
        </w:tc>
        <w:tc>
          <w:tcPr>
            <w:tcW w:w="3160" w:type="dxa"/>
            <w:vAlign w:val="bottom"/>
          </w:tcPr>
          <w:p>
            <w:pPr>
              <w:spacing w:after="0"/>
              <w:rPr>
                <w:sz w:val="12"/>
                <w:szCs w:val="12"/>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7.25%/7.25%</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3/4/2022</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9/4/2027</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2,857</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2,727</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Preferred Equity (1,000 units) (h)(j)</w:t>
            </w: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3/4/2022</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432</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18,759</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Tiger Calcium Services Inc. (aq)</w:t>
            </w: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Transportation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Second Lien Debt (j) (ao)</w:t>
            </w:r>
          </w:p>
        </w:tc>
        <w:tc>
          <w:tcPr>
            <w:tcW w:w="3160" w:type="dxa"/>
            <w:vAlign w:val="bottom"/>
          </w:tcPr>
          <w:p>
            <w:pPr>
              <w:spacing w:after="0"/>
              <w:rPr>
                <w:sz w:val="12"/>
                <w:szCs w:val="12"/>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12.50%/0.00%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12/21/2022</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5/31/2025</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12,500</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12,464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12,500</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UBEO, LLC</w:t>
            </w:r>
          </w:p>
        </w:tc>
        <w:tc>
          <w:tcPr>
            <w:tcW w:w="31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Business Services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(705,000 units) (h)(j)</w:t>
            </w: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4/3/2018</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655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1,935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United Biologics, LLC</w:t>
            </w: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Healthcare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Preferred Equity (98,377 units) (h)(j)</w:t>
            </w: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4/1/2012</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Warrant (57,469 units) (j)(m)</w:t>
            </w: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3/5/2012</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566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US Fertility Enterprises, LLC</w:t>
            </w: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Healthcare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Subordinated Debt (j)</w:t>
            </w:r>
          </w:p>
        </w:tc>
        <w:tc>
          <w:tcPr>
            <w:tcW w:w="3160" w:type="dxa"/>
            <w:vAlign w:val="bottom"/>
          </w:tcPr>
          <w:p>
            <w:pPr>
              <w:spacing w:after="0"/>
              <w:rPr>
                <w:sz w:val="12"/>
                <w:szCs w:val="12"/>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0.00%/13.75%</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5/19/2023</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6/1/2028</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13,614</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13,614</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USG AS Holdings, LLC</w:t>
            </w:r>
          </w:p>
        </w:tc>
        <w:tc>
          <w:tcPr>
            <w:tcW w:w="31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Utilities: Services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316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+ 8.50%) / (2.50%)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14.04%/0.00%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2/23/2023</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2/23/2028</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10,000</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9,917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(Units N/A) (j)</w:t>
            </w: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2/21/2023</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959</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10,372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10,959</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2 %</w:t>
            </w:r>
          </w:p>
        </w:tc>
        <w:tc>
          <w:tcPr>
            <w:tcW w:w="0" w:type="dxa"/>
            <w:vAlign w:val="bottom"/>
          </w:tcPr>
          <w:p>
            <w:pPr>
              <w:spacing w:after="0"/>
              <w:rPr>
                <w:sz w:val="1"/>
                <w:szCs w:val="1"/>
                <w:color w:val="auto"/>
              </w:rPr>
            </w:pPr>
          </w:p>
        </w:tc>
      </w:tr>
      <w:tr>
        <w:trPr>
          <w:trHeight w:val="164"/>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Virginia Tile Company, LLC</w:t>
            </w:r>
          </w:p>
        </w:tc>
        <w:tc>
          <w:tcPr>
            <w:tcW w:w="31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Specialty Distribution</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(17 units) (j)</w:t>
            </w: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12/19/2014</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1,330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Virtex Enterprises, LP</w:t>
            </w: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Component Manufacturing</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Second Lien Debt (y)</w:t>
            </w:r>
          </w:p>
        </w:tc>
        <w:tc>
          <w:tcPr>
            <w:tcW w:w="316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+ 9.75%) / (2.50%)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5.46%/9.75%</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4/13/2022</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6/30/2026</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11,002</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5,340</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Subordinated Debt</w:t>
            </w:r>
          </w:p>
        </w:tc>
        <w:tc>
          <w:tcPr>
            <w:tcW w:w="316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+ 4.00%) / (2.50%)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9.46%/0.00%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9/20/2023</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12/31/2025</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359</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357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331</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11,263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5,671</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White Label Communication, LLC</w:t>
            </w: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Information Technology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316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+ 6.25%) / (1.00%)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11.66%/0.00%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10/11/2023</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10/11/2029</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17,500</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17,405</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(536units) (h)(j)</w:t>
            </w: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10/11/2023</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Preferred Equity (5,000 units) (h)(j)</w:t>
            </w: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10/11/2023</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17,905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17,905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3 %</w:t>
            </w: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Winona Foods, Inc.</w:t>
            </w:r>
          </w:p>
        </w:tc>
        <w:tc>
          <w:tcPr>
            <w:tcW w:w="31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Specialty Distribution</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316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+ 11.00%) / (6.00%)</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12.00%/5.00%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12/13/2023</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6/13/2027</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2,005</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1,976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1,976</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0 %</w:t>
            </w:r>
          </w:p>
        </w:tc>
        <w:tc>
          <w:tcPr>
            <w:tcW w:w="0" w:type="dxa"/>
            <w:vAlign w:val="bottom"/>
          </w:tcPr>
          <w:p>
            <w:pPr>
              <w:spacing w:after="0"/>
              <w:rPr>
                <w:sz w:val="1"/>
                <w:szCs w:val="1"/>
                <w:color w:val="auto"/>
              </w:rPr>
            </w:pPr>
          </w:p>
        </w:tc>
      </w:tr>
      <w:tr>
        <w:trPr>
          <w:trHeight w:val="144"/>
        </w:trPr>
        <w:tc>
          <w:tcPr>
            <w:tcW w:w="556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 xml:space="preserve">Wonderware Holdings, LLC (dba CORE Business Technologies) </w:t>
            </w:r>
            <w:r>
              <w:rPr>
                <w:rFonts w:ascii="Times New Roman" w:cs="Times New Roman" w:eastAsia="Times New Roman" w:hAnsi="Times New Roman"/>
                <w:sz w:val="10"/>
                <w:szCs w:val="10"/>
                <w:color w:val="auto"/>
              </w:rPr>
              <w:t>Information Technology Services</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(k)(z)</w:t>
            </w:r>
          </w:p>
        </w:tc>
        <w:tc>
          <w:tcPr>
            <w:tcW w:w="316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+ 7.00%) / (1.00%)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12.59%/0.00%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2/10/2021</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2/9/2026</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8,316</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8,316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Worldwide Express Operations, LLC</w:t>
            </w:r>
          </w:p>
        </w:tc>
        <w:tc>
          <w:tcPr>
            <w:tcW w:w="31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Transportation services</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Second Lien Debt (j)</w:t>
            </w:r>
          </w:p>
        </w:tc>
        <w:tc>
          <w:tcPr>
            <w:tcW w:w="3160" w:type="dxa"/>
            <w:vAlign w:val="bottom"/>
            <w:shd w:val="clear" w:color="auto" w:fill="CFF0FC"/>
          </w:tcPr>
          <w:p>
            <w:pPr>
              <w:ind w:left="2160"/>
              <w:spacing w:after="0"/>
              <w:rPr>
                <w:sz w:val="20"/>
                <w:szCs w:val="20"/>
                <w:color w:val="auto"/>
              </w:rPr>
            </w:pPr>
            <w:r>
              <w:rPr>
                <w:rFonts w:ascii="Times New Roman" w:cs="Times New Roman" w:eastAsia="Times New Roman" w:hAnsi="Times New Roman"/>
                <w:sz w:val="10"/>
                <w:szCs w:val="10"/>
                <w:color w:val="auto"/>
              </w:rPr>
              <w:t>(S + 7.00%) / (0.75%)</w:t>
            </w:r>
          </w:p>
        </w:tc>
        <w:tc>
          <w:tcPr>
            <w:tcW w:w="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12.61%/0.00%</w:t>
            </w: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8/2/2021</w:t>
            </w:r>
          </w:p>
        </w:tc>
        <w:tc>
          <w:tcPr>
            <w:tcW w:w="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7/26/2029</w:t>
            </w:r>
          </w:p>
        </w:tc>
        <w:tc>
          <w:tcPr>
            <w:tcW w:w="700" w:type="dxa"/>
            <w:vAlign w:val="bottom"/>
            <w:shd w:val="clear" w:color="auto" w:fill="CFF0FC"/>
          </w:tcPr>
          <w:p>
            <w:pPr>
              <w:jc w:val="right"/>
              <w:ind w:right="172"/>
              <w:spacing w:after="0"/>
              <w:rPr>
                <w:sz w:val="20"/>
                <w:szCs w:val="20"/>
                <w:color w:val="auto"/>
              </w:rPr>
            </w:pPr>
            <w:r>
              <w:rPr>
                <w:rFonts w:ascii="Times New Roman" w:cs="Times New Roman" w:eastAsia="Times New Roman" w:hAnsi="Times New Roman"/>
                <w:sz w:val="10"/>
                <w:szCs w:val="10"/>
                <w:color w:val="auto"/>
              </w:rPr>
              <w:t>27,497</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26,562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27,116</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Common Equity (795,000units) (j)</w:t>
            </w: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7/21/2021</w:t>
            </w: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776</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(752,380 units) (h)(j)</w:t>
            </w: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7/26/2021</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225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607</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27,582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28,499</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i w:val="1"/>
                <w:iCs w:val="1"/>
                <w:color w:val="auto"/>
              </w:rPr>
              <w:t>Zonkd, LLC</w:t>
            </w:r>
          </w:p>
        </w:tc>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0"/>
                <w:szCs w:val="10"/>
                <w:color w:val="auto"/>
              </w:rPr>
              <w:t>Component Manufacturing</w:t>
            </w: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First Lien Debt (j)</w:t>
            </w:r>
          </w:p>
        </w:tc>
        <w:tc>
          <w:tcPr>
            <w:tcW w:w="3160" w:type="dxa"/>
            <w:vAlign w:val="bottom"/>
          </w:tcPr>
          <w:p>
            <w:pPr>
              <w:ind w:left="2160"/>
              <w:spacing w:after="0"/>
              <w:rPr>
                <w:sz w:val="20"/>
                <w:szCs w:val="20"/>
                <w:color w:val="auto"/>
              </w:rPr>
            </w:pPr>
            <w:r>
              <w:rPr>
                <w:rFonts w:ascii="Times New Roman" w:cs="Times New Roman" w:eastAsia="Times New Roman" w:hAnsi="Times New Roman"/>
                <w:sz w:val="10"/>
                <w:szCs w:val="10"/>
                <w:color w:val="auto"/>
              </w:rPr>
              <w:t>(S + 10.00%) / (1.00%)</w:t>
            </w:r>
          </w:p>
        </w:tc>
        <w:tc>
          <w:tcPr>
            <w:tcW w:w="8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16.63%/0.00%</w:t>
            </w:r>
          </w:p>
        </w:tc>
        <w:tc>
          <w:tcPr>
            <w:tcW w:w="7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3/18/2022</w:t>
            </w:r>
          </w:p>
        </w:tc>
        <w:tc>
          <w:tcPr>
            <w:tcW w:w="8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3/18/2027</w:t>
            </w: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4,300</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4,300</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Common Equity (4,987 units) (h)(j)</w:t>
            </w: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3/18/2022</w:t>
            </w: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154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457</w:t>
            </w: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4,757</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1 %</w:t>
            </w:r>
          </w:p>
        </w:tc>
        <w:tc>
          <w:tcPr>
            <w:tcW w:w="0" w:type="dxa"/>
            <w:vAlign w:val="bottom"/>
          </w:tcPr>
          <w:p>
            <w:pPr>
              <w:spacing w:after="0"/>
              <w:rPr>
                <w:sz w:val="1"/>
                <w:szCs w:val="1"/>
                <w:color w:val="auto"/>
              </w:rPr>
            </w:pPr>
          </w:p>
        </w:tc>
      </w:tr>
      <w:tr>
        <w:trPr>
          <w:trHeight w:val="148"/>
        </w:trPr>
        <w:tc>
          <w:tcPr>
            <w:tcW w:w="2400" w:type="dxa"/>
            <w:vAlign w:val="bottom"/>
            <w:shd w:val="clear" w:color="auto" w:fill="CFF0FC"/>
          </w:tcPr>
          <w:p>
            <w:pPr>
              <w:spacing w:after="0"/>
              <w:rPr>
                <w:sz w:val="12"/>
                <w:szCs w:val="12"/>
                <w:color w:val="auto"/>
              </w:rPr>
            </w:pPr>
          </w:p>
        </w:tc>
        <w:tc>
          <w:tcPr>
            <w:tcW w:w="3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Non-control/Non-affiliate Investments</w:t>
            </w: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883,312</w:t>
            </w: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8"/>
              </w:rPr>
              <w:t>874,030</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149 %</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40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20" w:type="dxa"/>
            <w:vAlign w:val="bottom"/>
            <w:gridSpan w:val="2"/>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w:t>
            </w: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936,629</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8"/>
              </w:rPr>
              <w:t>957,906</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163 %</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400" w:type="dxa"/>
            <w:vAlign w:val="bottom"/>
            <w:shd w:val="clear" w:color="auto" w:fill="CFF0FC"/>
          </w:tcPr>
          <w:p>
            <w:pPr>
              <w:spacing w:after="0"/>
              <w:rPr>
                <w:sz w:val="10"/>
                <w:szCs w:val="10"/>
                <w:color w:val="auto"/>
              </w:rPr>
            </w:pPr>
          </w:p>
        </w:tc>
        <w:tc>
          <w:tcPr>
            <w:tcW w:w="3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Money market funds (included in cash and cash equivalents)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416560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33"/>
        </w:trPr>
        <w:tc>
          <w:tcPr>
            <w:tcW w:w="8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Goldman Sachs Financial Square Treasury Obligation</w:t>
            </w: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r>
      <w:tr>
        <w:trPr>
          <w:trHeight w:val="132"/>
        </w:trPr>
        <w:tc>
          <w:tcPr>
            <w:tcW w:w="8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Institution CUSIP (38141W323) (ad)</w:t>
            </w:r>
          </w:p>
        </w:tc>
        <w:tc>
          <w:tcPr>
            <w:tcW w:w="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114,556</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114,556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19 %</w:t>
            </w:r>
          </w:p>
        </w:tc>
      </w:tr>
      <w:tr>
        <w:trPr>
          <w:trHeight w:val="144"/>
        </w:trPr>
        <w:tc>
          <w:tcPr>
            <w:tcW w:w="85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Total money market funds</w:t>
            </w: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114,556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114,556</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19 %</w:t>
            </w:r>
          </w:p>
        </w:tc>
      </w:tr>
      <w:tr>
        <w:trPr>
          <w:trHeight w:val="20"/>
        </w:trPr>
        <w:tc>
          <w:tcPr>
            <w:tcW w:w="8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60"/>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Total Investments and Money Market Funds</w:t>
            </w:r>
          </w:p>
        </w:tc>
        <w:tc>
          <w:tcPr>
            <w:tcW w:w="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1,051,185</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99"/>
              </w:rPr>
              <w:t>1,072,462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182 %</w:t>
            </w:r>
          </w:p>
        </w:tc>
      </w:tr>
      <w:tr>
        <w:trPr>
          <w:trHeight w:val="36"/>
        </w:trPr>
        <w:tc>
          <w:tcPr>
            <w:tcW w:w="8520" w:type="dxa"/>
            <w:vAlign w:val="bottom"/>
            <w:tcBorders>
              <w:top w:val="single" w:sz="8" w:color="CFF0FC"/>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CFF0FC"/>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CFF0FC"/>
              <w:bottom w:val="single" w:sz="8" w:color="auto"/>
            </w:tcBorders>
          </w:tcPr>
          <w:p>
            <w:pPr>
              <w:spacing w:after="0"/>
              <w:rPr>
                <w:sz w:val="3"/>
                <w:szCs w:val="3"/>
                <w:color w:val="auto"/>
              </w:rPr>
            </w:pPr>
          </w:p>
        </w:tc>
      </w:tr>
    </w:tbl>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 See Note 3 to the consolidated financial statements for portfolio composition by geographic location.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 Equity ownership may be held in shares or units of companies related to the portfolio companies.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 All debt investments are income producing, unless otherwise indicated.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Equity investments are non-income producing unless otherwise noted.</w:t>
      </w:r>
    </w:p>
    <w:p>
      <w:pPr>
        <w:spacing w:after="0" w:line="5" w:lineRule="exact"/>
        <w:rPr>
          <w:sz w:val="20"/>
          <w:szCs w:val="20"/>
          <w:color w:val="auto"/>
        </w:rPr>
      </w:pPr>
    </w:p>
    <w:p>
      <w:pPr>
        <w:ind w:right="220" w:firstLine="6"/>
        <w:spacing w:after="0" w:line="250" w:lineRule="auto"/>
        <w:tabs>
          <w:tab w:leader="none" w:pos="136"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2023.</w:t>
      </w:r>
    </w:p>
    <w:p>
      <w:pPr>
        <w:ind w:left="140" w:hanging="134"/>
        <w:spacing w:after="0"/>
        <w:tabs>
          <w:tab w:leader="none" w:pos="14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Rate includes the cash interest or dividend rate and paid-in-kind interest or dividend rate, if any, as of December 31, 2023. Generally, payment-in-kind interest can be paid-in-kind or all in cash.</w:t>
      </w:r>
    </w:p>
    <w:p>
      <w:pPr>
        <w:spacing w:after="0" w:line="5" w:lineRule="exact"/>
        <w:rPr>
          <w:rFonts w:ascii="Times New Roman" w:cs="Times New Roman" w:eastAsia="Times New Roman" w:hAnsi="Times New Roman"/>
          <w:sz w:val="10"/>
          <w:szCs w:val="10"/>
          <w:color w:val="auto"/>
        </w:rPr>
      </w:pPr>
    </w:p>
    <w:p>
      <w:pPr>
        <w:ind w:left="120" w:hanging="114"/>
        <w:spacing w:after="0"/>
        <w:tabs>
          <w:tab w:leader="none" w:pos="12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date represents the date of the initial investment in the security.</w:t>
      </w:r>
    </w:p>
    <w:p>
      <w:pPr>
        <w:spacing w:after="0" w:line="5" w:lineRule="exact"/>
        <w:rPr>
          <w:rFonts w:ascii="Times New Roman" w:cs="Times New Roman" w:eastAsia="Times New Roman" w:hAnsi="Times New Roman"/>
          <w:sz w:val="10"/>
          <w:szCs w:val="10"/>
          <w:color w:val="auto"/>
        </w:rPr>
      </w:pPr>
    </w:p>
    <w:p>
      <w:pPr>
        <w:ind w:right="40" w:firstLine="6"/>
        <w:spacing w:after="0" w:line="250" w:lineRule="auto"/>
        <w:tabs>
          <w:tab w:leader="none" w:pos="136"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140" w:hanging="134"/>
        <w:spacing w:after="0"/>
        <w:tabs>
          <w:tab w:leader="none" w:pos="14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is held by a taxable subsidiary of the Company.</w:t>
      </w:r>
    </w:p>
    <w:p>
      <w:pPr>
        <w:spacing w:after="0" w:line="5" w:lineRule="exact"/>
        <w:rPr>
          <w:rFonts w:ascii="Times New Roman" w:cs="Times New Roman" w:eastAsia="Times New Roman" w:hAnsi="Times New Roman"/>
          <w:sz w:val="10"/>
          <w:szCs w:val="10"/>
          <w:color w:val="auto"/>
        </w:rPr>
      </w:pPr>
    </w:p>
    <w:p>
      <w:pPr>
        <w:ind w:left="120" w:hanging="114"/>
        <w:spacing w:after="0"/>
        <w:tabs>
          <w:tab w:leader="none" w:pos="120" w:val="left"/>
        </w:tabs>
        <w:numPr>
          <w:ilvl w:val="0"/>
          <w:numId w:val="5"/>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disclosed commitment represents the unfunded amount as of December 31, 2023. The Company is earning 0.50% interest on the unfunded balance of the commitment. The interest rate disclosed represents the rate which will be earned if the commitment is funded.</w:t>
      </w:r>
    </w:p>
    <w:p>
      <w:pPr>
        <w:spacing w:after="0" w:line="28" w:lineRule="exact"/>
        <w:rPr>
          <w:rFonts w:ascii="Times New Roman" w:cs="Times New Roman" w:eastAsia="Times New Roman" w:hAnsi="Times New Roman"/>
          <w:sz w:val="8"/>
          <w:szCs w:val="8"/>
          <w:color w:val="auto"/>
        </w:rPr>
      </w:pPr>
    </w:p>
    <w:p>
      <w:pPr>
        <w:ind w:right="300" w:firstLine="6"/>
        <w:spacing w:after="0" w:line="250" w:lineRule="auto"/>
        <w:tabs>
          <w:tab w:leader="none" w:pos="114"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200" w:firstLine="6"/>
        <w:spacing w:after="0" w:line="250" w:lineRule="auto"/>
        <w:tabs>
          <w:tab w:leader="none" w:pos="136"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portion of the investment not held by Fidus Mezzanine Capital II, LP or Fidus Mezzanine Capital III, LP, each a wholly owned subsidiary of the Company operating as a small business investment company,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ind w:right="220" w:firstLine="6"/>
        <w:spacing w:after="0" w:line="250" w:lineRule="auto"/>
        <w:tabs>
          <w:tab w:leader="none" w:pos="114"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ind w:left="160" w:hanging="154"/>
        <w:spacing w:after="0"/>
        <w:tabs>
          <w:tab w:leader="none" w:pos="160" w:val="left"/>
        </w:tabs>
        <w:numPr>
          <w:ilvl w:val="0"/>
          <w:numId w:val="5"/>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spacing w:after="0" w:line="28" w:lineRule="exact"/>
        <w:rPr>
          <w:rFonts w:ascii="Times New Roman" w:cs="Times New Roman" w:eastAsia="Times New Roman" w:hAnsi="Times New Roman"/>
          <w:sz w:val="8"/>
          <w:szCs w:val="8"/>
          <w:color w:val="auto"/>
        </w:rPr>
      </w:pPr>
    </w:p>
    <w:p>
      <w:pPr>
        <w:ind w:left="140" w:hanging="134"/>
        <w:spacing w:after="0"/>
        <w:tabs>
          <w:tab w:leader="none" w:pos="14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in portfolio company that has sold its operations and is in the process of winding down.</w:t>
      </w:r>
    </w:p>
    <w:p>
      <w:pPr>
        <w:spacing w:after="0" w:line="5" w:lineRule="exact"/>
        <w:rPr>
          <w:rFonts w:ascii="Times New Roman" w:cs="Times New Roman" w:eastAsia="Times New Roman" w:hAnsi="Times New Roman"/>
          <w:sz w:val="10"/>
          <w:szCs w:val="10"/>
          <w:color w:val="auto"/>
        </w:rPr>
      </w:pPr>
    </w:p>
    <w:p>
      <w:pPr>
        <w:ind w:right="40" w:firstLine="6"/>
        <w:spacing w:after="0" w:line="250" w:lineRule="auto"/>
        <w:tabs>
          <w:tab w:leader="none" w:pos="136"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140" w:firstLine="6"/>
        <w:spacing w:after="0" w:line="250" w:lineRule="auto"/>
        <w:tabs>
          <w:tab w:leader="none" w:pos="136"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40" w:firstLine="6"/>
        <w:spacing w:after="0" w:line="250" w:lineRule="auto"/>
        <w:tabs>
          <w:tab w:leader="none" w:pos="136"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3.09%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firstLine="6"/>
        <w:spacing w:after="0" w:line="250" w:lineRule="auto"/>
        <w:tabs>
          <w:tab w:leader="none" w:pos="12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3.22%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40" w:firstLine="6"/>
        <w:spacing w:after="0" w:line="250" w:lineRule="auto"/>
        <w:tabs>
          <w:tab w:leader="none" w:pos="125"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2.19%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20" w:firstLine="6"/>
        <w:spacing w:after="0" w:line="313" w:lineRule="auto"/>
        <w:tabs>
          <w:tab w:leader="none" w:pos="114" w:val="left"/>
        </w:tabs>
        <w:numPr>
          <w:ilvl w:val="0"/>
          <w:numId w:val="5"/>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ind w:right="140" w:firstLine="6"/>
        <w:spacing w:after="0" w:line="250" w:lineRule="auto"/>
        <w:tabs>
          <w:tab w:leader="none" w:pos="136"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2.33%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40" w:firstLine="6"/>
        <w:spacing w:after="0" w:line="250" w:lineRule="auto"/>
        <w:tabs>
          <w:tab w:leader="none" w:pos="136"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60" w:firstLine="6"/>
        <w:spacing w:after="0" w:line="250" w:lineRule="auto"/>
        <w:tabs>
          <w:tab w:leader="none" w:pos="157"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disclosed commitment represents the unfunded amount as of December 31, 2023. The Company is earning 1.00% interest on the unfunded balance of the commitment. The interest rate disclosed represents the rate earned on the outstanding, funded balance of the commitment.</w:t>
      </w:r>
    </w:p>
    <w:p>
      <w:pPr>
        <w:ind w:right="140" w:firstLine="6"/>
        <w:spacing w:after="0" w:line="250" w:lineRule="auto"/>
        <w:tabs>
          <w:tab w:leader="none" w:pos="136"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2.37%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140" w:hanging="134"/>
        <w:spacing w:after="0"/>
        <w:tabs>
          <w:tab w:leader="none" w:pos="14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Investment was on non-accrual status as of December 31, 2023.</w:t>
      </w:r>
    </w:p>
    <w:p>
      <w:pPr>
        <w:spacing w:after="0" w:line="5" w:lineRule="exact"/>
        <w:rPr>
          <w:rFonts w:ascii="Times New Roman" w:cs="Times New Roman" w:eastAsia="Times New Roman" w:hAnsi="Times New Roman"/>
          <w:sz w:val="10"/>
          <w:szCs w:val="10"/>
          <w:color w:val="auto"/>
        </w:rPr>
      </w:pPr>
    </w:p>
    <w:p>
      <w:pPr>
        <w:ind w:right="140" w:firstLine="6"/>
        <w:spacing w:after="0" w:line="250" w:lineRule="auto"/>
        <w:tabs>
          <w:tab w:leader="none" w:pos="130"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interest earned based on the stated interest rate of this security, the Company is entitled to receive an additional interest amount of 4.60%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firstLine="6"/>
        <w:spacing w:after="0" w:line="250" w:lineRule="auto"/>
        <w:tabs>
          <w:tab w:leader="none" w:pos="173" w:val="left"/>
        </w:tabs>
        <w:numPr>
          <w:ilvl w:val="0"/>
          <w:numId w:val="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Company sold a participating interest of approximately $4.0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(ab) In addition to the interest earned based on the stated interest rate of this security, the Company is entitled to receive an additional interest amount of 7.72%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26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(ac) In addition to the interest earned based on the stated interest rate of this security, the Company is entitled to receive an additional cash interest amount of 3.75% and PIK interest amount of 0.82%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 This investment is classified as a Level 1 investment. For further detail on the fair value measurements, see Note 4 to the consolidated financial statements.</w:t>
      </w:r>
    </w:p>
    <w:p>
      <w:pPr>
        <w:spacing w:after="0" w:line="5" w:lineRule="exact"/>
        <w:rPr>
          <w:rFonts w:ascii="Times New Roman" w:cs="Times New Roman" w:eastAsia="Times New Roman" w:hAnsi="Times New Roman"/>
          <w:sz w:val="10"/>
          <w:szCs w:val="10"/>
          <w:color w:val="auto"/>
        </w:rPr>
      </w:pP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(ae) In addition to the interest earned based on the stated interest rate of this security, the Company is entitled to receive an additional interest amount of 1.20%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(ag) In addition to the interest earned based on the stated interest rate of this security, the Company is entitled to receive an additional interest amount of 4.44%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(ah) In addition to the interest earned based on the stated interest rate of this security, the Company is entitled to receive an additional interest amount of 1.62%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(ai) In addition to the interest earned based on the stated interest rate of this security, the Company is entitled to receive an additional interest amount of 3.36%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(ak) In addition to the interest earned based on the stated interest rate of this security, the Company is entitled to receive an additional interest amount of 3.47%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12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 In addition to the interest earned based on the stated interest rate of this security, the Company is entitled to receive an additional interest amount of 5.04%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8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 In addition to the interest earned based on the stated interest rate of this security, the Company is entitled to receive an additional interest amount of 3.23%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right="4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(an) The Company sold a participating interest of approximately $13.5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0" w:right="680" w:bottom="1440" w:gutter="0" w:footer="0" w:header="0"/>
        </w:sectPr>
      </w:pPr>
    </w:p>
    <w:bookmarkStart w:id="19" w:name="page20"/>
    <w:bookmarkEnd w:id="19"/>
    <w:p>
      <w:pPr>
        <w:ind w:right="220"/>
        <w:spacing w:after="0" w:line="254" w:lineRule="auto"/>
        <w:rPr>
          <w:sz w:val="20"/>
          <w:szCs w:val="20"/>
          <w:color w:val="auto"/>
        </w:rPr>
      </w:pPr>
      <w:r>
        <w:rPr>
          <w:rFonts w:ascii="Times New Roman" w:cs="Times New Roman" w:eastAsia="Times New Roman" w:hAnsi="Times New Roman"/>
          <w:sz w:val="10"/>
          <w:szCs w:val="10"/>
          <w:color w:val="auto"/>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2023, total non-qualifying assets at fair value represented 1.17% of the Company's total assets calculated in accordance with the 1940 Act.</w:t>
      </w:r>
    </w:p>
    <w:p>
      <w:pPr>
        <w:ind w:right="20"/>
        <w:spacing w:after="0" w:line="250" w:lineRule="auto"/>
        <w:rPr>
          <w:sz w:val="20"/>
          <w:szCs w:val="20"/>
          <w:color w:val="auto"/>
        </w:rPr>
      </w:pPr>
      <w:r>
        <w:rPr>
          <w:rFonts w:ascii="Times New Roman" w:cs="Times New Roman" w:eastAsia="Times New Roman" w:hAnsi="Times New Roman"/>
          <w:sz w:val="10"/>
          <w:szCs w:val="10"/>
          <w:color w:val="auto"/>
        </w:rPr>
        <w:t>(ap) In addition to the interest earned based on the stated interest rate of this security, the Company is entitled to receive an additional cash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 (aq) The headquarters of this portfolio company is located in Canada.</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0"/>
          <w:szCs w:val="10"/>
          <w:color w:val="auto"/>
        </w:rPr>
        <w:t>(ar) 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0"/>
          <w:szCs w:val="10"/>
          <w:color w:val="auto"/>
        </w:rPr>
        <w:t>(as)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0"/>
          <w:szCs w:val="10"/>
          <w:color w:val="auto"/>
        </w:rPr>
        <w:t>(at) In addition to the interest earned based on the stated interest rate of this security, the Company is entitled to receive an additional interest amount of 2.55%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0"/>
          <w:szCs w:val="10"/>
          <w:color w:val="auto"/>
        </w:rPr>
        <w:t>(au) In addition to the interest earned based on the stated interest rate of this security, the Company is entitled to receive an additional interest amount of 2.80%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0"/>
          <w:szCs w:val="10"/>
          <w:i w:val="1"/>
          <w:iCs w:val="1"/>
          <w:color w:val="auto"/>
        </w:rPr>
        <w:t>See Notes to Consolidated Financial Statements.</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326" w:right="780"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Organization and Nature of Business</w:t>
      </w:r>
    </w:p>
    <w:p>
      <w:pPr>
        <w:spacing w:after="0" w:line="142" w:lineRule="exact"/>
        <w:rPr>
          <w:sz w:val="20"/>
          <w:szCs w:val="20"/>
          <w:color w:val="auto"/>
        </w:rPr>
      </w:pPr>
    </w:p>
    <w:p>
      <w:pPr>
        <w:jc w:val="both"/>
        <w:ind w:right="180" w:firstLine="444"/>
        <w:spacing w:after="0" w:line="243" w:lineRule="auto"/>
        <w:rPr>
          <w:sz w:val="20"/>
          <w:szCs w:val="20"/>
          <w:color w:val="auto"/>
        </w:rPr>
      </w:pPr>
      <w:r>
        <w:rPr>
          <w:rFonts w:ascii="Times New Roman" w:cs="Times New Roman" w:eastAsia="Times New Roman" w:hAnsi="Times New Roman"/>
          <w:sz w:val="16"/>
          <w:szCs w:val="16"/>
          <w:color w:val="auto"/>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w:t>
      </w:r>
    </w:p>
    <w:p>
      <w:pPr>
        <w:spacing w:after="0" w:line="119" w:lineRule="exact"/>
        <w:rPr>
          <w:sz w:val="20"/>
          <w:szCs w:val="20"/>
          <w:color w:val="auto"/>
        </w:rPr>
      </w:pPr>
    </w:p>
    <w:p>
      <w:pPr>
        <w:ind w:right="20" w:firstLine="444"/>
        <w:spacing w:after="0" w:line="281" w:lineRule="auto"/>
        <w:rPr>
          <w:sz w:val="20"/>
          <w:szCs w:val="20"/>
          <w:color w:val="auto"/>
        </w:rPr>
      </w:pPr>
      <w:r>
        <w:rPr>
          <w:rFonts w:ascii="Times New Roman" w:cs="Times New Roman" w:eastAsia="Times New Roman" w:hAnsi="Times New Roman"/>
          <w:sz w:val="14"/>
          <w:szCs w:val="14"/>
          <w:color w:val="auto"/>
        </w:rPr>
        <w:t>The Company provides customized debt and equity financing solutions to lower middle-market companies, and may make investments directly or through its two wholly-owned investment company subsidiaries, Fidus Mezzanine Capital III, L.P. (“Fund III”) and Fidus Mezzanine Capital IV, L.P. (“Fund IV”) (collectively, Fund</w:t>
      </w:r>
    </w:p>
    <w:p>
      <w:pPr>
        <w:spacing w:after="0" w:line="1" w:lineRule="exact"/>
        <w:rPr>
          <w:sz w:val="20"/>
          <w:szCs w:val="20"/>
          <w:color w:val="auto"/>
        </w:rPr>
      </w:pPr>
    </w:p>
    <w:p>
      <w:pPr>
        <w:ind w:firstLine="6"/>
        <w:spacing w:after="0" w:line="236" w:lineRule="auto"/>
        <w:tabs>
          <w:tab w:leader="none" w:pos="19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Fund IV are referred to as the "SBIC Funds"). The SBIC Funds are licensed by the U.S. Small Business Administration (the “SBA”) as small business investment companies (“SBIC”). The SBIC licenses allow the SBIC Funds to obtain leverage by issuing SBA-guaranteed debentures (“SBA debentures”), subject to the issuance of leverage commitments by the SBA and other customary procedures. As SBICs, the SBIC Funds are subject to regulations of and oversight by the SBA under the Small Business Investment Act of 1958, as amended (the “SBIC Act”), concerning, among other things, the size and nature of the companies in which they may invest and the structure of those investments.</w:t>
      </w:r>
    </w:p>
    <w:p>
      <w:pPr>
        <w:spacing w:after="0" w:line="122" w:lineRule="exact"/>
        <w:rPr>
          <w:sz w:val="20"/>
          <w:szCs w:val="20"/>
          <w:color w:val="auto"/>
        </w:rPr>
      </w:pPr>
    </w:p>
    <w:p>
      <w:pPr>
        <w:ind w:right="60" w:firstLine="444"/>
        <w:spacing w:after="0" w:line="243" w:lineRule="auto"/>
        <w:rPr>
          <w:sz w:val="20"/>
          <w:szCs w:val="20"/>
          <w:color w:val="auto"/>
        </w:rPr>
      </w:pPr>
      <w:r>
        <w:rPr>
          <w:rFonts w:ascii="Times New Roman" w:cs="Times New Roman" w:eastAsia="Times New Roman" w:hAnsi="Times New Roman"/>
          <w:sz w:val="16"/>
          <w:szCs w:val="16"/>
          <w:color w:val="auto"/>
        </w:rPr>
        <w:t>We believe that utilizing both FIC and the SBIC Funds as investment vehicles provides us with access to a broader array of investment opportunities. Given our access to lower cost capital through the SBA’s SBIC debenture program, we expect that we will make investments through active SBIC funds until the earlier of the end of such fund's investment period or when the fund reaches its borrowing limit under the SBA program. For two or more SBICs under common control, the maximum amount of outstanding SBA debentures cannot exceed $350,000.</w:t>
      </w:r>
    </w:p>
    <w:p>
      <w:pPr>
        <w:spacing w:after="0" w:line="119" w:lineRule="exact"/>
        <w:rPr>
          <w:sz w:val="20"/>
          <w:szCs w:val="20"/>
          <w:color w:val="auto"/>
        </w:rPr>
      </w:pPr>
    </w:p>
    <w:p>
      <w:pPr>
        <w:ind w:right="140" w:firstLine="444"/>
        <w:spacing w:after="0" w:line="259" w:lineRule="auto"/>
        <w:rPr>
          <w:sz w:val="20"/>
          <w:szCs w:val="20"/>
          <w:color w:val="auto"/>
        </w:rPr>
      </w:pPr>
      <w:r>
        <w:rPr>
          <w:rFonts w:ascii="Times New Roman" w:cs="Times New Roman" w:eastAsia="Times New Roman" w:hAnsi="Times New Roman"/>
          <w:sz w:val="16"/>
          <w:szCs w:val="16"/>
          <w:color w:val="auto"/>
        </w:rPr>
        <w:t>Fund III and Fund IV are not registered under the 1940 Act and rely on the exclusion from the definition of investment company contained in Section 3(c)(7) of the 1940 Act.</w:t>
      </w:r>
    </w:p>
    <w:p>
      <w:pPr>
        <w:spacing w:after="0" w:line="107" w:lineRule="exact"/>
        <w:rPr>
          <w:sz w:val="20"/>
          <w:szCs w:val="20"/>
          <w:color w:val="auto"/>
        </w:rPr>
      </w:pPr>
    </w:p>
    <w:p>
      <w:pPr>
        <w:ind w:right="80" w:firstLine="444"/>
        <w:spacing w:after="0" w:line="259" w:lineRule="auto"/>
        <w:rPr>
          <w:sz w:val="20"/>
          <w:szCs w:val="20"/>
          <w:color w:val="auto"/>
        </w:rPr>
      </w:pPr>
      <w:r>
        <w:rPr>
          <w:rFonts w:ascii="Times New Roman" w:cs="Times New Roman" w:eastAsia="Times New Roman" w:hAnsi="Times New Roman"/>
          <w:sz w:val="16"/>
          <w:szCs w:val="16"/>
          <w:color w:val="auto"/>
        </w:rPr>
        <w:t>The Company pays a quarterly base management fee and an incentive fee to Fidus Investment Advisors, LLC, our investment advisor (the “Investment Advisor” or “Fidus Investment Advisors”) under an investment advisory agreement (the “Investment Advisory Agreement”).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Significant Accounting Policies</w:t>
      </w:r>
    </w:p>
    <w:p>
      <w:pPr>
        <w:spacing w:after="0" w:line="140" w:lineRule="exact"/>
        <w:rPr>
          <w:sz w:val="20"/>
          <w:szCs w:val="20"/>
          <w:color w:val="auto"/>
        </w:rPr>
      </w:pPr>
    </w:p>
    <w:p>
      <w:pPr>
        <w:ind w:firstLine="444"/>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Basis of presentation: </w:t>
      </w:r>
      <w:r>
        <w:rPr>
          <w:rFonts w:ascii="Times New Roman" w:cs="Times New Roman" w:eastAsia="Times New Roman" w:hAnsi="Times New Roman"/>
          <w:sz w:val="16"/>
          <w:szCs w:val="16"/>
          <w:color w:val="auto"/>
        </w:rPr>
        <w:t>The accompanying consolidated financial statements of the Company have been prepared in accordance with generally accepted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accounting principles in the United States of America (“GAAP”) pursuant to the requirements for reporting on Form 10 -Q, Accounting Standards Codification (“ASC”) 946, </w:t>
      </w:r>
      <w:r>
        <w:rPr>
          <w:rFonts w:ascii="Times New Roman" w:cs="Times New Roman" w:eastAsia="Times New Roman" w:hAnsi="Times New Roman"/>
          <w:sz w:val="16"/>
          <w:szCs w:val="16"/>
          <w:i w:val="1"/>
          <w:iCs w:val="1"/>
          <w:color w:val="auto"/>
        </w:rPr>
        <w:t>Financial Services – Investment Companies</w:t>
      </w:r>
      <w:r>
        <w:rPr>
          <w:rFonts w:ascii="Times New Roman" w:cs="Times New Roman" w:eastAsia="Times New Roman" w:hAnsi="Times New Roman"/>
          <w:sz w:val="16"/>
          <w:szCs w:val="16"/>
          <w:color w:val="auto"/>
        </w:rPr>
        <w:t xml:space="preserve"> (“ASC 946”), and Articles 6 and 10 of Regulation S-X. In the opinion of management, the consolidated financial statements reflect all adjustments and reclassifications consisting solely of normal accruals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2023.</w:t>
      </w:r>
    </w:p>
    <w:p>
      <w:pPr>
        <w:spacing w:after="0" w:line="122" w:lineRule="exact"/>
        <w:rPr>
          <w:sz w:val="20"/>
          <w:szCs w:val="20"/>
          <w:color w:val="auto"/>
        </w:rPr>
      </w:pPr>
    </w:p>
    <w:p>
      <w:pPr>
        <w:ind w:right="24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Use of estimates: </w:t>
      </w:r>
      <w:r>
        <w:rPr>
          <w:rFonts w:ascii="Times New Roman" w:cs="Times New Roman" w:eastAsia="Times New Roman" w:hAnsi="Times New Roman"/>
          <w:sz w:val="16"/>
          <w:szCs w:val="16"/>
          <w:color w:val="auto"/>
        </w:rPr>
        <w:t>The preparation of the consolidated financial statements in conformity with GAAP requires management to make estimates and assumptions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14" w:lineRule="exact"/>
        <w:rPr>
          <w:sz w:val="20"/>
          <w:szCs w:val="20"/>
          <w:color w:val="auto"/>
        </w:rPr>
      </w:pPr>
    </w:p>
    <w:p>
      <w:pPr>
        <w:ind w:right="60" w:firstLine="44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Consolidation: </w:t>
      </w:r>
      <w:r>
        <w:rPr>
          <w:rFonts w:ascii="Times New Roman" w:cs="Times New Roman" w:eastAsia="Times New Roman" w:hAnsi="Times New Roman"/>
          <w:sz w:val="16"/>
          <w:szCs w:val="16"/>
          <w:color w:val="auto"/>
        </w:rPr>
        <w:t>Pursuant to Article 6 of Regulation S-X and ASC 946, the Company will generally not consolidate its investments in a company other than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company subsidiary or a controlled operating company whose business consists of providing services to the Company. As a result, the consolidated financial statements of the Company include only the accounts of the Company and its wholly-owned subsidiaries. All significant intercompany balances and transactions have been eliminated.</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Investment risks: </w:t>
      </w:r>
      <w:r>
        <w:rPr>
          <w:rFonts w:ascii="Times New Roman" w:cs="Times New Roman" w:eastAsia="Times New Roman" w:hAnsi="Times New Roman"/>
          <w:sz w:val="16"/>
          <w:szCs w:val="16"/>
          <w:color w:val="auto"/>
        </w:rPr>
        <w:t>The Company’s investments are subject to a variety of risks. These risks may include, but are not limited to the following:</w:t>
      </w:r>
    </w:p>
    <w:p>
      <w:pPr>
        <w:spacing w:after="0" w:line="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 w:lineRule="exact"/>
        <w:rPr>
          <w:sz w:val="20"/>
          <w:szCs w:val="20"/>
          <w:color w:val="auto"/>
        </w:rPr>
      </w:pPr>
    </w:p>
    <w:p>
      <w:pPr>
        <w:ind w:left="800"/>
        <w:spacing w:after="0" w:line="23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Market risk -</w:t>
      </w:r>
      <w:r>
        <w:rPr>
          <w:rFonts w:ascii="Times New Roman" w:cs="Times New Roman" w:eastAsia="Times New Roman" w:hAnsi="Times New Roman"/>
          <w:sz w:val="16"/>
          <w:szCs w:val="16"/>
          <w:color w:val="auto"/>
        </w:rPr>
        <w:t xml:space="preserve"> In contrast to investment-grade bonds (the market prices of which change primarily as a reaction to changes in interest 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spacing w:after="0" w:line="123" w:lineRule="exact"/>
        <w:rPr>
          <w:sz w:val="20"/>
          <w:szCs w:val="20"/>
          <w:color w:val="auto"/>
        </w:rPr>
      </w:pPr>
    </w:p>
    <w:p>
      <w:pPr>
        <w:ind w:left="800" w:right="14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Credit risk -</w:t>
      </w:r>
      <w:r>
        <w:rPr>
          <w:rFonts w:ascii="Times New Roman" w:cs="Times New Roman" w:eastAsia="Times New Roman" w:hAnsi="Times New Roman"/>
          <w:sz w:val="16"/>
          <w:szCs w:val="16"/>
          <w:color w:val="auto"/>
        </w:rPr>
        <w:t xml:space="preserve"> Credit risk represents the risk that the Company would incur if the counterparties failed to perform pursuant to the terms of their agreements with the Company. Issues of high-yield debt securities in which the Company invests are more likely to default on interest or principal than are issues of investment-grade securities.</w:t>
      </w:r>
    </w:p>
    <w:p>
      <w:pPr>
        <w:spacing w:after="0" w:line="114" w:lineRule="exact"/>
        <w:rPr>
          <w:sz w:val="20"/>
          <w:szCs w:val="20"/>
          <w:color w:val="auto"/>
        </w:rPr>
      </w:pPr>
    </w:p>
    <w:p>
      <w:pPr>
        <w:ind w:left="800" w:right="8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Liquidity risk -</w:t>
      </w:r>
      <w:r>
        <w:rPr>
          <w:rFonts w:ascii="Times New Roman" w:cs="Times New Roman" w:eastAsia="Times New Roman" w:hAnsi="Times New Roman"/>
          <w:sz w:val="16"/>
          <w:szCs w:val="16"/>
          <w:color w:val="auto"/>
        </w:rPr>
        <w:t xml:space="preserve"> Liquidity risk represents the possibility that the Company may not be able to sell its investments quickly or at a reasonable price (given the lack of an established market).</w:t>
      </w:r>
    </w:p>
    <w:p>
      <w:pPr>
        <w:spacing w:after="0" w:line="102" w:lineRule="exact"/>
        <w:rPr>
          <w:sz w:val="20"/>
          <w:szCs w:val="20"/>
          <w:color w:val="auto"/>
        </w:rPr>
      </w:pPr>
    </w:p>
    <w:p>
      <w:pPr>
        <w:ind w:left="800" w:right="26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Interest rate risk -</w:t>
      </w:r>
      <w:r>
        <w:rPr>
          <w:rFonts w:ascii="Times New Roman" w:cs="Times New Roman" w:eastAsia="Times New Roman" w:hAnsi="Times New Roman"/>
          <w:sz w:val="16"/>
          <w:szCs w:val="16"/>
          <w:color w:val="auto"/>
        </w:rPr>
        <w:t xml:space="preserve"> Interest rate risk represents the likelihood that a change in interest rates could have an adverse impact on the fair value of an interest-bearing financial instrument.</w:t>
      </w:r>
    </w:p>
    <w:p>
      <w:pPr>
        <w:spacing w:after="0" w:line="102" w:lineRule="exact"/>
        <w:rPr>
          <w:sz w:val="20"/>
          <w:szCs w:val="20"/>
          <w:color w:val="auto"/>
        </w:rPr>
      </w:pPr>
    </w:p>
    <w:p>
      <w:pPr>
        <w:ind w:left="800" w:right="24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Prepayment risk -</w:t>
      </w:r>
      <w:r>
        <w:rPr>
          <w:rFonts w:ascii="Times New Roman" w:cs="Times New Roman" w:eastAsia="Times New Roman" w:hAnsi="Times New Roman"/>
          <w:sz w:val="16"/>
          <w:szCs w:val="16"/>
          <w:color w:val="auto"/>
        </w:rPr>
        <w:t xml:space="preserve"> Certain of the Company’s debt investments allow for prepayment of principal without penalty. Downward changes 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spacing w:after="0" w:line="114" w:lineRule="exact"/>
        <w:rPr>
          <w:sz w:val="20"/>
          <w:szCs w:val="20"/>
          <w:color w:val="auto"/>
        </w:rPr>
      </w:pPr>
    </w:p>
    <w:p>
      <w:pPr>
        <w:ind w:left="800" w:right="38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Off-Balance sheet risk -</w:t>
      </w:r>
      <w:r>
        <w:rPr>
          <w:rFonts w:ascii="Times New Roman" w:cs="Times New Roman" w:eastAsia="Times New Roman" w:hAnsi="Times New Roman"/>
          <w:sz w:val="16"/>
          <w:szCs w:val="16"/>
          <w:color w:val="auto"/>
        </w:rPr>
        <w:t xml:space="preserve"> Some of the Company’s financial instruments contain off-balance sheet risk. Generally, these financial instruments represent future commitments to purchase other financial instruments at defined terms at defined future dates. See Note 7 for further details.</w:t>
      </w:r>
    </w:p>
    <w:p>
      <w:pPr>
        <w:spacing w:after="0" w:line="102" w:lineRule="exact"/>
        <w:rPr>
          <w:sz w:val="20"/>
          <w:szCs w:val="20"/>
          <w:color w:val="auto"/>
        </w:rPr>
      </w:pPr>
    </w:p>
    <w:p>
      <w:pPr>
        <w:ind w:right="260" w:firstLine="444"/>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Fair value of financial instruments: </w:t>
      </w:r>
      <w:r>
        <w:rPr>
          <w:rFonts w:ascii="Times New Roman" w:cs="Times New Roman" w:eastAsia="Times New Roman" w:hAnsi="Times New Roman"/>
          <w:sz w:val="14"/>
          <w:szCs w:val="14"/>
          <w:color w:val="auto"/>
        </w:rPr>
        <w:t>The Company measures and discloses fair value with respect to substantially all of its financial instruments in accordance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with ASC Topic 820 — </w:t>
      </w:r>
      <w:r>
        <w:rPr>
          <w:rFonts w:ascii="Times New Roman" w:cs="Times New Roman" w:eastAsia="Times New Roman" w:hAnsi="Times New Roman"/>
          <w:sz w:val="14"/>
          <w:szCs w:val="14"/>
          <w:i w:val="1"/>
          <w:iCs w:val="1"/>
          <w:color w:val="auto"/>
        </w:rPr>
        <w:t>Fair Value Measurements and Disclosures</w:t>
      </w:r>
      <w:r>
        <w:rPr>
          <w:rFonts w:ascii="Times New Roman" w:cs="Times New Roman" w:eastAsia="Times New Roman" w:hAnsi="Times New Roman"/>
          <w:sz w:val="14"/>
          <w:szCs w:val="14"/>
          <w:color w:val="auto"/>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spacing w:after="0" w:line="86" w:lineRule="exact"/>
        <w:rPr>
          <w:sz w:val="20"/>
          <w:szCs w:val="20"/>
          <w:color w:val="auto"/>
        </w:rPr>
      </w:pPr>
    </w:p>
    <w:p>
      <w:pPr>
        <w:ind w:right="40" w:firstLine="44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Investment classification: </w:t>
      </w:r>
      <w:r>
        <w:rPr>
          <w:rFonts w:ascii="Times New Roman" w:cs="Times New Roman" w:eastAsia="Times New Roman" w:hAnsi="Times New Roman"/>
          <w:sz w:val="16"/>
          <w:szCs w:val="16"/>
          <w:color w:val="auto"/>
        </w:rPr>
        <w:t>The Company classifies its investments in accordance with the requirements of the 1940 Act. Under the 1940 Act, “Control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p>
    <w:p>
      <w:pPr>
        <w:spacing w:after="0" w:line="121" w:lineRule="exact"/>
        <w:rPr>
          <w:sz w:val="20"/>
          <w:szCs w:val="20"/>
          <w:color w:val="auto"/>
        </w:rPr>
      </w:pPr>
    </w:p>
    <w:p>
      <w:pPr>
        <w:ind w:right="400" w:firstLine="44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Segments: </w:t>
      </w:r>
      <w:r>
        <w:rPr>
          <w:rFonts w:ascii="Times New Roman" w:cs="Times New Roman" w:eastAsia="Times New Roman" w:hAnsi="Times New Roman"/>
          <w:sz w:val="16"/>
          <w:szCs w:val="16"/>
          <w:color w:val="auto"/>
        </w:rPr>
        <w:t>In accordance with ASC Topic 280 —</w:t>
      </w:r>
      <w:r>
        <w:rPr>
          <w:rFonts w:ascii="Times New Roman" w:cs="Times New Roman" w:eastAsia="Times New Roman" w:hAnsi="Times New Roman"/>
          <w:sz w:val="16"/>
          <w:szCs w:val="16"/>
          <w:i w:val="1"/>
          <w:iCs w:val="1"/>
          <w:color w:val="auto"/>
        </w:rPr>
        <w:t xml:space="preserve"> Segment Reporting</w:t>
      </w:r>
      <w:r>
        <w:rPr>
          <w:rFonts w:ascii="Times New Roman" w:cs="Times New Roman" w:eastAsia="Times New Roman" w:hAnsi="Times New Roman"/>
          <w:sz w:val="16"/>
          <w:szCs w:val="16"/>
          <w:color w:val="auto"/>
        </w:rPr>
        <w:t>, the Company has determined that it has a single reporting segment and operating unit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structure.</w:t>
      </w:r>
    </w:p>
    <w:p>
      <w:pPr>
        <w:spacing w:after="0" w:line="102" w:lineRule="exact"/>
        <w:rPr>
          <w:sz w:val="20"/>
          <w:szCs w:val="20"/>
          <w:color w:val="auto"/>
        </w:rPr>
      </w:pPr>
    </w:p>
    <w:p>
      <w:pPr>
        <w:jc w:val="both"/>
        <w:ind w:right="16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Cash and cash equivalents: </w:t>
      </w:r>
      <w:r>
        <w:rPr>
          <w:rFonts w:ascii="Times New Roman" w:cs="Times New Roman" w:eastAsia="Times New Roman" w:hAnsi="Times New Roman"/>
          <w:sz w:val="16"/>
          <w:szCs w:val="16"/>
          <w:color w:val="auto"/>
        </w:rPr>
        <w:t>Cash and cash equivalents are highly liquid investments with an original maturity of three months or less at the date of acquisition.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places its cash in financial institutions and, at times, such balances may be in excess of the Federal Deposit Insurance Corporation insurance limits. The Company does not believe its cash balances are exposed to any significant credit risk.</w:t>
      </w:r>
    </w:p>
    <w:p>
      <w:pPr>
        <w:spacing w:after="0" w:line="114" w:lineRule="exact"/>
        <w:rPr>
          <w:sz w:val="20"/>
          <w:szCs w:val="20"/>
          <w:color w:val="auto"/>
        </w:rPr>
      </w:pPr>
    </w:p>
    <w:p>
      <w:pPr>
        <w:ind w:right="20" w:firstLine="44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Deferred financing costs: </w:t>
      </w:r>
      <w:r>
        <w:rPr>
          <w:rFonts w:ascii="Times New Roman" w:cs="Times New Roman" w:eastAsia="Times New Roman" w:hAnsi="Times New Roman"/>
          <w:sz w:val="16"/>
          <w:szCs w:val="16"/>
          <w:color w:val="auto"/>
        </w:rPr>
        <w:t>Deferred financing costs consist of fees and expenses paid in connection with the SBA debentures, the Credit Facility and the Notes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0" w:lineRule="exact"/>
        <w:rPr>
          <w:sz w:val="20"/>
          <w:szCs w:val="20"/>
          <w:color w:val="auto"/>
        </w:rPr>
      </w:pPr>
    </w:p>
    <w:p>
      <w:pPr>
        <w:jc w:val="both"/>
        <w:ind w:right="6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Realized losses on extinguishment of debt: </w:t>
      </w:r>
      <w:r>
        <w:rPr>
          <w:rFonts w:ascii="Times New Roman" w:cs="Times New Roman" w:eastAsia="Times New Roman" w:hAnsi="Times New Roman"/>
          <w:sz w:val="16"/>
          <w:szCs w:val="16"/>
          <w:color w:val="auto"/>
        </w:rPr>
        <w:t>Upon the repayment of debt obligations which are deemed to be extinguishments, the difference between the principal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due at maturity, adjusted for any unamortized deferred financing costs, is recognized as a loss (i.e., the unamortized deferred financing costs are recognized as a loss upon extinguishment of the underlying debt obligation).</w:t>
      </w:r>
    </w:p>
    <w:p>
      <w:pPr>
        <w:spacing w:after="0" w:line="114" w:lineRule="exact"/>
        <w:rPr>
          <w:sz w:val="20"/>
          <w:szCs w:val="20"/>
          <w:color w:val="auto"/>
        </w:rPr>
      </w:pPr>
    </w:p>
    <w:p>
      <w:pPr>
        <w:ind w:firstLine="44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Deferred offering costs: </w:t>
      </w:r>
      <w:r>
        <w:rPr>
          <w:rFonts w:ascii="Times New Roman" w:cs="Times New Roman" w:eastAsia="Times New Roman" w:hAnsi="Times New Roman"/>
          <w:sz w:val="16"/>
          <w:szCs w:val="16"/>
          <w:color w:val="auto"/>
        </w:rPr>
        <w:t>Deferred offering costs include registration expenses related to the shelf registration statement filing pursuant to which the Company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offer its securities, from time to time, in one or more offerings.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spacing w:after="0" w:line="121" w:lineRule="exact"/>
        <w:rPr>
          <w:sz w:val="20"/>
          <w:szCs w:val="20"/>
          <w:color w:val="auto"/>
        </w:rPr>
      </w:pPr>
    </w:p>
    <w:p>
      <w:pPr>
        <w:ind w:right="60" w:firstLine="444"/>
        <w:spacing w:after="0"/>
        <w:rPr>
          <w:sz w:val="20"/>
          <w:szCs w:val="20"/>
          <w:color w:val="auto"/>
        </w:rPr>
      </w:pPr>
      <w:r>
        <w:rPr>
          <w:rFonts w:ascii="Times New Roman" w:cs="Times New Roman" w:eastAsia="Times New Roman" w:hAnsi="Times New Roman"/>
          <w:sz w:val="16"/>
          <w:szCs w:val="16"/>
          <w:i w:val="1"/>
          <w:iCs w:val="1"/>
          <w:color w:val="auto"/>
        </w:rPr>
        <w:t xml:space="preserve">Realized gains or losses and unrealized appreciation or depreciation on investments: </w:t>
      </w:r>
      <w:r>
        <w:rPr>
          <w:rFonts w:ascii="Times New Roman" w:cs="Times New Roman" w:eastAsia="Times New Roman" w:hAnsi="Times New Roman"/>
          <w:sz w:val="16"/>
          <w:szCs w:val="16"/>
          <w:color w:val="auto"/>
        </w:rPr>
        <w:t>Realized gains or losses on investments are recorded upon the sale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spacing w:after="0" w:line="120" w:lineRule="exact"/>
        <w:rPr>
          <w:sz w:val="20"/>
          <w:szCs w:val="20"/>
          <w:color w:val="auto"/>
        </w:rPr>
      </w:pPr>
    </w:p>
    <w:p>
      <w:pPr>
        <w:ind w:right="40" w:firstLine="444"/>
        <w:spacing w:after="0"/>
        <w:rPr>
          <w:sz w:val="20"/>
          <w:szCs w:val="20"/>
          <w:color w:val="auto"/>
        </w:rPr>
      </w:pPr>
      <w:r>
        <w:rPr>
          <w:rFonts w:ascii="Times New Roman" w:cs="Times New Roman" w:eastAsia="Times New Roman" w:hAnsi="Times New Roman"/>
          <w:sz w:val="16"/>
          <w:szCs w:val="16"/>
          <w:i w:val="1"/>
          <w:iCs w:val="1"/>
          <w:color w:val="auto"/>
        </w:rPr>
        <w:t xml:space="preserve">Interest and dividend income: </w:t>
      </w:r>
      <w:r>
        <w:rPr>
          <w:rFonts w:ascii="Times New Roman" w:cs="Times New Roman" w:eastAsia="Times New Roman" w:hAnsi="Times New Roman"/>
          <w:sz w:val="16"/>
          <w:szCs w:val="16"/>
          <w:color w:val="auto"/>
        </w:rPr>
        <w:t>Interest and dividend income are recorded on the accrual basis to the extent that the Company expects to collect such amounts.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spacing w:after="0" w:line="120" w:lineRule="exact"/>
        <w:rPr>
          <w:sz w:val="20"/>
          <w:szCs w:val="20"/>
          <w:color w:val="auto"/>
        </w:rPr>
      </w:pPr>
    </w:p>
    <w:p>
      <w:pPr>
        <w:ind w:right="80" w:firstLine="44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PIK income: </w:t>
      </w:r>
      <w:r>
        <w:rPr>
          <w:rFonts w:ascii="Times New Roman" w:cs="Times New Roman" w:eastAsia="Times New Roman" w:hAnsi="Times New Roman"/>
          <w:sz w:val="16"/>
          <w:szCs w:val="16"/>
          <w:color w:val="auto"/>
        </w:rPr>
        <w:t>Certain of the Company’s investments contain a payment-in-kind (“PIK”) income provision. The PIK income, computed at the contractual 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w:t>
      </w:r>
    </w:p>
    <w:p>
      <w:pPr>
        <w:spacing w:after="0" w:line="125" w:lineRule="exact"/>
        <w:rPr>
          <w:sz w:val="20"/>
          <w:szCs w:val="20"/>
          <w:color w:val="auto"/>
        </w:rPr>
      </w:pPr>
    </w:p>
    <w:p>
      <w:pPr>
        <w:ind w:firstLine="444"/>
        <w:spacing w:after="0"/>
        <w:rPr>
          <w:sz w:val="20"/>
          <w:szCs w:val="20"/>
          <w:color w:val="auto"/>
        </w:rPr>
      </w:pPr>
      <w:r>
        <w:rPr>
          <w:rFonts w:ascii="Times New Roman" w:cs="Times New Roman" w:eastAsia="Times New Roman" w:hAnsi="Times New Roman"/>
          <w:sz w:val="16"/>
          <w:szCs w:val="16"/>
          <w:i w:val="1"/>
          <w:iCs w:val="1"/>
          <w:color w:val="auto"/>
        </w:rPr>
        <w:t xml:space="preserve">Non-accrual: </w:t>
      </w:r>
      <w:r>
        <w:rPr>
          <w:rFonts w:ascii="Times New Roman" w:cs="Times New Roman" w:eastAsia="Times New Roman" w:hAnsi="Times New Roman"/>
          <w:sz w:val="16"/>
          <w:szCs w:val="16"/>
          <w:color w:val="auto"/>
        </w:rPr>
        <w:t>Debt investments or preferred equity investments (for which the Company is accruing PIK dividends) are placed on non-accrual status when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 accrual investments are restored to accrual status when past due principal, interest or dividends are paid and, in management’s judgment, payments are likely to remain current.</w:t>
      </w:r>
    </w:p>
    <w:p>
      <w:pPr>
        <w:spacing w:after="0" w:line="120" w:lineRule="exact"/>
        <w:rPr>
          <w:sz w:val="20"/>
          <w:szCs w:val="20"/>
          <w:color w:val="auto"/>
        </w:rPr>
      </w:pPr>
    </w:p>
    <w:p>
      <w:pPr>
        <w:ind w:right="200" w:firstLine="44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Origination and closing fees: </w:t>
      </w:r>
      <w:r>
        <w:rPr>
          <w:rFonts w:ascii="Times New Roman" w:cs="Times New Roman" w:eastAsia="Times New Roman" w:hAnsi="Times New Roman"/>
          <w:sz w:val="16"/>
          <w:szCs w:val="16"/>
          <w:color w:val="auto"/>
        </w:rPr>
        <w:t>The Company also typically receives debt investment origination or closing fees in connection with such investments. Such debt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spacing w:after="0" w:line="116" w:lineRule="exact"/>
        <w:rPr>
          <w:sz w:val="20"/>
          <w:szCs w:val="20"/>
          <w:color w:val="auto"/>
        </w:rPr>
      </w:pPr>
    </w:p>
    <w:p>
      <w:pPr>
        <w:ind w:right="80" w:firstLine="444"/>
        <w:spacing w:after="0"/>
        <w:rPr>
          <w:sz w:val="20"/>
          <w:szCs w:val="20"/>
          <w:color w:val="auto"/>
        </w:rPr>
      </w:pPr>
      <w:r>
        <w:rPr>
          <w:rFonts w:ascii="Times New Roman" w:cs="Times New Roman" w:eastAsia="Times New Roman" w:hAnsi="Times New Roman"/>
          <w:sz w:val="16"/>
          <w:szCs w:val="16"/>
          <w:i w:val="1"/>
          <w:iCs w:val="1"/>
          <w:color w:val="auto"/>
        </w:rPr>
        <w:t>Warrants</w:t>
      </w:r>
      <w:r>
        <w:rPr>
          <w:rFonts w:ascii="Times New Roman" w:cs="Times New Roman" w:eastAsia="Times New Roman" w:hAnsi="Times New Roman"/>
          <w:sz w:val="16"/>
          <w:szCs w:val="16"/>
          <w:color w:val="auto"/>
        </w:rPr>
        <w:t>: In connection with the Company’s debt investments, the Company will sometimes receive warrants or other equity-related securities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0" w:lineRule="exact"/>
        <w:rPr>
          <w:sz w:val="20"/>
          <w:szCs w:val="20"/>
          <w:color w:val="auto"/>
        </w:rPr>
      </w:pPr>
    </w:p>
    <w:p>
      <w:pPr>
        <w:ind w:right="340" w:firstLine="444"/>
        <w:spacing w:after="0" w:line="244" w:lineRule="auto"/>
        <w:rPr>
          <w:sz w:val="20"/>
          <w:szCs w:val="20"/>
          <w:color w:val="auto"/>
        </w:rPr>
      </w:pPr>
      <w:r>
        <w:rPr>
          <w:rFonts w:ascii="Times New Roman" w:cs="Times New Roman" w:eastAsia="Times New Roman" w:hAnsi="Times New Roman"/>
          <w:sz w:val="16"/>
          <w:szCs w:val="16"/>
          <w:i w:val="1"/>
          <w:iCs w:val="1"/>
          <w:color w:val="auto"/>
        </w:rPr>
        <w:t>Fee income</w:t>
      </w:r>
      <w:r>
        <w:rPr>
          <w:rFonts w:ascii="Times New Roman" w:cs="Times New Roman" w:eastAsia="Times New Roman" w:hAnsi="Times New Roman"/>
          <w:sz w:val="16"/>
          <w:szCs w:val="16"/>
          <w:color w:val="auto"/>
        </w:rPr>
        <w:t>: Transaction fees earned in connection with the Company’s investments are recognized as fee income and are generally non-recurring. Such fees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spacing w:after="0" w:line="116" w:lineRule="exact"/>
        <w:rPr>
          <w:sz w:val="20"/>
          <w:szCs w:val="20"/>
          <w:color w:val="auto"/>
        </w:rPr>
      </w:pPr>
    </w:p>
    <w:p>
      <w:pPr>
        <w:ind w:right="20" w:firstLine="444"/>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Partial loan and equity sales: </w:t>
      </w:r>
      <w:r>
        <w:rPr>
          <w:rFonts w:ascii="Times New Roman" w:cs="Times New Roman" w:eastAsia="Times New Roman" w:hAnsi="Times New Roman"/>
          <w:sz w:val="16"/>
          <w:szCs w:val="16"/>
          <w:color w:val="auto"/>
        </w:rPr>
        <w:t>The Company follows the guidance in ASC 860,</w:t>
      </w:r>
      <w:r>
        <w:rPr>
          <w:rFonts w:ascii="Times New Roman" w:cs="Times New Roman" w:eastAsia="Times New Roman" w:hAnsi="Times New Roman"/>
          <w:sz w:val="16"/>
          <w:szCs w:val="16"/>
          <w:i w:val="1"/>
          <w:iCs w:val="1"/>
          <w:color w:val="auto"/>
        </w:rPr>
        <w:t xml:space="preserve"> Transfers and Servicing </w:t>
      </w:r>
      <w:r>
        <w:rPr>
          <w:rFonts w:ascii="Times New Roman" w:cs="Times New Roman" w:eastAsia="Times New Roman" w:hAnsi="Times New Roman"/>
          <w:sz w:val="16"/>
          <w:szCs w:val="16"/>
          <w:color w:val="auto"/>
        </w:rPr>
        <w:t>(“ASC 860”)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when accounting for loan (debt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spacing w:after="0" w:line="122" w:lineRule="exact"/>
        <w:rPr>
          <w:sz w:val="20"/>
          <w:szCs w:val="20"/>
          <w:color w:val="auto"/>
        </w:rPr>
      </w:pPr>
    </w:p>
    <w:p>
      <w:pPr>
        <w:ind w:right="20" w:firstLine="444"/>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The Company has elected, and intends to qualify annually, to be treated for U.S. federal income tax purposes as a RIC under Subchapter M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Code, which will generally relieve the Company from U.S. federal income taxes with respect to all income distributed to stockholders. To maintain the tax treatment of a RIC, the Company generally is required to timely distribute to its stockholders at least 90%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 excise tax if it does not distribute at least 98% of the current year’s ordinary taxable income. Any such carryover taxable income must be distributed through a dividend declared prior to the later of the date on which the final tax return related to the year in which the Company generated such taxable income is filed or the 15th day of the 10th month following the close of such taxable year. In addition, the Company will be subject to U.S. federal excise tax if it does not distribute at least 98.2% of its net capital gains realized, computed for any one year period ending October 31.</w:t>
      </w:r>
    </w:p>
    <w:p>
      <w:pPr>
        <w:spacing w:after="0" w:line="100" w:lineRule="exact"/>
        <w:rPr>
          <w:sz w:val="20"/>
          <w:szCs w:val="20"/>
          <w:color w:val="auto"/>
        </w:rPr>
      </w:pPr>
    </w:p>
    <w:p>
      <w:pPr>
        <w:ind w:right="80" w:firstLine="444"/>
        <w:spacing w:after="0" w:line="259" w:lineRule="auto"/>
        <w:rPr>
          <w:sz w:val="20"/>
          <w:szCs w:val="20"/>
          <w:color w:val="auto"/>
        </w:rPr>
      </w:pPr>
      <w:r>
        <w:rPr>
          <w:rFonts w:ascii="Times New Roman" w:cs="Times New Roman" w:eastAsia="Times New Roman" w:hAnsi="Times New Roman"/>
          <w:sz w:val="16"/>
          <w:szCs w:val="16"/>
          <w:color w:val="auto"/>
        </w:rPr>
        <w:t>In the future, the SBIC Funds may be limited by provisions of the SBIC Act and SBA regulations governing SBICs from making certain distributions to FIC that may be necessary to enable FIC to make the minimum distributions required to maintain the tax treatment of a RIC.</w:t>
      </w:r>
    </w:p>
    <w:p>
      <w:pPr>
        <w:spacing w:after="0" w:line="107" w:lineRule="exact"/>
        <w:rPr>
          <w:sz w:val="20"/>
          <w:szCs w:val="20"/>
          <w:color w:val="auto"/>
        </w:rPr>
      </w:pPr>
    </w:p>
    <w:p>
      <w:pPr>
        <w:ind w:firstLine="444"/>
        <w:spacing w:after="0" w:line="277" w:lineRule="auto"/>
        <w:rPr>
          <w:sz w:val="20"/>
          <w:szCs w:val="20"/>
          <w:color w:val="auto"/>
        </w:rPr>
      </w:pPr>
      <w:r>
        <w:rPr>
          <w:rFonts w:ascii="Times New Roman" w:cs="Times New Roman" w:eastAsia="Times New Roman" w:hAnsi="Times New Roman"/>
          <w:sz w:val="14"/>
          <w:szCs w:val="14"/>
          <w:color w:val="auto"/>
        </w:rPr>
        <w:t>The Company has certain wholly-owned subsidiaries (the “Taxable Subsidiaries”) that have elected to be treated as corporations for U.S. federal income tax purposes and are thus subject to U.S. federal income tax at corporate rates,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 -of- 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spacing w:after="0" w:line="98" w:lineRule="exact"/>
        <w:rPr>
          <w:sz w:val="20"/>
          <w:szCs w:val="20"/>
          <w:color w:val="auto"/>
        </w:rPr>
      </w:pPr>
    </w:p>
    <w:p>
      <w:pPr>
        <w:ind w:right="160" w:firstLine="444"/>
        <w:spacing w:after="0" w:line="243" w:lineRule="auto"/>
        <w:rPr>
          <w:sz w:val="20"/>
          <w:szCs w:val="20"/>
          <w:color w:val="auto"/>
        </w:rPr>
      </w:pPr>
      <w:r>
        <w:rPr>
          <w:rFonts w:ascii="Times New Roman" w:cs="Times New Roman" w:eastAsia="Times New Roman" w:hAnsi="Times New Roman"/>
          <w:sz w:val="16"/>
          <w:szCs w:val="16"/>
          <w:color w:val="auto"/>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U.S. federal income taxes. Temporary differences arise when certain items of income, expense, gain or loss are recognized at some time in the future.</w:t>
      </w:r>
    </w:p>
    <w:p>
      <w:pPr>
        <w:spacing w:after="0" w:line="117" w:lineRule="exact"/>
        <w:rPr>
          <w:sz w:val="20"/>
          <w:szCs w:val="20"/>
          <w:color w:val="auto"/>
        </w:rPr>
      </w:pPr>
    </w:p>
    <w:p>
      <w:pPr>
        <w:ind w:right="80" w:firstLine="444"/>
        <w:spacing w:after="0" w:line="272" w:lineRule="auto"/>
        <w:rPr>
          <w:sz w:val="20"/>
          <w:szCs w:val="20"/>
          <w:color w:val="auto"/>
        </w:rPr>
      </w:pPr>
      <w:r>
        <w:rPr>
          <w:rFonts w:ascii="Times New Roman" w:cs="Times New Roman" w:eastAsia="Times New Roman" w:hAnsi="Times New Roman"/>
          <w:sz w:val="14"/>
          <w:szCs w:val="14"/>
          <w:color w:val="auto"/>
        </w:rPr>
        <w:t xml:space="preserve">ASC Topic 740 — </w:t>
      </w:r>
      <w:r>
        <w:rPr>
          <w:rFonts w:ascii="Times New Roman" w:cs="Times New Roman" w:eastAsia="Times New Roman" w:hAnsi="Times New Roman"/>
          <w:sz w:val="14"/>
          <w:szCs w:val="14"/>
          <w:i w:val="1"/>
          <w:iCs w:val="1"/>
          <w:color w:val="auto"/>
        </w:rPr>
        <w:t>Accounting for Uncertainty in Income Taxes</w:t>
      </w:r>
      <w:r>
        <w:rPr>
          <w:rFonts w:ascii="Times New Roman" w:cs="Times New Roman" w:eastAsia="Times New Roman" w:hAnsi="Times New Roman"/>
          <w:sz w:val="14"/>
          <w:szCs w:val="14"/>
          <w:color w:val="auto"/>
        </w:rPr>
        <w:t xml:space="preserve"> (“ASC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 likely -than-not” to be respected by the applicable tax authorities. Tax benefits of positions not deemed to meet the more-likely- than-not threshold would be recorded as a tax expense in the current year. It is the Company’s policy to recognize accrued interest and penalties related to uncertain tax benefits included in the income tax provision, if any. There were no material uncertain income tax positions at September 30, 2024 and December 31, 2023. The Company’s tax returns are generally subject to examination by U.S. federal and most state tax authorities for a period of three years from the date the respective returns are filed, and, accordingly, the Company’s 2021 through 2023 tax years remain subject to examination.</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24" w:name="page25"/>
    <w:bookmarkEnd w:id="24"/>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0" w:lineRule="exact"/>
        <w:rPr>
          <w:sz w:val="20"/>
          <w:szCs w:val="20"/>
          <w:color w:val="auto"/>
        </w:rPr>
      </w:pPr>
    </w:p>
    <w:p>
      <w:pPr>
        <w:ind w:right="24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Dividends to stockholders: </w:t>
      </w:r>
      <w:r>
        <w:rPr>
          <w:rFonts w:ascii="Times New Roman" w:cs="Times New Roman" w:eastAsia="Times New Roman" w:hAnsi="Times New Roman"/>
          <w:sz w:val="16"/>
          <w:szCs w:val="16"/>
          <w:color w:val="auto"/>
        </w:rPr>
        <w:t>Dividends to stockholders are recorded on the record date with respect to such distributions. The amount, if any, to be distributed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spacing w:after="0" w:line="116" w:lineRule="exact"/>
        <w:rPr>
          <w:sz w:val="20"/>
          <w:szCs w:val="20"/>
          <w:color w:val="auto"/>
        </w:rPr>
      </w:pPr>
    </w:p>
    <w:p>
      <w:pPr>
        <w:ind w:right="100" w:firstLine="444"/>
        <w:spacing w:after="0" w:line="241" w:lineRule="auto"/>
        <w:rPr>
          <w:sz w:val="20"/>
          <w:szCs w:val="20"/>
          <w:color w:val="auto"/>
        </w:rPr>
      </w:pPr>
      <w:r>
        <w:rPr>
          <w:rFonts w:ascii="Times New Roman" w:cs="Times New Roman" w:eastAsia="Times New Roman" w:hAnsi="Times New Roman"/>
          <w:sz w:val="16"/>
          <w:szCs w:val="16"/>
          <w:color w:val="auto"/>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spacing w:after="0" w:line="121" w:lineRule="exact"/>
        <w:rPr>
          <w:sz w:val="20"/>
          <w:szCs w:val="20"/>
          <w:color w:val="auto"/>
        </w:rPr>
      </w:pPr>
    </w:p>
    <w:p>
      <w:pPr>
        <w:ind w:right="60" w:firstLine="444"/>
        <w:spacing w:after="0" w:line="238" w:lineRule="auto"/>
        <w:rPr>
          <w:sz w:val="20"/>
          <w:szCs w:val="20"/>
          <w:color w:val="auto"/>
        </w:rPr>
      </w:pPr>
      <w:r>
        <w:rPr>
          <w:rFonts w:ascii="Times New Roman" w:cs="Times New Roman" w:eastAsia="Times New Roman" w:hAnsi="Times New Roman"/>
          <w:sz w:val="16"/>
          <w:szCs w:val="16"/>
          <w:color w:val="auto"/>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spacing w:after="0" w:line="123" w:lineRule="exact"/>
        <w:rPr>
          <w:sz w:val="20"/>
          <w:szCs w:val="20"/>
          <w:color w:val="auto"/>
        </w:rPr>
      </w:pPr>
    </w:p>
    <w:p>
      <w:pPr>
        <w:ind w:right="36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Earnings and net asset value per share: </w:t>
      </w:r>
      <w:r>
        <w:rPr>
          <w:rFonts w:ascii="Times New Roman" w:cs="Times New Roman" w:eastAsia="Times New Roman" w:hAnsi="Times New Roman"/>
          <w:sz w:val="16"/>
          <w:szCs w:val="16"/>
          <w:color w:val="auto"/>
        </w:rPr>
        <w:t>The earnings per share calculations for the three and nine months ended September 30, 2024 and 2023 are computed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utilizing the weighted average shares outstanding for the period. Net asset value per share is calculated using the number of shares outstanding as of the end of the period.</w:t>
      </w:r>
    </w:p>
    <w:p>
      <w:pPr>
        <w:spacing w:after="0" w:line="114"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Stock Repurchase Program: </w:t>
      </w:r>
      <w:r>
        <w:rPr>
          <w:rFonts w:ascii="Times New Roman" w:cs="Times New Roman" w:eastAsia="Times New Roman" w:hAnsi="Times New Roman"/>
          <w:sz w:val="16"/>
          <w:szCs w:val="16"/>
          <w:color w:val="auto"/>
        </w:rPr>
        <w:t>The Company has an open market stock repurchase program (the “Stock Repurchase Program”) under which the Company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acquire up to $ 5,000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Subsequent to fiscal quarter ended September 30, 2024, on October 28, 2024, the Board extended the Stock Repurchase Program through December 31, 2025,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and nine months ended September 30, 2024 and 2023. Refer to Note 8 for additional information concerning stock repurchases.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Recent accounting pronouncement:</w:t>
      </w:r>
    </w:p>
    <w:p>
      <w:pPr>
        <w:spacing w:after="0" w:line="142" w:lineRule="exact"/>
        <w:rPr>
          <w:sz w:val="20"/>
          <w:szCs w:val="20"/>
          <w:color w:val="auto"/>
        </w:rPr>
      </w:pPr>
    </w:p>
    <w:p>
      <w:pPr>
        <w:ind w:right="60" w:firstLine="528"/>
        <w:spacing w:after="0" w:line="273" w:lineRule="auto"/>
        <w:rPr>
          <w:sz w:val="20"/>
          <w:szCs w:val="20"/>
          <w:color w:val="auto"/>
        </w:rPr>
      </w:pPr>
      <w:r>
        <w:rPr>
          <w:rFonts w:ascii="Times New Roman" w:cs="Times New Roman" w:eastAsia="Times New Roman" w:hAnsi="Times New Roman"/>
          <w:sz w:val="14"/>
          <w:szCs w:val="14"/>
          <w:color w:val="auto"/>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and may be applied on a prospective or retrospective basis. We are currently evaluating the impact this ASU will have on our consolidated financial position or disclosures, but we do not expect the impact to be material.</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131" w:right="62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Portfolio Company Investments</w:t>
      </w:r>
    </w:p>
    <w:p>
      <w:pPr>
        <w:spacing w:after="0" w:line="142"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makes equity investments in portfolio companies organized as LLCs or other forms of pass-through entities through Taxable Subsidiaries. In both situations, the investment is generally reported under the name of the operating company on the consolidated schedules of investments.</w:t>
      </w:r>
    </w:p>
    <w:p>
      <w:pPr>
        <w:spacing w:after="0" w:line="122" w:lineRule="exact"/>
        <w:rPr>
          <w:sz w:val="20"/>
          <w:szCs w:val="20"/>
          <w:color w:val="auto"/>
        </w:rPr>
      </w:pPr>
    </w:p>
    <w:p>
      <w:pPr>
        <w:ind w:right="240" w:firstLine="444"/>
        <w:spacing w:after="0" w:line="243" w:lineRule="auto"/>
        <w:rPr>
          <w:sz w:val="20"/>
          <w:szCs w:val="20"/>
          <w:color w:val="auto"/>
        </w:rPr>
      </w:pPr>
      <w:r>
        <w:rPr>
          <w:rFonts w:ascii="Times New Roman" w:cs="Times New Roman" w:eastAsia="Times New Roman" w:hAnsi="Times New Roman"/>
          <w:sz w:val="16"/>
          <w:szCs w:val="16"/>
          <w:color w:val="auto"/>
        </w:rPr>
        <w:t>As of September 30, 2024, the Company had active investments in 85 portfolio companies and residual investments in five portfolio companies that have sold their underlying operations. The aggregate fair value of the total portfolio was $1,090,675 and the weighted average yield on the Company’s debt investments was 13.8% as of such date. As of September 30, 2024, the Company held equity investments in 83.3% of its portfolio companies and the average fully diluted equity ownership in those portfolio companies was 3.6%.</w:t>
      </w:r>
    </w:p>
    <w:p>
      <w:pPr>
        <w:spacing w:after="0" w:line="119" w:lineRule="exact"/>
        <w:rPr>
          <w:sz w:val="20"/>
          <w:szCs w:val="20"/>
          <w:color w:val="auto"/>
        </w:rPr>
      </w:pPr>
    </w:p>
    <w:p>
      <w:pPr>
        <w:ind w:right="80" w:firstLine="444"/>
        <w:spacing w:after="0" w:line="243" w:lineRule="auto"/>
        <w:rPr>
          <w:sz w:val="20"/>
          <w:szCs w:val="20"/>
          <w:color w:val="auto"/>
        </w:rPr>
      </w:pPr>
      <w:r>
        <w:rPr>
          <w:rFonts w:ascii="Times New Roman" w:cs="Times New Roman" w:eastAsia="Times New Roman" w:hAnsi="Times New Roman"/>
          <w:sz w:val="16"/>
          <w:szCs w:val="16"/>
          <w:color w:val="auto"/>
        </w:rPr>
        <w:t>As of December 31, 2023, the Company had active investments in 81 portfolio companies and residual investments in one portfolio company that has sold its underlying operations. The aggregate fair value of the total portfolio was $957,906 and the weighted average yield on the Company’s debt investments was 14.2% as of such date. As of December 31, 2023, the Company held equity investments in 79.3% of its portfolio companies and the average fully diluted equity ownership in those portfolio companies was 3.0%.</w:t>
      </w:r>
    </w:p>
    <w:p>
      <w:pPr>
        <w:spacing w:after="0" w:line="119" w:lineRule="exact"/>
        <w:rPr>
          <w:sz w:val="20"/>
          <w:szCs w:val="20"/>
          <w:color w:val="auto"/>
        </w:rPr>
      </w:pPr>
    </w:p>
    <w:p>
      <w:pPr>
        <w:ind w:firstLine="444"/>
        <w:spacing w:after="0" w:line="243" w:lineRule="auto"/>
        <w:rPr>
          <w:sz w:val="20"/>
          <w:szCs w:val="20"/>
          <w:color w:val="auto"/>
        </w:rPr>
      </w:pPr>
      <w:r>
        <w:rPr>
          <w:rFonts w:ascii="Times New Roman" w:cs="Times New Roman" w:eastAsia="Times New Roman" w:hAnsi="Times New Roman"/>
          <w:sz w:val="16"/>
          <w:szCs w:val="16"/>
          <w:color w:val="auto"/>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 The weighted average yields were computed using the effective interest rates for debt investments at cost as of September 30, 2024 and December 31, 2023, including accretion of OID and debt investment origination fees, but excluding investments on non-accrual status and investments recorded as a secured borrowing.</w:t>
      </w:r>
    </w:p>
    <w:p>
      <w:pPr>
        <w:spacing w:after="0" w:line="119" w:lineRule="exact"/>
        <w:rPr>
          <w:sz w:val="20"/>
          <w:szCs w:val="20"/>
          <w:color w:val="auto"/>
        </w:rPr>
      </w:pPr>
    </w:p>
    <w:p>
      <w:pPr>
        <w:jc w:val="both"/>
        <w:ind w:right="120" w:firstLine="444"/>
        <w:spacing w:after="0" w:line="247" w:lineRule="auto"/>
        <w:rPr>
          <w:sz w:val="20"/>
          <w:szCs w:val="20"/>
          <w:color w:val="auto"/>
        </w:rPr>
      </w:pPr>
      <w:r>
        <w:rPr>
          <w:rFonts w:ascii="Times New Roman" w:cs="Times New Roman" w:eastAsia="Times New Roman" w:hAnsi="Times New Roman"/>
          <w:sz w:val="16"/>
          <w:szCs w:val="16"/>
          <w:color w:val="auto"/>
        </w:rPr>
        <w:t>Purchases of debt and equity investments for the nine months ended September 30, 2024 and 2023 totaled $274,194 and $204,049, respectively. Proceeds from sales and repayments, including principal, return of capital distributions and realized gains, of portfolio investments for the nine months ended September 30, 2024 and 2023 totaled $154,109 and $146,363, respectively.</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Investments by type with corresponding percentage of total portfolio investments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3"/>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3"/>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4"/>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4"/>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First Lien Debt</w:t>
            </w:r>
            <w:r>
              <w:rPr>
                <w:rFonts w:ascii="Times New Roman" w:cs="Times New Roman" w:eastAsia="Times New Roman" w:hAnsi="Times New Roman"/>
                <w:sz w:val="16"/>
                <w:szCs w:val="16"/>
                <w:color w:val="auto"/>
                <w:vertAlign w:val="superscript"/>
              </w:rPr>
              <w:t>(1)</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696,280</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63.9 %</w:t>
            </w:r>
          </w:p>
        </w:tc>
        <w:tc>
          <w:tcPr>
            <w:tcW w:w="3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578,140</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60.3 %</w:t>
            </w:r>
          </w:p>
        </w:tc>
        <w:tc>
          <w:tcPr>
            <w:tcW w:w="22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697,291</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64.9 %</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577,684</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61.6 %</w:t>
            </w:r>
          </w:p>
        </w:tc>
      </w:t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 Debt</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113,907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119,561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145,633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148,806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320" w:type="dxa"/>
            <w:vAlign w:val="bottom"/>
          </w:tcPr>
          <w:p>
            <w:pPr>
              <w:spacing w:after="0"/>
              <w:rPr>
                <w:sz w:val="15"/>
                <w:szCs w:val="15"/>
                <w:color w:val="auto"/>
              </w:rPr>
            </w:pPr>
          </w:p>
        </w:tc>
      </w:tr>
      <w:tr>
        <w:trPr>
          <w:trHeight w:val="184"/>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149,170</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135,173</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148,188</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135,447</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320" w:type="dxa"/>
            <w:vAlign w:val="bottom"/>
            <w:shd w:val="clear" w:color="auto" w:fill="CFF0FC"/>
          </w:tcPr>
          <w:p>
            <w:pPr>
              <w:spacing w:after="0"/>
              <w:rPr>
                <w:sz w:val="16"/>
                <w:szCs w:val="16"/>
                <w:color w:val="auto"/>
              </w:rPr>
            </w:pPr>
          </w:p>
        </w:tc>
      </w:tr>
      <w:tr>
        <w:trPr>
          <w:trHeight w:val="176"/>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123,484</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120,264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80,741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71,740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320" w:type="dxa"/>
            <w:vAlign w:val="bottom"/>
          </w:tcPr>
          <w:p>
            <w:pPr>
              <w:spacing w:after="0"/>
              <w:rPr>
                <w:sz w:val="15"/>
                <w:szCs w:val="15"/>
                <w:color w:val="auto"/>
              </w:rPr>
            </w:pPr>
          </w:p>
        </w:tc>
      </w:tr>
      <w:tr>
        <w:trPr>
          <w:trHeight w:val="184"/>
        </w:trPr>
        <w:tc>
          <w:tcPr>
            <w:tcW w:w="1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7,834</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4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2,951</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2,952</w:t>
            </w: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320" w:type="dxa"/>
            <w:vAlign w:val="bottom"/>
            <w:shd w:val="clear" w:color="auto" w:fill="CFF0FC"/>
          </w:tcPr>
          <w:p>
            <w:pPr>
              <w:spacing w:after="0"/>
              <w:rPr>
                <w:sz w:val="16"/>
                <w:szCs w:val="16"/>
                <w:color w:val="auto"/>
              </w:rPr>
            </w:pPr>
          </w:p>
        </w:tc>
      </w:tr>
      <w:tr>
        <w:trPr>
          <w:trHeight w:val="180"/>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1,090,675</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957,906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1,074,804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936,629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r>
      <w:tr>
        <w:trPr>
          <w:trHeight w:val="20"/>
        </w:trPr>
        <w:tc>
          <w:tcPr>
            <w:tcW w:w="1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92" w:lineRule="exact"/>
        <w:rPr>
          <w:sz w:val="20"/>
          <w:szCs w:val="20"/>
          <w:color w:val="auto"/>
        </w:rPr>
      </w:pPr>
    </w:p>
    <w:p>
      <w:pPr>
        <w:ind w:left="340" w:right="360" w:hanging="322"/>
        <w:spacing w:after="0" w:line="286" w:lineRule="auto"/>
        <w:tabs>
          <w:tab w:leader="none" w:pos="3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unitranche investments, which account for 36.8% and 37.4% of the Company's portfolio on a fair value and cost basis as of September 30, 2024, respectively. Includes unitranche investments, which account for 37.6% and 38.5% of the Company's portfolio on a fair value and cost basis as of December 31, 2023, respectively.</w:t>
      </w:r>
    </w:p>
    <w:p>
      <w:pPr>
        <w:spacing w:after="0" w:line="267" w:lineRule="exact"/>
        <w:rPr>
          <w:sz w:val="20"/>
          <w:szCs w:val="20"/>
          <w:color w:val="auto"/>
        </w:rPr>
      </w:pPr>
    </w:p>
    <w:p>
      <w:pPr>
        <w:ind w:right="280" w:firstLine="444"/>
        <w:spacing w:after="0" w:line="247" w:lineRule="auto"/>
        <w:rPr>
          <w:sz w:val="20"/>
          <w:szCs w:val="20"/>
          <w:color w:val="auto"/>
        </w:rPr>
      </w:pPr>
      <w:r>
        <w:rPr>
          <w:rFonts w:ascii="Times New Roman" w:cs="Times New Roman" w:eastAsia="Times New Roman" w:hAnsi="Times New Roman"/>
          <w:sz w:val="16"/>
          <w:szCs w:val="16"/>
          <w:color w:val="auto"/>
        </w:rPr>
        <w:t>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4"/>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3"/>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4"/>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3"/>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4"/>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1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Midwest</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104,284</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6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9.6 %</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112,607</w:t>
            </w:r>
          </w:p>
        </w:tc>
        <w:tc>
          <w:tcPr>
            <w:tcW w:w="100" w:type="dxa"/>
            <w:vAlign w:val="bottom"/>
            <w:shd w:val="clear" w:color="auto" w:fill="CFF0FC"/>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11.8 %</w:t>
            </w: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66,257</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6.2 %</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75,436</w:t>
            </w:r>
          </w:p>
        </w:tc>
        <w:tc>
          <w:tcPr>
            <w:tcW w:w="200" w:type="dxa"/>
            <w:vAlign w:val="bottom"/>
            <w:shd w:val="clear" w:color="auto" w:fill="CFF0FC"/>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160" w:type="dxa"/>
            <w:vAlign w:val="bottom"/>
            <w:shd w:val="clear" w:color="auto" w:fill="CFF0FC"/>
          </w:tcPr>
          <w:p>
            <w:pPr>
              <w:spacing w:after="0"/>
              <w:rPr>
                <w:sz w:val="16"/>
                <w:szCs w:val="16"/>
                <w:color w:val="auto"/>
              </w:rPr>
            </w:pPr>
          </w:p>
        </w:tc>
      </w:tr>
      <w:tr>
        <w:trPr>
          <w:trHeight w:val="176"/>
        </w:trPr>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Southeast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346,599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292,408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348,212</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286,329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4"/>
        </w:trPr>
        <w:tc>
          <w:tcPr>
            <w:tcW w:w="1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Northeast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210,674</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181,412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200,824</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176,389</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r>
        <w:trPr>
          <w:trHeight w:val="176"/>
        </w:trPr>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West</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173,211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172,705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197,971</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191,545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4"/>
        </w:trPr>
        <w:tc>
          <w:tcPr>
            <w:tcW w:w="1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Southwest</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243,407</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186,274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249,057</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194,466</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r>
      <w:tr>
        <w:trPr>
          <w:trHeight w:val="176"/>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12,483</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1,090,675</w:t>
            </w:r>
          </w:p>
        </w:tc>
        <w:tc>
          <w:tcPr>
            <w:tcW w:w="220" w:type="dxa"/>
            <w:vAlign w:val="bottom"/>
            <w:shd w:val="clear" w:color="auto" w:fill="CFF0FC"/>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1"/>
                <w:szCs w:val="21"/>
                <w:color w:val="auto"/>
                <w:vertAlign w:val="subscript"/>
              </w:rPr>
              <w:t>%</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957,906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1"/>
                <w:szCs w:val="21"/>
                <w:color w:val="auto"/>
                <w:vertAlign w:val="subscript"/>
              </w:rPr>
              <w:t>%</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1,074,804</w:t>
            </w:r>
          </w:p>
        </w:tc>
        <w:tc>
          <w:tcPr>
            <w:tcW w:w="200" w:type="dxa"/>
            <w:vAlign w:val="bottom"/>
            <w:shd w:val="clear" w:color="auto" w:fill="CFF0FC"/>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1"/>
                <w:szCs w:val="21"/>
                <w:color w:val="auto"/>
                <w:vertAlign w:val="subscript"/>
              </w:rPr>
              <w:t>%</w:t>
            </w: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936,629</w:t>
            </w:r>
          </w:p>
        </w:tc>
        <w:tc>
          <w:tcPr>
            <w:tcW w:w="200" w:type="dxa"/>
            <w:vAlign w:val="bottom"/>
            <w:shd w:val="clear" w:color="auto" w:fill="CFF0FC"/>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184"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1"/>
                <w:szCs w:val="21"/>
                <w:color w:val="auto"/>
                <w:vertAlign w:val="subscript"/>
              </w:rPr>
              <w:t>%</w:t>
            </w:r>
          </w:p>
        </w:tc>
        <w:tc>
          <w:tcPr>
            <w:tcW w:w="160" w:type="dxa"/>
            <w:vAlign w:val="bottom"/>
            <w:shd w:val="clear" w:color="auto" w:fill="CFF0FC"/>
          </w:tcPr>
          <w:p>
            <w:pPr>
              <w:spacing w:after="0"/>
              <w:rPr>
                <w:sz w:val="17"/>
                <w:szCs w:val="17"/>
                <w:color w:val="auto"/>
              </w:rPr>
            </w:pPr>
          </w:p>
        </w:tc>
      </w:tr>
      <w:tr>
        <w:trPr>
          <w:trHeight w:val="20"/>
        </w:trPr>
        <w:tc>
          <w:tcPr>
            <w:tcW w:w="15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r>
        <w:trPr>
          <w:trHeight w:val="346"/>
        </w:trPr>
        <w:tc>
          <w:tcPr>
            <w:tcW w:w="8700" w:type="dxa"/>
            <w:vAlign w:val="bottom"/>
            <w:gridSpan w:val="23"/>
          </w:tcPr>
          <w:p>
            <w:pPr>
              <w:ind w:left="460"/>
              <w:spacing w:after="0"/>
              <w:rPr>
                <w:sz w:val="20"/>
                <w:szCs w:val="20"/>
                <w:color w:val="auto"/>
              </w:rPr>
            </w:pPr>
            <w:r>
              <w:rPr>
                <w:rFonts w:ascii="Times New Roman" w:cs="Times New Roman" w:eastAsia="Times New Roman" w:hAnsi="Times New Roman"/>
                <w:sz w:val="16"/>
                <w:szCs w:val="16"/>
                <w:color w:val="auto"/>
              </w:rPr>
              <w:t>The following table shows portfolio composition by type and by geographic region at fair value as a percentage of net assets.</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40" w:type="dxa"/>
            <w:vAlign w:val="bottom"/>
          </w:tcPr>
          <w:p>
            <w:pPr>
              <w:spacing w:after="0"/>
              <w:rPr>
                <w:sz w:val="15"/>
                <w:szCs w:val="15"/>
                <w:color w:val="auto"/>
              </w:rPr>
            </w:pP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By Type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By Geographic Region</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1740" w:type="dxa"/>
            <w:vAlign w:val="bottom"/>
          </w:tcPr>
          <w:p>
            <w:pPr>
              <w:spacing w:after="0"/>
              <w:rPr>
                <w:sz w:val="15"/>
                <w:szCs w:val="15"/>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720" w:type="dxa"/>
            <w:vAlign w:val="bottom"/>
            <w:gridSpan w:val="3"/>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820" w:type="dxa"/>
            <w:vAlign w:val="bottom"/>
          </w:tcPr>
          <w:p>
            <w:pPr>
              <w:spacing w:after="0"/>
              <w:rPr>
                <w:sz w:val="15"/>
                <w:szCs w:val="15"/>
                <w:color w:val="auto"/>
              </w:rPr>
            </w:pPr>
          </w:p>
        </w:tc>
        <w:tc>
          <w:tcPr>
            <w:tcW w:w="2060" w:type="dxa"/>
            <w:vAlign w:val="bottom"/>
            <w:gridSpan w:val="2"/>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60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4"/>
        </w:trPr>
        <w:tc>
          <w:tcPr>
            <w:tcW w:w="1740" w:type="dxa"/>
            <w:vAlign w:val="bottom"/>
          </w:tcPr>
          <w:p>
            <w:pPr>
              <w:spacing w:after="0"/>
              <w:rPr>
                <w:sz w:val="16"/>
                <w:szCs w:val="16"/>
                <w:color w:val="auto"/>
              </w:rPr>
            </w:pPr>
          </w:p>
        </w:tc>
        <w:tc>
          <w:tcPr>
            <w:tcW w:w="1200" w:type="dxa"/>
            <w:vAlign w:val="bottom"/>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6"/>
                <w:szCs w:val="16"/>
                <w:color w:val="auto"/>
              </w:rPr>
            </w:pPr>
          </w:p>
        </w:tc>
        <w:tc>
          <w:tcPr>
            <w:tcW w:w="120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20" w:type="dxa"/>
            <w:vAlign w:val="bottom"/>
          </w:tcPr>
          <w:p>
            <w:pPr>
              <w:jc w:val="right"/>
              <w:ind w:right="6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6"/>
                <w:szCs w:val="16"/>
                <w:color w:val="auto"/>
              </w:rPr>
            </w:pPr>
          </w:p>
        </w:tc>
        <w:tc>
          <w:tcPr>
            <w:tcW w:w="1480" w:type="dxa"/>
            <w:vAlign w:val="bottom"/>
          </w:tcPr>
          <w:p>
            <w:pPr>
              <w:jc w:val="right"/>
              <w:ind w:right="535"/>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 Debt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105.7 %</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98.1 %</w:t>
            </w:r>
          </w:p>
        </w:tc>
        <w:tc>
          <w:tcPr>
            <w:tcW w:w="420" w:type="dxa"/>
            <w:vAlign w:val="bottom"/>
          </w:tcPr>
          <w:p>
            <w:pPr>
              <w:spacing w:after="0"/>
              <w:rPr>
                <w:sz w:val="16"/>
                <w:szCs w:val="16"/>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1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 Debt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4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Midwest</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15.8 %</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19.1 %</w:t>
            </w:r>
          </w:p>
        </w:tc>
      </w:tr>
      <w:tr>
        <w:trPr>
          <w:trHeight w:val="184"/>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4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Southeast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4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Northeast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West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0"/>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66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1"/>
                <w:szCs w:val="11"/>
                <w:color w:val="auto"/>
              </w:rPr>
              <w:t xml:space="preserve">165.5 </w:t>
            </w:r>
            <w:r>
              <w:rPr>
                <w:rFonts w:ascii="Times New Roman" w:cs="Times New Roman" w:eastAsia="Times New Roman" w:hAnsi="Times New Roman"/>
                <w:sz w:val="20"/>
                <w:szCs w:val="20"/>
                <w:color w:val="auto"/>
                <w:vertAlign w:val="subscript"/>
              </w:rPr>
              <w:t>%</w:t>
            </w:r>
          </w:p>
        </w:tc>
        <w:tc>
          <w:tcPr>
            <w:tcW w:w="1720" w:type="dxa"/>
            <w:vAlign w:val="bottom"/>
            <w:gridSpan w:val="3"/>
          </w:tcPr>
          <w:p>
            <w:pPr>
              <w:jc w:val="right"/>
              <w:ind w:right="400"/>
              <w:spacing w:after="0" w:line="180" w:lineRule="exact"/>
              <w:rPr>
                <w:sz w:val="20"/>
                <w:szCs w:val="20"/>
                <w:color w:val="auto"/>
              </w:rPr>
            </w:pPr>
            <w:r>
              <w:rPr>
                <w:rFonts w:ascii="Times New Roman" w:cs="Times New Roman" w:eastAsia="Times New Roman" w:hAnsi="Times New Roman"/>
                <w:sz w:val="11"/>
                <w:szCs w:val="11"/>
                <w:color w:val="auto"/>
              </w:rPr>
              <w:t xml:space="preserve">162.5 </w:t>
            </w:r>
            <w:r>
              <w:rPr>
                <w:rFonts w:ascii="Times New Roman" w:cs="Times New Roman" w:eastAsia="Times New Roman" w:hAnsi="Times New Roman"/>
                <w:sz w:val="20"/>
                <w:szCs w:val="20"/>
                <w:color w:val="auto"/>
                <w:vertAlign w:val="subscript"/>
              </w:rPr>
              <w:t>%</w:t>
            </w:r>
          </w:p>
        </w:tc>
        <w:tc>
          <w:tcPr>
            <w:tcW w:w="1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Southwest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7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4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80"/>
        </w:trPr>
        <w:tc>
          <w:tcPr>
            <w:tcW w:w="1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6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1"/>
                <w:szCs w:val="11"/>
                <w:color w:val="auto"/>
              </w:rPr>
              <w:t xml:space="preserve">165.5 </w:t>
            </w:r>
            <w:r>
              <w:rPr>
                <w:rFonts w:ascii="Times New Roman" w:cs="Times New Roman" w:eastAsia="Times New Roman" w:hAnsi="Times New Roman"/>
                <w:sz w:val="20"/>
                <w:szCs w:val="20"/>
                <w:color w:val="auto"/>
                <w:vertAlign w:val="subscript"/>
              </w:rPr>
              <w:t>%</w:t>
            </w:r>
          </w:p>
        </w:tc>
        <w:tc>
          <w:tcPr>
            <w:tcW w:w="160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1"/>
                <w:szCs w:val="11"/>
                <w:color w:val="auto"/>
              </w:rPr>
              <w:t xml:space="preserve">162.5 </w:t>
            </w:r>
            <w:r>
              <w:rPr>
                <w:rFonts w:ascii="Times New Roman" w:cs="Times New Roman" w:eastAsia="Times New Roman" w:hAnsi="Times New Roman"/>
                <w:sz w:val="20"/>
                <w:szCs w:val="20"/>
                <w:color w:val="auto"/>
                <w:vertAlign w:val="subscript"/>
              </w:rPr>
              <w:t>%</w:t>
            </w:r>
          </w:p>
        </w:tc>
      </w:tr>
      <w:tr>
        <w:trPr>
          <w:trHeight w:val="20"/>
        </w:trPr>
        <w:tc>
          <w:tcPr>
            <w:tcW w:w="1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44"/>
        <w:spacing w:after="0" w:line="331" w:lineRule="auto"/>
        <w:rPr>
          <w:sz w:val="20"/>
          <w:szCs w:val="20"/>
          <w:color w:val="auto"/>
        </w:rPr>
      </w:pPr>
      <w:r>
        <w:rPr>
          <w:rFonts w:ascii="Times New Roman" w:cs="Times New Roman" w:eastAsia="Times New Roman" w:hAnsi="Times New Roman"/>
          <w:sz w:val="14"/>
          <w:szCs w:val="14"/>
          <w:color w:val="auto"/>
        </w:rPr>
        <w:t>As of September 30, 2024 and December 31, 2023, the Company had no portfolio company investments that represented more than 10% of the total investment portfolio on a fair value or cost basis. As of September 30, 2024 and December 31, 2023, the Company had no investments that exceeded 5% of total assets.</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September 30, 2024 and December 31, 2023, the Company had debt investments in three portfolio companies on non-accrual status.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56"/>
        </w:trPr>
        <w:tc>
          <w:tcPr>
            <w:tcW w:w="5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Fair</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Fair</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6"/>
        </w:trPr>
        <w:tc>
          <w:tcPr>
            <w:tcW w:w="5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240" w:type="dxa"/>
            <w:vAlign w:val="bottom"/>
          </w:tcPr>
          <w:p>
            <w:pPr>
              <w:spacing w:after="0"/>
              <w:rPr>
                <w:sz w:val="13"/>
                <w:szCs w:val="13"/>
                <w:color w:val="auto"/>
              </w:rPr>
            </w:pPr>
          </w:p>
        </w:tc>
        <w:tc>
          <w:tcPr>
            <w:tcW w:w="82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Cost</w:t>
            </w:r>
          </w:p>
        </w:tc>
      </w:tr>
      <w:tr>
        <w:trPr>
          <w:trHeight w:val="158"/>
        </w:trPr>
        <w:tc>
          <w:tcPr>
            <w:tcW w:w="5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GreenFiber, LLC</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5,223</w:t>
            </w:r>
          </w:p>
        </w:tc>
        <w:tc>
          <w:tcPr>
            <w:tcW w:w="46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5,223</w:t>
            </w:r>
          </w:p>
        </w:tc>
        <w:tc>
          <w:tcPr>
            <w:tcW w:w="240" w:type="dxa"/>
            <w:vAlign w:val="bottom"/>
          </w:tcPr>
          <w:p>
            <w:pPr>
              <w:spacing w:after="0"/>
              <w:rPr>
                <w:sz w:val="13"/>
                <w:szCs w:val="13"/>
                <w:color w:val="auto"/>
              </w:rPr>
            </w:pPr>
          </w:p>
        </w:tc>
      </w:tr>
      <w:tr>
        <w:trPr>
          <w:trHeight w:val="15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Suited Connector LLC</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5,166</w:t>
            </w: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15,934</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4,324</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15,933</w:t>
            </w:r>
          </w:p>
        </w:tc>
        <w:tc>
          <w:tcPr>
            <w:tcW w:w="240" w:type="dxa"/>
            <w:vAlign w:val="bottom"/>
            <w:shd w:val="clear" w:color="auto" w:fill="CCEEFF"/>
          </w:tcPr>
          <w:p>
            <w:pPr>
              <w:spacing w:after="0"/>
              <w:rPr>
                <w:sz w:val="13"/>
                <w:szCs w:val="13"/>
                <w:color w:val="auto"/>
              </w:rPr>
            </w:pPr>
          </w:p>
        </w:tc>
      </w:tr>
      <w:tr>
        <w:trPr>
          <w:trHeight w:val="154"/>
        </w:trPr>
        <w:tc>
          <w:tcPr>
            <w:tcW w:w="5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Virtex Enterprises, LP</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5,188</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10,906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5,340</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10,906</w:t>
            </w:r>
          </w:p>
        </w:tc>
        <w:tc>
          <w:tcPr>
            <w:tcW w:w="240" w:type="dxa"/>
            <w:vAlign w:val="bottom"/>
          </w:tcPr>
          <w:p>
            <w:pPr>
              <w:spacing w:after="0"/>
              <w:rPr>
                <w:sz w:val="13"/>
                <w:szCs w:val="13"/>
                <w:color w:val="auto"/>
              </w:rPr>
            </w:pPr>
          </w:p>
        </w:tc>
      </w:tr>
      <w:tr>
        <w:trPr>
          <w:trHeight w:val="19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10,354</w:t>
            </w: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32,063</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9,664</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32,062</w:t>
            </w:r>
          </w:p>
        </w:tc>
        <w:tc>
          <w:tcPr>
            <w:tcW w:w="240" w:type="dxa"/>
            <w:vAlign w:val="bottom"/>
            <w:tcBorders>
              <w:bottom w:val="single" w:sz="8" w:color="CCEEFF"/>
            </w:tcBorders>
            <w:shd w:val="clear" w:color="auto" w:fill="CCEEFF"/>
          </w:tcPr>
          <w:p>
            <w:pPr>
              <w:spacing w:after="0"/>
              <w:rPr>
                <w:sz w:val="17"/>
                <w:szCs w:val="17"/>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Consolidated Schedule of Investments In and Advances To Affiliates</w:t>
      </w:r>
    </w:p>
    <w:p>
      <w:pPr>
        <w:spacing w:after="0" w:line="142" w:lineRule="exact"/>
        <w:rPr>
          <w:sz w:val="20"/>
          <w:szCs w:val="20"/>
          <w:color w:val="auto"/>
        </w:rPr>
      </w:pPr>
    </w:p>
    <w:p>
      <w:pPr>
        <w:ind w:right="40" w:firstLine="444"/>
        <w:spacing w:after="0" w:line="247" w:lineRule="auto"/>
        <w:rPr>
          <w:sz w:val="20"/>
          <w:szCs w:val="20"/>
          <w:color w:val="auto"/>
        </w:rPr>
      </w:pPr>
      <w:r>
        <w:rPr>
          <w:rFonts w:ascii="Times New Roman" w:cs="Times New Roman" w:eastAsia="Times New Roman" w:hAnsi="Times New Roman"/>
          <w:sz w:val="16"/>
          <w:szCs w:val="16"/>
          <w:color w:val="auto"/>
        </w:rPr>
        <w:t>The table below represents the fair value of control and affiliate investments as of December 31, 2023 and any additions and reductions made to such investments during the nine months ended September 30, 2024, the ending fair value as of September 30, 2024, and the total investment income earned on such investments during the period.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2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gridSpan w:val="7"/>
          </w:tcPr>
          <w:p>
            <w:pPr>
              <w:ind w:left="80"/>
              <w:spacing w:after="0"/>
              <w:rPr>
                <w:sz w:val="20"/>
                <w:szCs w:val="20"/>
                <w:color w:val="auto"/>
              </w:rPr>
            </w:pPr>
            <w:r>
              <w:rPr>
                <w:rFonts w:ascii="Times New Roman" w:cs="Times New Roman" w:eastAsia="Times New Roman" w:hAnsi="Times New Roman"/>
                <w:sz w:val="7"/>
                <w:szCs w:val="7"/>
                <w:b w:val="1"/>
                <w:bCs w:val="1"/>
                <w:color w:val="auto"/>
              </w:rPr>
              <w:t>Nine Months Ended September 30, 2024</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center"/>
              <w:ind w:right="44"/>
              <w:spacing w:after="0"/>
              <w:rPr>
                <w:sz w:val="20"/>
                <w:szCs w:val="20"/>
                <w:color w:val="auto"/>
              </w:rPr>
            </w:pPr>
            <w:r>
              <w:rPr>
                <w:rFonts w:ascii="Times New Roman" w:cs="Times New Roman" w:eastAsia="Times New Roman" w:hAnsi="Times New Roman"/>
                <w:sz w:val="7"/>
                <w:szCs w:val="7"/>
                <w:b w:val="1"/>
                <w:bCs w:val="1"/>
                <w:color w:val="auto"/>
              </w:rPr>
              <w:t>September 30,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7"/>
                <w:szCs w:val="7"/>
                <w:b w:val="1"/>
                <w:bCs w:val="1"/>
                <w:color w:val="auto"/>
              </w:rPr>
              <w:t>Net Change in</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center"/>
              <w:ind w:right="24"/>
              <w:spacing w:after="0"/>
              <w:rPr>
                <w:sz w:val="20"/>
                <w:szCs w:val="20"/>
                <w:color w:val="auto"/>
              </w:rPr>
            </w:pPr>
            <w:r>
              <w:rPr>
                <w:rFonts w:ascii="Times New Roman" w:cs="Times New Roman" w:eastAsia="Times New Roman" w:hAnsi="Times New Roman"/>
                <w:sz w:val="7"/>
                <w:szCs w:val="7"/>
                <w:b w:val="1"/>
                <w:bCs w:val="1"/>
                <w:color w:val="auto"/>
              </w:rPr>
              <w:t>2024 Principal</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center"/>
              <w:ind w:right="24"/>
              <w:spacing w:after="0"/>
              <w:rPr>
                <w:sz w:val="20"/>
                <w:szCs w:val="20"/>
                <w:color w:val="auto"/>
              </w:rPr>
            </w:pPr>
            <w:r>
              <w:rPr>
                <w:rFonts w:ascii="Times New Roman" w:cs="Times New Roman" w:eastAsia="Times New Roman" w:hAnsi="Times New Roman"/>
                <w:sz w:val="7"/>
                <w:szCs w:val="7"/>
                <w:b w:val="1"/>
                <w:bCs w:val="1"/>
                <w:color w:val="auto"/>
              </w:rPr>
              <w:t>December 31,</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vMerge w:val="restart"/>
          </w:tcPr>
          <w:p>
            <w:pPr>
              <w:jc w:val="center"/>
              <w:ind w:right="5"/>
              <w:spacing w:after="0"/>
              <w:rPr>
                <w:sz w:val="20"/>
                <w:szCs w:val="20"/>
                <w:color w:val="auto"/>
              </w:rPr>
            </w:pPr>
            <w:r>
              <w:rPr>
                <w:rFonts w:ascii="Times New Roman" w:cs="Times New Roman" w:eastAsia="Times New Roman" w:hAnsi="Times New Roman"/>
                <w:sz w:val="7"/>
                <w:szCs w:val="7"/>
                <w:b w:val="1"/>
                <w:bCs w:val="1"/>
                <w:color w:val="auto"/>
              </w:rPr>
              <w:t>Net Realized</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7"/>
                <w:szCs w:val="7"/>
                <w:b w:val="1"/>
                <w:bCs w:val="1"/>
                <w:color w:val="auto"/>
                <w:w w:val="97"/>
              </w:rPr>
              <w:t>Unrealized</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rPr>
              <w:t>Payment-in-</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34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vMerge w:val="restart"/>
          </w:tcPr>
          <w:p>
            <w:pPr>
              <w:jc w:val="center"/>
              <w:ind w:right="24"/>
              <w:spacing w:after="0"/>
              <w:rPr>
                <w:sz w:val="20"/>
                <w:szCs w:val="20"/>
                <w:color w:val="auto"/>
              </w:rPr>
            </w:pPr>
            <w:r>
              <w:rPr>
                <w:rFonts w:ascii="Times New Roman" w:cs="Times New Roman" w:eastAsia="Times New Roman" w:hAnsi="Times New Roman"/>
                <w:sz w:val="7"/>
                <w:szCs w:val="7"/>
                <w:b w:val="1"/>
                <w:bCs w:val="1"/>
                <w:color w:val="auto"/>
              </w:rPr>
              <w:t>Amount - Debt</w:t>
            </w: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vMerge w:val="restart"/>
          </w:tcPr>
          <w:p>
            <w:pPr>
              <w:jc w:val="center"/>
              <w:ind w:right="24"/>
              <w:spacing w:after="0"/>
              <w:rPr>
                <w:sz w:val="20"/>
                <w:szCs w:val="20"/>
                <w:color w:val="auto"/>
              </w:rPr>
            </w:pPr>
            <w:r>
              <w:rPr>
                <w:rFonts w:ascii="Times New Roman" w:cs="Times New Roman" w:eastAsia="Times New Roman" w:hAnsi="Times New Roman"/>
                <w:sz w:val="7"/>
                <w:szCs w:val="7"/>
                <w:b w:val="1"/>
                <w:bCs w:val="1"/>
                <w:color w:val="auto"/>
                <w:w w:val="99"/>
              </w:rPr>
              <w:t>2023</w:t>
            </w: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vMerge w:val="restart"/>
          </w:tcPr>
          <w:p>
            <w:pPr>
              <w:jc w:val="right"/>
              <w:ind w:right="44"/>
              <w:spacing w:after="0"/>
              <w:rPr>
                <w:sz w:val="20"/>
                <w:szCs w:val="20"/>
                <w:color w:val="auto"/>
              </w:rPr>
            </w:pPr>
            <w:r>
              <w:rPr>
                <w:rFonts w:ascii="Times New Roman" w:cs="Times New Roman" w:eastAsia="Times New Roman" w:hAnsi="Times New Roman"/>
                <w:sz w:val="7"/>
                <w:szCs w:val="7"/>
                <w:b w:val="1"/>
                <w:bCs w:val="1"/>
                <w:color w:val="auto"/>
                <w:w w:val="98"/>
              </w:rPr>
              <w:t>September 30,</w:t>
            </w: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7"/>
                <w:szCs w:val="7"/>
                <w:b w:val="1"/>
                <w:bCs w:val="1"/>
                <w:color w:val="auto"/>
              </w:rPr>
              <w:t>Appreciation</w:t>
            </w: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7"/>
                <w:szCs w:val="7"/>
                <w:b w:val="1"/>
                <w:bCs w:val="1"/>
                <w:color w:val="auto"/>
              </w:rPr>
              <w:t>kind Interest</w:t>
            </w:r>
          </w:p>
        </w:tc>
        <w:tc>
          <w:tcPr>
            <w:tcW w:w="80" w:type="dxa"/>
            <w:vAlign w:val="bottom"/>
          </w:tcPr>
          <w:p>
            <w:pPr>
              <w:spacing w:after="0"/>
              <w:rPr>
                <w:sz w:val="3"/>
                <w:szCs w:val="3"/>
                <w:color w:val="auto"/>
              </w:rPr>
            </w:pPr>
          </w:p>
        </w:tc>
        <w:tc>
          <w:tcPr>
            <w:tcW w:w="42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b w:val="1"/>
                <w:bCs w:val="1"/>
                <w:color w:val="auto"/>
              </w:rPr>
              <w:t>Dividend</w:t>
            </w: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7"/>
        </w:trPr>
        <w:tc>
          <w:tcPr>
            <w:tcW w:w="23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gridSpan w:val="2"/>
          </w:tcPr>
          <w:p>
            <w:pPr>
              <w:jc w:val="right"/>
              <w:ind w:right="5"/>
              <w:spacing w:after="0" w:line="67" w:lineRule="exact"/>
              <w:rPr>
                <w:sz w:val="20"/>
                <w:szCs w:val="20"/>
                <w:color w:val="auto"/>
              </w:rPr>
            </w:pPr>
            <w:r>
              <w:rPr>
                <w:rFonts w:ascii="Times New Roman" w:cs="Times New Roman" w:eastAsia="Times New Roman" w:hAnsi="Times New Roman"/>
                <w:sz w:val="7"/>
                <w:szCs w:val="7"/>
                <w:b w:val="1"/>
                <w:bCs w:val="1"/>
                <w:color w:val="auto"/>
              </w:rPr>
              <w:t>Gross Additions</w:t>
            </w:r>
          </w:p>
        </w:tc>
        <w:tc>
          <w:tcPr>
            <w:tcW w:w="200" w:type="dxa"/>
            <w:vAlign w:val="bottom"/>
          </w:tcPr>
          <w:p>
            <w:pPr>
              <w:spacing w:after="0"/>
              <w:rPr>
                <w:sz w:val="5"/>
                <w:szCs w:val="5"/>
                <w:color w:val="auto"/>
              </w:rPr>
            </w:pPr>
          </w:p>
        </w:tc>
        <w:tc>
          <w:tcPr>
            <w:tcW w:w="780" w:type="dxa"/>
            <w:vAlign w:val="bottom"/>
            <w:gridSpan w:val="3"/>
          </w:tcPr>
          <w:p>
            <w:pPr>
              <w:ind w:left="20"/>
              <w:spacing w:after="0" w:line="67" w:lineRule="exact"/>
              <w:rPr>
                <w:sz w:val="20"/>
                <w:szCs w:val="20"/>
                <w:color w:val="auto"/>
              </w:rPr>
            </w:pPr>
            <w:r>
              <w:rPr>
                <w:rFonts w:ascii="Times New Roman" w:cs="Times New Roman" w:eastAsia="Times New Roman" w:hAnsi="Times New Roman"/>
                <w:sz w:val="7"/>
                <w:szCs w:val="7"/>
                <w:b w:val="1"/>
                <w:bCs w:val="1"/>
                <w:color w:val="auto"/>
              </w:rPr>
              <w:t>Gross Reductions</w:t>
            </w:r>
          </w:p>
        </w:tc>
        <w:tc>
          <w:tcPr>
            <w:tcW w:w="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gridSpan w:val="2"/>
          </w:tcPr>
          <w:p>
            <w:pPr>
              <w:jc w:val="center"/>
              <w:spacing w:after="0" w:line="67" w:lineRule="exact"/>
              <w:rPr>
                <w:sz w:val="20"/>
                <w:szCs w:val="20"/>
                <w:color w:val="auto"/>
              </w:rPr>
            </w:pPr>
            <w:r>
              <w:rPr>
                <w:rFonts w:ascii="Times New Roman" w:cs="Times New Roman" w:eastAsia="Times New Roman" w:hAnsi="Times New Roman"/>
                <w:sz w:val="7"/>
                <w:szCs w:val="7"/>
                <w:b w:val="1"/>
                <w:bCs w:val="1"/>
                <w:color w:val="auto"/>
              </w:rPr>
              <w:t>Gains (Losses)</w:t>
            </w: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340" w:type="dxa"/>
            <w:vAlign w:val="bottom"/>
          </w:tcPr>
          <w:p>
            <w:pPr>
              <w:ind w:left="20"/>
              <w:spacing w:after="0"/>
              <w:rPr>
                <w:sz w:val="20"/>
                <w:szCs w:val="20"/>
                <w:color w:val="auto"/>
              </w:rPr>
            </w:pPr>
            <w:r>
              <w:rPr>
                <w:rFonts w:ascii="Times New Roman" w:cs="Times New Roman" w:eastAsia="Times New Roman" w:hAnsi="Times New Roman"/>
                <w:sz w:val="7"/>
                <w:szCs w:val="7"/>
                <w:b w:val="1"/>
                <w:bCs w:val="1"/>
                <w:color w:val="auto"/>
              </w:rPr>
              <w:t xml:space="preserve">Portfolio Company </w:t>
            </w:r>
            <w:r>
              <w:rPr>
                <w:rFonts w:ascii="Times New Roman" w:cs="Times New Roman" w:eastAsia="Times New Roman" w:hAnsi="Times New Roman"/>
                <w:sz w:val="9"/>
                <w:szCs w:val="9"/>
                <w:b w:val="1"/>
                <w:bCs w:val="1"/>
                <w:color w:val="auto"/>
                <w:vertAlign w:val="superscript"/>
              </w:rPr>
              <w:t>(1)</w:t>
            </w:r>
          </w:p>
        </w:tc>
        <w:tc>
          <w:tcPr>
            <w:tcW w:w="60" w:type="dxa"/>
            <w:vAlign w:val="bottom"/>
          </w:tcPr>
          <w:p>
            <w:pPr>
              <w:spacing w:after="0"/>
              <w:rPr>
                <w:sz w:val="8"/>
                <w:szCs w:val="8"/>
                <w:color w:val="auto"/>
              </w:rPr>
            </w:pPr>
          </w:p>
        </w:tc>
        <w:tc>
          <w:tcPr>
            <w:tcW w:w="520" w:type="dxa"/>
            <w:vAlign w:val="bottom"/>
          </w:tcPr>
          <w:p>
            <w:pPr>
              <w:jc w:val="center"/>
              <w:ind w:right="24"/>
              <w:spacing w:after="0"/>
              <w:rPr>
                <w:sz w:val="20"/>
                <w:szCs w:val="20"/>
                <w:color w:val="auto"/>
              </w:rPr>
            </w:pPr>
            <w:r>
              <w:rPr>
                <w:rFonts w:ascii="Times New Roman" w:cs="Times New Roman" w:eastAsia="Times New Roman" w:hAnsi="Times New Roman"/>
                <w:sz w:val="7"/>
                <w:szCs w:val="7"/>
                <w:b w:val="1"/>
                <w:bCs w:val="1"/>
                <w:color w:val="auto"/>
              </w:rPr>
              <w:t>Investments</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center"/>
              <w:ind w:right="24"/>
              <w:spacing w:after="0"/>
              <w:rPr>
                <w:sz w:val="20"/>
                <w:szCs w:val="20"/>
                <w:color w:val="auto"/>
              </w:rPr>
            </w:pPr>
            <w:r>
              <w:rPr>
                <w:rFonts w:ascii="Times New Roman" w:cs="Times New Roman" w:eastAsia="Times New Roman" w:hAnsi="Times New Roman"/>
                <w:sz w:val="7"/>
                <w:szCs w:val="7"/>
                <w:b w:val="1"/>
                <w:bCs w:val="1"/>
                <w:color w:val="auto"/>
              </w:rPr>
              <w:t>Fair Value</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ind w:right="225"/>
              <w:spacing w:after="0"/>
              <w:rPr>
                <w:sz w:val="20"/>
                <w:szCs w:val="20"/>
                <w:color w:val="auto"/>
              </w:rPr>
            </w:pPr>
            <w:r>
              <w:rPr>
                <w:rFonts w:ascii="Times New Roman" w:cs="Times New Roman" w:eastAsia="Times New Roman" w:hAnsi="Times New Roman"/>
                <w:sz w:val="5"/>
                <w:szCs w:val="5"/>
                <w:b w:val="1"/>
                <w:bCs w:val="1"/>
                <w:color w:val="auto"/>
              </w:rPr>
              <w:t>(2)</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jc w:val="right"/>
              <w:ind w:right="226"/>
              <w:spacing w:after="0"/>
              <w:rPr>
                <w:sz w:val="20"/>
                <w:szCs w:val="20"/>
                <w:color w:val="auto"/>
              </w:rPr>
            </w:pPr>
            <w:r>
              <w:rPr>
                <w:rFonts w:ascii="Times New Roman" w:cs="Times New Roman" w:eastAsia="Times New Roman" w:hAnsi="Times New Roman"/>
                <w:sz w:val="5"/>
                <w:szCs w:val="5"/>
                <w:b w:val="1"/>
                <w:bCs w:val="1"/>
                <w:color w:val="auto"/>
              </w:rPr>
              <w:t>(3)</w:t>
            </w:r>
          </w:p>
        </w:tc>
        <w:tc>
          <w:tcPr>
            <w:tcW w:w="200" w:type="dxa"/>
            <w:vAlign w:val="bottom"/>
          </w:tcPr>
          <w:p>
            <w:pPr>
              <w:spacing w:after="0"/>
              <w:rPr>
                <w:sz w:val="8"/>
                <w:szCs w:val="8"/>
                <w:color w:val="auto"/>
              </w:rPr>
            </w:pPr>
          </w:p>
        </w:tc>
        <w:tc>
          <w:tcPr>
            <w:tcW w:w="580" w:type="dxa"/>
            <w:vAlign w:val="bottom"/>
            <w:gridSpan w:val="2"/>
          </w:tcPr>
          <w:p>
            <w:pPr>
              <w:jc w:val="right"/>
              <w:ind w:right="4"/>
              <w:spacing w:after="0"/>
              <w:rPr>
                <w:sz w:val="20"/>
                <w:szCs w:val="20"/>
                <w:color w:val="auto"/>
              </w:rPr>
            </w:pPr>
            <w:r>
              <w:rPr>
                <w:rFonts w:ascii="Times New Roman" w:cs="Times New Roman" w:eastAsia="Times New Roman" w:hAnsi="Times New Roman"/>
                <w:sz w:val="7"/>
                <w:szCs w:val="7"/>
                <w:b w:val="1"/>
                <w:bCs w:val="1"/>
                <w:color w:val="auto"/>
              </w:rPr>
              <w:t>2024 Fair Value</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center"/>
              <w:ind w:right="5"/>
              <w:spacing w:after="0"/>
              <w:rPr>
                <w:sz w:val="20"/>
                <w:szCs w:val="20"/>
                <w:color w:val="auto"/>
              </w:rPr>
            </w:pPr>
            <w:r>
              <w:rPr>
                <w:rFonts w:ascii="Times New Roman" w:cs="Times New Roman" w:eastAsia="Times New Roman" w:hAnsi="Times New Roman"/>
                <w:sz w:val="5"/>
                <w:szCs w:val="5"/>
                <w:b w:val="1"/>
                <w:bCs w:val="1"/>
                <w:color w:val="auto"/>
              </w:rPr>
              <w:t>(4)</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7"/>
                <w:szCs w:val="7"/>
                <w:b w:val="1"/>
                <w:bCs w:val="1"/>
                <w:color w:val="auto"/>
              </w:rPr>
              <w:t>(Depreciation)</w:t>
            </w:r>
          </w:p>
        </w:tc>
        <w:tc>
          <w:tcPr>
            <w:tcW w:w="100" w:type="dxa"/>
            <w:vAlign w:val="bottom"/>
          </w:tcPr>
          <w:p>
            <w:pPr>
              <w:spacing w:after="0"/>
              <w:rPr>
                <w:sz w:val="8"/>
                <w:szCs w:val="8"/>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7"/>
                <w:szCs w:val="7"/>
                <w:b w:val="1"/>
                <w:bCs w:val="1"/>
                <w:color w:val="auto"/>
              </w:rPr>
              <w:t>Interest Income</w:t>
            </w: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7"/>
                <w:szCs w:val="7"/>
                <w:b w:val="1"/>
                <w:bCs w:val="1"/>
                <w:color w:val="auto"/>
                <w:w w:val="99"/>
              </w:rPr>
              <w:t>Income</w:t>
            </w:r>
          </w:p>
        </w:tc>
        <w:tc>
          <w:tcPr>
            <w:tcW w:w="80" w:type="dxa"/>
            <w:vAlign w:val="bottom"/>
          </w:tcPr>
          <w:p>
            <w:pPr>
              <w:spacing w:after="0"/>
              <w:rPr>
                <w:sz w:val="8"/>
                <w:szCs w:val="8"/>
                <w:color w:val="auto"/>
              </w:rPr>
            </w:pPr>
          </w:p>
        </w:tc>
        <w:tc>
          <w:tcPr>
            <w:tcW w:w="420" w:type="dxa"/>
            <w:vAlign w:val="bottom"/>
          </w:tcPr>
          <w:p>
            <w:pPr>
              <w:jc w:val="right"/>
              <w:ind w:right="104"/>
              <w:spacing w:after="0"/>
              <w:rPr>
                <w:sz w:val="20"/>
                <w:szCs w:val="20"/>
                <w:color w:val="auto"/>
              </w:rPr>
            </w:pPr>
            <w:r>
              <w:rPr>
                <w:rFonts w:ascii="Times New Roman" w:cs="Times New Roman" w:eastAsia="Times New Roman" w:hAnsi="Times New Roman"/>
                <w:sz w:val="7"/>
                <w:szCs w:val="7"/>
                <w:b w:val="1"/>
                <w:bCs w:val="1"/>
                <w:color w:val="auto"/>
              </w:rPr>
              <w:t>Income</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7"/>
                <w:szCs w:val="7"/>
                <w:b w:val="1"/>
                <w:bCs w:val="1"/>
                <w:color w:val="auto"/>
              </w:rPr>
              <w:t>Fee Income</w:t>
            </w:r>
          </w:p>
        </w:tc>
        <w:tc>
          <w:tcPr>
            <w:tcW w:w="0" w:type="dxa"/>
            <w:vAlign w:val="bottom"/>
          </w:tcPr>
          <w:p>
            <w:pPr>
              <w:spacing w:after="0"/>
              <w:rPr>
                <w:sz w:val="1"/>
                <w:szCs w:val="1"/>
                <w:color w:val="auto"/>
              </w:rPr>
            </w:pPr>
          </w:p>
        </w:tc>
      </w:tr>
      <w:tr>
        <w:trPr>
          <w:trHeight w:val="12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7"/>
                <w:szCs w:val="7"/>
                <w:b w:val="1"/>
                <w:bCs w:val="1"/>
                <w:color w:val="auto"/>
              </w:rPr>
              <w:t>Control Investments</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340" w:type="dxa"/>
            <w:vAlign w:val="bottom"/>
          </w:tcPr>
          <w:p>
            <w:pPr>
              <w:ind w:left="20"/>
              <w:spacing w:after="0"/>
              <w:rPr>
                <w:sz w:val="20"/>
                <w:szCs w:val="20"/>
                <w:color w:val="auto"/>
              </w:rPr>
            </w:pPr>
            <w:r>
              <w:rPr>
                <w:rFonts w:ascii="Times New Roman" w:cs="Times New Roman" w:eastAsia="Times New Roman" w:hAnsi="Times New Roman"/>
                <w:sz w:val="7"/>
                <w:szCs w:val="7"/>
                <w:color w:val="auto"/>
              </w:rPr>
              <w:t>US GreenFiber, LLC</w:t>
            </w:r>
          </w:p>
        </w:tc>
        <w:tc>
          <w:tcPr>
            <w:tcW w:w="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5,226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360" w:type="dxa"/>
            <w:vAlign w:val="bottom"/>
            <w:gridSpan w:val="2"/>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ind w:left="380"/>
              <w:spacing w:after="0"/>
              <w:rPr>
                <w:sz w:val="20"/>
                <w:szCs w:val="20"/>
                <w:color w:val="auto"/>
              </w:rPr>
            </w:pPr>
            <w:r>
              <w:rPr>
                <w:rFonts w:ascii="Times New Roman" w:cs="Times New Roman" w:eastAsia="Times New Roman" w:hAnsi="Times New Roman"/>
                <w:sz w:val="7"/>
                <w:szCs w:val="7"/>
                <w:color w:val="auto"/>
                <w:w w:val="85"/>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6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7"/>
                <w:szCs w:val="7"/>
                <w:b w:val="1"/>
                <w:bCs w:val="1"/>
                <w:color w:val="auto"/>
              </w:rPr>
              <w:t>Total Control Investments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5,226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36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7"/>
                <w:szCs w:val="7"/>
                <w:color w:val="auto"/>
                <w:w w:val="85"/>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7"/>
                <w:szCs w:val="7"/>
                <w:color w:val="auto"/>
              </w:rPr>
              <w:t>—</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89"/>
        </w:trPr>
        <w:tc>
          <w:tcPr>
            <w:tcW w:w="2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7"/>
                <w:szCs w:val="7"/>
                <w:b w:val="1"/>
                <w:bCs w:val="1"/>
                <w:color w:val="auto"/>
              </w:rPr>
              <w:t>Affiliate Investments</w:t>
            </w: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00" w:type="dxa"/>
            <w:vAlign w:val="bottom"/>
            <w:tcBorders>
              <w:top w:val="single" w:sz="8" w:color="CCEEFF"/>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8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Borders>
              <w:top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Applegate Greenfiber Intermediate Inc. (fka US GreenFiber, LLC)</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9,602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24,590</w:t>
            </w:r>
          </w:p>
        </w:tc>
        <w:tc>
          <w:tcPr>
            <w:tcW w:w="36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25</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7"/>
                <w:szCs w:val="7"/>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24,615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7"/>
                <w:szCs w:val="7"/>
                <w:color w:val="auto"/>
                <w:w w:val="85"/>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25</w:t>
            </w: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804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13"/>
        </w:trPr>
        <w:tc>
          <w:tcPr>
            <w:tcW w:w="2340" w:type="dxa"/>
            <w:vAlign w:val="bottom"/>
          </w:tcPr>
          <w:p>
            <w:pPr>
              <w:ind w:left="20"/>
              <w:spacing w:after="0"/>
              <w:rPr>
                <w:sz w:val="20"/>
                <w:szCs w:val="20"/>
                <w:color w:val="auto"/>
              </w:rPr>
            </w:pPr>
            <w:r>
              <w:rPr>
                <w:rFonts w:ascii="Times New Roman" w:cs="Times New Roman" w:eastAsia="Times New Roman" w:hAnsi="Times New Roman"/>
                <w:sz w:val="7"/>
                <w:szCs w:val="7"/>
                <w:color w:val="auto"/>
              </w:rPr>
              <w:t>Medsurant Holdings, LLC</w:t>
            </w: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5,930</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4,576</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color w:val="auto"/>
              </w:rPr>
              <w:t>(328 )</w:t>
            </w: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10,178</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ind w:left="380"/>
              <w:spacing w:after="0"/>
              <w:rPr>
                <w:sz w:val="20"/>
                <w:szCs w:val="20"/>
                <w:color w:val="auto"/>
              </w:rPr>
            </w:pPr>
            <w:r>
              <w:rPr>
                <w:rFonts w:ascii="Times New Roman" w:cs="Times New Roman" w:eastAsia="Times New Roman" w:hAnsi="Times New Roman"/>
                <w:sz w:val="7"/>
                <w:szCs w:val="7"/>
                <w:color w:val="auto"/>
                <w:w w:val="85"/>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4,576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1,328</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2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Pfanstiehl, Inc.</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33,321</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7"/>
                <w:szCs w:val="7"/>
                <w:color w:val="auto"/>
              </w:rPr>
              <w:t>(301 )</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33,020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7"/>
                <w:szCs w:val="7"/>
                <w:color w:val="auto"/>
                <w:w w:val="85"/>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(301 )</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348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13"/>
        </w:trPr>
        <w:tc>
          <w:tcPr>
            <w:tcW w:w="2340" w:type="dxa"/>
            <w:vAlign w:val="bottom"/>
          </w:tcPr>
          <w:p>
            <w:pPr>
              <w:ind w:left="20"/>
              <w:spacing w:after="0"/>
              <w:rPr>
                <w:sz w:val="20"/>
                <w:szCs w:val="20"/>
                <w:color w:val="auto"/>
              </w:rPr>
            </w:pPr>
            <w:r>
              <w:rPr>
                <w:rFonts w:ascii="Times New Roman" w:cs="Times New Roman" w:eastAsia="Times New Roman" w:hAnsi="Times New Roman"/>
                <w:sz w:val="7"/>
                <w:szCs w:val="7"/>
                <w:color w:val="auto"/>
              </w:rPr>
              <w:t>Spectra A&amp;D Acquisition, Inc. (fka FDS Avionics Corp.)</w:t>
            </w: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15,000</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15,321</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1,863</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7"/>
                <w:szCs w:val="7"/>
                <w:color w:val="auto"/>
              </w:rPr>
              <w:t>(3,279 )</w:t>
            </w: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13,905</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ind w:left="380"/>
              <w:spacing w:after="0"/>
              <w:rPr>
                <w:sz w:val="20"/>
                <w:szCs w:val="20"/>
                <w:color w:val="auto"/>
              </w:rPr>
            </w:pPr>
            <w:r>
              <w:rPr>
                <w:rFonts w:ascii="Times New Roman" w:cs="Times New Roman" w:eastAsia="Times New Roman" w:hAnsi="Times New Roman"/>
                <w:sz w:val="7"/>
                <w:szCs w:val="7"/>
                <w:color w:val="auto"/>
                <w:w w:val="85"/>
              </w:rPr>
              <w: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(3,278 )</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1,799</w:t>
            </w: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ind w:left="440"/>
              <w:spacing w:after="0"/>
              <w:rPr>
                <w:sz w:val="20"/>
                <w:szCs w:val="20"/>
                <w:color w:val="auto"/>
              </w:rPr>
            </w:pPr>
            <w:r>
              <w:rPr>
                <w:rFonts w:ascii="Times New Roman" w:cs="Times New Roman" w:eastAsia="Times New Roman" w:hAnsi="Times New Roman"/>
                <w:sz w:val="7"/>
                <w:szCs w:val="7"/>
                <w:color w:val="auto"/>
              </w:rPr>
              <w:t>15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Steward Holding LLC (dba Steward Advanced Materials)</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4,714</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7"/>
                <w:szCs w:val="7"/>
                <w:color w:val="auto"/>
              </w:rPr>
              <w:t>(605 )</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4,109</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7"/>
                <w:szCs w:val="7"/>
                <w:color w:val="auto"/>
                <w:w w:val="85"/>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7"/>
                <w:szCs w:val="7"/>
                <w:color w:val="auto"/>
              </w:rPr>
              <w:t>(605 )</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rPr>
              <w:t>154</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20"/>
        </w:trPr>
        <w:tc>
          <w:tcPr>
            <w:tcW w:w="2340" w:type="dxa"/>
            <w:vAlign w:val="bottom"/>
          </w:tcPr>
          <w:p>
            <w:pPr>
              <w:ind w:left="20"/>
              <w:spacing w:after="0"/>
              <w:rPr>
                <w:sz w:val="20"/>
                <w:szCs w:val="20"/>
                <w:color w:val="auto"/>
              </w:rPr>
            </w:pPr>
            <w:r>
              <w:rPr>
                <w:rFonts w:ascii="Times New Roman" w:cs="Times New Roman" w:eastAsia="Times New Roman" w:hAnsi="Times New Roman"/>
                <w:sz w:val="7"/>
                <w:szCs w:val="7"/>
                <w:b w:val="1"/>
                <w:bCs w:val="1"/>
                <w:color w:val="auto"/>
              </w:rPr>
              <w:t>Total Affiliate Investments</w:t>
            </w:r>
          </w:p>
        </w:tc>
        <w:tc>
          <w:tcPr>
            <w:tcW w:w="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24,602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83,876</w:t>
            </w:r>
          </w:p>
        </w:tc>
        <w:tc>
          <w:tcPr>
            <w:tcW w:w="360" w:type="dxa"/>
            <w:vAlign w:val="bottom"/>
            <w:gridSpan w:val="2"/>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6,464</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180"/>
              <w:spacing w:after="0" w:line="100" w:lineRule="exact"/>
              <w:rPr>
                <w:sz w:val="20"/>
                <w:szCs w:val="20"/>
                <w:color w:val="auto"/>
              </w:rPr>
            </w:pPr>
            <w:r>
              <w:rPr>
                <w:rFonts w:ascii="Times New Roman" w:cs="Times New Roman" w:eastAsia="Times New Roman" w:hAnsi="Times New Roman"/>
                <w:sz w:val="6"/>
                <w:szCs w:val="6"/>
                <w:color w:val="auto"/>
              </w:rPr>
              <w:t xml:space="preserve">(4,513 </w:t>
            </w:r>
            <w:r>
              <w:rPr>
                <w:rFonts w:ascii="Times New Roman" w:cs="Times New Roman" w:eastAsia="Times New Roman" w:hAnsi="Times New Roman"/>
                <w:sz w:val="11"/>
                <w:szCs w:val="11"/>
                <w:color w:val="auto"/>
                <w:vertAlign w:val="subscript"/>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85,827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ind w:left="380"/>
              <w:spacing w:after="0"/>
              <w:rPr>
                <w:sz w:val="20"/>
                <w:szCs w:val="20"/>
                <w:color w:val="auto"/>
              </w:rPr>
            </w:pPr>
            <w:r>
              <w:rPr>
                <w:rFonts w:ascii="Times New Roman" w:cs="Times New Roman" w:eastAsia="Times New Roman" w:hAnsi="Times New Roman"/>
                <w:sz w:val="7"/>
                <w:szCs w:val="7"/>
                <w:color w:val="auto"/>
                <w:w w:val="85"/>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417</w:t>
            </w:r>
          </w:p>
        </w:tc>
        <w:tc>
          <w:tcPr>
            <w:tcW w:w="120" w:type="dxa"/>
            <w:vAlign w:val="bottom"/>
          </w:tcPr>
          <w:p>
            <w:pPr>
              <w:spacing w:after="0"/>
              <w:rPr>
                <w:sz w:val="10"/>
                <w:szCs w:val="10"/>
                <w:color w:val="auto"/>
              </w:rPr>
            </w:pP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7"/>
                <w:szCs w:val="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2,603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7"/>
                <w:szCs w:val="7"/>
                <w:color w:val="auto"/>
              </w:rPr>
              <w:t>1,830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ind w:left="440"/>
              <w:spacing w:after="0"/>
              <w:rPr>
                <w:sz w:val="20"/>
                <w:szCs w:val="20"/>
                <w:color w:val="auto"/>
              </w:rPr>
            </w:pPr>
            <w:r>
              <w:rPr>
                <w:rFonts w:ascii="Times New Roman" w:cs="Times New Roman" w:eastAsia="Times New Roman" w:hAnsi="Times New Roman"/>
                <w:sz w:val="7"/>
                <w:szCs w:val="7"/>
                <w:color w:val="auto"/>
              </w:rPr>
              <w:t>15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right="700"/>
        <w:spacing w:after="0" w:line="261" w:lineRule="auto"/>
        <w:rPr>
          <w:sz w:val="20"/>
          <w:szCs w:val="20"/>
          <w:color w:val="auto"/>
        </w:rPr>
      </w:pPr>
      <w:r>
        <w:rPr>
          <w:rFonts w:ascii="Times New Roman" w:cs="Times New Roman" w:eastAsia="Times New Roman" w:hAnsi="Times New Roman"/>
          <w:sz w:val="13"/>
          <w:szCs w:val="13"/>
          <w:color w:val="auto"/>
        </w:rPr>
        <w:t>(1)The investment type, industry, ownership detail for equity investments, interest rate and maturity date for debt investments, and if the investment is income producing is disclosed in the consolidated schedule of investments.</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3"/>
          <w:szCs w:val="13"/>
          <w:color w:val="auto"/>
        </w:rPr>
        <w:t>(2)Gross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3"/>
          <w:szCs w:val="13"/>
          <w:color w:val="auto"/>
        </w:rPr>
        <w:t>(3)Gross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19"/>
        <w:spacing w:after="0" w:line="231" w:lineRule="auto"/>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ind w:right="100"/>
        <w:spacing w:after="0" w:line="257" w:lineRule="auto"/>
        <w:rPr>
          <w:sz w:val="20"/>
          <w:szCs w:val="20"/>
          <w:color w:val="auto"/>
        </w:rPr>
      </w:pPr>
      <w:r>
        <w:rPr>
          <w:rFonts w:ascii="Times New Roman" w:cs="Times New Roman" w:eastAsia="Times New Roman" w:hAnsi="Times New Roman"/>
          <w:sz w:val="13"/>
          <w:szCs w:val="13"/>
          <w:color w:val="auto"/>
        </w:rPr>
        <w:t>(4)The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29" w:lineRule="exact"/>
        <w:rPr>
          <w:sz w:val="20"/>
          <w:szCs w:val="20"/>
          <w:color w:val="auto"/>
        </w:rPr>
      </w:pPr>
    </w:p>
    <w:p>
      <w:pPr>
        <w:ind w:firstLine="444"/>
        <w:spacing w:after="0" w:line="259" w:lineRule="auto"/>
        <w:rPr>
          <w:sz w:val="20"/>
          <w:szCs w:val="20"/>
          <w:color w:val="auto"/>
        </w:rPr>
      </w:pPr>
      <w:r>
        <w:rPr>
          <w:rFonts w:ascii="Times New Roman" w:cs="Times New Roman" w:eastAsia="Times New Roman" w:hAnsi="Times New Roman"/>
          <w:sz w:val="16"/>
          <w:szCs w:val="16"/>
          <w:color w:val="auto"/>
        </w:rPr>
        <w:t>The table below represents the fair value of control and affiliate investments as of December 31, 2022 and any additions and reductions made to such investments during the year ended December 31, 2023, including the total investment income earned on such investments during the period.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2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5"/>
          </w:tcPr>
          <w:p>
            <w:pPr>
              <w:ind w:left="40"/>
              <w:spacing w:after="0"/>
              <w:rPr>
                <w:sz w:val="20"/>
                <w:szCs w:val="20"/>
                <w:color w:val="auto"/>
              </w:rPr>
            </w:pPr>
            <w:r>
              <w:rPr>
                <w:rFonts w:ascii="Times New Roman" w:cs="Times New Roman" w:eastAsia="Times New Roman" w:hAnsi="Times New Roman"/>
                <w:sz w:val="8"/>
                <w:szCs w:val="8"/>
                <w:b w:val="1"/>
                <w:bCs w:val="1"/>
                <w:color w:val="auto"/>
              </w:rPr>
              <w:t>Year Ended December 31, 2023</w:t>
            </w: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2340" w:type="dxa"/>
            <w:vAlign w:val="bottom"/>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Net Change in</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08"/>
        </w:trPr>
        <w:tc>
          <w:tcPr>
            <w:tcW w:w="2340" w:type="dxa"/>
            <w:vAlign w:val="bottom"/>
          </w:tcPr>
          <w:p>
            <w:pPr>
              <w:spacing w:after="0"/>
              <w:rPr>
                <w:sz w:val="9"/>
                <w:szCs w:val="9"/>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2023 Principal</w:t>
            </w:r>
          </w:p>
        </w:tc>
        <w:tc>
          <w:tcPr>
            <w:tcW w:w="200" w:type="dxa"/>
            <w:vAlign w:val="bottom"/>
          </w:tcPr>
          <w:p>
            <w:pPr>
              <w:spacing w:after="0"/>
              <w:rPr>
                <w:sz w:val="9"/>
                <w:szCs w:val="9"/>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200" w:type="dxa"/>
            <w:vAlign w:val="bottom"/>
          </w:tcPr>
          <w:p>
            <w:pPr>
              <w:spacing w:after="0"/>
              <w:rPr>
                <w:sz w:val="9"/>
                <w:szCs w:val="9"/>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Net Realized</w:t>
            </w:r>
          </w:p>
        </w:tc>
        <w:tc>
          <w:tcPr>
            <w:tcW w:w="60" w:type="dxa"/>
            <w:vAlign w:val="bottom"/>
          </w:tcPr>
          <w:p>
            <w:pPr>
              <w:spacing w:after="0"/>
              <w:rPr>
                <w:sz w:val="9"/>
                <w:szCs w:val="9"/>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Unrealized</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Payment-in-</w:t>
            </w: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08"/>
        </w:trPr>
        <w:tc>
          <w:tcPr>
            <w:tcW w:w="2340" w:type="dxa"/>
            <w:vAlign w:val="bottom"/>
          </w:tcPr>
          <w:p>
            <w:pPr>
              <w:spacing w:after="0"/>
              <w:rPr>
                <w:sz w:val="9"/>
                <w:szCs w:val="9"/>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Amount - Debt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center"/>
              <w:ind w:right="38"/>
              <w:spacing w:after="0"/>
              <w:rPr>
                <w:sz w:val="20"/>
                <w:szCs w:val="20"/>
                <w:color w:val="auto"/>
              </w:rPr>
            </w:pPr>
            <w:r>
              <w:rPr>
                <w:rFonts w:ascii="Times New Roman" w:cs="Times New Roman" w:eastAsia="Times New Roman" w:hAnsi="Times New Roman"/>
                <w:sz w:val="8"/>
                <w:szCs w:val="8"/>
                <w:b w:val="1"/>
                <w:bCs w:val="1"/>
                <w:color w:val="auto"/>
              </w:rPr>
              <w:t>2022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Gross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b w:val="1"/>
                <w:bCs w:val="1"/>
                <w:color w:val="auto"/>
              </w:rPr>
              <w:t>Gross</w:t>
            </w:r>
          </w:p>
        </w:tc>
        <w:tc>
          <w:tcPr>
            <w:tcW w:w="80" w:type="dxa"/>
            <w:vAlign w:val="bottom"/>
          </w:tcPr>
          <w:p>
            <w:pPr>
              <w:spacing w:after="0"/>
              <w:rPr>
                <w:sz w:val="9"/>
                <w:szCs w:val="9"/>
                <w:color w:val="auto"/>
              </w:rPr>
            </w:pPr>
          </w:p>
        </w:tc>
        <w:tc>
          <w:tcPr>
            <w:tcW w:w="500" w:type="dxa"/>
            <w:vAlign w:val="bottom"/>
          </w:tcPr>
          <w:p>
            <w:pPr>
              <w:jc w:val="center"/>
              <w:ind w:right="38"/>
              <w:spacing w:after="0"/>
              <w:rPr>
                <w:sz w:val="20"/>
                <w:szCs w:val="20"/>
                <w:color w:val="auto"/>
              </w:rPr>
            </w:pPr>
            <w:r>
              <w:rPr>
                <w:rFonts w:ascii="Times New Roman" w:cs="Times New Roman" w:eastAsia="Times New Roman" w:hAnsi="Times New Roman"/>
                <w:sz w:val="8"/>
                <w:szCs w:val="8"/>
                <w:b w:val="1"/>
                <w:bCs w:val="1"/>
                <w:color w:val="auto"/>
              </w:rPr>
              <w:t>2023 Fair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Gains</w:t>
            </w: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Appreciation</w:t>
            </w:r>
          </w:p>
        </w:tc>
        <w:tc>
          <w:tcPr>
            <w:tcW w:w="80" w:type="dxa"/>
            <w:vAlign w:val="bottom"/>
          </w:tcPr>
          <w:p>
            <w:pPr>
              <w:spacing w:after="0"/>
              <w:rPr>
                <w:sz w:val="9"/>
                <w:szCs w:val="9"/>
                <w:color w:val="auto"/>
              </w:rPr>
            </w:pPr>
          </w:p>
        </w:tc>
        <w:tc>
          <w:tcPr>
            <w:tcW w:w="44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220" w:type="dxa"/>
            <w:vAlign w:val="bottom"/>
          </w:tcPr>
          <w:p>
            <w:pPr>
              <w:spacing w:after="0"/>
              <w:rPr>
                <w:sz w:val="9"/>
                <w:szCs w:val="9"/>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kind Interest</w:t>
            </w:r>
          </w:p>
        </w:tc>
        <w:tc>
          <w:tcPr>
            <w:tcW w:w="260" w:type="dxa"/>
            <w:vAlign w:val="bottom"/>
          </w:tcPr>
          <w:p>
            <w:pPr>
              <w:spacing w:after="0"/>
              <w:rPr>
                <w:sz w:val="9"/>
                <w:szCs w:val="9"/>
                <w:color w:val="auto"/>
              </w:rPr>
            </w:pPr>
          </w:p>
        </w:tc>
        <w:tc>
          <w:tcPr>
            <w:tcW w:w="420" w:type="dxa"/>
            <w:vAlign w:val="bottom"/>
          </w:tcPr>
          <w:p>
            <w:pPr>
              <w:jc w:val="right"/>
              <w:ind w:right="38"/>
              <w:spacing w:after="0"/>
              <w:rPr>
                <w:sz w:val="20"/>
                <w:szCs w:val="20"/>
                <w:color w:val="auto"/>
              </w:rPr>
            </w:pPr>
            <w:r>
              <w:rPr>
                <w:rFonts w:ascii="Times New Roman" w:cs="Times New Roman" w:eastAsia="Times New Roman" w:hAnsi="Times New Roman"/>
                <w:sz w:val="8"/>
                <w:szCs w:val="8"/>
                <w:b w:val="1"/>
                <w:bCs w:val="1"/>
                <w:color w:val="auto"/>
              </w:rPr>
              <w:t>Dividend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1"/>
        </w:trPr>
        <w:tc>
          <w:tcPr>
            <w:tcW w:w="23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 xml:space="preserve">Portfolio Company </w:t>
            </w:r>
            <w:r>
              <w:rPr>
                <w:rFonts w:ascii="Times New Roman" w:cs="Times New Roman" w:eastAsia="Times New Roman" w:hAnsi="Times New Roman"/>
                <w:sz w:val="9"/>
                <w:szCs w:val="9"/>
                <w:b w:val="1"/>
                <w:bCs w:val="1"/>
                <w:color w:val="auto"/>
                <w:vertAlign w:val="superscript"/>
              </w:rPr>
              <w:t>(1)</w:t>
            </w:r>
          </w:p>
        </w:tc>
        <w:tc>
          <w:tcPr>
            <w:tcW w:w="60" w:type="dxa"/>
            <w:vAlign w:val="bottom"/>
          </w:tcPr>
          <w:p>
            <w:pPr>
              <w:spacing w:after="0"/>
              <w:rPr>
                <w:sz w:val="10"/>
                <w:szCs w:val="10"/>
                <w:color w:val="auto"/>
              </w:rPr>
            </w:pPr>
          </w:p>
        </w:tc>
        <w:tc>
          <w:tcPr>
            <w:tcW w:w="520" w:type="dxa"/>
            <w:vAlign w:val="bottom"/>
          </w:tcPr>
          <w:p>
            <w:pPr>
              <w:jc w:val="center"/>
              <w:ind w:right="18"/>
              <w:spacing w:after="0"/>
              <w:rPr>
                <w:sz w:val="20"/>
                <w:szCs w:val="20"/>
                <w:color w:val="auto"/>
              </w:rPr>
            </w:pPr>
            <w:r>
              <w:rPr>
                <w:rFonts w:ascii="Times New Roman" w:cs="Times New Roman" w:eastAsia="Times New Roman" w:hAnsi="Times New Roman"/>
                <w:sz w:val="8"/>
                <w:szCs w:val="8"/>
                <w:b w:val="1"/>
                <w:bCs w:val="1"/>
                <w:color w:val="auto"/>
              </w:rPr>
              <w:t>Investments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38"/>
              <w:spacing w:after="0"/>
              <w:rPr>
                <w:sz w:val="20"/>
                <w:szCs w:val="20"/>
                <w:color w:val="auto"/>
              </w:rPr>
            </w:pPr>
            <w:r>
              <w:rPr>
                <w:rFonts w:ascii="Times New Roman" w:cs="Times New Roman" w:eastAsia="Times New Roman" w:hAnsi="Times New Roman"/>
                <w:sz w:val="8"/>
                <w:szCs w:val="8"/>
                <w:b w:val="1"/>
                <w:bCs w:val="1"/>
                <w:color w:val="auto"/>
              </w:rPr>
              <w:t>Fair Value</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9"/>
              </w:rPr>
              <w:t xml:space="preserve">Additions </w:t>
            </w:r>
            <w:r>
              <w:rPr>
                <w:rFonts w:ascii="Times New Roman" w:cs="Times New Roman" w:eastAsia="Times New Roman" w:hAnsi="Times New Roman"/>
                <w:sz w:val="9"/>
                <w:szCs w:val="9"/>
                <w:b w:val="1"/>
                <w:bCs w:val="1"/>
                <w:color w:val="auto"/>
                <w:w w:val="99"/>
                <w:vertAlign w:val="superscript"/>
              </w:rPr>
              <w:t>(2)</w:t>
            </w:r>
          </w:p>
        </w:tc>
        <w:tc>
          <w:tcPr>
            <w:tcW w:w="200" w:type="dxa"/>
            <w:vAlign w:val="bottom"/>
          </w:tcPr>
          <w:p>
            <w:pPr>
              <w:spacing w:after="0"/>
              <w:rPr>
                <w:sz w:val="10"/>
                <w:szCs w:val="10"/>
                <w:color w:val="auto"/>
              </w:rPr>
            </w:pP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8"/>
                <w:szCs w:val="8"/>
                <w:b w:val="1"/>
                <w:bCs w:val="1"/>
                <w:color w:val="auto"/>
              </w:rPr>
              <w:t xml:space="preserve">Reductions </w:t>
            </w:r>
            <w:r>
              <w:rPr>
                <w:rFonts w:ascii="Times New Roman" w:cs="Times New Roman" w:eastAsia="Times New Roman" w:hAnsi="Times New Roman"/>
                <w:sz w:val="9"/>
                <w:szCs w:val="9"/>
                <w:b w:val="1"/>
                <w:bCs w:val="1"/>
                <w:color w:val="auto"/>
                <w:vertAlign w:val="superscript"/>
              </w:rPr>
              <w:t>(3)</w:t>
            </w:r>
          </w:p>
        </w:tc>
        <w:tc>
          <w:tcPr>
            <w:tcW w:w="80" w:type="dxa"/>
            <w:vAlign w:val="bottom"/>
          </w:tcPr>
          <w:p>
            <w:pPr>
              <w:spacing w:after="0"/>
              <w:rPr>
                <w:sz w:val="10"/>
                <w:szCs w:val="10"/>
                <w:color w:val="auto"/>
              </w:rPr>
            </w:pPr>
          </w:p>
        </w:tc>
        <w:tc>
          <w:tcPr>
            <w:tcW w:w="500" w:type="dxa"/>
            <w:vAlign w:val="bottom"/>
          </w:tcPr>
          <w:p>
            <w:pPr>
              <w:jc w:val="center"/>
              <w:ind w:right="38"/>
              <w:spacing w:after="0"/>
              <w:rPr>
                <w:sz w:val="20"/>
                <w:szCs w:val="20"/>
                <w:color w:val="auto"/>
              </w:rPr>
            </w:pPr>
            <w:r>
              <w:rPr>
                <w:rFonts w:ascii="Times New Roman" w:cs="Times New Roman" w:eastAsia="Times New Roman" w:hAnsi="Times New Roman"/>
                <w:sz w:val="8"/>
                <w:szCs w:val="8"/>
                <w:b w:val="1"/>
                <w:bCs w:val="1"/>
                <w:color w:val="auto"/>
              </w:rPr>
              <w:t>Value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300"/>
              <w:spacing w:after="0"/>
              <w:rPr>
                <w:sz w:val="20"/>
                <w:szCs w:val="20"/>
                <w:color w:val="auto"/>
              </w:rPr>
            </w:pPr>
            <w:r>
              <w:rPr>
                <w:rFonts w:ascii="Times New Roman" w:cs="Times New Roman" w:eastAsia="Times New Roman" w:hAnsi="Times New Roman"/>
                <w:sz w:val="8"/>
                <w:szCs w:val="8"/>
                <w:b w:val="1"/>
                <w:bCs w:val="1"/>
                <w:color w:val="auto"/>
                <w:w w:val="98"/>
              </w:rPr>
              <w:t xml:space="preserve">(Losses) </w:t>
            </w:r>
            <w:r>
              <w:rPr>
                <w:rFonts w:ascii="Times New Roman" w:cs="Times New Roman" w:eastAsia="Times New Roman" w:hAnsi="Times New Roman"/>
                <w:sz w:val="9"/>
                <w:szCs w:val="9"/>
                <w:b w:val="1"/>
                <w:bCs w:val="1"/>
                <w:color w:val="auto"/>
                <w:w w:val="98"/>
                <w:vertAlign w:val="superscript"/>
              </w:rPr>
              <w:t>(4)</w:t>
            </w: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(Depreciation)</w:t>
            </w:r>
          </w:p>
        </w:tc>
        <w:tc>
          <w:tcPr>
            <w:tcW w:w="80" w:type="dxa"/>
            <w:vAlign w:val="bottom"/>
          </w:tcPr>
          <w:p>
            <w:pPr>
              <w:spacing w:after="0"/>
              <w:rPr>
                <w:sz w:val="10"/>
                <w:szCs w:val="10"/>
                <w:color w:val="auto"/>
              </w:rPr>
            </w:pPr>
          </w:p>
        </w:tc>
        <w:tc>
          <w:tcPr>
            <w:tcW w:w="440" w:type="dxa"/>
            <w:vAlign w:val="bottom"/>
          </w:tcPr>
          <w:p>
            <w:pPr>
              <w:jc w:val="right"/>
              <w:ind w:right="78"/>
              <w:spacing w:after="0"/>
              <w:rPr>
                <w:sz w:val="20"/>
                <w:szCs w:val="20"/>
                <w:color w:val="auto"/>
              </w:rPr>
            </w:pPr>
            <w:r>
              <w:rPr>
                <w:rFonts w:ascii="Times New Roman" w:cs="Times New Roman" w:eastAsia="Times New Roman" w:hAnsi="Times New Roman"/>
                <w:sz w:val="8"/>
                <w:szCs w:val="8"/>
                <w:b w:val="1"/>
                <w:bCs w:val="1"/>
                <w:color w:val="auto"/>
              </w:rPr>
              <w:t>Income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Income</w:t>
            </w:r>
          </w:p>
        </w:tc>
        <w:tc>
          <w:tcPr>
            <w:tcW w:w="260" w:type="dxa"/>
            <w:vAlign w:val="bottom"/>
          </w:tcPr>
          <w:p>
            <w:pPr>
              <w:spacing w:after="0"/>
              <w:rPr>
                <w:sz w:val="10"/>
                <w:szCs w:val="10"/>
                <w:color w:val="auto"/>
              </w:rPr>
            </w:pPr>
          </w:p>
        </w:tc>
        <w:tc>
          <w:tcPr>
            <w:tcW w:w="420" w:type="dxa"/>
            <w:vAlign w:val="bottom"/>
          </w:tcPr>
          <w:p>
            <w:pPr>
              <w:jc w:val="right"/>
              <w:ind w:right="58"/>
              <w:spacing w:after="0"/>
              <w:rPr>
                <w:sz w:val="20"/>
                <w:szCs w:val="20"/>
                <w:color w:val="auto"/>
              </w:rPr>
            </w:pPr>
            <w:r>
              <w:rPr>
                <w:rFonts w:ascii="Times New Roman" w:cs="Times New Roman" w:eastAsia="Times New Roman" w:hAnsi="Times New Roman"/>
                <w:sz w:val="8"/>
                <w:szCs w:val="8"/>
                <w:b w:val="1"/>
                <w:bCs w:val="1"/>
                <w:color w:val="auto"/>
              </w:rPr>
              <w:t>Income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Fee Income</w:t>
            </w:r>
          </w:p>
        </w:tc>
      </w:tr>
      <w:tr>
        <w:trPr>
          <w:trHeight w:val="13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Control Investments</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6"/>
        </w:trPr>
        <w:tc>
          <w:tcPr>
            <w:tcW w:w="2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EBL, LLC (EbLens)</w:t>
            </w:r>
          </w:p>
        </w:tc>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11,458</w:t>
            </w:r>
          </w:p>
        </w:tc>
        <w:tc>
          <w:tcPr>
            <w:tcW w:w="320" w:type="dxa"/>
            <w:vAlign w:val="bottom"/>
            <w:gridSpan w:val="2"/>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(11,458 )</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(11,458 )</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11,083</w:t>
            </w:r>
          </w:p>
        </w:tc>
        <w:tc>
          <w:tcPr>
            <w:tcW w:w="2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8"/>
                <w:szCs w:val="8"/>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r>
      <w:tr>
        <w:trPr>
          <w:trHeight w:val="13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US GreenFiber, LLC</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5,226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8"/>
                <w:szCs w:val="8"/>
                <w:color w:val="auto"/>
                <w:w w:val="99"/>
              </w:rPr>
              <w:t>—</w:t>
            </w:r>
          </w:p>
        </w:tc>
        <w:tc>
          <w:tcPr>
            <w:tcW w:w="26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r>
      <w:tr>
        <w:trPr>
          <w:trHeight w:val="132"/>
        </w:trPr>
        <w:tc>
          <w:tcPr>
            <w:tcW w:w="2340" w:type="dxa"/>
            <w:vAlign w:val="bottom"/>
          </w:tcPr>
          <w:p>
            <w:pPr>
              <w:ind w:left="20"/>
              <w:spacing w:after="0"/>
              <w:rPr>
                <w:sz w:val="20"/>
                <w:szCs w:val="20"/>
                <w:color w:val="auto"/>
              </w:rPr>
            </w:pPr>
            <w:r>
              <w:rPr>
                <w:rFonts w:ascii="Times New Roman" w:cs="Times New Roman" w:eastAsia="Times New Roman" w:hAnsi="Times New Roman"/>
                <w:sz w:val="8"/>
                <w:szCs w:val="8"/>
                <w:b w:val="1"/>
                <w:bCs w:val="1"/>
                <w:color w:val="auto"/>
              </w:rPr>
              <w:t>Total Control Investments</w:t>
            </w:r>
          </w:p>
        </w:tc>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5,226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11,458</w:t>
            </w:r>
          </w:p>
        </w:tc>
        <w:tc>
          <w:tcPr>
            <w:tcW w:w="320" w:type="dxa"/>
            <w:vAlign w:val="bottom"/>
            <w:gridSpan w:val="2"/>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60"/>
              <w:spacing w:after="0" w:line="112" w:lineRule="exact"/>
              <w:rPr>
                <w:sz w:val="20"/>
                <w:szCs w:val="20"/>
                <w:color w:val="auto"/>
              </w:rPr>
            </w:pPr>
            <w:r>
              <w:rPr>
                <w:rFonts w:ascii="Times New Roman" w:cs="Times New Roman" w:eastAsia="Times New Roman" w:hAnsi="Times New Roman"/>
                <w:sz w:val="7"/>
                <w:szCs w:val="7"/>
                <w:color w:val="auto"/>
              </w:rPr>
              <w:t xml:space="preserve">(11,458 </w:t>
            </w:r>
            <w:r>
              <w:rPr>
                <w:rFonts w:ascii="Times New Roman" w:cs="Times New Roman" w:eastAsia="Times New Roman" w:hAnsi="Times New Roman"/>
                <w:sz w:val="12"/>
                <w:szCs w:val="12"/>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7"/>
                <w:szCs w:val="7"/>
                <w:color w:val="auto"/>
              </w:rPr>
              <w:t xml:space="preserve">(11,458 </w:t>
            </w:r>
            <w:r>
              <w:rPr>
                <w:rFonts w:ascii="Times New Roman" w:cs="Times New Roman" w:eastAsia="Times New Roman" w:hAnsi="Times New Roman"/>
                <w:sz w:val="12"/>
                <w:szCs w:val="12"/>
                <w:color w:val="auto"/>
                <w:vertAlign w:val="subscript"/>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11,083</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8"/>
                <w:szCs w:val="8"/>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r>
      <w:tr>
        <w:trPr>
          <w:trHeight w:val="20"/>
        </w:trPr>
        <w:tc>
          <w:tcPr>
            <w:tcW w:w="2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Affiliate Investments</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60" w:type="dxa"/>
            <w:vAlign w:val="bottom"/>
            <w:tcBorders>
              <w:right w:val="single" w:sz="8" w:color="CCEEFF"/>
            </w:tcBorders>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0"/>
        </w:trPr>
        <w:tc>
          <w:tcPr>
            <w:tcW w:w="2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Applegate Greenfiber Intermediate Inc. (fka US GreenFiber,</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4"/>
        </w:trPr>
        <w:tc>
          <w:tcPr>
            <w:tcW w:w="2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LLC)</w:t>
            </w:r>
          </w:p>
        </w:tc>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9,602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23,168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1,422</w:t>
            </w:r>
          </w:p>
        </w:tc>
        <w:tc>
          <w:tcPr>
            <w:tcW w:w="320" w:type="dxa"/>
            <w:vAlign w:val="bottom"/>
            <w:gridSpan w:val="2"/>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24,590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1,422</w:t>
            </w:r>
          </w:p>
        </w:tc>
        <w:tc>
          <w:tcPr>
            <w:tcW w:w="220" w:type="dxa"/>
            <w:vAlign w:val="bottom"/>
          </w:tcPr>
          <w:p>
            <w:pPr>
              <w:spacing w:after="0"/>
              <w:rPr>
                <w:sz w:val="9"/>
                <w:szCs w:val="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974</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8"/>
                <w:szCs w:val="8"/>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r>
      <w:tr>
        <w:trPr>
          <w:trHeight w:val="13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Medsurant Holdings, LLC</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2,540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3,463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color w:val="auto"/>
              </w:rPr>
              <w:t>(73 )</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5,930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3,463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8"/>
                <w:szCs w:val="8"/>
                <w:color w:val="auto"/>
                <w:w w:val="99"/>
              </w:rPr>
              <w:t>—</w:t>
            </w:r>
          </w:p>
        </w:tc>
        <w:tc>
          <w:tcPr>
            <w:tcW w:w="26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r>
      <w:tr>
        <w:trPr>
          <w:trHeight w:val="126"/>
        </w:trPr>
        <w:tc>
          <w:tcPr>
            <w:tcW w:w="2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Pfanstiehl, Inc.</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51,992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(18,717 )</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33,321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(8,717 )</w:t>
            </w: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8"/>
                <w:szCs w:val="8"/>
                <w:color w:val="auto"/>
                <w:w w:val="99"/>
              </w:rPr>
              <w:t>—</w:t>
            </w:r>
          </w:p>
        </w:tc>
        <w:tc>
          <w:tcPr>
            <w:tcW w:w="2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r>
      <w:tr>
        <w:trPr>
          <w:trHeight w:val="13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Spectra A&amp;D Acquisition, Inc. (fka FDS Avionics Corp.)</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19,118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2,208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8"/>
                <w:szCs w:val="8"/>
                <w:color w:val="auto"/>
              </w:rPr>
              <w:t>(6,005 )</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15,321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8"/>
                <w:szCs w:val="8"/>
                <w:color w:val="auto"/>
              </w:rPr>
              <w:t>(4,505 )</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2,379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8"/>
                <w:szCs w:val="8"/>
                <w:color w:val="auto"/>
                <w:w w:val="99"/>
              </w:rPr>
              <w:t>—</w:t>
            </w:r>
          </w:p>
        </w:tc>
        <w:tc>
          <w:tcPr>
            <w:tcW w:w="26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w w:val="99"/>
              </w:rPr>
              <w:t>65</w:t>
            </w:r>
          </w:p>
        </w:tc>
        <w:tc>
          <w:tcPr>
            <w:tcW w:w="80" w:type="dxa"/>
            <w:vAlign w:val="bottom"/>
            <w:shd w:val="clear" w:color="auto" w:fill="CCEEFF"/>
          </w:tcPr>
          <w:p>
            <w:pPr>
              <w:spacing w:after="0"/>
              <w:rPr>
                <w:sz w:val="12"/>
                <w:szCs w:val="12"/>
                <w:color w:val="auto"/>
              </w:rPr>
            </w:pPr>
          </w:p>
        </w:tc>
      </w:tr>
      <w:tr>
        <w:trPr>
          <w:trHeight w:val="126"/>
        </w:trPr>
        <w:tc>
          <w:tcPr>
            <w:tcW w:w="2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Steward Holding LLC (dba Steward Advanced Materials)</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4,772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color w:val="auto"/>
              </w:rPr>
              <w:t>(58 )</w:t>
            </w: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4,714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color w:val="auto"/>
              </w:rPr>
              <w:t>(58 )</w:t>
            </w: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ind w:left="300"/>
              <w:spacing w:after="0"/>
              <w:rPr>
                <w:sz w:val="20"/>
                <w:szCs w:val="20"/>
                <w:color w:val="auto"/>
              </w:rPr>
            </w:pPr>
            <w:r>
              <w:rPr>
                <w:rFonts w:ascii="Times New Roman" w:cs="Times New Roman" w:eastAsia="Times New Roman" w:hAnsi="Times New Roman"/>
                <w:sz w:val="8"/>
                <w:szCs w:val="8"/>
                <w:color w:val="auto"/>
                <w:w w:val="99"/>
              </w:rPr>
              <w:t>—</w:t>
            </w:r>
          </w:p>
        </w:tc>
        <w:tc>
          <w:tcPr>
            <w:tcW w:w="2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172</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r>
      <w:tr>
        <w:trPr>
          <w:trHeight w:val="15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b w:val="1"/>
                <w:bCs w:val="1"/>
                <w:color w:val="auto"/>
              </w:rPr>
              <w:t>Total Affiliate Investments</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24,602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101,590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7,139</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660" w:type="dxa"/>
            <w:vAlign w:val="bottom"/>
            <w:gridSpan w:val="2"/>
            <w:shd w:val="clear" w:color="auto" w:fill="CCEEFF"/>
          </w:tcPr>
          <w:p>
            <w:pPr>
              <w:jc w:val="right"/>
              <w:ind w:right="160"/>
              <w:spacing w:after="0" w:line="118" w:lineRule="exact"/>
              <w:rPr>
                <w:sz w:val="20"/>
                <w:szCs w:val="20"/>
                <w:color w:val="auto"/>
              </w:rPr>
            </w:pPr>
            <w:r>
              <w:rPr>
                <w:rFonts w:ascii="Times New Roman" w:cs="Times New Roman" w:eastAsia="Times New Roman" w:hAnsi="Times New Roman"/>
                <w:sz w:val="7"/>
                <w:szCs w:val="7"/>
                <w:color w:val="auto"/>
              </w:rPr>
              <w:t xml:space="preserve">(24,853 </w:t>
            </w:r>
            <w:r>
              <w:rPr>
                <w:rFonts w:ascii="Times New Roman" w:cs="Times New Roman" w:eastAsia="Times New Roman" w:hAnsi="Times New Roman"/>
                <w:sz w:val="13"/>
                <w:szCs w:val="13"/>
                <w:color w:val="auto"/>
                <w:vertAlign w:val="subscript"/>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83,876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720" w:type="dxa"/>
            <w:vAlign w:val="bottom"/>
            <w:gridSpan w:val="2"/>
            <w:shd w:val="clear" w:color="auto" w:fill="CCEEFF"/>
          </w:tcPr>
          <w:p>
            <w:pPr>
              <w:jc w:val="right"/>
              <w:ind w:right="180"/>
              <w:spacing w:after="0" w:line="118" w:lineRule="exact"/>
              <w:rPr>
                <w:sz w:val="20"/>
                <w:szCs w:val="20"/>
                <w:color w:val="auto"/>
              </w:rPr>
            </w:pPr>
            <w:r>
              <w:rPr>
                <w:rFonts w:ascii="Times New Roman" w:cs="Times New Roman" w:eastAsia="Times New Roman" w:hAnsi="Times New Roman"/>
                <w:sz w:val="7"/>
                <w:szCs w:val="7"/>
                <w:color w:val="auto"/>
              </w:rPr>
              <w:t xml:space="preserve">(8,395 </w:t>
            </w:r>
            <w:r>
              <w:rPr>
                <w:rFonts w:ascii="Times New Roman" w:cs="Times New Roman" w:eastAsia="Times New Roman" w:hAnsi="Times New Roman"/>
                <w:sz w:val="13"/>
                <w:szCs w:val="13"/>
                <w:color w:val="auto"/>
                <w:vertAlign w:val="subscript"/>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4,026</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w:t>
            </w: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8"/>
                <w:szCs w:val="8"/>
                <w:color w:val="auto"/>
                <w:w w:val="99"/>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w w:val="99"/>
              </w:rPr>
              <w:t>65</w:t>
            </w:r>
          </w:p>
        </w:tc>
        <w:tc>
          <w:tcPr>
            <w:tcW w:w="80" w:type="dxa"/>
            <w:vAlign w:val="bottom"/>
            <w:shd w:val="clear" w:color="auto" w:fill="CCEEFF"/>
          </w:tcPr>
          <w:p>
            <w:pPr>
              <w:spacing w:after="0"/>
              <w:rPr>
                <w:sz w:val="13"/>
                <w:szCs w:val="13"/>
                <w:color w:val="auto"/>
              </w:rPr>
            </w:pP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ind w:left="340" w:right="480" w:hanging="322"/>
        <w:spacing w:after="0" w:line="263" w:lineRule="auto"/>
        <w:tabs>
          <w:tab w:leader="none" w:pos="3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investment type, industry, ownership detail for equity investments, interest rate and maturity date for debt investments, and if the investment is income producing is disclosed in the consolidated schedule of investments.</w:t>
      </w:r>
    </w:p>
    <w:p>
      <w:pPr>
        <w:ind w:left="340" w:right="120" w:hanging="322"/>
        <w:spacing w:after="0" w:line="256" w:lineRule="auto"/>
        <w:tabs>
          <w:tab w:leader="none" w:pos="3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spacing w:after="0" w:line="1" w:lineRule="exact"/>
        <w:rPr>
          <w:rFonts w:ascii="Times New Roman" w:cs="Times New Roman" w:eastAsia="Times New Roman" w:hAnsi="Times New Roman"/>
          <w:sz w:val="13"/>
          <w:szCs w:val="13"/>
          <w:color w:val="auto"/>
        </w:rPr>
      </w:pPr>
    </w:p>
    <w:p>
      <w:pPr>
        <w:ind w:left="340" w:right="60" w:hanging="322"/>
        <w:spacing w:after="0" w:line="260" w:lineRule="auto"/>
        <w:tabs>
          <w:tab w:leader="none" w:pos="3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jc w:val="both"/>
        <w:ind w:left="340" w:right="180" w:hanging="322"/>
        <w:spacing w:after="0" w:line="265" w:lineRule="auto"/>
        <w:tabs>
          <w:tab w:leader="none" w:pos="3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Fair Value Measurements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w:t>
      </w:r>
    </w:p>
    <w:p>
      <w:pPr>
        <w:spacing w:after="0" w:line="142"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Level 1 </w:t>
      </w:r>
      <w:r>
        <w:rPr>
          <w:rFonts w:ascii="Times New Roman" w:cs="Times New Roman" w:eastAsia="Times New Roman" w:hAnsi="Times New Roman"/>
          <w:sz w:val="16"/>
          <w:szCs w:val="16"/>
          <w:color w:val="auto"/>
        </w:rPr>
        <w:t>— Inputs are unadjusted, quoted prices in active markets for identical assets as of the measurement date.</w:t>
      </w:r>
    </w:p>
    <w:p>
      <w:pPr>
        <w:spacing w:after="0" w:line="140" w:lineRule="exact"/>
        <w:rPr>
          <w:sz w:val="20"/>
          <w:szCs w:val="20"/>
          <w:color w:val="auto"/>
        </w:rPr>
      </w:pPr>
    </w:p>
    <w:p>
      <w:pPr>
        <w:ind w:right="180" w:firstLine="44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Level 2 </w:t>
      </w:r>
      <w:r>
        <w:rPr>
          <w:rFonts w:ascii="Times New Roman" w:cs="Times New Roman" w:eastAsia="Times New Roman" w:hAnsi="Times New Roman"/>
          <w:sz w:val="16"/>
          <w:szCs w:val="16"/>
          <w:color w:val="auto"/>
        </w:rPr>
        <w:t>— Inputs include quoted prices for similar assets in active markets, or that are quoted prices for identical or similar assets in markets that are not active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inputs that are observable, either directly or indirectly, for substantially the full term, if applicable, of the investment.</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Level 3 </w:t>
      </w:r>
      <w:r>
        <w:rPr>
          <w:rFonts w:ascii="Times New Roman" w:cs="Times New Roman" w:eastAsia="Times New Roman" w:hAnsi="Times New Roman"/>
          <w:sz w:val="16"/>
          <w:szCs w:val="16"/>
          <w:color w:val="auto"/>
        </w:rPr>
        <w:t>— Inputs include those that are both unobservable and significant to the overall fair value measurement.</w:t>
      </w:r>
    </w:p>
    <w:p>
      <w:pPr>
        <w:spacing w:after="0" w:line="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2" w:lineRule="exact"/>
        <w:rPr>
          <w:sz w:val="20"/>
          <w:szCs w:val="20"/>
          <w:color w:val="auto"/>
        </w:rPr>
      </w:pPr>
    </w:p>
    <w:p>
      <w:pPr>
        <w:ind w:right="60" w:firstLine="444"/>
        <w:spacing w:after="0" w:line="237" w:lineRule="auto"/>
        <w:rPr>
          <w:sz w:val="20"/>
          <w:szCs w:val="20"/>
          <w:color w:val="auto"/>
        </w:rPr>
      </w:pPr>
      <w:r>
        <w:rPr>
          <w:rFonts w:ascii="Times New Roman" w:cs="Times New Roman" w:eastAsia="Times New Roman" w:hAnsi="Times New Roman"/>
          <w:sz w:val="16"/>
          <w:szCs w:val="16"/>
          <w:color w:val="auto"/>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and one portfolio company, which are valued using Level 1 inputs as of September 30, 2024. Therefore, the Company values such portfolio investments at fair value, as determined in good faith by the Board, using Level 3 inputs, with the exception of money market funds and one portfolio company that was valued using Level 1 inputs as of September 30, 2024. The degree of judgment exercised by the Board in determining fair value is greatest for investments classified as Level 3 inputs. Due to the inherent uncertainty of determining the fair values of investments that do not have readily available market quotations,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With respect to investments for which market quotations are not readily available, the Board undertakes a multi-step valuation process each quarter, as described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w:t>
      </w:r>
    </w:p>
    <w:p>
      <w:pPr>
        <w:spacing w:after="0" w:line="74" w:lineRule="exact"/>
        <w:rPr>
          <w:sz w:val="20"/>
          <w:szCs w:val="20"/>
          <w:color w:val="auto"/>
        </w:rPr>
      </w:pPr>
    </w:p>
    <w:p>
      <w:pPr>
        <w:ind w:left="460" w:right="380"/>
        <w:spacing w:after="0" w:line="259" w:lineRule="auto"/>
        <w:rPr>
          <w:sz w:val="20"/>
          <w:szCs w:val="20"/>
          <w:color w:val="auto"/>
        </w:rPr>
      </w:pPr>
      <w:r>
        <w:rPr>
          <w:rFonts w:ascii="Times New Roman" w:cs="Times New Roman" w:eastAsia="Times New Roman" w:hAnsi="Times New Roman"/>
          <w:sz w:val="16"/>
          <w:szCs w:val="16"/>
          <w:color w:val="auto"/>
        </w:rPr>
        <w:t>•the quarterly valuation process begins with each portfolio company or investment being initially evaluated and rated by the investment professionals of the Investment Advisor responsible for the portfolio investment;</w:t>
      </w:r>
    </w:p>
    <w:p>
      <w:pPr>
        <w:spacing w:after="0" w:line="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•preliminary valuation conclusions are then documented and discussed with the investment committee of the Investment Advisor;</w:t>
      </w:r>
    </w:p>
    <w:p>
      <w:pPr>
        <w:spacing w:after="0" w:line="92" w:lineRule="exact"/>
        <w:rPr>
          <w:sz w:val="20"/>
          <w:szCs w:val="20"/>
          <w:color w:val="auto"/>
        </w:rPr>
      </w:pPr>
    </w:p>
    <w:p>
      <w:pPr>
        <w:ind w:left="460"/>
        <w:spacing w:after="0" w:line="239" w:lineRule="auto"/>
        <w:rPr>
          <w:sz w:val="20"/>
          <w:szCs w:val="20"/>
          <w:color w:val="auto"/>
        </w:rPr>
      </w:pPr>
      <w:r>
        <w:rPr>
          <w:rFonts w:ascii="Times New Roman" w:cs="Times New Roman" w:eastAsia="Times New Roman" w:hAnsi="Times New Roman"/>
          <w:sz w:val="16"/>
          <w:szCs w:val="16"/>
          <w:color w:val="auto"/>
        </w:rPr>
        <w:t>•the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w:t>
      </w:r>
    </w:p>
    <w:p>
      <w:pPr>
        <w:spacing w:after="0" w:line="77" w:lineRule="exact"/>
        <w:rPr>
          <w:sz w:val="20"/>
          <w:szCs w:val="20"/>
          <w:color w:val="auto"/>
        </w:rPr>
      </w:pPr>
    </w:p>
    <w:p>
      <w:pPr>
        <w:ind w:left="460" w:right="440"/>
        <w:spacing w:after="0" w:line="259" w:lineRule="auto"/>
        <w:rPr>
          <w:sz w:val="20"/>
          <w:szCs w:val="20"/>
          <w:color w:val="auto"/>
        </w:rPr>
      </w:pPr>
      <w:r>
        <w:rPr>
          <w:rFonts w:ascii="Times New Roman" w:cs="Times New Roman" w:eastAsia="Times New Roman" w:hAnsi="Times New Roman"/>
          <w:sz w:val="16"/>
          <w:szCs w:val="16"/>
          <w:color w:val="auto"/>
        </w:rPr>
        <w:t>•the audit committee of the Board reviews the preliminary valuations of the Investment Advisor and of the independent valuation firm(s) and responds and supplements the valuation recommendations to reflect any comments; and</w:t>
      </w:r>
    </w:p>
    <w:p>
      <w:pPr>
        <w:spacing w:after="0" w:line="59" w:lineRule="exact"/>
        <w:rPr>
          <w:sz w:val="20"/>
          <w:szCs w:val="20"/>
          <w:color w:val="auto"/>
        </w:rPr>
      </w:pPr>
    </w:p>
    <w:p>
      <w:pPr>
        <w:ind w:left="460" w:right="540"/>
        <w:spacing w:after="0" w:line="259" w:lineRule="auto"/>
        <w:rPr>
          <w:sz w:val="20"/>
          <w:szCs w:val="20"/>
          <w:color w:val="auto"/>
        </w:rPr>
      </w:pPr>
      <w:r>
        <w:rPr>
          <w:rFonts w:ascii="Times New Roman" w:cs="Times New Roman" w:eastAsia="Times New Roman" w:hAnsi="Times New Roman"/>
          <w:sz w:val="16"/>
          <w:szCs w:val="16"/>
          <w:color w:val="auto"/>
        </w:rPr>
        <w:t>•the Board discusses these valuations and determines the fair value of each investment in our portfolio in good faith, based on the input of the Investment Advisor, the independent valuation firm(s) and the audit committee.</w:t>
      </w:r>
    </w:p>
    <w:p>
      <w:pPr>
        <w:spacing w:after="0" w:line="107" w:lineRule="exact"/>
        <w:rPr>
          <w:sz w:val="20"/>
          <w:szCs w:val="20"/>
          <w:color w:val="auto"/>
        </w:rPr>
      </w:pPr>
    </w:p>
    <w:p>
      <w:pPr>
        <w:jc w:val="both"/>
        <w:ind w:right="60" w:firstLine="444"/>
        <w:spacing w:after="0" w:line="247" w:lineRule="auto"/>
        <w:rPr>
          <w:sz w:val="20"/>
          <w:szCs w:val="20"/>
          <w:color w:val="auto"/>
        </w:rPr>
      </w:pPr>
      <w:r>
        <w:rPr>
          <w:rFonts w:ascii="Times New Roman" w:cs="Times New Roman" w:eastAsia="Times New Roman" w:hAnsi="Times New Roman"/>
          <w:sz w:val="16"/>
          <w:szCs w:val="16"/>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16" w:lineRule="exact"/>
        <w:rPr>
          <w:sz w:val="20"/>
          <w:szCs w:val="20"/>
          <w:color w:val="auto"/>
        </w:rPr>
      </w:pPr>
    </w:p>
    <w:p>
      <w:pPr>
        <w:jc w:val="both"/>
        <w:ind w:right="380" w:firstLine="444"/>
        <w:spacing w:after="0" w:line="247" w:lineRule="auto"/>
        <w:rPr>
          <w:sz w:val="20"/>
          <w:szCs w:val="20"/>
          <w:color w:val="auto"/>
        </w:rPr>
      </w:pPr>
      <w:r>
        <w:rPr>
          <w:rFonts w:ascii="Times New Roman" w:cs="Times New Roman" w:eastAsia="Times New Roman" w:hAnsi="Times New Roman"/>
          <w:sz w:val="16"/>
          <w:szCs w:val="16"/>
          <w:color w:val="auto"/>
        </w:rPr>
        <w:t>The Board consulted with the independent third-party valuation firm(s) in arriving at our determination of fair value for 18 and 18 of our portfolio company investments representing 27.7% and 29.9% of the total portfolio investments at fair value (exclusive of new portfolio company investments made during the three months ended September 30, 2024 and December 31, 2023, respectively) as of September 30, 2024 and December 31, 2023, respectively.</w:t>
      </w:r>
    </w:p>
    <w:p>
      <w:pPr>
        <w:spacing w:after="0" w:line="116" w:lineRule="exact"/>
        <w:rPr>
          <w:sz w:val="20"/>
          <w:szCs w:val="20"/>
          <w:color w:val="auto"/>
        </w:rPr>
      </w:pPr>
    </w:p>
    <w:p>
      <w:pPr>
        <w:ind w:firstLine="444"/>
        <w:spacing w:after="0" w:line="239" w:lineRule="auto"/>
        <w:rPr>
          <w:sz w:val="20"/>
          <w:szCs w:val="20"/>
          <w:color w:val="auto"/>
        </w:rPr>
      </w:pPr>
      <w:r>
        <w:rPr>
          <w:rFonts w:ascii="Times New Roman" w:cs="Times New Roman" w:eastAsia="Times New Roman" w:hAnsi="Times New Roman"/>
          <w:sz w:val="16"/>
          <w:szCs w:val="16"/>
          <w:color w:val="auto"/>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spacing w:after="0" w:line="125" w:lineRule="exact"/>
        <w:rPr>
          <w:sz w:val="20"/>
          <w:szCs w:val="20"/>
          <w:color w:val="auto"/>
        </w:rPr>
      </w:pPr>
    </w:p>
    <w:p>
      <w:pPr>
        <w:ind w:right="320" w:firstLine="444"/>
        <w:spacing w:after="0" w:line="242" w:lineRule="auto"/>
        <w:rPr>
          <w:sz w:val="20"/>
          <w:szCs w:val="20"/>
          <w:color w:val="auto"/>
        </w:rPr>
      </w:pPr>
      <w:r>
        <w:rPr>
          <w:rFonts w:ascii="Times New Roman" w:cs="Times New Roman" w:eastAsia="Times New Roman" w:hAnsi="Times New Roman"/>
          <w:sz w:val="16"/>
          <w:szCs w:val="16"/>
          <w:color w:val="auto"/>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2" w:lineRule="exact"/>
        <w:rPr>
          <w:sz w:val="20"/>
          <w:szCs w:val="20"/>
          <w:color w:val="auto"/>
        </w:rPr>
      </w:pPr>
    </w:p>
    <w:p>
      <w:pPr>
        <w:ind w:right="60" w:firstLine="444"/>
        <w:spacing w:after="0" w:line="273" w:lineRule="auto"/>
        <w:rPr>
          <w:sz w:val="20"/>
          <w:szCs w:val="20"/>
          <w:color w:val="auto"/>
        </w:rPr>
      </w:pPr>
      <w:r>
        <w:rPr>
          <w:rFonts w:ascii="Times New Roman" w:cs="Times New Roman" w:eastAsia="Times New Roman" w:hAnsi="Times New Roman"/>
          <w:sz w:val="14"/>
          <w:szCs w:val="14"/>
          <w:color w:val="auto"/>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spacing w:after="0" w:line="287" w:lineRule="exact"/>
        <w:rPr>
          <w:sz w:val="20"/>
          <w:szCs w:val="20"/>
          <w:color w:val="auto"/>
        </w:rPr>
      </w:pPr>
    </w:p>
    <w:p>
      <w:pPr>
        <w:ind w:right="20" w:firstLine="444"/>
        <w:spacing w:after="0" w:line="239" w:lineRule="auto"/>
        <w:rPr>
          <w:sz w:val="20"/>
          <w:szCs w:val="20"/>
          <w:color w:val="auto"/>
        </w:rPr>
      </w:pPr>
      <w:r>
        <w:rPr>
          <w:rFonts w:ascii="Times New Roman" w:cs="Times New Roman" w:eastAsia="Times New Roman" w:hAnsi="Times New Roman"/>
          <w:sz w:val="16"/>
          <w:szCs w:val="16"/>
          <w:color w:val="auto"/>
        </w:rPr>
        <w:t>For the Company’s equity investments, including equity securities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25" w:lineRule="exact"/>
        <w:rPr>
          <w:sz w:val="20"/>
          <w:szCs w:val="20"/>
          <w:color w:val="auto"/>
        </w:rPr>
      </w:pPr>
    </w:p>
    <w:p>
      <w:pPr>
        <w:ind w:right="60" w:firstLine="444"/>
        <w:spacing w:after="0" w:line="239" w:lineRule="auto"/>
        <w:rPr>
          <w:sz w:val="20"/>
          <w:szCs w:val="20"/>
          <w:color w:val="auto"/>
        </w:rPr>
      </w:pPr>
      <w:r>
        <w:rPr>
          <w:rFonts w:ascii="Times New Roman" w:cs="Times New Roman" w:eastAsia="Times New Roman" w:hAnsi="Times New Roman"/>
          <w:sz w:val="16"/>
          <w:szCs w:val="16"/>
          <w:color w:val="auto"/>
        </w:rPr>
        <w:t>The Company may also utilize an income approach when estimating the fair value of its equity investments,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tables present fair value measurements of investments by major class according to the fair value hierarchy: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29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6"/>
                <w:szCs w:val="16"/>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ind w:left="110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696,280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696,280</w:t>
            </w:r>
          </w:p>
        </w:tc>
        <w:tc>
          <w:tcPr>
            <w:tcW w:w="80" w:type="dxa"/>
            <w:vAlign w:val="bottom"/>
          </w:tcPr>
          <w:p>
            <w:pPr>
              <w:spacing w:after="0"/>
              <w:rPr>
                <w:sz w:val="16"/>
                <w:szCs w:val="16"/>
                <w:color w:val="auto"/>
              </w:rPr>
            </w:pPr>
          </w:p>
        </w:tc>
      </w:tr>
      <w:tr>
        <w:trPr>
          <w:trHeight w:val="194"/>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18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113,907</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113,907</w:t>
            </w:r>
          </w:p>
        </w:tc>
        <w:tc>
          <w:tcPr>
            <w:tcW w:w="80" w:type="dxa"/>
            <w:vAlign w:val="bottom"/>
            <w:shd w:val="clear" w:color="auto" w:fill="CFF0FC"/>
          </w:tcPr>
          <w:p>
            <w:pPr>
              <w:spacing w:after="0"/>
              <w:rPr>
                <w:sz w:val="16"/>
                <w:szCs w:val="16"/>
                <w:color w:val="auto"/>
              </w:rPr>
            </w:pPr>
          </w:p>
        </w:tc>
      </w:tr>
      <w:tr>
        <w:trPr>
          <w:trHeight w:val="19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ind w:left="110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149,170</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149,170</w:t>
            </w:r>
          </w:p>
        </w:tc>
        <w:tc>
          <w:tcPr>
            <w:tcW w:w="80" w:type="dxa"/>
            <w:vAlign w:val="bottom"/>
          </w:tcPr>
          <w:p>
            <w:pPr>
              <w:spacing w:after="0"/>
              <w:rPr>
                <w:sz w:val="16"/>
                <w:szCs w:val="16"/>
                <w:color w:val="auto"/>
              </w:rPr>
            </w:pPr>
          </w:p>
        </w:tc>
      </w:tr>
      <w:tr>
        <w:trPr>
          <w:trHeight w:val="194"/>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123,484</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123,484</w:t>
            </w:r>
          </w:p>
        </w:tc>
        <w:tc>
          <w:tcPr>
            <w:tcW w:w="80" w:type="dxa"/>
            <w:vAlign w:val="bottom"/>
            <w:shd w:val="clear" w:color="auto" w:fill="CFF0FC"/>
          </w:tcPr>
          <w:p>
            <w:pPr>
              <w:spacing w:after="0"/>
              <w:rPr>
                <w:sz w:val="16"/>
                <w:szCs w:val="16"/>
                <w:color w:val="auto"/>
              </w:rPr>
            </w:pPr>
          </w:p>
        </w:tc>
      </w:tr>
      <w:tr>
        <w:trPr>
          <w:trHeight w:val="19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ind w:left="110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7,834</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7,834</w:t>
            </w:r>
          </w:p>
        </w:tc>
        <w:tc>
          <w:tcPr>
            <w:tcW w:w="80" w:type="dxa"/>
            <w:vAlign w:val="bottom"/>
          </w:tcPr>
          <w:p>
            <w:pPr>
              <w:spacing w:after="0"/>
              <w:rPr>
                <w:sz w:val="16"/>
                <w:szCs w:val="16"/>
                <w:color w:val="auto"/>
              </w:rPr>
            </w:pPr>
          </w:p>
        </w:tc>
      </w:tr>
      <w:tr>
        <w:trPr>
          <w:trHeight w:val="194"/>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8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37,367</w:t>
            </w: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37,367</w:t>
            </w:r>
          </w:p>
        </w:tc>
        <w:tc>
          <w:tcPr>
            <w:tcW w:w="80" w:type="dxa"/>
            <w:vAlign w:val="bottom"/>
            <w:shd w:val="clear" w:color="auto" w:fill="CFF0FC"/>
          </w:tcPr>
          <w:p>
            <w:pPr>
              <w:spacing w:after="0"/>
              <w:rPr>
                <w:sz w:val="16"/>
                <w:szCs w:val="16"/>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37,367</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1,090,675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1,128,042</w:t>
            </w:r>
          </w:p>
        </w:tc>
        <w:tc>
          <w:tcPr>
            <w:tcW w:w="80" w:type="dxa"/>
            <w:vAlign w:val="bottom"/>
          </w:tcPr>
          <w:p>
            <w:pPr>
              <w:spacing w:after="0"/>
              <w:rPr>
                <w:sz w:val="16"/>
                <w:szCs w:val="16"/>
                <w:color w:val="auto"/>
              </w:rPr>
            </w:pPr>
          </w:p>
        </w:tc>
      </w:tr>
      <w:tr>
        <w:trPr>
          <w:trHeight w:val="20"/>
        </w:trPr>
        <w:tc>
          <w:tcPr>
            <w:tcW w:w="2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9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2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First Lien Debt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578,140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578,140</w:t>
            </w:r>
          </w:p>
        </w:tc>
        <w:tc>
          <w:tcPr>
            <w:tcW w:w="80" w:type="dxa"/>
            <w:vAlign w:val="bottom"/>
            <w:shd w:val="clear" w:color="auto" w:fill="CFF0FC"/>
          </w:tcPr>
          <w:p>
            <w:pPr>
              <w:spacing w:after="0"/>
              <w:rPr>
                <w:sz w:val="16"/>
                <w:szCs w:val="16"/>
                <w:color w:val="auto"/>
              </w:rPr>
            </w:pPr>
          </w:p>
        </w:tc>
      </w:tr>
      <w:tr>
        <w:trPr>
          <w:trHeight w:val="19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Debt</w:t>
            </w:r>
          </w:p>
        </w:tc>
        <w:tc>
          <w:tcPr>
            <w:tcW w:w="18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8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119,561</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119,561</w:t>
            </w:r>
          </w:p>
        </w:tc>
        <w:tc>
          <w:tcPr>
            <w:tcW w:w="80" w:type="dxa"/>
            <w:vAlign w:val="bottom"/>
          </w:tcPr>
          <w:p>
            <w:pPr>
              <w:spacing w:after="0"/>
              <w:rPr>
                <w:sz w:val="16"/>
                <w:szCs w:val="16"/>
                <w:color w:val="auto"/>
              </w:rPr>
            </w:pPr>
          </w:p>
        </w:tc>
      </w:tr>
      <w:tr>
        <w:trPr>
          <w:trHeight w:val="194"/>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18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28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135,173</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135,173</w:t>
            </w:r>
          </w:p>
        </w:tc>
        <w:tc>
          <w:tcPr>
            <w:tcW w:w="80" w:type="dxa"/>
            <w:vAlign w:val="bottom"/>
            <w:shd w:val="clear" w:color="auto" w:fill="CFF0FC"/>
          </w:tcPr>
          <w:p>
            <w:pPr>
              <w:spacing w:after="0"/>
              <w:rPr>
                <w:sz w:val="16"/>
                <w:szCs w:val="16"/>
                <w:color w:val="auto"/>
              </w:rPr>
            </w:pPr>
          </w:p>
        </w:tc>
      </w:tr>
      <w:tr>
        <w:trPr>
          <w:trHeight w:val="19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8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220" w:type="dxa"/>
            <w:vAlign w:val="bottom"/>
          </w:tcPr>
          <w:p>
            <w:pPr>
              <w:spacing w:after="0"/>
              <w:rPr>
                <w:sz w:val="16"/>
                <w:szCs w:val="16"/>
                <w:color w:val="auto"/>
              </w:rPr>
            </w:pPr>
          </w:p>
        </w:tc>
        <w:tc>
          <w:tcPr>
            <w:tcW w:w="128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120,007</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120,264</w:t>
            </w:r>
          </w:p>
        </w:tc>
        <w:tc>
          <w:tcPr>
            <w:tcW w:w="80" w:type="dxa"/>
            <w:vAlign w:val="bottom"/>
          </w:tcPr>
          <w:p>
            <w:pPr>
              <w:spacing w:after="0"/>
              <w:rPr>
                <w:sz w:val="16"/>
                <w:szCs w:val="16"/>
                <w:color w:val="auto"/>
              </w:rPr>
            </w:pPr>
          </w:p>
        </w:tc>
      </w:tr>
      <w:tr>
        <w:trPr>
          <w:trHeight w:val="194"/>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8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128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80" w:type="dxa"/>
            <w:vAlign w:val="bottom"/>
            <w:shd w:val="clear" w:color="auto" w:fill="CFF0FC"/>
          </w:tcPr>
          <w:p>
            <w:pPr>
              <w:spacing w:after="0"/>
              <w:rPr>
                <w:sz w:val="16"/>
                <w:szCs w:val="16"/>
                <w:color w:val="auto"/>
              </w:rPr>
            </w:pPr>
          </w:p>
        </w:tc>
      </w:tr>
      <w:tr>
        <w:trPr>
          <w:trHeight w:val="19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8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114,556</w:t>
            </w:r>
          </w:p>
        </w:tc>
        <w:tc>
          <w:tcPr>
            <w:tcW w:w="220" w:type="dxa"/>
            <w:vAlign w:val="bottom"/>
          </w:tcPr>
          <w:p>
            <w:pPr>
              <w:spacing w:after="0"/>
              <w:rPr>
                <w:sz w:val="16"/>
                <w:szCs w:val="16"/>
                <w:color w:val="auto"/>
              </w:rPr>
            </w:pPr>
          </w:p>
        </w:tc>
        <w:tc>
          <w:tcPr>
            <w:tcW w:w="128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114,556</w:t>
            </w:r>
          </w:p>
        </w:tc>
        <w:tc>
          <w:tcPr>
            <w:tcW w:w="80" w:type="dxa"/>
            <w:vAlign w:val="bottom"/>
          </w:tcPr>
          <w:p>
            <w:pPr>
              <w:spacing w:after="0"/>
              <w:rPr>
                <w:sz w:val="16"/>
                <w:szCs w:val="16"/>
                <w:color w:val="auto"/>
              </w:rPr>
            </w:pPr>
          </w:p>
        </w:tc>
      </w:tr>
      <w:tr>
        <w:trPr>
          <w:trHeight w:val="234"/>
        </w:trPr>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114,813</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957,649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1,072,462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131" w:lineRule="exact"/>
        <w:rPr>
          <w:sz w:val="20"/>
          <w:szCs w:val="20"/>
          <w:color w:val="auto"/>
        </w:rPr>
      </w:pPr>
    </w:p>
    <w:p>
      <w:pPr>
        <w:ind w:right="120" w:firstLine="444"/>
        <w:spacing w:after="0" w:line="246" w:lineRule="auto"/>
        <w:rPr>
          <w:sz w:val="20"/>
          <w:szCs w:val="20"/>
          <w:color w:val="auto"/>
        </w:rPr>
      </w:pPr>
      <w:r>
        <w:rPr>
          <w:rFonts w:ascii="Times New Roman" w:cs="Times New Roman" w:eastAsia="Times New Roman" w:hAnsi="Times New Roman"/>
          <w:sz w:val="16"/>
          <w:szCs w:val="16"/>
          <w:color w:val="auto"/>
        </w:rPr>
        <w:t>The Company reviews the fair value hierarchy classifications on a quarterly basis. Reclassifications impacting Level 3 of the fair value hierarchy are reported as transfers in or out of the Level 3 category as of the beginning of the quarter in which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reclassifications occur. There were no transfers among Levels 1, 2, and 3 during the nine months ended September 30, 2024 and 2023.</w:t>
      </w:r>
    </w:p>
    <w:p>
      <w:pPr>
        <w:spacing w:after="0" w:line="140" w:lineRule="exact"/>
        <w:rPr>
          <w:sz w:val="20"/>
          <w:szCs w:val="20"/>
          <w:color w:val="auto"/>
        </w:rPr>
      </w:pPr>
    </w:p>
    <w:p>
      <w:pPr>
        <w:ind w:right="240" w:firstLine="444"/>
        <w:spacing w:after="0" w:line="259" w:lineRule="auto"/>
        <w:rPr>
          <w:sz w:val="20"/>
          <w:szCs w:val="20"/>
          <w:color w:val="auto"/>
        </w:rPr>
      </w:pPr>
      <w:r>
        <w:rPr>
          <w:rFonts w:ascii="Times New Roman" w:cs="Times New Roman" w:eastAsia="Times New Roman" w:hAnsi="Times New Roman"/>
          <w:sz w:val="16"/>
          <w:szCs w:val="16"/>
          <w:color w:val="auto"/>
        </w:rPr>
        <w:t>The following tables present a reconciliation of the beginning and ending balances for fair valued investments measured using significant unobservable inputs (Level 3) for the nine months ended September 30, 2024 and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First Lien</w:t>
            </w:r>
          </w:p>
        </w:tc>
        <w:tc>
          <w:tcPr>
            <w:tcW w:w="120" w:type="dxa"/>
            <w:vAlign w:val="bottom"/>
          </w:tcPr>
          <w:p>
            <w:pPr>
              <w:spacing w:after="0"/>
              <w:rPr>
                <w:sz w:val="12"/>
                <w:szCs w:val="12"/>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Second Lien</w:t>
            </w:r>
          </w:p>
        </w:tc>
        <w:tc>
          <w:tcPr>
            <w:tcW w:w="180" w:type="dxa"/>
            <w:vAlign w:val="bottom"/>
          </w:tcPr>
          <w:p>
            <w:pPr>
              <w:spacing w:after="0"/>
              <w:rPr>
                <w:sz w:val="12"/>
                <w:szCs w:val="12"/>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Subordinated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Debt</w:t>
            </w:r>
          </w:p>
        </w:tc>
        <w:tc>
          <w:tcPr>
            <w:tcW w:w="120" w:type="dxa"/>
            <w:vAlign w:val="bottom"/>
          </w:tcPr>
          <w:p>
            <w:pPr>
              <w:spacing w:after="0"/>
              <w:rPr>
                <w:sz w:val="13"/>
                <w:szCs w:val="13"/>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Debt</w:t>
            </w:r>
          </w:p>
        </w:tc>
        <w:tc>
          <w:tcPr>
            <w:tcW w:w="180" w:type="dxa"/>
            <w:vAlign w:val="bottom"/>
          </w:tcPr>
          <w:p>
            <w:pPr>
              <w:spacing w:after="0"/>
              <w:rPr>
                <w:sz w:val="13"/>
                <w:szCs w:val="13"/>
                <w:color w:val="auto"/>
              </w:rPr>
            </w:pP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Debt</w:t>
            </w:r>
          </w:p>
        </w:tc>
        <w:tc>
          <w:tcPr>
            <w:tcW w:w="14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456,105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182,948</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101,456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117,431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2,079</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860,019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realized gains (losses) on investments</w:t>
            </w:r>
          </w:p>
        </w:tc>
        <w:tc>
          <w:tcPr>
            <w:tcW w:w="16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(9,333 )</w:t>
            </w:r>
          </w:p>
        </w:tc>
        <w:tc>
          <w:tcPr>
            <w:tcW w:w="1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change in unrealized appreciation (depreciation) on investments</w:t>
            </w:r>
          </w:p>
        </w:tc>
        <w:tc>
          <w:tcPr>
            <w:tcW w:w="1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(1,576 )</w:t>
            </w: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3,226</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(1,314 )</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(1,976 )</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1,497</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(143 )</w:t>
            </w:r>
          </w:p>
        </w:tc>
        <w:tc>
          <w:tcPr>
            <w:tcW w:w="0" w:type="dxa"/>
            <w:vAlign w:val="bottom"/>
          </w:tcPr>
          <w:p>
            <w:pPr>
              <w:spacing w:after="0"/>
              <w:rPr>
                <w:sz w:val="1"/>
                <w:szCs w:val="1"/>
                <w:color w:val="auto"/>
              </w:rPr>
            </w:pPr>
          </w:p>
        </w:tc>
      </w:tr>
      <w:tr>
        <w:trPr>
          <w:trHeight w:val="154"/>
        </w:trPr>
        <w:tc>
          <w:tcPr>
            <w:tcW w:w="4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investments</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135,283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29,041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14,725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204,049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Proceeds from sales and repayments of investments</w:t>
            </w:r>
          </w:p>
        </w:tc>
        <w:tc>
          <w:tcPr>
            <w:tcW w:w="1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(68,761 )</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(48,607 )</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(10,149 )</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(18,799 )</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(146,316 )</w:t>
            </w:r>
          </w:p>
        </w:tc>
        <w:tc>
          <w:tcPr>
            <w:tcW w:w="0" w:type="dxa"/>
            <w:vAlign w:val="bottom"/>
          </w:tcPr>
          <w:p>
            <w:pPr>
              <w:spacing w:after="0"/>
              <w:rPr>
                <w:sz w:val="1"/>
                <w:szCs w:val="1"/>
                <w:color w:val="auto"/>
              </w:rPr>
            </w:pPr>
          </w:p>
        </w:tc>
      </w:tr>
      <w:tr>
        <w:trPr>
          <w:trHeight w:val="154"/>
        </w:trPr>
        <w:tc>
          <w:tcPr>
            <w:tcW w:w="4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dividend income paid-in-kind</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Proceeds from loan origination fees</w:t>
            </w:r>
          </w:p>
        </w:tc>
        <w:tc>
          <w:tcPr>
            <w:tcW w:w="1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(1,226 )</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(331 )</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(541 )</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(2,098 )</w:t>
            </w:r>
          </w:p>
        </w:tc>
        <w:tc>
          <w:tcPr>
            <w:tcW w:w="0" w:type="dxa"/>
            <w:vAlign w:val="bottom"/>
          </w:tcPr>
          <w:p>
            <w:pPr>
              <w:spacing w:after="0"/>
              <w:rPr>
                <w:sz w:val="1"/>
                <w:szCs w:val="1"/>
                <w:color w:val="auto"/>
              </w:rPr>
            </w:pPr>
          </w:p>
        </w:tc>
      </w:tr>
      <w:tr>
        <w:trPr>
          <w:trHeight w:val="154"/>
        </w:trPr>
        <w:tc>
          <w:tcPr>
            <w:tcW w:w="4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Accretion of loan origination fees</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Accretion of original issue discount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September 30, 2023</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522,289</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154,765</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120,981</w:t>
            </w: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124,981</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3,576</w:t>
            </w:r>
          </w:p>
        </w:tc>
        <w:tc>
          <w:tcPr>
            <w:tcW w:w="180" w:type="dxa"/>
            <w:vAlign w:val="bottom"/>
          </w:tcPr>
          <w:p>
            <w:pPr>
              <w:spacing w:after="0"/>
              <w:rPr>
                <w:sz w:val="13"/>
                <w:szCs w:val="13"/>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926,592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1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578,140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119,561</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135,173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120,007</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4,768</w:t>
            </w: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957,649</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realized gains (losses) on investments</w:t>
            </w:r>
          </w:p>
        </w:tc>
        <w:tc>
          <w:tcPr>
            <w:tcW w:w="16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(3,280 )</w:t>
            </w:r>
          </w:p>
        </w:tc>
        <w:tc>
          <w:tcPr>
            <w:tcW w:w="12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(2,100 )</w:t>
            </w:r>
          </w:p>
        </w:tc>
        <w:tc>
          <w:tcPr>
            <w:tcW w:w="18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17,541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change in unrealized appreciation (depreciation) on investments</w:t>
            </w:r>
          </w:p>
        </w:tc>
        <w:tc>
          <w:tcPr>
            <w:tcW w:w="1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(1,467 )</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(2,481 )</w:t>
            </w: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(5,524 )</w:t>
            </w: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3,067</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(5,149 )</w:t>
            </w:r>
          </w:p>
        </w:tc>
        <w:tc>
          <w:tcPr>
            <w:tcW w:w="0" w:type="dxa"/>
            <w:vAlign w:val="bottom"/>
          </w:tcPr>
          <w:p>
            <w:pPr>
              <w:spacing w:after="0"/>
              <w:rPr>
                <w:sz w:val="1"/>
                <w:szCs w:val="1"/>
                <w:color w:val="auto"/>
              </w:rPr>
            </w:pPr>
          </w:p>
        </w:tc>
      </w:tr>
      <w:tr>
        <w:trPr>
          <w:trHeight w:val="154"/>
        </w:trPr>
        <w:tc>
          <w:tcPr>
            <w:tcW w:w="4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investments</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212,495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33,281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15,918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274,194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Proceeds from sales and repayments of investments</w:t>
            </w:r>
          </w:p>
        </w:tc>
        <w:tc>
          <w:tcPr>
            <w:tcW w:w="1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(90,314 )</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(36,472 )</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(2,864 )</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(24,458 )</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(1 )</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(154,109 )</w:t>
            </w:r>
          </w:p>
        </w:tc>
        <w:tc>
          <w:tcPr>
            <w:tcW w:w="0" w:type="dxa"/>
            <w:vAlign w:val="bottom"/>
          </w:tcPr>
          <w:p>
            <w:pPr>
              <w:spacing w:after="0"/>
              <w:rPr>
                <w:sz w:val="1"/>
                <w:szCs w:val="1"/>
                <w:color w:val="auto"/>
              </w:rPr>
            </w:pPr>
          </w:p>
        </w:tc>
      </w:tr>
      <w:tr>
        <w:trPr>
          <w:trHeight w:val="154"/>
        </w:trPr>
        <w:tc>
          <w:tcPr>
            <w:tcW w:w="4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dividend income paid-in-kind</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Proceeds from loan origination fees</w:t>
            </w:r>
          </w:p>
        </w:tc>
        <w:tc>
          <w:tcPr>
            <w:tcW w:w="1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(1,672 )</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(123 )</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(157 )</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(1,952 )</w:t>
            </w:r>
          </w:p>
        </w:tc>
        <w:tc>
          <w:tcPr>
            <w:tcW w:w="0" w:type="dxa"/>
            <w:vAlign w:val="bottom"/>
          </w:tcPr>
          <w:p>
            <w:pPr>
              <w:spacing w:after="0"/>
              <w:rPr>
                <w:sz w:val="1"/>
                <w:szCs w:val="1"/>
                <w:color w:val="auto"/>
              </w:rPr>
            </w:pPr>
          </w:p>
        </w:tc>
      </w:tr>
      <w:tr>
        <w:trPr>
          <w:trHeight w:val="154"/>
        </w:trPr>
        <w:tc>
          <w:tcPr>
            <w:tcW w:w="4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Accretion of loan origination fees</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Accretion of original issue discount</w:t>
            </w: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Balance, September 30, 2024</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696,280</w:t>
            </w:r>
          </w:p>
        </w:tc>
        <w:tc>
          <w:tcPr>
            <w:tcW w:w="22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113,907</w:t>
            </w:r>
          </w:p>
        </w:tc>
        <w:tc>
          <w:tcPr>
            <w:tcW w:w="220" w:type="dxa"/>
            <w:vAlign w:val="bottom"/>
          </w:tcPr>
          <w:p>
            <w:pPr>
              <w:spacing w:after="0"/>
              <w:rPr>
                <w:sz w:val="13"/>
                <w:szCs w:val="13"/>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149,170</w:t>
            </w:r>
          </w:p>
        </w:tc>
        <w:tc>
          <w:tcPr>
            <w:tcW w:w="22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123,484</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7,834</w:t>
            </w:r>
          </w:p>
        </w:tc>
        <w:tc>
          <w:tcPr>
            <w:tcW w:w="18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1,090,675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400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44"/>
        <w:spacing w:after="0" w:line="247" w:lineRule="auto"/>
        <w:rPr>
          <w:sz w:val="20"/>
          <w:szCs w:val="20"/>
          <w:color w:val="auto"/>
        </w:rPr>
      </w:pPr>
      <w:r>
        <w:rPr>
          <w:rFonts w:ascii="Times New Roman" w:cs="Times New Roman" w:eastAsia="Times New Roman" w:hAnsi="Times New Roman"/>
          <w:sz w:val="16"/>
          <w:szCs w:val="16"/>
          <w:color w:val="auto"/>
        </w:rPr>
        <w:t>Net change in unrealized appreciation/(depreciation) of $(2,861) and $1,099 for the three and nine months ended September 30, 2024 was attributable to Level 3 investments held at September 30, 2024. Net change in unrealized appreciation/(depreciation) of $1,593 and (4,505) for the three and nine months ended September 30, 2023 was attributable to Level 3 investments held at September 30, 2023.</w:t>
      </w:r>
    </w:p>
    <w:p>
      <w:pPr>
        <w:spacing w:after="0" w:line="116" w:lineRule="exact"/>
        <w:rPr>
          <w:sz w:val="20"/>
          <w:szCs w:val="20"/>
          <w:color w:val="auto"/>
        </w:rPr>
      </w:pPr>
    </w:p>
    <w:p>
      <w:pPr>
        <w:jc w:val="both"/>
        <w:ind w:right="160" w:firstLine="444"/>
        <w:spacing w:after="0" w:line="247" w:lineRule="auto"/>
        <w:rPr>
          <w:sz w:val="20"/>
          <w:szCs w:val="20"/>
          <w:color w:val="auto"/>
        </w:rPr>
      </w:pPr>
      <w:r>
        <w:rPr>
          <w:rFonts w:ascii="Times New Roman" w:cs="Times New Roman" w:eastAsia="Times New Roman" w:hAnsi="Times New Roman"/>
          <w:sz w:val="16"/>
          <w:szCs w:val="16"/>
          <w:color w:val="auto"/>
        </w:rPr>
        <w:t>The following tables summarize the significant unobservable inputs by valuation technique used to determine the fair value of the Company’s Level 3 debt and equity investments as of September 30, 2024 and December 31, 2023. The tables are not intended to be all-inclusive, but instead capture the significant unobservable inputs relevant to the Company’s determination of fair values.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9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5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700" w:type="dxa"/>
            <w:vAlign w:val="bottom"/>
          </w:tcPr>
          <w:p>
            <w:pPr>
              <w:spacing w:after="0"/>
              <w:rPr>
                <w:sz w:val="15"/>
                <w:szCs w:val="15"/>
                <w:color w:val="auto"/>
              </w:rPr>
            </w:pPr>
          </w:p>
        </w:tc>
        <w:tc>
          <w:tcPr>
            <w:tcW w:w="14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06"/>
        </w:trPr>
        <w:tc>
          <w:tcPr>
            <w:tcW w:w="1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9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Techniques</w:t>
            </w:r>
          </w:p>
        </w:tc>
        <w:tc>
          <w:tcPr>
            <w:tcW w:w="258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120" w:type="dxa"/>
            <w:vAlign w:val="bottom"/>
            <w:gridSpan w:val="2"/>
          </w:tcPr>
          <w:p>
            <w:pPr>
              <w:ind w:left="620"/>
              <w:spacing w:after="0" w:line="205" w:lineRule="exact"/>
              <w:rPr>
                <w:sz w:val="20"/>
                <w:szCs w:val="20"/>
                <w:color w:val="auto"/>
              </w:rPr>
            </w:pPr>
            <w:r>
              <w:rPr>
                <w:rFonts w:ascii="Times New Roman" w:cs="Times New Roman" w:eastAsia="Times New Roman" w:hAnsi="Times New Roman"/>
                <w:sz w:val="14"/>
                <w:szCs w:val="14"/>
                <w:b w:val="1"/>
                <w:bCs w:val="1"/>
                <w:color w:val="auto"/>
              </w:rPr>
              <w:t>(weighted average)</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92"/>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6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2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First Lien Debt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692,755</w:t>
            </w:r>
          </w:p>
        </w:tc>
        <w:tc>
          <w:tcPr>
            <w:tcW w:w="1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Discounted cash flow</w:t>
            </w:r>
          </w:p>
        </w:tc>
        <w:tc>
          <w:tcPr>
            <w:tcW w:w="2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21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9.2% - 27.9% (14.9%)</w:t>
            </w:r>
          </w:p>
        </w:tc>
        <w:tc>
          <w:tcPr>
            <w:tcW w:w="0" w:type="dxa"/>
            <w:vAlign w:val="bottom"/>
          </w:tcPr>
          <w:p>
            <w:pPr>
              <w:spacing w:after="0"/>
              <w:rPr>
                <w:sz w:val="1"/>
                <w:szCs w:val="1"/>
                <w:color w:val="auto"/>
              </w:rPr>
            </w:pPr>
          </w:p>
        </w:tc>
      </w:tr>
      <w:tr>
        <w:trPr>
          <w:trHeight w:val="194"/>
        </w:trPr>
        <w:tc>
          <w:tcPr>
            <w:tcW w:w="18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3,525</w:t>
            </w:r>
          </w:p>
        </w:tc>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Enterprise value waterfall</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1.1x</w:t>
            </w: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- 1.1x (1.1x)</w:t>
            </w: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Second Lien Debt</w:t>
            </w:r>
          </w:p>
        </w:tc>
        <w:tc>
          <w:tcPr>
            <w:tcW w:w="6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113,907</w:t>
            </w:r>
          </w:p>
        </w:tc>
        <w:tc>
          <w:tcPr>
            <w:tcW w:w="1920" w:type="dxa"/>
            <w:vAlign w:val="bottom"/>
            <w:shd w:val="clear" w:color="auto" w:fill="CFF0FC"/>
          </w:tcPr>
          <w:p>
            <w:pPr>
              <w:ind w:left="140"/>
              <w:spacing w:after="0" w:line="192" w:lineRule="exact"/>
              <w:rPr>
                <w:sz w:val="20"/>
                <w:szCs w:val="20"/>
                <w:color w:val="auto"/>
              </w:rPr>
            </w:pPr>
            <w:r>
              <w:rPr>
                <w:rFonts w:ascii="Times New Roman" w:cs="Times New Roman" w:eastAsia="Times New Roman" w:hAnsi="Times New Roman"/>
                <w:sz w:val="14"/>
                <w:szCs w:val="14"/>
                <w:color w:val="auto"/>
              </w:rPr>
              <w:t xml:space="preserve">Discounted cash flow </w:t>
            </w:r>
            <w:r>
              <w:rPr>
                <w:rFonts w:ascii="Times New Roman" w:cs="Times New Roman" w:eastAsia="Times New Roman" w:hAnsi="Times New Roman"/>
                <w:sz w:val="19"/>
                <w:szCs w:val="19"/>
                <w:color w:val="auto"/>
                <w:vertAlign w:val="superscript"/>
              </w:rPr>
              <w:t>(2)</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21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13.1% - 53.4% (16.5%)</w:t>
            </w: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Subordinated Debt</w:t>
            </w:r>
          </w:p>
        </w:tc>
        <w:tc>
          <w:tcPr>
            <w:tcW w:w="640" w:type="dxa"/>
            <w:vAlign w:val="bottom"/>
            <w:shd w:val="clear" w:color="auto" w:fill="CFF0FC"/>
          </w:tcPr>
          <w:p>
            <w:pPr>
              <w:spacing w:after="0"/>
              <w:rPr>
                <w:sz w:val="16"/>
                <w:szCs w:val="16"/>
                <w:color w:val="auto"/>
              </w:rPr>
            </w:pPr>
          </w:p>
        </w:tc>
        <w:tc>
          <w:tcPr>
            <w:tcW w:w="15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149,170</w:t>
            </w:r>
          </w:p>
        </w:tc>
        <w:tc>
          <w:tcPr>
            <w:tcW w:w="192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Discounted cash flow</w:t>
            </w:r>
          </w:p>
        </w:tc>
        <w:tc>
          <w:tcPr>
            <w:tcW w:w="258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212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9.7% - 20.0% (13.1%)</w:t>
            </w:r>
          </w:p>
        </w:tc>
        <w:tc>
          <w:tcPr>
            <w:tcW w:w="0" w:type="dxa"/>
            <w:vAlign w:val="bottom"/>
          </w:tcPr>
          <w:p>
            <w:pPr>
              <w:spacing w:after="0"/>
              <w:rPr>
                <w:sz w:val="1"/>
                <w:szCs w:val="1"/>
                <w:color w:val="auto"/>
              </w:rPr>
            </w:pPr>
          </w:p>
        </w:tc>
      </w:tr>
      <w:tr>
        <w:trPr>
          <w:trHeight w:val="76"/>
        </w:trPr>
        <w:tc>
          <w:tcPr>
            <w:tcW w:w="1800" w:type="dxa"/>
            <w:vAlign w:val="bottom"/>
            <w:vMerge w:val="continue"/>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500" w:type="dxa"/>
            <w:vAlign w:val="bottom"/>
            <w:vMerge w:val="continue"/>
            <w:shd w:val="clear" w:color="auto" w:fill="CFF0FC"/>
          </w:tcPr>
          <w:p>
            <w:pPr>
              <w:spacing w:after="0"/>
              <w:rPr>
                <w:sz w:val="6"/>
                <w:szCs w:val="6"/>
                <w:color w:val="auto"/>
              </w:rPr>
            </w:pPr>
          </w:p>
        </w:tc>
        <w:tc>
          <w:tcPr>
            <w:tcW w:w="1920" w:type="dxa"/>
            <w:vAlign w:val="bottom"/>
            <w:vMerge w:val="continue"/>
            <w:shd w:val="clear" w:color="auto" w:fill="CFF0FC"/>
          </w:tcPr>
          <w:p>
            <w:pPr>
              <w:spacing w:after="0"/>
              <w:rPr>
                <w:sz w:val="6"/>
                <w:szCs w:val="6"/>
                <w:color w:val="auto"/>
              </w:rPr>
            </w:pPr>
          </w:p>
        </w:tc>
        <w:tc>
          <w:tcPr>
            <w:tcW w:w="2580" w:type="dxa"/>
            <w:vAlign w:val="bottom"/>
            <w:vMerge w:val="continue"/>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142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2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6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Equity</w:t>
            </w:r>
          </w:p>
        </w:tc>
        <w:tc>
          <w:tcPr>
            <w:tcW w:w="6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119,946</w:t>
            </w:r>
          </w:p>
        </w:tc>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Enterprise value waterfall</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EBITDA multiples</w:t>
            </w:r>
          </w:p>
        </w:tc>
        <w:tc>
          <w:tcPr>
            <w:tcW w:w="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4.0x</w:t>
            </w: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- 28.0x (10.4x)</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3,538</w:t>
            </w:r>
          </w:p>
        </w:tc>
        <w:tc>
          <w:tcPr>
            <w:tcW w:w="1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Enterprise value waterfall</w:t>
            </w:r>
          </w:p>
        </w:tc>
        <w:tc>
          <w:tcPr>
            <w:tcW w:w="2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Revenue multiples</w:t>
            </w:r>
          </w:p>
        </w:tc>
        <w:tc>
          <w:tcPr>
            <w:tcW w:w="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0.8x</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- 8.5x (6.4x)</w:t>
            </w:r>
          </w:p>
        </w:tc>
        <w:tc>
          <w:tcPr>
            <w:tcW w:w="0" w:type="dxa"/>
            <w:vAlign w:val="bottom"/>
          </w:tcPr>
          <w:p>
            <w:pPr>
              <w:spacing w:after="0"/>
              <w:rPr>
                <w:sz w:val="1"/>
                <w:szCs w:val="1"/>
                <w:color w:val="auto"/>
              </w:rPr>
            </w:pPr>
          </w:p>
        </w:tc>
      </w:tr>
      <w:tr>
        <w:trPr>
          <w:trHeight w:val="194"/>
        </w:trPr>
        <w:tc>
          <w:tcPr>
            <w:tcW w:w="18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25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640" w:type="dxa"/>
            <w:vAlign w:val="bottom"/>
          </w:tcPr>
          <w:p>
            <w:pPr>
              <w:spacing w:after="0"/>
              <w:rPr>
                <w:sz w:val="16"/>
                <w:szCs w:val="16"/>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7,834</w:t>
            </w:r>
          </w:p>
        </w:tc>
        <w:tc>
          <w:tcPr>
            <w:tcW w:w="1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Enterprise value waterfall</w:t>
            </w:r>
          </w:p>
        </w:tc>
        <w:tc>
          <w:tcPr>
            <w:tcW w:w="2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EBITDA multiples</w:t>
            </w:r>
          </w:p>
        </w:tc>
        <w:tc>
          <w:tcPr>
            <w:tcW w:w="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7.0x</w:t>
            </w: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- 7.0x (7.0x)</w:t>
            </w:r>
          </w:p>
        </w:tc>
        <w:tc>
          <w:tcPr>
            <w:tcW w:w="0" w:type="dxa"/>
            <w:vAlign w:val="bottom"/>
          </w:tcPr>
          <w:p>
            <w:pPr>
              <w:spacing w:after="0"/>
              <w:rPr>
                <w:sz w:val="1"/>
                <w:szCs w:val="1"/>
                <w:color w:val="auto"/>
              </w:rPr>
            </w:pPr>
          </w:p>
        </w:tc>
      </w:tr>
      <w:tr>
        <w:trPr>
          <w:trHeight w:val="194"/>
        </w:trPr>
        <w:tc>
          <w:tcPr>
            <w:tcW w:w="18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Enterprise value waterfall</w:t>
            </w:r>
          </w:p>
        </w:tc>
        <w:tc>
          <w:tcPr>
            <w:tcW w:w="25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Revenue multiples</w:t>
            </w:r>
          </w:p>
        </w:tc>
        <w:tc>
          <w:tcPr>
            <w:tcW w:w="7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5.0x</w:t>
            </w:r>
          </w:p>
        </w:tc>
        <w:tc>
          <w:tcPr>
            <w:tcW w:w="1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- 5.0x (5.0x)</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0" w:hanging="194"/>
        <w:spacing w:after="0"/>
        <w:tabs>
          <w:tab w:leader="none" w:pos="2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Unobservable inputs were weighted by the relative fair value of the instruments.</w:t>
      </w:r>
    </w:p>
    <w:p>
      <w:pPr>
        <w:spacing w:after="0" w:line="20" w:lineRule="exact"/>
        <w:rPr>
          <w:rFonts w:ascii="Times New Roman" w:cs="Times New Roman" w:eastAsia="Times New Roman" w:hAnsi="Times New Roman"/>
          <w:sz w:val="13"/>
          <w:szCs w:val="13"/>
          <w:color w:val="auto"/>
        </w:rPr>
      </w:pPr>
    </w:p>
    <w:p>
      <w:pPr>
        <w:ind w:left="200" w:hanging="194"/>
        <w:spacing w:after="0"/>
        <w:tabs>
          <w:tab w:leader="none" w:pos="2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$13.4 million of debt investments which were valued using a trading discount to par.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7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56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700" w:type="dxa"/>
            <w:vAlign w:val="bottom"/>
          </w:tcPr>
          <w:p>
            <w:pPr>
              <w:spacing w:after="0"/>
              <w:rPr>
                <w:sz w:val="15"/>
                <w:szCs w:val="15"/>
                <w:color w:val="auto"/>
              </w:rPr>
            </w:pPr>
          </w:p>
        </w:tc>
        <w:tc>
          <w:tcPr>
            <w:tcW w:w="16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206"/>
        </w:trPr>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Techniques</w:t>
            </w:r>
          </w:p>
        </w:tc>
        <w:tc>
          <w:tcPr>
            <w:tcW w:w="256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700" w:type="dxa"/>
            <w:vAlign w:val="bottom"/>
          </w:tcPr>
          <w:p>
            <w:pPr>
              <w:spacing w:after="0"/>
              <w:rPr>
                <w:sz w:val="17"/>
                <w:szCs w:val="17"/>
                <w:color w:val="auto"/>
              </w:rPr>
            </w:pPr>
          </w:p>
        </w:tc>
        <w:tc>
          <w:tcPr>
            <w:tcW w:w="1680" w:type="dxa"/>
            <w:vAlign w:val="bottom"/>
          </w:tcPr>
          <w:p>
            <w:pPr>
              <w:ind w:left="60"/>
              <w:spacing w:after="0" w:line="205" w:lineRule="exact"/>
              <w:rPr>
                <w:sz w:val="20"/>
                <w:szCs w:val="20"/>
                <w:color w:val="auto"/>
              </w:rPr>
            </w:pPr>
            <w:r>
              <w:rPr>
                <w:rFonts w:ascii="Times New Roman" w:cs="Times New Roman" w:eastAsia="Times New Roman" w:hAnsi="Times New Roman"/>
                <w:sz w:val="14"/>
                <w:szCs w:val="14"/>
                <w:b w:val="1"/>
                <w:bCs w:val="1"/>
                <w:color w:val="auto"/>
              </w:rPr>
              <w:t>(weighted average)</w:t>
            </w:r>
            <w:r>
              <w:rPr>
                <w:rFonts w:ascii="Times New Roman" w:cs="Times New Roman" w:eastAsia="Times New Roman" w:hAnsi="Times New Roman"/>
                <w:sz w:val="19"/>
                <w:szCs w:val="19"/>
                <w:b w:val="1"/>
                <w:bCs w:val="1"/>
                <w:color w:val="auto"/>
                <w:vertAlign w:val="superscript"/>
              </w:rPr>
              <w:t>(1)</w:t>
            </w:r>
          </w:p>
        </w:tc>
      </w:tr>
      <w:tr>
        <w:trPr>
          <w:trHeight w:val="192"/>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Debt investments:</w:t>
            </w:r>
          </w:p>
        </w:tc>
        <w:tc>
          <w:tcPr>
            <w:tcW w:w="56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1780" w:type="dxa"/>
            <w:vAlign w:val="bottom"/>
            <w:shd w:val="clear" w:color="auto" w:fill="CFF0FC"/>
          </w:tcPr>
          <w:p>
            <w:pPr>
              <w:spacing w:after="0"/>
              <w:rPr>
                <w:sz w:val="16"/>
                <w:szCs w:val="16"/>
                <w:color w:val="auto"/>
              </w:rPr>
            </w:pPr>
          </w:p>
        </w:tc>
        <w:tc>
          <w:tcPr>
            <w:tcW w:w="25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r>
      <w:tr>
        <w:trPr>
          <w:trHeight w:val="190"/>
        </w:trPr>
        <w:tc>
          <w:tcPr>
            <w:tcW w:w="1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First Lien Debt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573,140</w:t>
            </w:r>
          </w:p>
        </w:tc>
        <w:tc>
          <w:tcPr>
            <w:tcW w:w="1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Discounted cash flow</w:t>
            </w:r>
          </w:p>
        </w:tc>
        <w:tc>
          <w:tcPr>
            <w:tcW w:w="2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23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9.4% - 23.4% (15.6%)</w:t>
            </w:r>
          </w:p>
        </w:tc>
      </w:tr>
      <w:tr>
        <w:trPr>
          <w:trHeight w:val="194"/>
        </w:trPr>
        <w:tc>
          <w:tcPr>
            <w:tcW w:w="16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5,000</w:t>
            </w:r>
          </w:p>
        </w:tc>
        <w:tc>
          <w:tcPr>
            <w:tcW w:w="1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Enterprise value</w:t>
            </w:r>
          </w:p>
        </w:tc>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Asset Coverage</w:t>
            </w:r>
          </w:p>
        </w:tc>
        <w:tc>
          <w:tcPr>
            <w:tcW w:w="7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w w:val="97"/>
              </w:rPr>
              <w:t>1.3x</w:t>
            </w:r>
          </w:p>
        </w:tc>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- 1.3x (1.3x)</w:t>
            </w:r>
          </w:p>
        </w:tc>
      </w:tr>
      <w:tr>
        <w:trPr>
          <w:trHeight w:val="192"/>
        </w:trPr>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380" w:type="dxa"/>
            <w:vAlign w:val="bottom"/>
            <w:gridSpan w:val="2"/>
          </w:tcPr>
          <w:p>
            <w:pPr>
              <w:spacing w:after="0"/>
              <w:rPr>
                <w:sz w:val="16"/>
                <w:szCs w:val="16"/>
                <w:color w:val="auto"/>
              </w:rPr>
            </w:pPr>
          </w:p>
        </w:tc>
      </w:tr>
      <w:tr>
        <w:trPr>
          <w:trHeight w:val="192"/>
        </w:trPr>
        <w:tc>
          <w:tcPr>
            <w:tcW w:w="1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Second Lien Debt</w:t>
            </w:r>
          </w:p>
        </w:tc>
        <w:tc>
          <w:tcPr>
            <w:tcW w:w="56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119,561</w:t>
            </w:r>
          </w:p>
        </w:tc>
        <w:tc>
          <w:tcPr>
            <w:tcW w:w="1780" w:type="dxa"/>
            <w:vAlign w:val="bottom"/>
            <w:shd w:val="clear" w:color="auto" w:fill="CFF0FC"/>
          </w:tcPr>
          <w:p>
            <w:pPr>
              <w:ind w:left="120"/>
              <w:spacing w:after="0" w:line="192" w:lineRule="exact"/>
              <w:rPr>
                <w:sz w:val="20"/>
                <w:szCs w:val="20"/>
                <w:color w:val="auto"/>
              </w:rPr>
            </w:pPr>
            <w:r>
              <w:rPr>
                <w:rFonts w:ascii="Times New Roman" w:cs="Times New Roman" w:eastAsia="Times New Roman" w:hAnsi="Times New Roman"/>
                <w:sz w:val="14"/>
                <w:szCs w:val="14"/>
                <w:color w:val="auto"/>
              </w:rPr>
              <w:t xml:space="preserve">Discounted cash flow </w:t>
            </w:r>
            <w:r>
              <w:rPr>
                <w:rFonts w:ascii="Times New Roman" w:cs="Times New Roman" w:eastAsia="Times New Roman" w:hAnsi="Times New Roman"/>
                <w:sz w:val="19"/>
                <w:szCs w:val="19"/>
                <w:color w:val="auto"/>
                <w:vertAlign w:val="superscript"/>
              </w:rPr>
              <w:t>(2)</w:t>
            </w:r>
          </w:p>
        </w:tc>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23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12.7% - 30.0% (16.1%)</w:t>
            </w:r>
          </w:p>
        </w:tc>
      </w:tr>
      <w:tr>
        <w:trPr>
          <w:trHeight w:val="192"/>
        </w:trPr>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380" w:type="dxa"/>
            <w:vAlign w:val="bottom"/>
            <w:gridSpan w:val="2"/>
          </w:tcPr>
          <w:p>
            <w:pPr>
              <w:spacing w:after="0"/>
              <w:rPr>
                <w:sz w:val="16"/>
                <w:szCs w:val="16"/>
                <w:color w:val="auto"/>
              </w:rPr>
            </w:pPr>
          </w:p>
        </w:tc>
      </w:tr>
      <w:tr>
        <w:trPr>
          <w:trHeight w:val="192"/>
        </w:trPr>
        <w:tc>
          <w:tcPr>
            <w:tcW w:w="1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Subordinated Debt</w:t>
            </w:r>
          </w:p>
        </w:tc>
        <w:tc>
          <w:tcPr>
            <w:tcW w:w="56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134,965</w:t>
            </w:r>
          </w:p>
        </w:tc>
        <w:tc>
          <w:tcPr>
            <w:tcW w:w="1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Discounted cash flow</w:t>
            </w:r>
          </w:p>
        </w:tc>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Weighted average cost of capital</w:t>
            </w:r>
          </w:p>
        </w:tc>
        <w:tc>
          <w:tcPr>
            <w:tcW w:w="23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10.3% - 16.4% (13.4%)</w:t>
            </w:r>
          </w:p>
        </w:tc>
      </w:tr>
      <w:tr>
        <w:trPr>
          <w:trHeight w:val="190"/>
        </w:trPr>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w:t>
            </w:r>
          </w:p>
        </w:tc>
        <w:tc>
          <w:tcPr>
            <w:tcW w:w="1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Enterprise value</w:t>
            </w:r>
          </w:p>
        </w:tc>
        <w:tc>
          <w:tcPr>
            <w:tcW w:w="2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EBITDA multiples</w:t>
            </w:r>
          </w:p>
        </w:tc>
        <w:tc>
          <w:tcPr>
            <w:tcW w:w="70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7"/>
              </w:rPr>
              <w:t>6.0x</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- 6.0x (6.0x)</w:t>
            </w:r>
          </w:p>
        </w:tc>
      </w:tr>
      <w:tr>
        <w:trPr>
          <w:trHeight w:val="194"/>
        </w:trPr>
        <w:tc>
          <w:tcPr>
            <w:tcW w:w="16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1780" w:type="dxa"/>
            <w:vAlign w:val="bottom"/>
            <w:shd w:val="clear" w:color="auto" w:fill="CFF0FC"/>
          </w:tcPr>
          <w:p>
            <w:pPr>
              <w:spacing w:after="0"/>
              <w:rPr>
                <w:sz w:val="16"/>
                <w:szCs w:val="16"/>
                <w:color w:val="auto"/>
              </w:rPr>
            </w:pPr>
          </w:p>
        </w:tc>
        <w:tc>
          <w:tcPr>
            <w:tcW w:w="25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r>
      <w:tr>
        <w:trPr>
          <w:trHeight w:val="191"/>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3"/>
        </w:trPr>
        <w:tc>
          <w:tcPr>
            <w:tcW w:w="1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Equity</w:t>
            </w:r>
          </w:p>
        </w:tc>
        <w:tc>
          <w:tcPr>
            <w:tcW w:w="56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112,008</w:t>
            </w:r>
          </w:p>
        </w:tc>
        <w:tc>
          <w:tcPr>
            <w:tcW w:w="1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Enterprise value</w:t>
            </w:r>
          </w:p>
        </w:tc>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EBITDA multiples</w:t>
            </w:r>
          </w:p>
        </w:tc>
        <w:tc>
          <w:tcPr>
            <w:tcW w:w="7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w w:val="97"/>
              </w:rPr>
              <w:t>4.0x</w:t>
            </w:r>
          </w:p>
        </w:tc>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- 32.5x (9.5x)</w:t>
            </w:r>
          </w:p>
        </w:tc>
      </w:tr>
      <w:tr>
        <w:trPr>
          <w:trHeight w:val="190"/>
        </w:trPr>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7,999</w:t>
            </w:r>
          </w:p>
        </w:tc>
        <w:tc>
          <w:tcPr>
            <w:tcW w:w="1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Enterprise value</w:t>
            </w:r>
          </w:p>
        </w:tc>
        <w:tc>
          <w:tcPr>
            <w:tcW w:w="2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Revenue multiples</w:t>
            </w:r>
          </w:p>
        </w:tc>
        <w:tc>
          <w:tcPr>
            <w:tcW w:w="70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7"/>
              </w:rPr>
              <w:t>0.7x</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- 9.5x (7.5x)</w:t>
            </w:r>
          </w:p>
        </w:tc>
      </w:tr>
      <w:tr>
        <w:trPr>
          <w:trHeight w:val="194"/>
        </w:trPr>
        <w:tc>
          <w:tcPr>
            <w:tcW w:w="16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1780" w:type="dxa"/>
            <w:vAlign w:val="bottom"/>
            <w:shd w:val="clear" w:color="auto" w:fill="CFF0FC"/>
          </w:tcPr>
          <w:p>
            <w:pPr>
              <w:spacing w:after="0"/>
              <w:rPr>
                <w:sz w:val="16"/>
                <w:szCs w:val="16"/>
                <w:color w:val="auto"/>
              </w:rPr>
            </w:pPr>
          </w:p>
        </w:tc>
        <w:tc>
          <w:tcPr>
            <w:tcW w:w="25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r>
      <w:tr>
        <w:trPr>
          <w:trHeight w:val="190"/>
        </w:trPr>
        <w:tc>
          <w:tcPr>
            <w:tcW w:w="1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Warrants</w:t>
            </w:r>
          </w:p>
        </w:tc>
        <w:tc>
          <w:tcPr>
            <w:tcW w:w="56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4,625</w:t>
            </w:r>
          </w:p>
        </w:tc>
        <w:tc>
          <w:tcPr>
            <w:tcW w:w="17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Enterprise value</w:t>
            </w:r>
          </w:p>
        </w:tc>
        <w:tc>
          <w:tcPr>
            <w:tcW w:w="25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EBITDA multiples</w:t>
            </w:r>
          </w:p>
        </w:tc>
        <w:tc>
          <w:tcPr>
            <w:tcW w:w="70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7"/>
              </w:rPr>
              <w:t>6.0x</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- 6.0x (6.0x)</w:t>
            </w:r>
          </w:p>
        </w:tc>
      </w:tr>
      <w:tr>
        <w:trPr>
          <w:trHeight w:val="194"/>
        </w:trPr>
        <w:tc>
          <w:tcPr>
            <w:tcW w:w="16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Enterprise value</w:t>
            </w:r>
          </w:p>
        </w:tc>
        <w:tc>
          <w:tcPr>
            <w:tcW w:w="2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Revenue multiples</w:t>
            </w:r>
          </w:p>
        </w:tc>
        <w:tc>
          <w:tcPr>
            <w:tcW w:w="70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w w:val="97"/>
              </w:rPr>
              <w:t>4.5x</w:t>
            </w:r>
          </w:p>
        </w:tc>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- 4.5x (4.5x)</w:t>
            </w:r>
          </w:p>
        </w:tc>
      </w:tr>
    </w:tbl>
    <w:p>
      <w:pPr>
        <w:spacing w:after="0" w:line="132" w:lineRule="exact"/>
        <w:rPr>
          <w:sz w:val="20"/>
          <w:szCs w:val="20"/>
          <w:color w:val="auto"/>
        </w:rPr>
      </w:pPr>
    </w:p>
    <w:p>
      <w:pPr>
        <w:ind w:left="200" w:hanging="194"/>
        <w:spacing w:after="0"/>
        <w:tabs>
          <w:tab w:leader="none" w:pos="2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Unobservable inputs were weighted by the relative fair value of the instruments.</w:t>
      </w:r>
    </w:p>
    <w:p>
      <w:pPr>
        <w:spacing w:after="0" w:line="20" w:lineRule="exact"/>
        <w:rPr>
          <w:rFonts w:ascii="Times New Roman" w:cs="Times New Roman" w:eastAsia="Times New Roman" w:hAnsi="Times New Roman"/>
          <w:sz w:val="13"/>
          <w:szCs w:val="13"/>
          <w:color w:val="auto"/>
        </w:rPr>
      </w:pPr>
    </w:p>
    <w:p>
      <w:pPr>
        <w:ind w:left="200" w:hanging="194"/>
        <w:spacing w:after="0"/>
        <w:tabs>
          <w:tab w:leader="none" w:pos="2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$50.5 million of debt investments which were valued using a trading discount to par.</w:t>
      </w:r>
    </w:p>
    <w:p>
      <w:pPr>
        <w:spacing w:after="0" w:line="135" w:lineRule="exact"/>
        <w:rPr>
          <w:sz w:val="20"/>
          <w:szCs w:val="20"/>
          <w:color w:val="auto"/>
        </w:rPr>
      </w:pPr>
    </w:p>
    <w:p>
      <w:pPr>
        <w:ind w:right="260" w:firstLine="444"/>
        <w:spacing w:after="0" w:line="259" w:lineRule="auto"/>
        <w:rPr>
          <w:sz w:val="20"/>
          <w:szCs w:val="20"/>
          <w:color w:val="auto"/>
        </w:rPr>
      </w:pPr>
      <w:r>
        <w:rPr>
          <w:rFonts w:ascii="Times New Roman" w:cs="Times New Roman" w:eastAsia="Times New Roman" w:hAnsi="Times New Roman"/>
          <w:sz w:val="16"/>
          <w:szCs w:val="16"/>
          <w:color w:val="auto"/>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spacing w:after="0" w:line="107" w:lineRule="exact"/>
        <w:rPr>
          <w:sz w:val="20"/>
          <w:szCs w:val="20"/>
          <w:color w:val="auto"/>
        </w:rPr>
      </w:pPr>
    </w:p>
    <w:p>
      <w:pPr>
        <w:ind w:right="380" w:firstLine="444"/>
        <w:spacing w:after="0" w:line="259" w:lineRule="auto"/>
        <w:rPr>
          <w:sz w:val="20"/>
          <w:szCs w:val="20"/>
          <w:color w:val="auto"/>
        </w:rPr>
      </w:pPr>
      <w:r>
        <w:rPr>
          <w:rFonts w:ascii="Times New Roman" w:cs="Times New Roman" w:eastAsia="Times New Roman" w:hAnsi="Times New Roman"/>
          <w:sz w:val="16"/>
          <w:szCs w:val="16"/>
          <w:color w:val="auto"/>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Financial Assets and Liabilities</w:t>
      </w:r>
    </w:p>
    <w:p>
      <w:pPr>
        <w:spacing w:after="0" w:line="142" w:lineRule="exact"/>
        <w:rPr>
          <w:sz w:val="20"/>
          <w:szCs w:val="20"/>
          <w:color w:val="auto"/>
        </w:rPr>
      </w:pPr>
    </w:p>
    <w:p>
      <w:pPr>
        <w:ind w:right="80" w:firstLine="444"/>
        <w:spacing w:after="0" w:line="243" w:lineRule="auto"/>
        <w:rPr>
          <w:sz w:val="20"/>
          <w:szCs w:val="20"/>
          <w:color w:val="auto"/>
        </w:rPr>
      </w:pPr>
      <w:r>
        <w:rPr>
          <w:rFonts w:ascii="Times New Roman" w:cs="Times New Roman" w:eastAsia="Times New Roman" w:hAnsi="Times New Roman"/>
          <w:sz w:val="16"/>
          <w:szCs w:val="16"/>
          <w:color w:val="auto"/>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the SBA debentures, and the Notes (as defined in Note 6) are recorded at their respective carrying values.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tables summarize the carrying value and fair value of the Company’s debt obligations as of September 30, 2024 and December 31, 2023.</w:t>
      </w:r>
    </w:p>
    <w:p>
      <w:pPr>
        <w:spacing w:after="0" w:line="173"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gridSpan w:val="4"/>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September 30, 2024</w:t>
            </w:r>
            <w:r>
              <w:rPr>
                <w:rFonts w:ascii="Times New Roman" w:cs="Times New Roman" w:eastAsia="Times New Roman" w:hAnsi="Times New Roman"/>
                <w:sz w:val="21"/>
                <w:szCs w:val="21"/>
                <w:b w:val="1"/>
                <w:bCs w:val="1"/>
                <w:color w:val="auto"/>
                <w:vertAlign w:val="superscript"/>
              </w:rPr>
              <w:t>(5)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gridSpan w:val="4"/>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December 31, 2023</w:t>
            </w:r>
            <w:r>
              <w:rPr>
                <w:rFonts w:ascii="Times New Roman" w:cs="Times New Roman" w:eastAsia="Times New Roman" w:hAnsi="Times New Roman"/>
                <w:sz w:val="21"/>
                <w:szCs w:val="21"/>
                <w:b w:val="1"/>
                <w:bCs w:val="1"/>
                <w:color w:val="auto"/>
                <w:vertAlign w:val="superscript"/>
              </w:rPr>
              <w:t>(5)</w:t>
            </w: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1260" w:type="dxa"/>
            <w:vAlign w:val="bottom"/>
            <w:gridSpan w:val="2"/>
          </w:tcPr>
          <w:p>
            <w:pPr>
              <w:jc w:val="right"/>
              <w:ind w:right="85"/>
              <w:spacing w:after="0" w:line="159" w:lineRule="exact"/>
              <w:rPr>
                <w:sz w:val="20"/>
                <w:szCs w:val="20"/>
                <w:color w:val="auto"/>
              </w:rPr>
            </w:pPr>
            <w:r>
              <w:rPr>
                <w:rFonts w:ascii="Times New Roman" w:cs="Times New Roman" w:eastAsia="Times New Roman" w:hAnsi="Times New Roman"/>
                <w:sz w:val="16"/>
                <w:szCs w:val="16"/>
                <w:b w:val="1"/>
                <w:bCs w:val="1"/>
                <w:color w:val="auto"/>
              </w:rPr>
              <w:t>Carrying Value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65"/>
              <w:spacing w:after="0" w:line="159" w:lineRule="exact"/>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ind w:right="545"/>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262"/>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222"/>
              <w:spacing w:after="0" w:line="180"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48"/>
        </w:trPr>
        <w:tc>
          <w:tcPr>
            <w:tcW w:w="4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 xml:space="preserve">SBA debentures </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175,000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175,000</w:t>
            </w:r>
          </w:p>
        </w:tc>
        <w:tc>
          <w:tcPr>
            <w:tcW w:w="4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210,000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210,000</w:t>
            </w:r>
          </w:p>
        </w:tc>
        <w:tc>
          <w:tcPr>
            <w:tcW w:w="0" w:type="dxa"/>
            <w:vAlign w:val="bottom"/>
          </w:tcPr>
          <w:p>
            <w:pPr>
              <w:spacing w:after="0"/>
              <w:rPr>
                <w:sz w:val="1"/>
                <w:szCs w:val="1"/>
                <w:color w:val="auto"/>
              </w:rPr>
            </w:pPr>
          </w:p>
        </w:tc>
      </w:tr>
      <w:tr>
        <w:trPr>
          <w:trHeight w:val="204"/>
        </w:trPr>
        <w:tc>
          <w:tcPr>
            <w:tcW w:w="4180" w:type="dxa"/>
            <w:vAlign w:val="bottom"/>
          </w:tcPr>
          <w:p>
            <w:pPr>
              <w:spacing w:after="0" w:line="204" w:lineRule="exact"/>
              <w:rPr>
                <w:sz w:val="20"/>
                <w:szCs w:val="20"/>
                <w:color w:val="auto"/>
              </w:rPr>
            </w:pPr>
            <w:r>
              <w:rPr>
                <w:rFonts w:ascii="Times New Roman" w:cs="Times New Roman" w:eastAsia="Times New Roman" w:hAnsi="Times New Roman"/>
                <w:sz w:val="16"/>
                <w:szCs w:val="16"/>
                <w:color w:val="auto"/>
              </w:rPr>
              <w:t xml:space="preserve">Credit Facility borrowings </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17"/>
                <w:szCs w:val="17"/>
                <w:color w:val="auto"/>
              </w:rPr>
            </w:pP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1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 xml:space="preserve">January 2026 Notes </w:t>
            </w:r>
            <w:r>
              <w:rPr>
                <w:rFonts w:ascii="Times New Roman" w:cs="Times New Roman" w:eastAsia="Times New Roman" w:hAnsi="Times New Roman"/>
                <w:sz w:val="21"/>
                <w:szCs w:val="21"/>
                <w:color w:val="auto"/>
                <w:vertAlign w:val="superscript"/>
              </w:rPr>
              <w:t>(4)</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118,350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113,682</w:t>
            </w:r>
          </w:p>
        </w:tc>
        <w:tc>
          <w:tcPr>
            <w:tcW w:w="0" w:type="dxa"/>
            <w:vAlign w:val="bottom"/>
          </w:tcPr>
          <w:p>
            <w:pPr>
              <w:spacing w:after="0"/>
              <w:rPr>
                <w:sz w:val="1"/>
                <w:szCs w:val="1"/>
                <w:color w:val="auto"/>
              </w:rPr>
            </w:pPr>
          </w:p>
        </w:tc>
      </w:tr>
      <w:tr>
        <w:trPr>
          <w:trHeight w:val="204"/>
        </w:trPr>
        <w:tc>
          <w:tcPr>
            <w:tcW w:w="4180" w:type="dxa"/>
            <w:vAlign w:val="bottom"/>
          </w:tcPr>
          <w:p>
            <w:pPr>
              <w:spacing w:after="0" w:line="204" w:lineRule="exact"/>
              <w:rPr>
                <w:sz w:val="20"/>
                <w:szCs w:val="20"/>
                <w:color w:val="auto"/>
              </w:rPr>
            </w:pPr>
            <w:r>
              <w:rPr>
                <w:rFonts w:ascii="Times New Roman" w:cs="Times New Roman" w:eastAsia="Times New Roman" w:hAnsi="Times New Roman"/>
                <w:sz w:val="16"/>
                <w:szCs w:val="16"/>
                <w:color w:val="auto"/>
              </w:rPr>
              <w:t xml:space="preserve">November 2026 Notes </w:t>
            </w:r>
            <w:r>
              <w:rPr>
                <w:rFonts w:ascii="Times New Roman" w:cs="Times New Roman" w:eastAsia="Times New Roman" w:hAnsi="Times New Roman"/>
                <w:sz w:val="21"/>
                <w:szCs w:val="21"/>
                <w:color w:val="auto"/>
                <w:vertAlign w:val="superscript"/>
              </w:rPr>
              <w:t>(4)</w:t>
            </w:r>
          </w:p>
        </w:tc>
        <w:tc>
          <w:tcPr>
            <w:tcW w:w="300" w:type="dxa"/>
            <w:vAlign w:val="bottom"/>
          </w:tcPr>
          <w:p>
            <w:pPr>
              <w:spacing w:after="0"/>
              <w:rPr>
                <w:sz w:val="17"/>
                <w:szCs w:val="17"/>
                <w:color w:val="auto"/>
              </w:rPr>
            </w:pP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111,806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106,103</w:t>
            </w: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465,000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445,156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460,000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429,785</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(1)Carrying value represents the outstanding principal balance of the debt obligation.</w:t>
      </w:r>
    </w:p>
    <w:p>
      <w:pPr>
        <w:spacing w:after="0" w:line="2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3"/>
          <w:szCs w:val="13"/>
          <w:color w:val="auto"/>
        </w:rPr>
        <w:t>(2)The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spacing w:after="0" w:line="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3"/>
          <w:szCs w:val="13"/>
          <w:color w:val="auto"/>
        </w:rPr>
        <w:t>(3)The fair value of borrowings under the Credit Facility, if valued under ASC Topic 820, are based on a market yield approach and current interest rates, which are Level 3 inputs to the market yield model.</w:t>
      </w:r>
    </w:p>
    <w:p>
      <w:pPr>
        <w:spacing w:after="0" w:line="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3"/>
          <w:szCs w:val="13"/>
          <w:color w:val="auto"/>
        </w:rPr>
        <w:t>(4)The fair value of the January 2026 Notes (as defined in Note 6) and the November 2026 Notes (as defined in Note 6) are estimated by discounting the remaining payments using current market rates for similar instruments and considering such factors as the legal maturity date, which are Level 3 inputs under ASC Topic 820.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(5)Totals exclude $14,025 and $15,880 of Secured Borrowings as of September 30, 2024 and December 31, 2023, respectively.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40"/>
        <w:spacing w:after="0" w:line="234" w:lineRule="auto"/>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jc w:val="center"/>
        <w:ind w:right="-219"/>
        <w:spacing w:after="0" w:line="235" w:lineRule="auto"/>
        <w:rPr>
          <w:sz w:val="20"/>
          <w:szCs w:val="20"/>
          <w:color w:val="auto"/>
        </w:rPr>
      </w:pPr>
      <w:r>
        <w:rPr>
          <w:rFonts w:ascii="Times New Roman" w:cs="Times New Roman" w:eastAsia="Times New Roman" w:hAnsi="Times New Roman"/>
          <w:sz w:val="16"/>
          <w:szCs w:val="16"/>
          <w:color w:val="auto"/>
        </w:rPr>
        <w:t>The following table summarizes the inputs used to value the Company’s debt obligations if measured at fair value as of September 30, 2024 and December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2023.</w:t>
      </w:r>
    </w:p>
    <w:p>
      <w:pPr>
        <w:spacing w:after="0" w:line="192" w:lineRule="exact"/>
        <w:rPr>
          <w:sz w:val="20"/>
          <w:szCs w:val="20"/>
          <w:color w:val="auto"/>
        </w:rPr>
      </w:pPr>
    </w:p>
    <w:tbl>
      <w:tblPr>
        <w:tblLayout w:type="fixed"/>
        <w:tblInd w:w="1600" w:type="dxa"/>
        <w:tblCellMar>
          <w:top w:w="0" w:type="dxa"/>
          <w:left w:w="0" w:type="dxa"/>
          <w:bottom w:w="0" w:type="dxa"/>
          <w:right w:w="0" w:type="dxa"/>
        </w:tblCellMar>
      </w:tblPr>
      <w:tr>
        <w:trPr>
          <w:trHeight w:val="205"/>
        </w:trPr>
        <w:tc>
          <w:tcPr>
            <w:tcW w:w="3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restart"/>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240" w:type="dxa"/>
            <w:vAlign w:val="bottom"/>
            <w:vMerge w:val="restart"/>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Valuation Inputs</w:t>
            </w:r>
          </w:p>
        </w:tc>
        <w:tc>
          <w:tcPr>
            <w:tcW w:w="140" w:type="dxa"/>
            <w:vAlign w:val="bottom"/>
          </w:tcPr>
          <w:p>
            <w:pPr>
              <w:spacing w:after="0"/>
              <w:rPr>
                <w:sz w:val="17"/>
                <w:szCs w:val="17"/>
                <w:color w:val="auto"/>
              </w:rPr>
            </w:pPr>
          </w:p>
        </w:tc>
        <w:tc>
          <w:tcPr>
            <w:tcW w:w="120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Level 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Level 2</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Level 3</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445,156</w:t>
            </w:r>
          </w:p>
        </w:tc>
        <w:tc>
          <w:tcPr>
            <w:tcW w:w="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429,785</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445,156</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429,785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Related Party Transactions</w:t>
      </w:r>
    </w:p>
    <w:p>
      <w:pPr>
        <w:spacing w:after="0" w:line="140" w:lineRule="exact"/>
        <w:rPr>
          <w:sz w:val="20"/>
          <w:szCs w:val="20"/>
          <w:color w:val="auto"/>
        </w:rPr>
      </w:pPr>
    </w:p>
    <w:p>
      <w:pPr>
        <w:ind w:right="160" w:firstLine="44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Investment Advisory Agreement: </w:t>
      </w:r>
      <w:r>
        <w:rPr>
          <w:rFonts w:ascii="Times New Roman" w:cs="Times New Roman" w:eastAsia="Times New Roman" w:hAnsi="Times New Roman"/>
          <w:sz w:val="16"/>
          <w:szCs w:val="16"/>
          <w:color w:val="auto"/>
        </w:rPr>
        <w:t>The Company has entered into an Investment Advisory Agreement with the Investment Advisor. Most recently, on June 12,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the Board approved the renewal of the Investment Advisory Agreement for the period from June 20, 2024 through June 20, 2025.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spacing w:after="0" w:line="118" w:lineRule="exact"/>
        <w:rPr>
          <w:sz w:val="20"/>
          <w:szCs w:val="20"/>
          <w:color w:val="auto"/>
        </w:rPr>
      </w:pPr>
    </w:p>
    <w:p>
      <w:pPr>
        <w:ind w:right="20" w:firstLine="444"/>
        <w:spacing w:after="0" w:line="277"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1.75% based on the average value of total assets (other than cash or cash equivalents but including assets purchased with borrowed amounts) at the end of the two most recently completed calendar quarters. The Board accepted a voluntary, non- contractual, and unconditional waiver from the Investment Advisor to exclude any investments recorded as secured borrowings as defined under GAAP from the base management fee payable effective April 1, 2021. See Note 6. Borrowings – Secured Borrowings for more information about the secured borrowings. The base management fee is payable quarterly in arrears. The base management fee under the Investment Advisory Agreement for the three and nine months ended September 30, 2024 was $4,848 and $13,986, respectively, and $4,161 and $ 12,066 for the three and nine months ended September 30, 2023, respectively. The base management fee waiver for the three and nine months ended September 30, 2024 was $64 and $200, respectively, and $72 and $216 for the three and nine months ended September 30, 2023, respectively. As of September 30, 2024 and December 31, 2023, the base management fee payable (net of the base management fee waiver) was $4,784 and $4,151, respectively.</w:t>
      </w:r>
    </w:p>
    <w:p>
      <w:pPr>
        <w:spacing w:after="0" w:line="98" w:lineRule="exact"/>
        <w:rPr>
          <w:sz w:val="20"/>
          <w:szCs w:val="20"/>
          <w:color w:val="auto"/>
        </w:rPr>
      </w:pPr>
    </w:p>
    <w:p>
      <w:pPr>
        <w:ind w:firstLine="444"/>
        <w:spacing w:after="0" w:line="238" w:lineRule="auto"/>
        <w:rPr>
          <w:sz w:val="20"/>
          <w:szCs w:val="20"/>
          <w:color w:val="auto"/>
        </w:rPr>
      </w:pPr>
      <w:r>
        <w:rPr>
          <w:rFonts w:ascii="Times New Roman" w:cs="Times New Roman" w:eastAsia="Times New Roman" w:hAnsi="Times New Roman"/>
          <w:sz w:val="16"/>
          <w:szCs w:val="16"/>
          <w:color w:val="auto"/>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 -coupon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spacing w:after="0" w:line="122" w:lineRule="exact"/>
        <w:rPr>
          <w:sz w:val="20"/>
          <w:szCs w:val="20"/>
          <w:color w:val="auto"/>
        </w:rPr>
      </w:pPr>
    </w:p>
    <w:p>
      <w:pPr>
        <w:ind w:right="100" w:firstLine="444"/>
        <w:spacing w:after="0" w:line="243" w:lineRule="auto"/>
        <w:rPr>
          <w:sz w:val="20"/>
          <w:szCs w:val="20"/>
          <w:color w:val="auto"/>
        </w:rPr>
      </w:pPr>
      <w:r>
        <w:rPr>
          <w:rFonts w:ascii="Times New Roman" w:cs="Times New Roman" w:eastAsia="Times New Roman" w:hAnsi="Times New Roman"/>
          <w:sz w:val="16"/>
          <w:szCs w:val="16"/>
          <w:color w:val="auto"/>
        </w:rPr>
        <w:t>Pre -incentive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spacing w:after="0" w:line="119" w:lineRule="exact"/>
        <w:rPr>
          <w:sz w:val="20"/>
          <w:szCs w:val="20"/>
          <w:color w:val="auto"/>
        </w:rPr>
      </w:pPr>
    </w:p>
    <w:p>
      <w:pPr>
        <w:ind w:right="60" w:firstLine="444"/>
        <w:spacing w:after="0" w:line="241" w:lineRule="auto"/>
        <w:rPr>
          <w:sz w:val="20"/>
          <w:szCs w:val="20"/>
          <w:color w:val="auto"/>
        </w:rPr>
      </w:pPr>
      <w:r>
        <w:rPr>
          <w:rFonts w:ascii="Times New Roman" w:cs="Times New Roman" w:eastAsia="Times New Roman" w:hAnsi="Times New Roman"/>
          <w:sz w:val="16"/>
          <w:szCs w:val="16"/>
          <w:color w:val="auto"/>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Under conditions such as the current rising interest rate environment,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p>
    <w:p>
      <w:pPr>
        <w:spacing w:after="0" w:line="12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The Company pays the Investment Advisor an incentive fee with respect to pre-incentive fee net investment income in each calendar quarter as follows:</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 incentive fee in any calendar quarter in which the pre-incentive fee net investment income does not exceed the hurdle rate of 2.0%;</w:t>
      </w:r>
    </w:p>
    <w:p>
      <w:pPr>
        <w:spacing w:after="0" w:line="92" w:lineRule="exact"/>
        <w:rPr>
          <w:sz w:val="20"/>
          <w:szCs w:val="20"/>
          <w:color w:val="auto"/>
        </w:rPr>
      </w:pPr>
    </w:p>
    <w:p>
      <w:pPr>
        <w:ind w:left="480" w:right="60"/>
        <w:spacing w:after="0" w:line="243" w:lineRule="auto"/>
        <w:rPr>
          <w:sz w:val="20"/>
          <w:szCs w:val="20"/>
          <w:color w:val="auto"/>
        </w:rPr>
      </w:pPr>
      <w:r>
        <w:rPr>
          <w:rFonts w:ascii="Times New Roman" w:cs="Times New Roman" w:eastAsia="Times New Roman" w:hAnsi="Times New Roman"/>
          <w:sz w:val="16"/>
          <w:szCs w:val="16"/>
          <w:color w:val="auto"/>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•20.0% of the amount of the Company’s pre-incentive fee net investment income, if any, that exceeds 2.5% in any calendar quarter.</w:t>
      </w:r>
    </w:p>
    <w:p>
      <w:pPr>
        <w:spacing w:after="0" w:line="140" w:lineRule="exact"/>
        <w:rPr>
          <w:sz w:val="20"/>
          <w:szCs w:val="20"/>
          <w:color w:val="auto"/>
        </w:rPr>
      </w:pPr>
    </w:p>
    <w:p>
      <w:pPr>
        <w:ind w:right="100" w:firstLine="444"/>
        <w:spacing w:after="0" w:line="243" w:lineRule="auto"/>
        <w:rPr>
          <w:sz w:val="20"/>
          <w:szCs w:val="20"/>
          <w:color w:val="auto"/>
        </w:rPr>
      </w:pPr>
      <w:r>
        <w:rPr>
          <w:rFonts w:ascii="Times New Roman" w:cs="Times New Roman" w:eastAsia="Times New Roman" w:hAnsi="Times New Roman"/>
          <w:sz w:val="16"/>
          <w:szCs w:val="16"/>
          <w:color w:val="auto"/>
        </w:rPr>
        <w:t>The sum of the calculations above equals the income incentive fee. The income incentive fee is appropriately prorated for any period of less than three months and adjusted for any share issuances or repurchases during the calendar quarter. The income incentive fee for the three and nine months ended September 30, 2024 was $5,059 and $14,072, respectively, and $4,478 and $11,959 for the three and nine months ended September 30, 2023, respectively. As of September 30, 2024 and December 31, 2023, the income incentive fee payable was $5,059 and $4,570, respectively.</w:t>
      </w:r>
    </w:p>
    <w:p>
      <w:pPr>
        <w:spacing w:after="0" w:line="119"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color w:val="auto"/>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Company's IPO on June 24, 2011 (realized capital gains and losses include realized gains and losses on investments, net of income tax provision from realized gains on investments, and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September 30, 2024 and December 31, 2023, the capital gains incentive fee payable in cash was $342 and $3,537, respectively (as cumulative aggregate realized capital gains and losses on investments exceeded aggregate unrealized capital depreciation on investments plus realized losses on extinguishment of debt as of December 31, 2023). The aggregate amount of capital gains incentive fees paid from the IPO through September 30, 2024 was $17,577.</w:t>
      </w:r>
    </w:p>
    <w:p>
      <w:pPr>
        <w:spacing w:after="0" w:line="123" w:lineRule="exact"/>
        <w:rPr>
          <w:sz w:val="20"/>
          <w:szCs w:val="20"/>
          <w:color w:val="auto"/>
        </w:rPr>
      </w:pPr>
    </w:p>
    <w:p>
      <w:pPr>
        <w:ind w:firstLine="444"/>
        <w:spacing w:after="0" w:line="238" w:lineRule="auto"/>
        <w:rPr>
          <w:sz w:val="20"/>
          <w:szCs w:val="20"/>
          <w:color w:val="auto"/>
        </w:rPr>
      </w:pPr>
      <w:r>
        <w:rPr>
          <w:rFonts w:ascii="Times New Roman" w:cs="Times New Roman" w:eastAsia="Times New Roman" w:hAnsi="Times New Roman"/>
          <w:sz w:val="16"/>
          <w:szCs w:val="16"/>
          <w:color w:val="auto"/>
        </w:rPr>
        <w:t>In addition, the Company accrues, but does not pay in cash, a capital gains incentive fee in connection with any unrealized capital appreciation on investments, as applicable. If, on a cumulative basis, the sum of (i) net realized gains/(losses) on investments, net of income tax (provision) benefit from realized gains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net of income tax (provision) benefit from realized gains on investments plus (ii) net unrealized appreciation/(depreciation) on investments plus (iii) realized losses on extinguishment of debt. The capital gains incentive fee accrued (reversed) during the three and nine months ended September 30, 2024 was $(987) and $942, respectively, and $1,528 and $507 for the three and nine months ended September 30, 2023, respectively. As of September 30, 2024 and December 31, 2023, the accrued capital gains incentive fee payable was $14,914 and $17,509, respectively.</w:t>
      </w:r>
    </w:p>
    <w:p>
      <w:pPr>
        <w:spacing w:after="0" w:line="125" w:lineRule="exact"/>
        <w:rPr>
          <w:sz w:val="20"/>
          <w:szCs w:val="20"/>
          <w:color w:val="auto"/>
        </w:rPr>
      </w:pPr>
    </w:p>
    <w:p>
      <w:pPr>
        <w:ind w:right="100" w:firstLine="444"/>
        <w:spacing w:after="0" w:line="272" w:lineRule="auto"/>
        <w:rPr>
          <w:sz w:val="20"/>
          <w:szCs w:val="20"/>
          <w:color w:val="auto"/>
        </w:rPr>
      </w:pPr>
      <w:r>
        <w:rPr>
          <w:rFonts w:ascii="Times New Roman" w:cs="Times New Roman" w:eastAsia="Times New Roman" w:hAnsi="Times New Roman"/>
          <w:sz w:val="14"/>
          <w:szCs w:val="14"/>
          <w:color w:val="auto"/>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Investment Advisory Agreement may be terminated at any time, without the payment of any penalty, upon 60 days' written notice, by the vote of holders of a majority of the outstanding voting securities of the Company or the vote of the Board.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0" w:lineRule="exact"/>
        <w:rPr>
          <w:sz w:val="20"/>
          <w:szCs w:val="20"/>
          <w:color w:val="auto"/>
        </w:rPr>
      </w:pPr>
    </w:p>
    <w:p>
      <w:pPr>
        <w:ind w:right="160" w:firstLine="444"/>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Administration Agreement: </w:t>
      </w:r>
      <w:r>
        <w:rPr>
          <w:rFonts w:ascii="Times New Roman" w:cs="Times New Roman" w:eastAsia="Times New Roman" w:hAnsi="Times New Roman"/>
          <w:sz w:val="14"/>
          <w:szCs w:val="14"/>
          <w:color w:val="auto"/>
        </w:rPr>
        <w:t>The Company also entered into an administration agreement (the “Administration Agreement”) with the Investment Advisor. Most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recently, on June 12, 2024 the Board approved the renewal of the Administration Agreement for the period from June 20, 2024 through June 20, 2025.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Under the Administration Agreement, administrative service expenses for the three and nine months ended September 30, 2024 and 2023 was $688 and $1,894, respectively, and $581 and $1,672 for the three and nine months ended September 30, 2023, respectively. As of September 30, 2024 and December 31, 2023, the accrued administrative service expense payable was $635 and $993, respectively.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Debt</w:t>
      </w:r>
    </w:p>
    <w:p>
      <w:pPr>
        <w:spacing w:after="0" w:line="140" w:lineRule="exact"/>
        <w:rPr>
          <w:sz w:val="20"/>
          <w:szCs w:val="20"/>
          <w:color w:val="auto"/>
        </w:rPr>
      </w:pPr>
    </w:p>
    <w:p>
      <w:pPr>
        <w:ind w:right="40" w:firstLine="444"/>
        <w:spacing w:after="0" w:line="272" w:lineRule="auto"/>
        <w:rPr>
          <w:sz w:val="20"/>
          <w:szCs w:val="20"/>
          <w:color w:val="auto"/>
        </w:rPr>
      </w:pPr>
      <w:r>
        <w:rPr>
          <w:rFonts w:ascii="Times New Roman" w:cs="Times New Roman" w:eastAsia="Times New Roman" w:hAnsi="Times New Roman"/>
          <w:sz w:val="14"/>
          <w:szCs w:val="14"/>
          <w:i w:val="1"/>
          <w:iCs w:val="1"/>
          <w:color w:val="auto"/>
        </w:rPr>
        <w:t>Revolving Credit Facility</w:t>
      </w:r>
      <w:r>
        <w:rPr>
          <w:rFonts w:ascii="Times New Roman" w:cs="Times New Roman" w:eastAsia="Times New Roman" w:hAnsi="Times New Roman"/>
          <w:sz w:val="14"/>
          <w:szCs w:val="14"/>
          <w:color w:val="auto"/>
        </w:rPr>
        <w:t>: On June 16, 2014, FIC entered into a senior secured revolving credit agreement (the "Credit Agreement" and the senior secured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revolving credit facility, the “Credit Facility”) with ING Capital LLC (“ING”), as the administrative agent, collateral agent, and lender. The Credit Facility is secured by certain portfolio investments held by the Company, but portfolio investments held by the SBIC Funds are not collateral for the Credit Facility. On April 24, 2019, the Company entered into an Amended &amp; Restated Senior Secured Revolving Credit Agreement (the “Amended Credit Agreement”) among the Company, as borrower, the lenders party thereto, and ING, as administrative agent. On June 26, 2020, the Company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w:t>
      </w:r>
    </w:p>
    <w:p>
      <w:pPr>
        <w:spacing w:after="0" w:line="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 On July 25, 2024, the Company entered into an incremental commitment agreement that increased the Credit Facility total commitment from $100,000 to $140,000.</w:t>
      </w:r>
    </w:p>
    <w:p>
      <w:pPr>
        <w:spacing w:after="0" w:line="122" w:lineRule="exact"/>
        <w:rPr>
          <w:sz w:val="20"/>
          <w:szCs w:val="20"/>
          <w:color w:val="auto"/>
        </w:rPr>
      </w:pPr>
    </w:p>
    <w:p>
      <w:pPr>
        <w:ind w:right="100" w:firstLine="444"/>
        <w:spacing w:after="0" w:line="243" w:lineRule="auto"/>
        <w:rPr>
          <w:sz w:val="20"/>
          <w:szCs w:val="20"/>
          <w:color w:val="auto"/>
        </w:rPr>
      </w:pPr>
      <w:r>
        <w:rPr>
          <w:rFonts w:ascii="Times New Roman" w:cs="Times New Roman" w:eastAsia="Times New Roman" w:hAnsi="Times New Roman"/>
          <w:sz w:val="16"/>
          <w:szCs w:val="16"/>
          <w:color w:val="auto"/>
        </w:rPr>
        <w:t>The Company pays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spacing w:after="0" w:line="119" w:lineRule="exact"/>
        <w:rPr>
          <w:sz w:val="20"/>
          <w:szCs w:val="20"/>
          <w:color w:val="auto"/>
        </w:rPr>
      </w:pPr>
    </w:p>
    <w:p>
      <w:pPr>
        <w:ind w:firstLine="444"/>
        <w:spacing w:after="0" w:line="243" w:lineRule="auto"/>
        <w:rPr>
          <w:sz w:val="20"/>
          <w:szCs w:val="20"/>
          <w:color w:val="auto"/>
        </w:rPr>
      </w:pPr>
      <w:r>
        <w:rPr>
          <w:rFonts w:ascii="Times New Roman" w:cs="Times New Roman" w:eastAsia="Times New Roman" w:hAnsi="Times New Roman"/>
          <w:sz w:val="16"/>
          <w:szCs w:val="16"/>
          <w:color w:val="auto"/>
        </w:rPr>
        <w:t>Amounts available to borrow under the Credit Facility are subject to a minimum borrowing/collateral base that applies an advance rate to certain investments held by the Company, excluding investments held by the SBIC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19" w:lineRule="exact"/>
        <w:rPr>
          <w:sz w:val="20"/>
          <w:szCs w:val="20"/>
          <w:color w:val="auto"/>
        </w:rPr>
      </w:pPr>
    </w:p>
    <w:p>
      <w:pPr>
        <w:ind w:right="40" w:firstLine="444"/>
        <w:spacing w:after="0" w:line="299" w:lineRule="auto"/>
        <w:rPr>
          <w:sz w:val="20"/>
          <w:szCs w:val="20"/>
          <w:color w:val="auto"/>
        </w:rPr>
      </w:pPr>
      <w:r>
        <w:rPr>
          <w:rFonts w:ascii="Times New Roman" w:cs="Times New Roman" w:eastAsia="Times New Roman" w:hAnsi="Times New Roman"/>
          <w:sz w:val="14"/>
          <w:szCs w:val="14"/>
          <w:color w:val="auto"/>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September 30, 2024 and December 31, 2023, the Company was in compliance in all material respects with the terms of the Credit Agreement.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SBA debentures: </w:t>
      </w:r>
      <w:r>
        <w:rPr>
          <w:rFonts w:ascii="Times New Roman" w:cs="Times New Roman" w:eastAsia="Times New Roman" w:hAnsi="Times New Roman"/>
          <w:sz w:val="16"/>
          <w:szCs w:val="16"/>
          <w:color w:val="auto"/>
        </w:rPr>
        <w:t>The Company uses debenture leverage provided through the SBA to fund a portion of its investment purchases.</w:t>
      </w:r>
    </w:p>
    <w:p>
      <w:pPr>
        <w:spacing w:after="0" w:line="142" w:lineRule="exact"/>
        <w:rPr>
          <w:sz w:val="20"/>
          <w:szCs w:val="20"/>
          <w:color w:val="auto"/>
        </w:rPr>
      </w:pPr>
    </w:p>
    <w:p>
      <w:pPr>
        <w:ind w:right="20" w:firstLine="444"/>
        <w:spacing w:after="0" w:line="239" w:lineRule="auto"/>
        <w:rPr>
          <w:sz w:val="20"/>
          <w:szCs w:val="20"/>
          <w:color w:val="auto"/>
        </w:rPr>
      </w:pPr>
      <w:r>
        <w:rPr>
          <w:rFonts w:ascii="Times New Roman" w:cs="Times New Roman" w:eastAsia="Times New Roman" w:hAnsi="Times New Roman"/>
          <w:sz w:val="16"/>
          <w:szCs w:val="16"/>
          <w:color w:val="auto"/>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September 30, 2024 and December 31, 2023, there were no approved and unused SBA debenture commitments. The SBA may limit the amount that may be drawn each year under any SBA debenture commitments, and each issuance of leverage is conditioned on the SBICs full compliance, as determined by the SBA, with the terms and conditions under SBA regulations.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40" w:type="dxa"/>
            <w:vAlign w:val="bottom"/>
            <w:gridSpan w:val="6"/>
          </w:tcPr>
          <w:p>
            <w:pPr>
              <w:jc w:val="right"/>
              <w:ind w:right="222"/>
              <w:spacing w:after="0"/>
              <w:rPr>
                <w:sz w:val="20"/>
                <w:szCs w:val="20"/>
                <w:color w:val="auto"/>
              </w:rPr>
            </w:pPr>
            <w:r>
              <w:rPr>
                <w:rFonts w:ascii="Times New Roman" w:cs="Times New Roman" w:eastAsia="Times New Roman" w:hAnsi="Times New Roman"/>
                <w:sz w:val="16"/>
                <w:szCs w:val="16"/>
                <w:color w:val="auto"/>
              </w:rPr>
              <w:t>As of September 30, 2024 and December 31, 2023, the Company’s issued and outstanding SBA debentures mature as follows: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Pooling</w:t>
            </w:r>
          </w:p>
        </w:tc>
        <w:tc>
          <w:tcPr>
            <w:tcW w:w="18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Maturity</w:t>
            </w:r>
          </w:p>
        </w:tc>
        <w:tc>
          <w:tcPr>
            <w:tcW w:w="1840" w:type="dxa"/>
            <w:vAlign w:val="bottom"/>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Fixed</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0"/>
        </w:trPr>
        <w:tc>
          <w:tcPr>
            <w:tcW w:w="2900" w:type="dxa"/>
            <w:vAlign w:val="bottom"/>
          </w:tcPr>
          <w:p>
            <w:pPr>
              <w:jc w:val="center"/>
              <w:spacing w:after="0" w:line="230" w:lineRule="exact"/>
              <w:rPr>
                <w:sz w:val="20"/>
                <w:szCs w:val="20"/>
                <w:color w:val="auto"/>
              </w:rPr>
            </w:pPr>
            <w:r>
              <w:rPr>
                <w:rFonts w:ascii="Times New Roman" w:cs="Times New Roman" w:eastAsia="Times New Roman" w:hAnsi="Times New Roman"/>
                <w:sz w:val="16"/>
                <w:szCs w:val="16"/>
                <w:b w:val="1"/>
                <w:bCs w:val="1"/>
                <w:color w:val="auto"/>
                <w:w w:val="87"/>
              </w:rPr>
              <w:t xml:space="preserve">Date </w:t>
            </w:r>
            <w:r>
              <w:rPr>
                <w:rFonts w:ascii="Times New Roman" w:cs="Times New Roman" w:eastAsia="Times New Roman" w:hAnsi="Times New Roman"/>
                <w:sz w:val="21"/>
                <w:szCs w:val="21"/>
                <w:b w:val="1"/>
                <w:bCs w:val="1"/>
                <w:color w:val="auto"/>
                <w:w w:val="87"/>
                <w:vertAlign w:val="superscript"/>
              </w:rPr>
              <w:t>(1)</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1840" w:type="dxa"/>
            <w:vAlign w:val="bottom"/>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3/23/2016</w:t>
            </w:r>
          </w:p>
        </w:tc>
        <w:tc>
          <w:tcPr>
            <w:tcW w:w="188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3/1/2026</w:t>
            </w:r>
          </w:p>
        </w:tc>
        <w:tc>
          <w:tcPr>
            <w:tcW w:w="1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3.267</w:t>
            </w:r>
          </w:p>
        </w:tc>
        <w:tc>
          <w:tcPr>
            <w:tcW w:w="500" w:type="dxa"/>
            <w:vAlign w:val="bottom"/>
            <w:shd w:val="clear" w:color="auto" w:fill="CFF0FC"/>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9/21/2016</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4"/>
              </w:rPr>
              <w:t>9/1/2026</w:t>
            </w: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2.793</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9/20/2017</w:t>
            </w:r>
          </w:p>
        </w:tc>
        <w:tc>
          <w:tcPr>
            <w:tcW w:w="188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6"/>
                <w:szCs w:val="16"/>
                <w:color w:val="auto"/>
                <w:w w:val="94"/>
              </w:rPr>
              <w:t>9/1/2027</w:t>
            </w:r>
          </w:p>
        </w:tc>
        <w:tc>
          <w:tcPr>
            <w:tcW w:w="1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3.260</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9/20/2017</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4"/>
              </w:rPr>
              <w:t>9/1/2027</w:t>
            </w: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3.190</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9/25/2019</w:t>
            </w:r>
          </w:p>
        </w:tc>
        <w:tc>
          <w:tcPr>
            <w:tcW w:w="188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6"/>
                <w:szCs w:val="16"/>
                <w:color w:val="auto"/>
                <w:w w:val="94"/>
              </w:rPr>
              <w:t>9/1/2029</w:t>
            </w:r>
          </w:p>
        </w:tc>
        <w:tc>
          <w:tcPr>
            <w:tcW w:w="1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2.377</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3/25/2020</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3/1/2030</w:t>
            </w: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2.172</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9/22/2021</w:t>
            </w:r>
          </w:p>
        </w:tc>
        <w:tc>
          <w:tcPr>
            <w:tcW w:w="188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6"/>
                <w:szCs w:val="16"/>
                <w:color w:val="auto"/>
                <w:w w:val="94"/>
              </w:rPr>
              <w:t>9/1/2031</w:t>
            </w:r>
          </w:p>
        </w:tc>
        <w:tc>
          <w:tcPr>
            <w:tcW w:w="1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1.398</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3/23/2022</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3/1/2032</w:t>
            </w: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3.209</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9/21/2022</w:t>
            </w:r>
          </w:p>
        </w:tc>
        <w:tc>
          <w:tcPr>
            <w:tcW w:w="188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6"/>
                <w:szCs w:val="16"/>
                <w:color w:val="auto"/>
                <w:w w:val="94"/>
              </w:rPr>
              <w:t>9/1/2032</w:t>
            </w:r>
          </w:p>
        </w:tc>
        <w:tc>
          <w:tcPr>
            <w:tcW w:w="1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4.533</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5.439</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5.341</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5.341</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5.439</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5.439</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5.341</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3/22/2023</w:t>
            </w:r>
          </w:p>
        </w:tc>
        <w:tc>
          <w:tcPr>
            <w:tcW w:w="1880" w:type="dxa"/>
            <w:vAlign w:val="bottom"/>
            <w:vMerge w:val="restart"/>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3/1/2033</w:t>
            </w: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5.341</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900" w:type="dxa"/>
            <w:vAlign w:val="bottom"/>
            <w:vMerge w:val="continue"/>
          </w:tcPr>
          <w:p>
            <w:pPr>
              <w:spacing w:after="0"/>
              <w:rPr>
                <w:sz w:val="11"/>
                <w:szCs w:val="11"/>
                <w:color w:val="auto"/>
              </w:rPr>
            </w:pPr>
          </w:p>
        </w:tc>
        <w:tc>
          <w:tcPr>
            <w:tcW w:w="1880" w:type="dxa"/>
            <w:vAlign w:val="bottom"/>
            <w:vMerge w:val="continue"/>
          </w:tcPr>
          <w:p>
            <w:pPr>
              <w:spacing w:after="0"/>
              <w:rPr>
                <w:sz w:val="11"/>
                <w:szCs w:val="11"/>
                <w:color w:val="auto"/>
              </w:rPr>
            </w:pPr>
          </w:p>
        </w:tc>
        <w:tc>
          <w:tcPr>
            <w:tcW w:w="1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9/20/2023</w:t>
            </w:r>
          </w:p>
        </w:tc>
        <w:tc>
          <w:tcPr>
            <w:tcW w:w="188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6"/>
                <w:szCs w:val="16"/>
                <w:color w:val="auto"/>
                <w:w w:val="94"/>
              </w:rPr>
              <w:t>9/1/2033</w:t>
            </w:r>
          </w:p>
        </w:tc>
        <w:tc>
          <w:tcPr>
            <w:tcW w:w="1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5.861</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9/20/2023</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4"/>
              </w:rPr>
              <w:t>9/1/2033</w:t>
            </w: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5.861</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9/20/2023</w:t>
            </w:r>
          </w:p>
        </w:tc>
        <w:tc>
          <w:tcPr>
            <w:tcW w:w="188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6"/>
                <w:szCs w:val="16"/>
                <w:color w:val="auto"/>
                <w:w w:val="94"/>
              </w:rPr>
              <w:t>9/1/2033</w:t>
            </w:r>
          </w:p>
        </w:tc>
        <w:tc>
          <w:tcPr>
            <w:tcW w:w="1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5.861</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9/20/2023</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4"/>
              </w:rPr>
              <w:t>9/1/2033</w:t>
            </w: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5.861</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9/20/2023</w:t>
            </w:r>
          </w:p>
        </w:tc>
        <w:tc>
          <w:tcPr>
            <w:tcW w:w="188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6"/>
                <w:szCs w:val="16"/>
                <w:color w:val="auto"/>
                <w:w w:val="94"/>
              </w:rPr>
              <w:t>9/1/2033</w:t>
            </w:r>
          </w:p>
        </w:tc>
        <w:tc>
          <w:tcPr>
            <w:tcW w:w="1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5.735</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3/20/2024</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3/1/2034</w:t>
            </w: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5.082</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3/20/2024</w:t>
            </w:r>
          </w:p>
        </w:tc>
        <w:tc>
          <w:tcPr>
            <w:tcW w:w="188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3/1/2034</w:t>
            </w:r>
          </w:p>
        </w:tc>
        <w:tc>
          <w:tcPr>
            <w:tcW w:w="1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5.082</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3/20/2024</w:t>
            </w:r>
          </w:p>
        </w:tc>
        <w:tc>
          <w:tcPr>
            <w:tcW w:w="18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3/1/2034</w:t>
            </w:r>
          </w:p>
        </w:tc>
        <w:tc>
          <w:tcPr>
            <w:tcW w:w="18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5.082</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8"/>
              </w:rPr>
              <w:t>3/20/2024</w:t>
            </w:r>
          </w:p>
        </w:tc>
        <w:tc>
          <w:tcPr>
            <w:tcW w:w="1880" w:type="dxa"/>
            <w:vAlign w:val="bottom"/>
            <w:shd w:val="clear" w:color="auto" w:fill="CFF0FC"/>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3/1/2034</w:t>
            </w:r>
          </w:p>
        </w:tc>
        <w:tc>
          <w:tcPr>
            <w:tcW w:w="18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5.082</w:t>
            </w:r>
          </w:p>
        </w:tc>
        <w:tc>
          <w:tcPr>
            <w:tcW w:w="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3/20/2024</w:t>
            </w:r>
          </w:p>
        </w:tc>
        <w:tc>
          <w:tcPr>
            <w:tcW w:w="1880" w:type="dxa"/>
            <w:vAlign w:val="bottom"/>
            <w:vMerge w:val="restart"/>
          </w:tcPr>
          <w:p>
            <w:pPr>
              <w:jc w:val="center"/>
              <w:ind w:left="142"/>
              <w:spacing w:after="0"/>
              <w:rPr>
                <w:sz w:val="20"/>
                <w:szCs w:val="20"/>
                <w:color w:val="auto"/>
              </w:rPr>
            </w:pPr>
            <w:r>
              <w:rPr>
                <w:rFonts w:ascii="Times New Roman" w:cs="Times New Roman" w:eastAsia="Times New Roman" w:hAnsi="Times New Roman"/>
                <w:sz w:val="16"/>
                <w:szCs w:val="16"/>
                <w:color w:val="auto"/>
                <w:w w:val="94"/>
              </w:rPr>
              <w:t>3/1/2034</w:t>
            </w:r>
          </w:p>
        </w:tc>
        <w:tc>
          <w:tcPr>
            <w:tcW w:w="18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5.082</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90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outstanding SBA debentures</w:t>
            </w:r>
          </w:p>
        </w:tc>
        <w:tc>
          <w:tcPr>
            <w:tcW w:w="1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460" w:right="20" w:hanging="442"/>
        <w:spacing w:after="0" w:line="286" w:lineRule="auto"/>
        <w:tabs>
          <w:tab w:leader="none" w:pos="4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SBA has two scheduled pooling dates for debentures (in March and in September). Certain debentures funded during the reporting periods may not be pooled until the subsequent pooling date.</w:t>
      </w:r>
    </w:p>
    <w:p>
      <w:pPr>
        <w:spacing w:after="0" w:line="108" w:lineRule="exact"/>
        <w:rPr>
          <w:sz w:val="20"/>
          <w:szCs w:val="20"/>
          <w:color w:val="auto"/>
        </w:rPr>
      </w:pPr>
    </w:p>
    <w:p>
      <w:pPr>
        <w:ind w:right="40" w:firstLine="432"/>
        <w:spacing w:after="0"/>
        <w:rPr>
          <w:sz w:val="20"/>
          <w:szCs w:val="20"/>
          <w:color w:val="auto"/>
        </w:rPr>
      </w:pPr>
      <w:r>
        <w:rPr>
          <w:rFonts w:ascii="Times New Roman" w:cs="Times New Roman" w:eastAsia="Times New Roman" w:hAnsi="Times New Roman"/>
          <w:sz w:val="16"/>
          <w:szCs w:val="16"/>
          <w:i w:val="1"/>
          <w:iCs w:val="1"/>
          <w:color w:val="auto"/>
        </w:rPr>
        <w:t xml:space="preserve">Notes: </w:t>
      </w:r>
      <w:r>
        <w:rPr>
          <w:rFonts w:ascii="Times New Roman" w:cs="Times New Roman" w:eastAsia="Times New Roman" w:hAnsi="Times New Roman"/>
          <w:sz w:val="16"/>
          <w:szCs w:val="16"/>
          <w:color w:val="auto"/>
        </w:rPr>
        <w:t>On December 23, 2020, the Company closed the offering of $125,000 in aggregate principal amount of its 4.75% notes due 2026, or the “January 2026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Notes”. The total net proceeds to the Company from the January 2026 Notes, based on a public offering price of 100.00% of par, after deducting underwriting discounts of $ 2,500 and offering expenses of $366, were approximately $122,134.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The Company does not intend to list the January 2026 Notes on any securities exchange or automated dealer quotation system.</w:t>
      </w:r>
    </w:p>
    <w:p>
      <w:pPr>
        <w:spacing w:after="0" w:line="122" w:lineRule="exact"/>
        <w:rPr>
          <w:sz w:val="20"/>
          <w:szCs w:val="20"/>
          <w:color w:val="auto"/>
        </w:rPr>
      </w:pPr>
    </w:p>
    <w:p>
      <w:pPr>
        <w:ind w:right="240" w:firstLine="432"/>
        <w:spacing w:after="0" w:line="281" w:lineRule="auto"/>
        <w:rPr>
          <w:sz w:val="20"/>
          <w:szCs w:val="20"/>
          <w:color w:val="auto"/>
        </w:rPr>
      </w:pPr>
      <w:r>
        <w:rPr>
          <w:rFonts w:ascii="Times New Roman" w:cs="Times New Roman" w:eastAsia="Times New Roman" w:hAnsi="Times New Roman"/>
          <w:sz w:val="14"/>
          <w:szCs w:val="14"/>
          <w:color w:val="auto"/>
        </w:rPr>
        <w:t>On October 8, 2021, the Company closed the offering of $125,000 in aggregate principal amount of its 3.50% notes due 2026, or the “November 2026 Notes” (collectively with the January 2026 Notes, the “Notes”). The total net proceeds to the Company from the November 2026 Notes, based on a public offering price of</w:t>
      </w:r>
    </w:p>
    <w:p>
      <w:pPr>
        <w:spacing w:after="0" w:line="1"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6"/>
          <w:szCs w:val="16"/>
          <w:color w:val="auto"/>
        </w:rPr>
        <w:t>99. 996% of par, after deducting underwriting discounts of $2,500 and offering expenses of $318, were approximately $122,177.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The Company does not intend to list the November 2026 Notes on any securities exchange or automated dealer quotation system.</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36" w:name="page37"/>
    <w:bookmarkEnd w:id="36"/>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2" w:lineRule="exact"/>
        <w:rPr>
          <w:sz w:val="20"/>
          <w:szCs w:val="20"/>
          <w:color w:val="auto"/>
        </w:rPr>
      </w:pPr>
    </w:p>
    <w:p>
      <w:pPr>
        <w:ind w:right="40" w:firstLine="432"/>
        <w:spacing w:after="0" w:line="243" w:lineRule="auto"/>
        <w:rPr>
          <w:sz w:val="20"/>
          <w:szCs w:val="20"/>
          <w:color w:val="auto"/>
        </w:rPr>
      </w:pPr>
      <w:r>
        <w:rPr>
          <w:rFonts w:ascii="Times New Roman" w:cs="Times New Roman" w:eastAsia="Times New Roman" w:hAnsi="Times New Roman"/>
          <w:sz w:val="16"/>
          <w:szCs w:val="16"/>
          <w:color w:val="auto"/>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 including the Credit Facility.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Secured Borrowing</w:t>
      </w:r>
    </w:p>
    <w:p>
      <w:pPr>
        <w:spacing w:after="0" w:line="142" w:lineRule="exact"/>
        <w:rPr>
          <w:sz w:val="20"/>
          <w:szCs w:val="20"/>
          <w:color w:val="auto"/>
        </w:rPr>
      </w:pPr>
    </w:p>
    <w:p>
      <w:pPr>
        <w:ind w:right="140" w:firstLine="432"/>
        <w:spacing w:after="0" w:line="284" w:lineRule="auto"/>
        <w:rPr>
          <w:sz w:val="20"/>
          <w:szCs w:val="20"/>
          <w:color w:val="auto"/>
        </w:rPr>
      </w:pPr>
      <w:r>
        <w:rPr>
          <w:rFonts w:ascii="Times New Roman" w:cs="Times New Roman" w:eastAsia="Times New Roman" w:hAnsi="Times New Roman"/>
          <w:sz w:val="14"/>
          <w:szCs w:val="14"/>
          <w:color w:val="auto"/>
        </w:rPr>
        <w:t>As of September 30, 2024 and December 31, 2023, the carrying value of secured borrowings totaled $14,025 and $15,880, respectively, and the fair value of the associated loans included in investments was $14,019 and $15,800, respectively.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As a result, sale treatment was not permitted and these partial loan sales were treated as secured borrowings. The weighted average interest rate on our secured borrowings was approximately 8.9% and 9.4% as of September 30, 2024, and December 31,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Securities</w:t>
      </w:r>
    </w:p>
    <w:p>
      <w:pPr>
        <w:spacing w:after="0" w:line="142" w:lineRule="exact"/>
        <w:rPr>
          <w:sz w:val="20"/>
          <w:szCs w:val="20"/>
          <w:color w:val="auto"/>
        </w:rPr>
      </w:pPr>
    </w:p>
    <w:p>
      <w:pPr>
        <w:ind w:right="140" w:firstLine="432"/>
        <w:spacing w:after="0" w:line="241" w:lineRule="auto"/>
        <w:rPr>
          <w:sz w:val="20"/>
          <w:szCs w:val="20"/>
          <w:color w:val="auto"/>
        </w:rPr>
      </w:pPr>
      <w:r>
        <w:rPr>
          <w:rFonts w:ascii="Times New Roman" w:cs="Times New Roman" w:eastAsia="Times New Roman" w:hAnsi="Times New Roman"/>
          <w:sz w:val="16"/>
          <w:szCs w:val="16"/>
          <w:color w:val="auto"/>
        </w:rPr>
        <w:t>As of September 30, 2024 and December 31, 2023, the aggregate amount outstanding of the senior securities (including secured borrowings) issued by the Company was $304,025 and $265,880, respectively, for which our asset coverage was 316.7% and 321.7%, respectively. The SBA debentures are excluded from the definition “senior securities” in the asset coverage requirement applicable to the Company under the 1940 Act pursuant to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and Financing Expenses</w:t>
      </w:r>
    </w:p>
    <w:p>
      <w:pPr>
        <w:spacing w:after="0" w:line="142" w:lineRule="exact"/>
        <w:rPr>
          <w:sz w:val="20"/>
          <w:szCs w:val="20"/>
          <w:color w:val="auto"/>
        </w:rPr>
      </w:pPr>
    </w:p>
    <w:p>
      <w:pPr>
        <w:ind w:right="260" w:firstLine="432"/>
        <w:spacing w:after="0" w:line="259" w:lineRule="auto"/>
        <w:rPr>
          <w:sz w:val="20"/>
          <w:szCs w:val="20"/>
          <w:color w:val="auto"/>
        </w:rPr>
      </w:pPr>
      <w:r>
        <w:rPr>
          <w:rFonts w:ascii="Times New Roman" w:cs="Times New Roman" w:eastAsia="Times New Roman" w:hAnsi="Times New Roman"/>
          <w:sz w:val="16"/>
          <w:szCs w:val="16"/>
          <w:color w:val="auto"/>
        </w:rPr>
        <w:t>Interest and fees related to the Company’s debt for the three and nine months ended September 30, 2024 and 2023 which are included in interest and financing expenses on the consolidated statements of operations,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7"/>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Three Months Ended September 30, 2024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SBA</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Credit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Secured</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debentures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Borrowings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Notes</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Stated interest expense</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1,903</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4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2,577</w:t>
            </w:r>
          </w:p>
        </w:tc>
        <w:tc>
          <w:tcPr>
            <w:tcW w:w="54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5,509</w:t>
            </w:r>
          </w:p>
        </w:tc>
        <w:tc>
          <w:tcPr>
            <w:tcW w:w="80" w:type="dxa"/>
            <w:vAlign w:val="bottom"/>
            <w:shd w:val="clear" w:color="auto" w:fill="CCEEFF"/>
          </w:tcPr>
          <w:p>
            <w:pPr>
              <w:spacing w:after="0"/>
              <w:rPr>
                <w:sz w:val="16"/>
                <w:szCs w:val="16"/>
                <w:color w:val="auto"/>
              </w:rPr>
            </w:pP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0" w:type="dxa"/>
            <w:vAlign w:val="bottom"/>
          </w:tcPr>
          <w:p>
            <w:pPr>
              <w:spacing w:after="0"/>
              <w:rPr>
                <w:sz w:val="15"/>
                <w:szCs w:val="15"/>
                <w:color w:val="auto"/>
              </w:rPr>
            </w:pPr>
          </w:p>
        </w:tc>
      </w:tr>
      <w:tr>
        <w:trPr>
          <w:trHeight w:val="22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interest and financing expenses</w:t>
            </w: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2,859</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6,026</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20" w:type="dxa"/>
            <w:vAlign w:val="bottom"/>
            <w:gridSpan w:val="8"/>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2023</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4"/>
              </w:rPr>
              <w:t>SBA</w:t>
            </w:r>
          </w:p>
        </w:tc>
        <w:tc>
          <w:tcPr>
            <w:tcW w:w="180" w:type="dxa"/>
            <w:vAlign w:val="bottom"/>
          </w:tcPr>
          <w:p>
            <w:pPr>
              <w:spacing w:after="0"/>
              <w:rPr>
                <w:sz w:val="15"/>
                <w:szCs w:val="15"/>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9"/>
              </w:rPr>
              <w:t>Credit</w:t>
            </w:r>
          </w:p>
        </w:tc>
        <w:tc>
          <w:tcPr>
            <w:tcW w:w="14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Secured</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debentures</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Borrowings</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Stated interest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1,899</w:t>
            </w:r>
          </w:p>
        </w:tc>
        <w:tc>
          <w:tcPr>
            <w:tcW w:w="28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260" w:type="dxa"/>
            <w:vAlign w:val="bottom"/>
          </w:tcPr>
          <w:p>
            <w:pPr>
              <w:spacing w:after="0"/>
              <w:rPr>
                <w:sz w:val="15"/>
                <w:szCs w:val="15"/>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2,578</w:t>
            </w:r>
          </w:p>
        </w:tc>
        <w:tc>
          <w:tcPr>
            <w:tcW w:w="28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interest and financing expenses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2,090</w:t>
            </w:r>
          </w:p>
        </w:tc>
        <w:tc>
          <w:tcPr>
            <w:tcW w:w="280" w:type="dxa"/>
            <w:vAlign w:val="bottom"/>
          </w:tcPr>
          <w:p>
            <w:pPr>
              <w:spacing w:after="0"/>
              <w:rPr>
                <w:sz w:val="15"/>
                <w:szCs w:val="15"/>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2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260" w:type="dxa"/>
            <w:vAlign w:val="bottom"/>
          </w:tcPr>
          <w:p>
            <w:pPr>
              <w:spacing w:after="0"/>
              <w:rPr>
                <w:sz w:val="15"/>
                <w:szCs w:val="15"/>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2,860</w:t>
            </w:r>
          </w:p>
        </w:tc>
        <w:tc>
          <w:tcPr>
            <w:tcW w:w="280" w:type="dxa"/>
            <w:vAlign w:val="bottom"/>
          </w:tcPr>
          <w:p>
            <w:pPr>
              <w:spacing w:after="0"/>
              <w:rPr>
                <w:sz w:val="15"/>
                <w:szCs w:val="15"/>
                <w:color w:val="auto"/>
              </w:rPr>
            </w:pPr>
          </w:p>
        </w:tc>
        <w:tc>
          <w:tcPr>
            <w:tcW w:w="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SBA debentures</w:t>
            </w:r>
          </w:p>
        </w:tc>
        <w:tc>
          <w:tcPr>
            <w:tcW w:w="12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Credit Facility</w:t>
            </w:r>
          </w:p>
        </w:tc>
        <w:tc>
          <w:tcPr>
            <w:tcW w:w="14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Secured</w:t>
            </w:r>
          </w:p>
        </w:tc>
        <w:tc>
          <w:tcPr>
            <w:tcW w:w="300" w:type="dxa"/>
            <w:vAlign w:val="bottom"/>
          </w:tcPr>
          <w:p>
            <w:pPr>
              <w:spacing w:after="0"/>
              <w:rPr>
                <w:sz w:val="14"/>
                <w:szCs w:val="14"/>
                <w:color w:val="auto"/>
              </w:rPr>
            </w:pPr>
          </w:p>
        </w:tc>
        <w:tc>
          <w:tcPr>
            <w:tcW w:w="9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260" w:type="dxa"/>
            <w:vAlign w:val="bottom"/>
          </w:tcPr>
          <w:p>
            <w:pPr>
              <w:spacing w:after="0"/>
              <w:rPr>
                <w:sz w:val="14"/>
                <w:szCs w:val="14"/>
                <w:color w:val="auto"/>
              </w:rPr>
            </w:pPr>
          </w:p>
        </w:tc>
        <w:tc>
          <w:tcPr>
            <w:tcW w:w="102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90"/>
        </w:trPr>
        <w:tc>
          <w:tcPr>
            <w:tcW w:w="4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Borrowings</w:t>
            </w:r>
          </w:p>
        </w:tc>
        <w:tc>
          <w:tcPr>
            <w:tcW w:w="3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Stated interest expense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5,905</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1,703</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1,208</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7,733</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16,549</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interest and financing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6,384</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1,937</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8,571</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18,100</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stated interest rate, period end</w:t>
            </w:r>
          </w:p>
        </w:tc>
        <w:tc>
          <w:tcPr>
            <w:tcW w:w="10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4.316 %</w:t>
            </w:r>
          </w:p>
        </w:tc>
        <w:tc>
          <w:tcPr>
            <w:tcW w:w="1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7.859 %</w:t>
            </w:r>
          </w:p>
        </w:tc>
        <w:tc>
          <w:tcPr>
            <w:tcW w:w="14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8.915 %</w:t>
            </w:r>
          </w:p>
        </w:tc>
        <w:tc>
          <w:tcPr>
            <w:tcW w:w="30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4.125 %</w:t>
            </w:r>
          </w:p>
        </w:tc>
        <w:tc>
          <w:tcPr>
            <w:tcW w:w="2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4.647 %</w:t>
            </w:r>
          </w:p>
        </w:tc>
        <w:tc>
          <w:tcPr>
            <w:tcW w:w="0" w:type="dxa"/>
            <w:vAlign w:val="bottom"/>
          </w:tcPr>
          <w:p>
            <w:pPr>
              <w:spacing w:after="0"/>
              <w:rPr>
                <w:sz w:val="1"/>
                <w:szCs w:val="1"/>
                <w:color w:val="auto"/>
              </w:rPr>
            </w:pPr>
          </w:p>
        </w:tc>
      </w:tr>
      <w:tr>
        <w:trPr>
          <w:trHeight w:val="184"/>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xml:space="preserve">Effective interest rate </w:t>
            </w:r>
            <w:r>
              <w:rPr>
                <w:rFonts w:ascii="Times New Roman" w:cs="Times New Roman" w:eastAsia="Times New Roman" w:hAnsi="Times New Roman"/>
                <w:sz w:val="16"/>
                <w:szCs w:val="16"/>
                <w:color w:val="auto"/>
                <w:vertAlign w:val="superscript"/>
              </w:rPr>
              <w:t>(1)</w:t>
            </w:r>
          </w:p>
        </w:tc>
        <w:tc>
          <w:tcPr>
            <w:tcW w:w="1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4.658 %</w:t>
            </w: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8.145 %</w:t>
            </w: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8.915 %</w:t>
            </w:r>
          </w:p>
        </w:tc>
        <w:tc>
          <w:tcPr>
            <w:tcW w:w="3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4.576 %</w:t>
            </w:r>
          </w:p>
        </w:tc>
        <w:tc>
          <w:tcPr>
            <w:tcW w:w="2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5.043 %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Unused commitment fee rate, period end</w:t>
            </w:r>
          </w:p>
        </w:tc>
        <w:tc>
          <w:tcPr>
            <w:tcW w:w="100" w:type="dxa"/>
            <w:vAlign w:val="bottom"/>
          </w:tcPr>
          <w:p>
            <w:pPr>
              <w:spacing w:after="0"/>
              <w:rPr>
                <w:sz w:val="14"/>
                <w:szCs w:val="14"/>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0.696 %</w:t>
            </w:r>
          </w:p>
        </w:tc>
        <w:tc>
          <w:tcPr>
            <w:tcW w:w="14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0.696 %</w:t>
            </w:r>
          </w:p>
        </w:tc>
        <w:tc>
          <w:tcPr>
            <w:tcW w:w="0" w:type="dxa"/>
            <w:vAlign w:val="bottom"/>
          </w:tcPr>
          <w:p>
            <w:pPr>
              <w:spacing w:after="0"/>
              <w:rPr>
                <w:sz w:val="1"/>
                <w:szCs w:val="1"/>
                <w:color w:val="auto"/>
              </w:rPr>
            </w:pPr>
          </w:p>
        </w:tc>
      </w:tr>
      <w:tr>
        <w:trPr>
          <w:trHeight w:val="360"/>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 2023</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SBA debentures</w:t>
            </w:r>
          </w:p>
        </w:tc>
        <w:tc>
          <w:tcPr>
            <w:tcW w:w="12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Credit Facility</w:t>
            </w:r>
          </w:p>
        </w:tc>
        <w:tc>
          <w:tcPr>
            <w:tcW w:w="14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Secured</w:t>
            </w:r>
          </w:p>
        </w:tc>
        <w:tc>
          <w:tcPr>
            <w:tcW w:w="300" w:type="dxa"/>
            <w:vAlign w:val="bottom"/>
          </w:tcPr>
          <w:p>
            <w:pPr>
              <w:spacing w:after="0"/>
              <w:rPr>
                <w:sz w:val="14"/>
                <w:szCs w:val="14"/>
                <w:color w:val="auto"/>
              </w:rPr>
            </w:pPr>
          </w:p>
        </w:tc>
        <w:tc>
          <w:tcPr>
            <w:tcW w:w="9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w w:val="96"/>
              </w:rPr>
              <w:t>Notes</w:t>
            </w:r>
          </w:p>
        </w:tc>
        <w:tc>
          <w:tcPr>
            <w:tcW w:w="260" w:type="dxa"/>
            <w:vAlign w:val="bottom"/>
          </w:tcPr>
          <w:p>
            <w:pPr>
              <w:spacing w:after="0"/>
              <w:rPr>
                <w:sz w:val="14"/>
                <w:szCs w:val="14"/>
                <w:color w:val="auto"/>
              </w:rPr>
            </w:pPr>
          </w:p>
        </w:tc>
        <w:tc>
          <w:tcPr>
            <w:tcW w:w="102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90"/>
        </w:trPr>
        <w:tc>
          <w:tcPr>
            <w:tcW w:w="4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Borrowings</w:t>
            </w:r>
          </w:p>
        </w:tc>
        <w:tc>
          <w:tcPr>
            <w:tcW w:w="3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Stated interest expense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4,818</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1,396</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7,734</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15,168</w:t>
            </w:r>
          </w:p>
        </w:tc>
        <w:tc>
          <w:tcPr>
            <w:tcW w:w="8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interest and financing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5,354</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8,569</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16,761</w:t>
            </w: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stated interest rate, period end</w:t>
            </w:r>
          </w:p>
        </w:tc>
        <w:tc>
          <w:tcPr>
            <w:tcW w:w="10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4.016 %</w:t>
            </w:r>
          </w:p>
        </w:tc>
        <w:tc>
          <w:tcPr>
            <w:tcW w:w="180" w:type="dxa"/>
            <w:vAlign w:val="bottom"/>
          </w:tcPr>
          <w:p>
            <w:pPr>
              <w:spacing w:after="0"/>
              <w:rPr>
                <w:sz w:val="13"/>
                <w:szCs w:val="13"/>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9.291 %</w:t>
            </w:r>
          </w:p>
        </w:tc>
        <w:tc>
          <w:tcPr>
            <w:tcW w:w="30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4.125 %</w:t>
            </w:r>
          </w:p>
        </w:tc>
        <w:tc>
          <w:tcPr>
            <w:tcW w:w="2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4.265 %</w:t>
            </w:r>
          </w:p>
        </w:tc>
        <w:tc>
          <w:tcPr>
            <w:tcW w:w="0" w:type="dxa"/>
            <w:vAlign w:val="bottom"/>
          </w:tcPr>
          <w:p>
            <w:pPr>
              <w:spacing w:after="0"/>
              <w:rPr>
                <w:sz w:val="1"/>
                <w:szCs w:val="1"/>
                <w:color w:val="auto"/>
              </w:rPr>
            </w:pPr>
          </w:p>
        </w:tc>
      </w:tr>
      <w:tr>
        <w:trPr>
          <w:trHeight w:val="184"/>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 xml:space="preserve">Effective interest rate </w:t>
            </w:r>
            <w:r>
              <w:rPr>
                <w:rFonts w:ascii="Times New Roman" w:cs="Times New Roman" w:eastAsia="Times New Roman" w:hAnsi="Times New Roman"/>
                <w:sz w:val="16"/>
                <w:szCs w:val="16"/>
                <w:color w:val="auto"/>
                <w:vertAlign w:val="superscript"/>
              </w:rPr>
              <w:t>(1)</w:t>
            </w:r>
          </w:p>
        </w:tc>
        <w:tc>
          <w:tcPr>
            <w:tcW w:w="1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4.257 %</w:t>
            </w: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N/A</w:t>
            </w: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9.291 %</w:t>
            </w:r>
          </w:p>
        </w:tc>
        <w:tc>
          <w:tcPr>
            <w:tcW w:w="3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4.576 %</w:t>
            </w:r>
          </w:p>
        </w:tc>
        <w:tc>
          <w:tcPr>
            <w:tcW w:w="2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4.584 %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Unused commitment fee rate, period end</w:t>
            </w:r>
          </w:p>
        </w:tc>
        <w:tc>
          <w:tcPr>
            <w:tcW w:w="100" w:type="dxa"/>
            <w:vAlign w:val="bottom"/>
          </w:tcPr>
          <w:p>
            <w:pPr>
              <w:spacing w:after="0"/>
              <w:rPr>
                <w:sz w:val="14"/>
                <w:szCs w:val="14"/>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1.261 %</w:t>
            </w:r>
          </w:p>
        </w:tc>
        <w:tc>
          <w:tcPr>
            <w:tcW w:w="14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N/A</w:t>
            </w:r>
          </w:p>
        </w:tc>
        <w:tc>
          <w:tcPr>
            <w:tcW w:w="3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N/A</w:t>
            </w:r>
          </w:p>
        </w:tc>
        <w:tc>
          <w:tcPr>
            <w:tcW w:w="26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1.261 %</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The effective interest rate is equal to the weighted average stated interest rate plus the amortization of deferred financing costs.</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131" w:right="640"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Realized Losses on Extinguishment of Debt</w:t>
      </w:r>
    </w:p>
    <w:p>
      <w:pPr>
        <w:spacing w:after="0" w:line="142" w:lineRule="exact"/>
        <w:rPr>
          <w:sz w:val="20"/>
          <w:szCs w:val="20"/>
          <w:color w:val="auto"/>
        </w:rPr>
      </w:pPr>
    </w:p>
    <w:p>
      <w:pPr>
        <w:ind w:firstLine="432"/>
        <w:spacing w:after="0" w:line="241" w:lineRule="auto"/>
        <w:rPr>
          <w:sz w:val="20"/>
          <w:szCs w:val="20"/>
          <w:color w:val="auto"/>
        </w:rPr>
      </w:pPr>
      <w:r>
        <w:rPr>
          <w:rFonts w:ascii="Times New Roman" w:cs="Times New Roman" w:eastAsia="Times New Roman" w:hAnsi="Times New Roman"/>
          <w:sz w:val="16"/>
          <w:szCs w:val="16"/>
          <w:color w:val="auto"/>
        </w:rPr>
        <w:t>During the three and nine months ended September 30, 2024, the Company prepaid zero and $35,000 of SBA debentures, respectively, which were scheduled to mature on dates ranging from 2026 to 2027. During the three and nine months ended September 30, 2023, the Company prepaid $5,000 and $5,000 of SBA debentures, respectively, which were scheduled to mature on dates ranging from 2025 to 2026. As a result of the prepayments, the Company recognized realized losses on extinguishment of debt of $521 and $23 equal to the write-off of the related unamortized deferred financing costs, during the nine months ended September 30, 2024 and 2023,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Deferred Financing Costs</w:t>
      </w:r>
    </w:p>
    <w:p>
      <w:pPr>
        <w:spacing w:after="0" w:line="142" w:lineRule="exact"/>
        <w:rPr>
          <w:sz w:val="20"/>
          <w:szCs w:val="20"/>
          <w:color w:val="auto"/>
        </w:rPr>
      </w:pPr>
    </w:p>
    <w:p>
      <w:pPr>
        <w:jc w:val="both"/>
        <w:ind w:right="40" w:firstLine="432"/>
        <w:spacing w:after="0" w:line="247" w:lineRule="auto"/>
        <w:rPr>
          <w:sz w:val="20"/>
          <w:szCs w:val="20"/>
          <w:color w:val="auto"/>
        </w:rPr>
      </w:pPr>
      <w:r>
        <w:rPr>
          <w:rFonts w:ascii="Times New Roman" w:cs="Times New Roman" w:eastAsia="Times New Roman" w:hAnsi="Times New Roman"/>
          <w:sz w:val="16"/>
          <w:szCs w:val="16"/>
          <w:color w:val="auto"/>
        </w:rPr>
        <w:t>Deferred financing costs are amortized into interest and financing expenses on the consolidated statements of operations, using the effective interest method, over the term of the respective financing instrument. Deferred financing costs related to the SBA debentures, the Credit Facility, and the Notes as of September 30, 2024 and December 31, 2023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SBA</w:t>
            </w:r>
          </w:p>
        </w:tc>
        <w:tc>
          <w:tcPr>
            <w:tcW w:w="10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Credit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SBA</w:t>
            </w:r>
          </w:p>
        </w:tc>
        <w:tc>
          <w:tcPr>
            <w:tcW w:w="10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Credit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debentures</w:t>
            </w:r>
          </w:p>
        </w:tc>
        <w:tc>
          <w:tcPr>
            <w:tcW w:w="100" w:type="dxa"/>
            <w:vAlign w:val="bottom"/>
          </w:tcPr>
          <w:p>
            <w:pPr>
              <w:spacing w:after="0"/>
              <w:rPr>
                <w:sz w:val="16"/>
                <w:szCs w:val="16"/>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140" w:type="dxa"/>
            <w:vAlign w:val="bottom"/>
          </w:tcPr>
          <w:p>
            <w:pPr>
              <w:spacing w:after="0"/>
              <w:rPr>
                <w:sz w:val="16"/>
                <w:szCs w:val="16"/>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40" w:type="dxa"/>
            <w:vAlign w:val="bottom"/>
          </w:tcPr>
          <w:p>
            <w:pPr>
              <w:spacing w:after="0"/>
              <w:rPr>
                <w:sz w:val="16"/>
                <w:szCs w:val="16"/>
                <w:color w:val="auto"/>
              </w:rPr>
            </w:pP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debentures</w:t>
            </w:r>
          </w:p>
        </w:tc>
        <w:tc>
          <w:tcPr>
            <w:tcW w:w="10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120" w:type="dxa"/>
            <w:vAlign w:val="bottom"/>
          </w:tcPr>
          <w:p>
            <w:pPr>
              <w:spacing w:after="0"/>
              <w:rPr>
                <w:sz w:val="16"/>
                <w:szCs w:val="16"/>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80" w:type="dxa"/>
            <w:vAlign w:val="bottom"/>
          </w:tcPr>
          <w:p>
            <w:pPr>
              <w:spacing w:after="0"/>
              <w:rPr>
                <w:sz w:val="16"/>
                <w:szCs w:val="16"/>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SBA debenture commitment fees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3,250</w:t>
            </w:r>
          </w:p>
        </w:tc>
        <w:tc>
          <w:tcPr>
            <w:tcW w:w="80" w:type="dxa"/>
            <w:vAlign w:val="bottom"/>
            <w:shd w:val="clear" w:color="auto" w:fill="CCEEFF"/>
          </w:tcPr>
          <w:p>
            <w:pPr>
              <w:spacing w:after="0"/>
              <w:rPr>
                <w:sz w:val="16"/>
                <w:szCs w:val="16"/>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SBA debenture leverage fees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7,899</w:t>
            </w:r>
          </w:p>
        </w:tc>
        <w:tc>
          <w:tcPr>
            <w:tcW w:w="80" w:type="dxa"/>
            <w:vAlign w:val="bottom"/>
          </w:tcPr>
          <w:p>
            <w:pPr>
              <w:spacing w:after="0"/>
              <w:rPr>
                <w:sz w:val="15"/>
                <w:szCs w:val="15"/>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Credit Facility upfront fees</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4,417</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4,417</w:t>
            </w:r>
          </w:p>
        </w:tc>
        <w:tc>
          <w:tcPr>
            <w:tcW w:w="80" w:type="dxa"/>
            <w:vAlign w:val="bottom"/>
            <w:shd w:val="clear" w:color="auto" w:fill="CCEEFF"/>
          </w:tcPr>
          <w:p>
            <w:pPr>
              <w:spacing w:after="0"/>
              <w:rPr>
                <w:sz w:val="16"/>
                <w:szCs w:val="16"/>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Notes underwriting discounts</w:t>
            </w:r>
          </w:p>
        </w:tc>
        <w:tc>
          <w:tcPr>
            <w:tcW w:w="1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5,005</w:t>
            </w:r>
          </w:p>
        </w:tc>
        <w:tc>
          <w:tcPr>
            <w:tcW w:w="80" w:type="dxa"/>
            <w:vAlign w:val="bottom"/>
          </w:tcPr>
          <w:p>
            <w:pPr>
              <w:spacing w:after="0"/>
              <w:rPr>
                <w:sz w:val="15"/>
                <w:szCs w:val="15"/>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Notes debt issue costs</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shd w:val="clear" w:color="auto" w:fill="CCEEFF"/>
          </w:tcPr>
          <w:p>
            <w:pPr>
              <w:spacing w:after="0"/>
              <w:rPr>
                <w:sz w:val="16"/>
                <w:szCs w:val="16"/>
                <w:color w:val="auto"/>
              </w:rPr>
            </w:pPr>
          </w:p>
        </w:tc>
      </w:tr>
      <w:tr>
        <w:trPr>
          <w:trHeight w:val="176"/>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deferred financing costs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21,256</w:t>
            </w:r>
          </w:p>
        </w:tc>
        <w:tc>
          <w:tcPr>
            <w:tcW w:w="80" w:type="dxa"/>
            <w:vAlign w:val="bottom"/>
          </w:tcPr>
          <w:p>
            <w:pPr>
              <w:spacing w:after="0"/>
              <w:rPr>
                <w:sz w:val="15"/>
                <w:szCs w:val="15"/>
                <w:color w:val="auto"/>
              </w:rPr>
            </w:pPr>
          </w:p>
        </w:tc>
      </w:tr>
      <w:tr>
        <w:trPr>
          <w:trHeight w:val="18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(1,483 )</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(3,570 )</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(3,771 )</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(8,824 )</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(5,621 )</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(3,335 )</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(2,933 )</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(11,889 )</w:t>
            </w:r>
          </w:p>
        </w:tc>
      </w:tr>
      <w:tr>
        <w:trPr>
          <w:trHeight w:val="180"/>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Unamortized deferred financing costs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4,528</w:t>
            </w:r>
          </w:p>
        </w:tc>
        <w:tc>
          <w:tcPr>
            <w:tcW w:w="2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1,147</w:t>
            </w:r>
          </w:p>
        </w:tc>
        <w:tc>
          <w:tcPr>
            <w:tcW w:w="2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1,919</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7,594</w:t>
            </w:r>
          </w:p>
        </w:tc>
        <w:tc>
          <w:tcPr>
            <w:tcW w:w="2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5,528</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1,082</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2,757</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9,367</w:t>
            </w:r>
          </w:p>
        </w:tc>
        <w:tc>
          <w:tcPr>
            <w:tcW w:w="80" w:type="dxa"/>
            <w:vAlign w:val="bottom"/>
          </w:tcPr>
          <w:p>
            <w:pPr>
              <w:spacing w:after="0"/>
              <w:rPr>
                <w:sz w:val="15"/>
                <w:szCs w:val="15"/>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20" w:firstLine="444"/>
        <w:spacing w:after="0" w:line="247" w:lineRule="auto"/>
        <w:rPr>
          <w:sz w:val="20"/>
          <w:szCs w:val="20"/>
          <w:color w:val="auto"/>
        </w:rPr>
      </w:pPr>
      <w:r>
        <w:rPr>
          <w:rFonts w:ascii="Times New Roman" w:cs="Times New Roman" w:eastAsia="Times New Roman" w:hAnsi="Times New Roman"/>
          <w:sz w:val="16"/>
          <w:szCs w:val="16"/>
          <w:color w:val="auto"/>
        </w:rPr>
        <w:t>Unamortized deferred financing costs are presented as a direct offset to the SBA debentures, the Credit Facility and the Notes liabilities on the consolidated statements of assets and liabilities. The following table summarizes the outstanding debt net of unamortized deferred financing costs as of September 30, 2024 and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September 30, 2024</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December 31, 2023</w:t>
            </w:r>
            <w:r>
              <w:rPr>
                <w:rFonts w:ascii="Times New Roman" w:cs="Times New Roman" w:eastAsia="Times New Roman" w:hAnsi="Times New Roman"/>
                <w:sz w:val="14"/>
                <w:szCs w:val="14"/>
                <w:b w:val="1"/>
                <w:bCs w:val="1"/>
                <w:color w:val="auto"/>
                <w:vertAlign w:val="superscript"/>
              </w:rPr>
              <w:t>(1)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SBA</w:t>
            </w:r>
          </w:p>
        </w:tc>
        <w:tc>
          <w:tcPr>
            <w:tcW w:w="140" w:type="dxa"/>
            <w:vAlign w:val="bottom"/>
          </w:tcPr>
          <w:p>
            <w:pPr>
              <w:spacing w:after="0"/>
              <w:rPr>
                <w:sz w:val="12"/>
                <w:szCs w:val="12"/>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8"/>
              </w:rPr>
              <w:t>Credit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SBA</w:t>
            </w:r>
          </w:p>
        </w:tc>
        <w:tc>
          <w:tcPr>
            <w:tcW w:w="120" w:type="dxa"/>
            <w:vAlign w:val="bottom"/>
          </w:tcPr>
          <w:p>
            <w:pPr>
              <w:spacing w:after="0"/>
              <w:rPr>
                <w:sz w:val="12"/>
                <w:szCs w:val="12"/>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Credit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8"/>
        </w:trPr>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debentures</w:t>
            </w:r>
          </w:p>
        </w:tc>
        <w:tc>
          <w:tcPr>
            <w:tcW w:w="140" w:type="dxa"/>
            <w:vAlign w:val="bottom"/>
          </w:tcPr>
          <w:p>
            <w:pPr>
              <w:spacing w:after="0"/>
              <w:rPr>
                <w:sz w:val="13"/>
                <w:szCs w:val="13"/>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5"/>
              </w:rPr>
              <w:t>Facility</w:t>
            </w:r>
          </w:p>
        </w:tc>
        <w:tc>
          <w:tcPr>
            <w:tcW w:w="160" w:type="dxa"/>
            <w:vAlign w:val="bottom"/>
          </w:tcPr>
          <w:p>
            <w:pPr>
              <w:spacing w:after="0"/>
              <w:rPr>
                <w:sz w:val="13"/>
                <w:szCs w:val="13"/>
                <w:color w:val="auto"/>
              </w:rPr>
            </w:pP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40" w:type="dxa"/>
            <w:vAlign w:val="bottom"/>
          </w:tcPr>
          <w:p>
            <w:pPr>
              <w:spacing w:after="0"/>
              <w:rPr>
                <w:sz w:val="13"/>
                <w:szCs w:val="13"/>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debentures</w:t>
            </w:r>
          </w:p>
        </w:tc>
        <w:tc>
          <w:tcPr>
            <w:tcW w:w="12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40" w:type="dxa"/>
            <w:vAlign w:val="bottom"/>
          </w:tcPr>
          <w:p>
            <w:pPr>
              <w:spacing w:after="0"/>
              <w:rPr>
                <w:sz w:val="13"/>
                <w:szCs w:val="13"/>
                <w:color w:val="auto"/>
              </w:rPr>
            </w:pP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Notes</w:t>
            </w:r>
          </w:p>
        </w:tc>
        <w:tc>
          <w:tcPr>
            <w:tcW w:w="180" w:type="dxa"/>
            <w:vAlign w:val="bottom"/>
          </w:tcPr>
          <w:p>
            <w:pPr>
              <w:spacing w:after="0"/>
              <w:rPr>
                <w:sz w:val="13"/>
                <w:szCs w:val="13"/>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Outstanding debt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175,000</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40,000</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465,000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210,000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460,000</w:t>
            </w:r>
          </w:p>
        </w:tc>
        <w:tc>
          <w:tcPr>
            <w:tcW w:w="80" w:type="dxa"/>
            <w:vAlign w:val="bottom"/>
            <w:shd w:val="clear" w:color="auto" w:fill="CCEEFF"/>
          </w:tcPr>
          <w:p>
            <w:pPr>
              <w:spacing w:after="0"/>
              <w:rPr>
                <w:sz w:val="13"/>
                <w:szCs w:val="13"/>
                <w:color w:val="auto"/>
              </w:rPr>
            </w:pPr>
          </w:p>
        </w:tc>
      </w:tr>
      <w:tr>
        <w:trPr>
          <w:trHeight w:val="166"/>
        </w:trPr>
        <w:tc>
          <w:tcPr>
            <w:tcW w:w="2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unamortized deferred financing costs</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(4,528 )</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(1,147 )</w:t>
            </w:r>
          </w:p>
        </w:tc>
        <w:tc>
          <w:tcPr>
            <w:tcW w:w="16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(1,919 )</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(7,594 )</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(5,528 )</w:t>
            </w: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(1,082 )</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(2,757 )</w:t>
            </w:r>
          </w:p>
        </w:tc>
        <w:tc>
          <w:tcPr>
            <w:tcW w:w="18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(9,367 )</w:t>
            </w:r>
          </w:p>
        </w:tc>
      </w:tr>
      <w:tr>
        <w:trPr>
          <w:trHeight w:val="17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Debt, net of deferred financing costs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170,472</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38,853</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248,081</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457,406</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204,472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(1,082 )</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247,243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450,633</w:t>
            </w:r>
          </w:p>
        </w:tc>
        <w:tc>
          <w:tcPr>
            <w:tcW w:w="80" w:type="dxa"/>
            <w:vAlign w:val="bottom"/>
            <w:shd w:val="clear" w:color="auto" w:fill="CCEEFF"/>
          </w:tcPr>
          <w:p>
            <w:pPr>
              <w:spacing w:after="0"/>
              <w:rPr>
                <w:sz w:val="15"/>
                <w:szCs w:val="15"/>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(1)Total excludes $14,025 and $15,880 of Secured Borrowings as of September 30, 2024 and December 31, 2023, respectively.</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xml:space="preserve">As of September 30, 2024, the Company’s debt liabilities are scheduled to mature as follows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p>
      <w:pPr>
        <w:spacing w:after="0" w:line="161"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SBA</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Credit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Secured</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162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200" w:type="dxa"/>
            <w:vAlign w:val="bottom"/>
          </w:tcPr>
          <w:p>
            <w:pPr>
              <w:spacing w:after="0"/>
              <w:rPr>
                <w:sz w:val="20"/>
                <w:szCs w:val="20"/>
                <w:color w:val="auto"/>
              </w:rPr>
            </w:pPr>
          </w:p>
        </w:tc>
        <w:tc>
          <w:tcPr>
            <w:tcW w:w="116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debentures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262"/>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Facility </w:t>
            </w:r>
            <w:r>
              <w:rPr>
                <w:rFonts w:ascii="Times New Roman" w:cs="Times New Roman" w:eastAsia="Times New Roman" w:hAnsi="Times New Roman"/>
                <w:sz w:val="21"/>
                <w:szCs w:val="21"/>
                <w:b w:val="1"/>
                <w:bCs w:val="1"/>
                <w:color w:val="auto"/>
                <w:vertAlign w:val="superscript"/>
              </w:rPr>
              <w:t>(2)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4"/>
        </w:trPr>
        <w:tc>
          <w:tcPr>
            <w:tcW w:w="1620" w:type="dxa"/>
            <w:vAlign w:val="bottom"/>
            <w:shd w:val="clear" w:color="auto" w:fill="CCEEFF"/>
          </w:tcPr>
          <w:p>
            <w:pPr>
              <w:jc w:val="center"/>
              <w:ind w:right="122"/>
              <w:spacing w:after="0"/>
              <w:rPr>
                <w:sz w:val="20"/>
                <w:szCs w:val="20"/>
                <w:color w:val="auto"/>
              </w:rPr>
            </w:pPr>
            <w:r>
              <w:rPr>
                <w:rFonts w:ascii="Times New Roman" w:cs="Times New Roman" w:eastAsia="Times New Roman" w:hAnsi="Times New Roman"/>
                <w:sz w:val="16"/>
                <w:szCs w:val="16"/>
                <w:color w:val="auto"/>
                <w:w w:val="93"/>
              </w:rPr>
              <w:t>2025</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5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shd w:val="clear" w:color="auto" w:fill="CCEEFF"/>
          </w:tcPr>
          <w:p>
            <w:pPr>
              <w:spacing w:after="0"/>
              <w:rPr>
                <w:sz w:val="17"/>
                <w:szCs w:val="17"/>
                <w:color w:val="auto"/>
              </w:rPr>
            </w:pPr>
          </w:p>
        </w:tc>
      </w:tr>
      <w:tr>
        <w:trPr>
          <w:trHeight w:val="204"/>
        </w:trPr>
        <w:tc>
          <w:tcPr>
            <w:tcW w:w="16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3"/>
              </w:rPr>
              <w:t>2026</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263,695</w:t>
            </w:r>
          </w:p>
        </w:tc>
        <w:tc>
          <w:tcPr>
            <w:tcW w:w="80" w:type="dxa"/>
            <w:vAlign w:val="bottom"/>
          </w:tcPr>
          <w:p>
            <w:pPr>
              <w:spacing w:after="0"/>
              <w:rPr>
                <w:sz w:val="17"/>
                <w:szCs w:val="17"/>
                <w:color w:val="auto"/>
              </w:rPr>
            </w:pPr>
          </w:p>
        </w:tc>
      </w:tr>
      <w:tr>
        <w:trPr>
          <w:trHeight w:val="205"/>
        </w:trPr>
        <w:tc>
          <w:tcPr>
            <w:tcW w:w="1620" w:type="dxa"/>
            <w:vAlign w:val="bottom"/>
            <w:shd w:val="clear" w:color="auto" w:fill="CCEEFF"/>
          </w:tcPr>
          <w:p>
            <w:pPr>
              <w:jc w:val="center"/>
              <w:ind w:right="122"/>
              <w:spacing w:after="0"/>
              <w:rPr>
                <w:sz w:val="20"/>
                <w:szCs w:val="20"/>
                <w:color w:val="auto"/>
              </w:rPr>
            </w:pPr>
            <w:r>
              <w:rPr>
                <w:rFonts w:ascii="Times New Roman" w:cs="Times New Roman" w:eastAsia="Times New Roman" w:hAnsi="Times New Roman"/>
                <w:sz w:val="16"/>
                <w:szCs w:val="16"/>
                <w:color w:val="auto"/>
                <w:w w:val="93"/>
              </w:rPr>
              <w:t>2027</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80" w:type="dxa"/>
            <w:vAlign w:val="bottom"/>
            <w:shd w:val="clear" w:color="auto" w:fill="CCEEFF"/>
          </w:tcPr>
          <w:p>
            <w:pPr>
              <w:spacing w:after="0"/>
              <w:rPr>
                <w:sz w:val="17"/>
                <w:szCs w:val="17"/>
                <w:color w:val="auto"/>
              </w:rPr>
            </w:pPr>
          </w:p>
        </w:tc>
      </w:tr>
      <w:tr>
        <w:trPr>
          <w:trHeight w:val="204"/>
        </w:trPr>
        <w:tc>
          <w:tcPr>
            <w:tcW w:w="162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3"/>
              </w:rPr>
              <w:t>2028</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r>
      <w:tr>
        <w:trPr>
          <w:trHeight w:val="217"/>
        </w:trPr>
        <w:tc>
          <w:tcPr>
            <w:tcW w:w="1620" w:type="dxa"/>
            <w:vAlign w:val="bottom"/>
            <w:shd w:val="clear" w:color="auto" w:fill="CCEEFF"/>
          </w:tcPr>
          <w:p>
            <w:pPr>
              <w:jc w:val="center"/>
              <w:ind w:right="122"/>
              <w:spacing w:after="0"/>
              <w:rPr>
                <w:sz w:val="20"/>
                <w:szCs w:val="20"/>
                <w:color w:val="auto"/>
              </w:rPr>
            </w:pPr>
            <w:r>
              <w:rPr>
                <w:rFonts w:ascii="Times New Roman" w:cs="Times New Roman" w:eastAsia="Times New Roman" w:hAnsi="Times New Roman"/>
                <w:sz w:val="16"/>
                <w:szCs w:val="16"/>
                <w:color w:val="auto"/>
                <w:w w:val="93"/>
              </w:rPr>
              <w:t>2029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shd w:val="clear" w:color="auto" w:fill="CCEEFF"/>
          </w:tcPr>
          <w:p>
            <w:pPr>
              <w:spacing w:after="0"/>
              <w:rPr>
                <w:sz w:val="18"/>
                <w:szCs w:val="18"/>
                <w:color w:val="auto"/>
              </w:rPr>
            </w:pPr>
          </w:p>
        </w:tc>
      </w:tr>
      <w:tr>
        <w:trPr>
          <w:trHeight w:val="204"/>
        </w:trPr>
        <w:tc>
          <w:tcPr>
            <w:tcW w:w="1620" w:type="dxa"/>
            <w:vAlign w:val="bottom"/>
          </w:tcPr>
          <w:p>
            <w:pPr>
              <w:jc w:val="center"/>
              <w:ind w:right="102"/>
              <w:spacing w:after="0"/>
              <w:rPr>
                <w:sz w:val="20"/>
                <w:szCs w:val="20"/>
                <w:color w:val="auto"/>
              </w:rPr>
            </w:pPr>
            <w:r>
              <w:rPr>
                <w:rFonts w:ascii="Times New Roman" w:cs="Times New Roman" w:eastAsia="Times New Roman" w:hAnsi="Times New Roman"/>
                <w:sz w:val="16"/>
                <w:szCs w:val="16"/>
                <w:color w:val="auto"/>
                <w:w w:val="95"/>
              </w:rPr>
              <w:t>Thereafter</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167,500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167,500</w:t>
            </w:r>
          </w:p>
        </w:tc>
        <w:tc>
          <w:tcPr>
            <w:tcW w:w="80" w:type="dxa"/>
            <w:vAlign w:val="bottom"/>
          </w:tcPr>
          <w:p>
            <w:pPr>
              <w:spacing w:after="0"/>
              <w:rPr>
                <w:sz w:val="17"/>
                <w:szCs w:val="17"/>
                <w:color w:val="auto"/>
              </w:rPr>
            </w:pPr>
          </w:p>
        </w:tc>
      </w:tr>
      <w:tr>
        <w:trPr>
          <w:trHeight w:val="245"/>
        </w:trPr>
        <w:tc>
          <w:tcPr>
            <w:tcW w:w="1620" w:type="dxa"/>
            <w:vAlign w:val="bottom"/>
            <w:tcBorders>
              <w:bottom w:val="single" w:sz="8" w:color="CCEEFF"/>
            </w:tcBorders>
            <w:shd w:val="clear" w:color="auto" w:fill="CCEEFF"/>
          </w:tcPr>
          <w:p>
            <w:pPr>
              <w:jc w:val="center"/>
              <w:ind w:right="102"/>
              <w:spacing w:after="0"/>
              <w:rPr>
                <w:sz w:val="20"/>
                <w:szCs w:val="20"/>
                <w:color w:val="auto"/>
              </w:rPr>
            </w:pPr>
            <w:r>
              <w:rPr>
                <w:rFonts w:ascii="Times New Roman" w:cs="Times New Roman" w:eastAsia="Times New Roman" w:hAnsi="Times New Roman"/>
                <w:sz w:val="16"/>
                <w:szCs w:val="16"/>
                <w:color w:val="auto"/>
                <w:w w:val="94"/>
              </w:rPr>
              <w:t>Total</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14,025</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479,025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2" w:lineRule="exact"/>
        <w:rPr>
          <w:sz w:val="20"/>
          <w:szCs w:val="20"/>
          <w:color w:val="auto"/>
        </w:rPr>
      </w:pPr>
    </w:p>
    <w:p>
      <w:pPr>
        <w:ind w:left="340" w:right="140" w:hanging="322"/>
        <w:spacing w:after="0" w:line="263" w:lineRule="auto"/>
        <w:tabs>
          <w:tab w:leader="none" w:pos="3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p>
      <w:pPr>
        <w:ind w:left="340" w:hanging="322"/>
        <w:spacing w:after="0"/>
        <w:tabs>
          <w:tab w:leader="none" w:pos="34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Credit Facility matures on August 17, 2027.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Commitments and Contingencies</w:t>
      </w:r>
    </w:p>
    <w:p>
      <w:pPr>
        <w:spacing w:after="0" w:line="140" w:lineRule="exact"/>
        <w:rPr>
          <w:sz w:val="20"/>
          <w:szCs w:val="20"/>
          <w:color w:val="auto"/>
        </w:rPr>
      </w:pPr>
    </w:p>
    <w:p>
      <w:pPr>
        <w:ind w:right="12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Commitments: </w:t>
      </w:r>
      <w:r>
        <w:rPr>
          <w:rFonts w:ascii="Times New Roman" w:cs="Times New Roman" w:eastAsia="Times New Roman" w:hAnsi="Times New Roman"/>
          <w:sz w:val="16"/>
          <w:szCs w:val="16"/>
          <w:color w:val="auto"/>
        </w:rPr>
        <w:t>The Company had outstanding commitments to portfolio companies to fund various undrawn revolving loans, other debt investments and capital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commitments totaling $11,417 and $9,675 as of September 30, 2024 and December 31, 2023, respectively. Such outstanding commitments are summarized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4"/>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5"/>
          </w:tcPr>
          <w:p>
            <w:pPr>
              <w:ind w:left="5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6"/>
        </w:trPr>
        <w:tc>
          <w:tcPr>
            <w:tcW w:w="5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Unfunded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Unfunded</w:t>
            </w:r>
          </w:p>
        </w:tc>
        <w:tc>
          <w:tcPr>
            <w:tcW w:w="0" w:type="dxa"/>
            <w:vAlign w:val="bottom"/>
          </w:tcPr>
          <w:p>
            <w:pPr>
              <w:spacing w:after="0"/>
              <w:rPr>
                <w:sz w:val="1"/>
                <w:szCs w:val="1"/>
                <w:color w:val="auto"/>
              </w:rPr>
            </w:pPr>
          </w:p>
        </w:tc>
      </w:tr>
      <w:tr>
        <w:trPr>
          <w:trHeight w:val="156"/>
        </w:trPr>
        <w:tc>
          <w:tcPr>
            <w:tcW w:w="5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 - Investment</w:t>
            </w:r>
          </w:p>
        </w:tc>
        <w:tc>
          <w:tcPr>
            <w:tcW w:w="140" w:type="dxa"/>
            <w:vAlign w:val="bottom"/>
          </w:tcPr>
          <w:p>
            <w:pPr>
              <w:spacing w:after="0"/>
              <w:rPr>
                <w:sz w:val="13"/>
                <w:szCs w:val="13"/>
                <w:color w:val="auto"/>
              </w:rPr>
            </w:pPr>
          </w:p>
        </w:tc>
        <w:tc>
          <w:tcPr>
            <w:tcW w:w="9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Commitment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Commitment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Commitment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6"/>
              </w:rPr>
              <w:t>Commitment</w:t>
            </w:r>
          </w:p>
        </w:tc>
        <w:tc>
          <w:tcPr>
            <w:tcW w:w="0" w:type="dxa"/>
            <w:vAlign w:val="bottom"/>
          </w:tcPr>
          <w:p>
            <w:pPr>
              <w:spacing w:after="0"/>
              <w:rPr>
                <w:sz w:val="1"/>
                <w:szCs w:val="1"/>
                <w:color w:val="auto"/>
              </w:rPr>
            </w:pPr>
          </w:p>
        </w:tc>
      </w:tr>
      <w:tr>
        <w:trPr>
          <w:trHeight w:val="158"/>
        </w:trPr>
        <w:tc>
          <w:tcPr>
            <w:tcW w:w="5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 Info Parent, Inc. (dba MediaRadar) - Revolving Loan</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1,442</w:t>
            </w:r>
          </w:p>
        </w:tc>
        <w:tc>
          <w:tcPr>
            <w:tcW w:w="3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1,442</w:t>
            </w:r>
          </w:p>
        </w:tc>
        <w:tc>
          <w:tcPr>
            <w:tcW w:w="38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1,442</w:t>
            </w:r>
          </w:p>
        </w:tc>
        <w:tc>
          <w:tcPr>
            <w:tcW w:w="3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Acendre Midco, Inc. - Revolving Loan</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Barefoot Mosquito and Pest Control, LLC - Revolving Loan</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Choice Technology Solutions, LLC (dba Choice Merchant Solutions, LLC) - Revolving Loan</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Detechtion Holdings, LLC - Revolving Loan</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Elements Brands, LLC - Revolving Loan</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5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GMP HVAC, LLC (dba McGee Heating &amp; Air, LLC) - Revolving Loan</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R1 Holdings, LLC (dba RoadOne IntermodaLogistics) - First Lien Debt</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1,596</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R1 Holdings, LLC (dba RoadOne IntermodaLogistics) - Subordinated Debt</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R1 Holdings, LLC (dba RoadOne IntermodaLogistics) - Common Equity</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Tedia Company, LLC - Revolving Loan</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Thrust Flight LLC - First Lien Debt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88"/>
        </w:trPr>
        <w:tc>
          <w:tcPr>
            <w:tcW w:w="5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5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W50 Holdings, LLC - Preferred Equity</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14,817</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11,417</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12,818</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9,675</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right="120" w:firstLine="444"/>
        <w:spacing w:after="0" w:line="247" w:lineRule="auto"/>
        <w:rPr>
          <w:sz w:val="20"/>
          <w:szCs w:val="20"/>
          <w:color w:val="auto"/>
        </w:rPr>
      </w:pPr>
      <w:r>
        <w:rPr>
          <w:rFonts w:ascii="Times New Roman" w:cs="Times New Roman" w:eastAsia="Times New Roman" w:hAnsi="Times New Roman"/>
          <w:sz w:val="16"/>
          <w:szCs w:val="16"/>
          <w:color w:val="auto"/>
        </w:rPr>
        <w:t>Additional detail for each of the commitments above is provided in the Company’s consolidated schedules of investments. As of September 30, 2024 and December 31, 2023, the Company had sufficient liquidity coverage to satisfy these unfunded commitments. Cash and cash equivalents were $54,443 and $119,131 and available borrowings under the Credit Facility were $100,000 and $100,000 as of September 30, 2024 and December 31, 2023, respectively.</w:t>
      </w:r>
    </w:p>
    <w:p>
      <w:pPr>
        <w:spacing w:after="0" w:line="116" w:lineRule="exact"/>
        <w:rPr>
          <w:sz w:val="20"/>
          <w:szCs w:val="20"/>
          <w:color w:val="auto"/>
        </w:rPr>
      </w:pPr>
    </w:p>
    <w:p>
      <w:pPr>
        <w:jc w:val="both"/>
        <w:ind w:right="40" w:firstLine="444"/>
        <w:spacing w:after="0" w:line="247" w:lineRule="auto"/>
        <w:rPr>
          <w:sz w:val="20"/>
          <w:szCs w:val="20"/>
          <w:color w:val="auto"/>
        </w:rPr>
      </w:pPr>
      <w:r>
        <w:rPr>
          <w:rFonts w:ascii="Times New Roman" w:cs="Times New Roman" w:eastAsia="Times New Roman" w:hAnsi="Times New Roman"/>
          <w:sz w:val="16"/>
          <w:szCs w:val="16"/>
          <w:color w:val="auto"/>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spacing w:after="0" w:line="114" w:lineRule="exact"/>
        <w:rPr>
          <w:sz w:val="20"/>
          <w:szCs w:val="20"/>
          <w:color w:val="auto"/>
        </w:rPr>
      </w:pPr>
    </w:p>
    <w:p>
      <w:pPr>
        <w:ind w:firstLine="444"/>
        <w:spacing w:after="0"/>
        <w:rPr>
          <w:sz w:val="20"/>
          <w:szCs w:val="20"/>
          <w:color w:val="auto"/>
        </w:rPr>
      </w:pPr>
      <w:r>
        <w:rPr>
          <w:rFonts w:ascii="Times New Roman" w:cs="Times New Roman" w:eastAsia="Times New Roman" w:hAnsi="Times New Roman"/>
          <w:sz w:val="16"/>
          <w:szCs w:val="16"/>
          <w:i w:val="1"/>
          <w:iCs w:val="1"/>
          <w:color w:val="auto"/>
        </w:rPr>
        <w:t xml:space="preserve">Indemnifications: </w:t>
      </w:r>
      <w:r>
        <w:rPr>
          <w:rFonts w:ascii="Times New Roman" w:cs="Times New Roman" w:eastAsia="Times New Roman" w:hAnsi="Times New Roman"/>
          <w:sz w:val="16"/>
          <w:szCs w:val="16"/>
          <w:color w:val="auto"/>
        </w:rPr>
        <w:t>In the normal course of business, the Company enters into contracts and agreements that contain a variety of representations and warranties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spacing w:after="0" w:line="120" w:lineRule="exact"/>
        <w:rPr>
          <w:sz w:val="20"/>
          <w:szCs w:val="20"/>
          <w:color w:val="auto"/>
        </w:rPr>
      </w:pPr>
    </w:p>
    <w:p>
      <w:pPr>
        <w:ind w:right="40" w:firstLine="44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Legal proceedings: </w:t>
      </w:r>
      <w:r>
        <w:rPr>
          <w:rFonts w:ascii="Times New Roman" w:cs="Times New Roman" w:eastAsia="Times New Roman" w:hAnsi="Times New Roman"/>
          <w:sz w:val="16"/>
          <w:szCs w:val="16"/>
          <w:color w:val="auto"/>
        </w:rPr>
        <w:t>In the normal course of business, the Company may be subject to legal and regulatory proceedings that are generally incidental to its ongoing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operations. While the outcome of any such legal proceedings cannot be predicted with certainty, the Company does not believe any such legal proceedings will have a material adverse effect on the Company’s consolidated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Public Offerings of Common Stock</w:t>
      </w:r>
    </w:p>
    <w:p>
      <w:pPr>
        <w:spacing w:after="0" w:line="142" w:lineRule="exact"/>
        <w:rPr>
          <w:sz w:val="20"/>
          <w:szCs w:val="20"/>
          <w:color w:val="auto"/>
        </w:rPr>
      </w:pPr>
    </w:p>
    <w:p>
      <w:pPr>
        <w:ind w:right="620" w:firstLine="44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cumulative total shares issued, net proceeds received, and weighted average offering price in public offerings of the Company’s common stock since the IPO in June 2011, except for the issuances under the ATM Program as described further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vMerge w:val="restart"/>
          </w:tcPr>
          <w:p>
            <w:pPr>
              <w:ind w:left="12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180" w:type="dxa"/>
            <w:vAlign w:val="bottom"/>
          </w:tcPr>
          <w:p>
            <w:pPr>
              <w:jc w:val="center"/>
              <w:ind w:left="402"/>
              <w:spacing w:after="0"/>
              <w:rPr>
                <w:sz w:val="20"/>
                <w:szCs w:val="20"/>
                <w:color w:val="auto"/>
              </w:rPr>
            </w:pPr>
            <w:r>
              <w:rPr>
                <w:rFonts w:ascii="Times New Roman" w:cs="Times New Roman" w:eastAsia="Times New Roman" w:hAnsi="Times New Roman"/>
                <w:sz w:val="16"/>
                <w:szCs w:val="16"/>
                <w:b w:val="1"/>
                <w:bCs w:val="1"/>
                <w:color w:val="auto"/>
                <w:w w:val="97"/>
              </w:rPr>
              <w:t>Cumulative</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Cumulative Gross</w:t>
            </w:r>
          </w:p>
        </w:tc>
        <w:tc>
          <w:tcPr>
            <w:tcW w:w="27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Cumulative Underwriting Fees and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0" w:type="dxa"/>
            <w:vAlign w:val="bottom"/>
          </w:tcPr>
          <w:p>
            <w:pPr>
              <w:spacing w:after="0"/>
              <w:rPr>
                <w:sz w:val="1"/>
                <w:szCs w:val="1"/>
                <w:color w:val="auto"/>
              </w:rPr>
            </w:pPr>
          </w:p>
        </w:tc>
      </w:tr>
      <w:tr>
        <w:trPr>
          <w:trHeight w:val="228"/>
        </w:trPr>
        <w:tc>
          <w:tcPr>
            <w:tcW w:w="2420" w:type="dxa"/>
            <w:vAlign w:val="bottom"/>
            <w:vMerge w:val="continue"/>
          </w:tcPr>
          <w:p>
            <w:pPr>
              <w:spacing w:after="0"/>
              <w:rPr>
                <w:sz w:val="19"/>
                <w:szCs w:val="19"/>
                <w:color w:val="auto"/>
              </w:rPr>
            </w:pPr>
          </w:p>
        </w:tc>
        <w:tc>
          <w:tcPr>
            <w:tcW w:w="2180" w:type="dxa"/>
            <w:vAlign w:val="bottom"/>
          </w:tcPr>
          <w:p>
            <w:pPr>
              <w:jc w:val="center"/>
              <w:ind w:left="422"/>
              <w:spacing w:after="0"/>
              <w:rPr>
                <w:sz w:val="20"/>
                <w:szCs w:val="20"/>
                <w:color w:val="auto"/>
              </w:rPr>
            </w:pPr>
            <w:r>
              <w:rPr>
                <w:rFonts w:ascii="Times New Roman" w:cs="Times New Roman" w:eastAsia="Times New Roman" w:hAnsi="Times New Roman"/>
                <w:sz w:val="16"/>
                <w:szCs w:val="16"/>
                <w:b w:val="1"/>
                <w:bCs w:val="1"/>
                <w:color w:val="auto"/>
                <w:w w:val="96"/>
              </w:rPr>
              <w:t>Number of Shares</w:t>
            </w:r>
          </w:p>
        </w:tc>
        <w:tc>
          <w:tcPr>
            <w:tcW w:w="380" w:type="dxa"/>
            <w:vAlign w:val="bottom"/>
          </w:tcPr>
          <w:p>
            <w:pPr>
              <w:spacing w:after="0"/>
              <w:rPr>
                <w:sz w:val="19"/>
                <w:szCs w:val="19"/>
                <w:color w:val="auto"/>
              </w:rPr>
            </w:pPr>
          </w:p>
        </w:tc>
        <w:tc>
          <w:tcPr>
            <w:tcW w:w="1260" w:type="dxa"/>
            <w:vAlign w:val="bottom"/>
          </w:tcPr>
          <w:p>
            <w:pPr>
              <w:jc w:val="center"/>
              <w:ind w:right="302"/>
              <w:spacing w:after="0"/>
              <w:rPr>
                <w:sz w:val="20"/>
                <w:szCs w:val="20"/>
                <w:color w:val="auto"/>
              </w:rPr>
            </w:pPr>
            <w:r>
              <w:rPr>
                <w:rFonts w:ascii="Times New Roman" w:cs="Times New Roman" w:eastAsia="Times New Roman" w:hAnsi="Times New Roman"/>
                <w:sz w:val="16"/>
                <w:szCs w:val="16"/>
                <w:b w:val="1"/>
                <w:bCs w:val="1"/>
                <w:color w:val="auto"/>
                <w:w w:val="97"/>
              </w:rPr>
              <w:t>Proceeds</w:t>
            </w:r>
          </w:p>
        </w:tc>
        <w:tc>
          <w:tcPr>
            <w:tcW w:w="2780" w:type="dxa"/>
            <w:vAlign w:val="bottom"/>
            <w:gridSpan w:val="2"/>
          </w:tcPr>
          <w:p>
            <w:pPr>
              <w:ind w:left="220"/>
              <w:spacing w:after="0" w:line="228" w:lineRule="exact"/>
              <w:rPr>
                <w:sz w:val="20"/>
                <w:szCs w:val="20"/>
                <w:color w:val="auto"/>
              </w:rPr>
            </w:pPr>
            <w:r>
              <w:rPr>
                <w:rFonts w:ascii="Times New Roman" w:cs="Times New Roman" w:eastAsia="Times New Roman" w:hAnsi="Times New Roman"/>
                <w:sz w:val="16"/>
                <w:szCs w:val="16"/>
                <w:b w:val="1"/>
                <w:bCs w:val="1"/>
                <w:color w:val="auto"/>
              </w:rPr>
              <w:t xml:space="preserve">Commissions and Offering Costs </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19"/>
                <w:szCs w:val="19"/>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5"/>
              </w:rPr>
              <w:t>Offering Price</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since IPO</w:t>
            </w:r>
          </w:p>
        </w:tc>
        <w:tc>
          <w:tcPr>
            <w:tcW w:w="21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14,388,414</w:t>
            </w:r>
          </w:p>
        </w:tc>
        <w:tc>
          <w:tcPr>
            <w:tcW w:w="3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236,597</w:t>
            </w:r>
          </w:p>
        </w:tc>
        <w:tc>
          <w:tcPr>
            <w:tcW w:w="126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8,989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16.44</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00" w:firstLine="6"/>
        <w:spacing w:after="0" w:line="263" w:lineRule="auto"/>
        <w:tabs>
          <w:tab w:leader="none" w:pos="187"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Fidus Investment Advisors, LLC agreed to bear a cumulative of $1,925 of underwriting fees and commissions and offering costs associated with these offerings (such amounts are not included in the number reported above). All such payments made by Fidus Investment Advisors, LLC are not subject to reimbursement by the Company.</w:t>
      </w: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408940</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ATM Program</w:t>
      </w:r>
    </w:p>
    <w:p>
      <w:pPr>
        <w:spacing w:after="0" w:line="142" w:lineRule="exact"/>
        <w:rPr>
          <w:sz w:val="20"/>
          <w:szCs w:val="20"/>
          <w:color w:val="auto"/>
        </w:rPr>
      </w:pPr>
    </w:p>
    <w:p>
      <w:pPr>
        <w:ind w:right="60" w:firstLine="444"/>
        <w:spacing w:after="0" w:line="239" w:lineRule="auto"/>
        <w:rPr>
          <w:sz w:val="20"/>
          <w:szCs w:val="20"/>
          <w:color w:val="auto"/>
        </w:rPr>
      </w:pPr>
      <w:r>
        <w:rPr>
          <w:rFonts w:ascii="Times New Roman" w:cs="Times New Roman" w:eastAsia="Times New Roman" w:hAnsi="Times New Roman"/>
          <w:sz w:val="16"/>
          <w:szCs w:val="16"/>
          <w:color w:val="auto"/>
        </w:rPr>
        <w:t>On November 10, 2022, the Company established the at- the-market program (the “ATM Program”), pursuant to which the Company may offer and sell, from time to time through Raymond James &amp; Associates, Inc. and B. Riley Securities, Inc., each as sales agents, shares of the Company’s common stock having an aggregate offering price of up to $50,000. On August 11, 2023, the Company increased the maximum amount of shares to be sold through the ATM Program to $150,000 from $50,000. On February 29, 2024, the Company increased the maximum amount of shares to be sold through the ATM Program to $300,000 from $150,000. The gross proceeds raised, the related sales agent commissions and the offering expenses, the net proceeds raised, and the average price at which shares were issued under the ATM Program for the nine months ended September 30, 2024 and 2023 are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5"/>
              </w:rPr>
              <w:t>Underwriting</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4"/>
        </w:trPr>
        <w:tc>
          <w:tcPr>
            <w:tcW w:w="3980" w:type="dxa"/>
            <w:vAlign w:val="bottom"/>
          </w:tcPr>
          <w:p>
            <w:pPr>
              <w:spacing w:after="0"/>
              <w:rPr>
                <w:sz w:val="12"/>
                <w:szCs w:val="12"/>
                <w:color w:val="auto"/>
              </w:rPr>
            </w:pPr>
          </w:p>
        </w:tc>
        <w:tc>
          <w:tcPr>
            <w:tcW w:w="860" w:type="dxa"/>
            <w:vAlign w:val="bottom"/>
          </w:tcPr>
          <w:p>
            <w:pPr>
              <w:jc w:val="center"/>
              <w:ind w:left="352"/>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2"/>
              </w:rPr>
              <w:t>Offering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Gross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5"/>
              </w:rPr>
              <w:t>Fees and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3"/>
              </w:rPr>
              <w:t>Net</w:t>
            </w:r>
          </w:p>
        </w:tc>
      </w:tr>
      <w:tr>
        <w:trPr>
          <w:trHeight w:val="144"/>
        </w:trPr>
        <w:tc>
          <w:tcPr>
            <w:tcW w:w="3980" w:type="dxa"/>
            <w:vAlign w:val="bottom"/>
          </w:tcPr>
          <w:p>
            <w:pPr>
              <w:spacing w:after="0"/>
              <w:rPr>
                <w:sz w:val="12"/>
                <w:szCs w:val="12"/>
                <w:color w:val="auto"/>
              </w:rPr>
            </w:pPr>
          </w:p>
        </w:tc>
        <w:tc>
          <w:tcPr>
            <w:tcW w:w="860" w:type="dxa"/>
            <w:vAlign w:val="bottom"/>
          </w:tcPr>
          <w:p>
            <w:pPr>
              <w:jc w:val="center"/>
              <w:ind w:left="352"/>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8"/>
              </w:rPr>
              <w:t>Price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Proceeds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8"/>
              </w:rPr>
              <w:t>Commissions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3"/>
              </w:rPr>
              <w:t>Proceeds</w:t>
            </w:r>
          </w:p>
        </w:tc>
      </w:tr>
      <w:tr>
        <w:trPr>
          <w:trHeight w:val="14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Nine Months Ended September 30, 2023</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January 1, 2023 through March 31, 2023</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260,610</w:t>
            </w:r>
          </w:p>
        </w:tc>
        <w:tc>
          <w:tcPr>
            <w:tcW w:w="44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20.68</w:t>
            </w:r>
          </w:p>
        </w:tc>
        <w:tc>
          <w:tcPr>
            <w:tcW w:w="46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5,389</w:t>
            </w:r>
          </w:p>
        </w:tc>
        <w:tc>
          <w:tcPr>
            <w:tcW w:w="38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w:t>
            </w:r>
          </w:p>
        </w:tc>
        <w:tc>
          <w:tcPr>
            <w:tcW w:w="48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5,308</w:t>
            </w:r>
          </w:p>
        </w:tc>
        <w:tc>
          <w:tcPr>
            <w:tcW w:w="80" w:type="dxa"/>
            <w:vAlign w:val="bottom"/>
          </w:tcPr>
          <w:p>
            <w:pPr>
              <w:spacing w:after="0"/>
              <w:rPr>
                <w:sz w:val="12"/>
                <w:szCs w:val="12"/>
                <w:color w:val="auto"/>
              </w:rPr>
            </w:pPr>
          </w:p>
        </w:tc>
      </w:tr>
      <w:tr>
        <w:trPr>
          <w:trHeight w:val="188"/>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April 1, 2023 through June 30, 2023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246,574</w:t>
            </w:r>
          </w:p>
        </w:tc>
        <w:tc>
          <w:tcPr>
            <w:tcW w:w="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19.93</w:t>
            </w: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4,914</w:t>
            </w: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w:t>
            </w:r>
          </w:p>
        </w:tc>
        <w:tc>
          <w:tcPr>
            <w:tcW w:w="2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4,840</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3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July 1, 2023 through September 30, 2023</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9"/>
              </w:rPr>
              <w:t>3,187,661</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19.54</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62,277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779</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61,498</w:t>
            </w:r>
          </w:p>
        </w:tc>
        <w:tc>
          <w:tcPr>
            <w:tcW w:w="80" w:type="dxa"/>
            <w:vAlign w:val="bottom"/>
          </w:tcPr>
          <w:p>
            <w:pPr>
              <w:spacing w:after="0"/>
              <w:rPr>
                <w:sz w:val="11"/>
                <w:szCs w:val="11"/>
                <w:color w:val="auto"/>
              </w:rPr>
            </w:pPr>
          </w:p>
        </w:tc>
      </w:tr>
      <w:tr>
        <w:trPr>
          <w:trHeight w:val="152"/>
        </w:trPr>
        <w:tc>
          <w:tcPr>
            <w:tcW w:w="39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w:t>
            </w:r>
          </w:p>
        </w:tc>
        <w:tc>
          <w:tcPr>
            <w:tcW w:w="8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89"/>
              </w:rPr>
              <w:t>3,694,845</w:t>
            </w:r>
          </w:p>
        </w:tc>
        <w:tc>
          <w:tcPr>
            <w:tcW w:w="260" w:type="dxa"/>
            <w:vAlign w:val="bottom"/>
          </w:tcPr>
          <w:p>
            <w:pPr>
              <w:spacing w:after="0"/>
              <w:rPr>
                <w:sz w:val="13"/>
                <w:szCs w:val="13"/>
                <w:color w:val="auto"/>
              </w:rPr>
            </w:pP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19.64</w:t>
            </w:r>
          </w:p>
        </w:tc>
        <w:tc>
          <w:tcPr>
            <w:tcW w:w="260" w:type="dxa"/>
            <w:vAlign w:val="bottom"/>
          </w:tcPr>
          <w:p>
            <w:pPr>
              <w:spacing w:after="0"/>
              <w:rPr>
                <w:sz w:val="13"/>
                <w:szCs w:val="13"/>
                <w:color w:val="auto"/>
              </w:rPr>
            </w:pPr>
          </w:p>
        </w:tc>
        <w:tc>
          <w:tcPr>
            <w:tcW w:w="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72,580</w:t>
            </w:r>
          </w:p>
        </w:tc>
        <w:tc>
          <w:tcPr>
            <w:tcW w:w="260" w:type="dxa"/>
            <w:vAlign w:val="bottom"/>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934</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71,646</w:t>
            </w:r>
          </w:p>
        </w:tc>
        <w:tc>
          <w:tcPr>
            <w:tcW w:w="80" w:type="dxa"/>
            <w:vAlign w:val="bottom"/>
          </w:tcPr>
          <w:p>
            <w:pPr>
              <w:spacing w:after="0"/>
              <w:rPr>
                <w:sz w:val="13"/>
                <w:szCs w:val="13"/>
                <w:color w:val="auto"/>
              </w:rPr>
            </w:pPr>
          </w:p>
        </w:tc>
      </w:tr>
      <w:tr>
        <w:trPr>
          <w:trHeight w:val="20"/>
        </w:trPr>
        <w:tc>
          <w:tcPr>
            <w:tcW w:w="3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2"/>
        </w:trPr>
        <w:tc>
          <w:tcPr>
            <w:tcW w:w="484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Nine Months Ended September 30, 2024</w:t>
            </w: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8"/>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January 1, 2024 through March 31, 2024</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987,170</w:t>
            </w:r>
          </w:p>
        </w:tc>
        <w:tc>
          <w:tcPr>
            <w:tcW w:w="44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19.66</w:t>
            </w:r>
          </w:p>
        </w:tc>
        <w:tc>
          <w:tcPr>
            <w:tcW w:w="46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19,408</w:t>
            </w:r>
          </w:p>
        </w:tc>
        <w:tc>
          <w:tcPr>
            <w:tcW w:w="38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228</w:t>
            </w:r>
          </w:p>
        </w:tc>
        <w:tc>
          <w:tcPr>
            <w:tcW w:w="48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19,180</w:t>
            </w:r>
          </w:p>
        </w:tc>
        <w:tc>
          <w:tcPr>
            <w:tcW w:w="80" w:type="dxa"/>
            <w:vAlign w:val="bottom"/>
          </w:tcPr>
          <w:p>
            <w:pPr>
              <w:spacing w:after="0"/>
              <w:rPr>
                <w:sz w:val="12"/>
                <w:szCs w:val="12"/>
                <w:color w:val="auto"/>
              </w:rPr>
            </w:pPr>
          </w:p>
        </w:tc>
      </w:tr>
      <w:tr>
        <w:trPr>
          <w:trHeight w:val="148"/>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April 1, 2024 through June 30, 2024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9"/>
              </w:rPr>
              <w:t>1,691,336</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19.80</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33,489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33,031</w:t>
            </w:r>
          </w:p>
        </w:tc>
        <w:tc>
          <w:tcPr>
            <w:tcW w:w="80" w:type="dxa"/>
            <w:vAlign w:val="bottom"/>
            <w:shd w:val="clear" w:color="auto" w:fill="CCEEFF"/>
          </w:tcPr>
          <w:p>
            <w:pPr>
              <w:spacing w:after="0"/>
              <w:rPr>
                <w:sz w:val="12"/>
                <w:szCs w:val="12"/>
                <w:color w:val="auto"/>
              </w:rPr>
            </w:pPr>
          </w:p>
        </w:tc>
      </w:tr>
      <w:tr>
        <w:trPr>
          <w:trHeight w:val="13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July 1, 2024 through September 30, 2024</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714,995</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20.01</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14,304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14,089</w:t>
            </w:r>
          </w:p>
        </w:tc>
        <w:tc>
          <w:tcPr>
            <w:tcW w:w="80" w:type="dxa"/>
            <w:vAlign w:val="bottom"/>
          </w:tcPr>
          <w:p>
            <w:pPr>
              <w:spacing w:after="0"/>
              <w:rPr>
                <w:sz w:val="11"/>
                <w:szCs w:val="11"/>
                <w:color w:val="auto"/>
              </w:rPr>
            </w:pPr>
          </w:p>
        </w:tc>
      </w:tr>
      <w:tr>
        <w:trPr>
          <w:trHeight w:val="152"/>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Total</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9"/>
              </w:rPr>
              <w:t>3,393,501</w:t>
            </w:r>
          </w:p>
        </w:tc>
        <w:tc>
          <w:tcPr>
            <w:tcW w:w="44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19.80</w:t>
            </w:r>
          </w:p>
        </w:tc>
        <w:tc>
          <w:tcPr>
            <w:tcW w:w="460" w:type="dxa"/>
            <w:vAlign w:val="bottom"/>
            <w:gridSpan w:val="2"/>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67,201</w:t>
            </w:r>
          </w:p>
        </w:tc>
        <w:tc>
          <w:tcPr>
            <w:tcW w:w="380" w:type="dxa"/>
            <w:vAlign w:val="bottom"/>
            <w:gridSpan w:val="2"/>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901</w:t>
            </w:r>
          </w:p>
        </w:tc>
        <w:tc>
          <w:tcPr>
            <w:tcW w:w="480" w:type="dxa"/>
            <w:vAlign w:val="bottom"/>
            <w:gridSpan w:val="2"/>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66,300</w:t>
            </w:r>
          </w:p>
        </w:tc>
        <w:tc>
          <w:tcPr>
            <w:tcW w:w="80" w:type="dxa"/>
            <w:vAlign w:val="bottom"/>
          </w:tcPr>
          <w:p>
            <w:pPr>
              <w:spacing w:after="0"/>
              <w:rPr>
                <w:sz w:val="13"/>
                <w:szCs w:val="13"/>
                <w:color w:val="auto"/>
              </w:rPr>
            </w:pPr>
          </w:p>
        </w:tc>
      </w:tr>
      <w:tr>
        <w:trPr>
          <w:trHeight w:val="20"/>
        </w:trPr>
        <w:tc>
          <w:tcPr>
            <w:tcW w:w="3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Net proceeds exclude amortization of deferred equity financing costs.</w:t>
      </w:r>
    </w:p>
    <w:p>
      <w:pPr>
        <w:spacing w:after="0" w:line="149" w:lineRule="exact"/>
        <w:rPr>
          <w:sz w:val="20"/>
          <w:szCs w:val="20"/>
          <w:color w:val="auto"/>
        </w:rPr>
      </w:pPr>
    </w:p>
    <w:p>
      <w:pPr>
        <w:ind w:right="140" w:firstLine="444"/>
        <w:spacing w:after="0" w:line="247" w:lineRule="auto"/>
        <w:rPr>
          <w:sz w:val="20"/>
          <w:szCs w:val="20"/>
          <w:color w:val="auto"/>
        </w:rPr>
      </w:pPr>
      <w:r>
        <w:rPr>
          <w:rFonts w:ascii="Times New Roman" w:cs="Times New Roman" w:eastAsia="Times New Roman" w:hAnsi="Times New Roman"/>
          <w:sz w:val="16"/>
          <w:szCs w:val="16"/>
          <w:color w:val="auto"/>
        </w:rPr>
        <w:t>Cumulative to date, the Company has sold 9,364,244 shares of common stock under the ATM Program at a weighted-average price of $19.75, raising $184,973 of gross proceeds. Net proceeds were $182,496 after commissions to the sales agents on shares sold. As of September 30, 2024, the Company has $115,027 available under the ATM Program.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Repurchase Program</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described in Note 2, the Company has a Stock Repurchase Program under which the Company may acquire up to $5,000 of its outstanding common stock.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did not make any repurchases of common stock during the three and nine months ended September 30, 2024 and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DRIP Program</w:t>
      </w:r>
    </w:p>
    <w:p>
      <w:pPr>
        <w:spacing w:after="0" w:line="178" w:lineRule="exact"/>
        <w:rPr>
          <w:sz w:val="20"/>
          <w:szCs w:val="20"/>
          <w:color w:val="auto"/>
        </w:rPr>
      </w:pPr>
    </w:p>
    <w:p>
      <w:pPr>
        <w:jc w:val="both"/>
        <w:ind w:firstLine="444"/>
        <w:spacing w:after="0" w:line="247" w:lineRule="auto"/>
        <w:rPr>
          <w:sz w:val="20"/>
          <w:szCs w:val="20"/>
          <w:color w:val="auto"/>
        </w:rPr>
      </w:pPr>
      <w:r>
        <w:rPr>
          <w:rFonts w:ascii="Times New Roman" w:cs="Times New Roman" w:eastAsia="Times New Roman" w:hAnsi="Times New Roman"/>
          <w:sz w:val="16"/>
          <w:szCs w:val="16"/>
          <w:color w:val="auto"/>
        </w:rPr>
        <w:t>The Company issued 38,417 and 82,172 shares of common stock under the DRIP during the three and nine months ended September 30, 2024, respectively. The Company issued zero and 30,836 shares of common stock under the DRIP during the three and nine months ended September 30, 2023, respectively. Refer to Note 9 for additional information regarding the issuance of shares under the DRIP.</w:t>
      </w:r>
    </w:p>
    <w:p>
      <w:pPr>
        <w:spacing w:after="0" w:line="116" w:lineRule="exact"/>
        <w:rPr>
          <w:sz w:val="20"/>
          <w:szCs w:val="20"/>
          <w:color w:val="auto"/>
        </w:rPr>
      </w:pPr>
    </w:p>
    <w:p>
      <w:pPr>
        <w:jc w:val="center"/>
        <w:ind w:right="400"/>
        <w:spacing w:after="0" w:line="259" w:lineRule="auto"/>
        <w:rPr>
          <w:sz w:val="20"/>
          <w:szCs w:val="20"/>
          <w:color w:val="auto"/>
        </w:rPr>
      </w:pPr>
      <w:r>
        <w:rPr>
          <w:rFonts w:ascii="Times New Roman" w:cs="Times New Roman" w:eastAsia="Times New Roman" w:hAnsi="Times New Roman"/>
          <w:sz w:val="16"/>
          <w:szCs w:val="16"/>
          <w:color w:val="auto"/>
        </w:rPr>
        <w:t>The Company had 33,914,652 and 30,438,979 shares of common stock outstanding as of September 30, 2024 and December 31, 2023, respectively.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Dividends and Distributions</w:t>
      </w:r>
    </w:p>
    <w:p>
      <w:pPr>
        <w:spacing w:after="0" w:line="142" w:lineRule="exact"/>
        <w:rPr>
          <w:sz w:val="20"/>
          <w:szCs w:val="20"/>
          <w:color w:val="auto"/>
        </w:rPr>
      </w:pPr>
    </w:p>
    <w:p>
      <w:pPr>
        <w:ind w:right="180" w:firstLine="444"/>
        <w:spacing w:after="0" w:line="259" w:lineRule="auto"/>
        <w:rPr>
          <w:sz w:val="20"/>
          <w:szCs w:val="20"/>
          <w:color w:val="auto"/>
        </w:rPr>
      </w:pPr>
      <w:r>
        <w:rPr>
          <w:rFonts w:ascii="Times New Roman" w:cs="Times New Roman" w:eastAsia="Times New Roman" w:hAnsi="Times New Roman"/>
          <w:sz w:val="16"/>
          <w:szCs w:val="16"/>
          <w:color w:val="auto"/>
        </w:rPr>
        <w:t>The Company’s dividends and distributions are recorded on the record date. The following table summarizes the dividends paid during the last two fiscal years and for the nine months ended September 30,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7"/>
              </w:rPr>
              <w:t>DRIP</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7"/>
              </w:rPr>
              <w:t>DRIP</w:t>
            </w:r>
          </w:p>
        </w:tc>
        <w:tc>
          <w:tcPr>
            <w:tcW w:w="0" w:type="dxa"/>
            <w:vAlign w:val="bottom"/>
          </w:tcPr>
          <w:p>
            <w:pPr>
              <w:spacing w:after="0"/>
              <w:rPr>
                <w:sz w:val="1"/>
                <w:szCs w:val="1"/>
                <w:color w:val="auto"/>
              </w:rPr>
            </w:pPr>
          </w:p>
        </w:tc>
      </w:tr>
      <w:tr>
        <w:trPr>
          <w:trHeight w:val="144"/>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Date</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Record</w:t>
            </w: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Payment</w:t>
            </w:r>
          </w:p>
        </w:tc>
        <w:tc>
          <w:tcPr>
            <w:tcW w:w="120" w:type="dxa"/>
            <w:vAlign w:val="bottom"/>
          </w:tcPr>
          <w:p>
            <w:pPr>
              <w:spacing w:after="0"/>
              <w:rPr>
                <w:sz w:val="12"/>
                <w:szCs w:val="12"/>
                <w:color w:val="auto"/>
              </w:rPr>
            </w:pP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Cash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00" w:type="dxa"/>
            <w:vAlign w:val="bottom"/>
          </w:tcPr>
          <w:p>
            <w:pPr>
              <w:spacing w:after="0"/>
              <w:rPr>
                <w:sz w:val="12"/>
                <w:szCs w:val="12"/>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DRIP</w:t>
            </w:r>
          </w:p>
        </w:tc>
        <w:tc>
          <w:tcPr>
            <w:tcW w:w="380" w:type="dxa"/>
            <w:vAlign w:val="bottom"/>
          </w:tcPr>
          <w:p>
            <w:pPr>
              <w:spacing w:after="0"/>
              <w:rPr>
                <w:sz w:val="12"/>
                <w:szCs w:val="12"/>
                <w:color w:val="auto"/>
              </w:rPr>
            </w:pPr>
          </w:p>
        </w:tc>
        <w:tc>
          <w:tcPr>
            <w:tcW w:w="102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0" w:type="dxa"/>
            <w:vAlign w:val="bottom"/>
          </w:tcPr>
          <w:p>
            <w:pPr>
              <w:spacing w:after="0"/>
              <w:rPr>
                <w:sz w:val="1"/>
                <w:szCs w:val="1"/>
                <w:color w:val="auto"/>
              </w:rPr>
            </w:pPr>
          </w:p>
        </w:tc>
      </w:tr>
      <w:tr>
        <w:trPr>
          <w:trHeight w:val="148"/>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Declared</w:t>
            </w:r>
          </w:p>
        </w:tc>
        <w:tc>
          <w:tcPr>
            <w:tcW w:w="126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Date</w:t>
            </w:r>
          </w:p>
        </w:tc>
        <w:tc>
          <w:tcPr>
            <w:tcW w:w="82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Date</w:t>
            </w:r>
          </w:p>
        </w:tc>
        <w:tc>
          <w:tcPr>
            <w:tcW w:w="120" w:type="dxa"/>
            <w:vAlign w:val="bottom"/>
          </w:tcPr>
          <w:p>
            <w:pPr>
              <w:spacing w:after="0"/>
              <w:rPr>
                <w:sz w:val="12"/>
                <w:szCs w:val="12"/>
                <w:color w:val="auto"/>
              </w:rPr>
            </w:pPr>
          </w:p>
        </w:tc>
        <w:tc>
          <w:tcPr>
            <w:tcW w:w="66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99"/>
              </w:rPr>
              <w:t>Distribution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Distribution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200" w:type="dxa"/>
            <w:vAlign w:val="bottom"/>
          </w:tcPr>
          <w:p>
            <w:pPr>
              <w:spacing w:after="0"/>
              <w:rPr>
                <w:sz w:val="12"/>
                <w:szCs w:val="12"/>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380" w:type="dxa"/>
            <w:vAlign w:val="bottom"/>
          </w:tcPr>
          <w:p>
            <w:pPr>
              <w:spacing w:after="0"/>
              <w:rPr>
                <w:sz w:val="12"/>
                <w:szCs w:val="12"/>
                <w:color w:val="auto"/>
              </w:rPr>
            </w:pPr>
          </w:p>
        </w:tc>
        <w:tc>
          <w:tcPr>
            <w:tcW w:w="102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4"/>
              </w:rPr>
              <w:t>Issue Price</w:t>
            </w:r>
          </w:p>
        </w:tc>
        <w:tc>
          <w:tcPr>
            <w:tcW w:w="0" w:type="dxa"/>
            <w:vAlign w:val="bottom"/>
          </w:tcPr>
          <w:p>
            <w:pPr>
              <w:spacing w:after="0"/>
              <w:rPr>
                <w:sz w:val="1"/>
                <w:szCs w:val="1"/>
                <w:color w:val="auto"/>
              </w:rPr>
            </w:pPr>
          </w:p>
        </w:tc>
      </w:tr>
      <w:tr>
        <w:trPr>
          <w:trHeight w:val="14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 2022:</w:t>
            </w:r>
          </w:p>
        </w:tc>
        <w:tc>
          <w:tcPr>
            <w:tcW w:w="1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2/15/2022</w:t>
            </w:r>
          </w:p>
        </w:tc>
        <w:tc>
          <w:tcPr>
            <w:tcW w:w="126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3/11/2022</w:t>
            </w: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3/25/2022</w:t>
            </w:r>
          </w:p>
        </w:tc>
        <w:tc>
          <w:tcPr>
            <w:tcW w:w="12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0.36</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8,797</w:t>
            </w: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8,797</w:t>
            </w: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0"/>
        </w:trPr>
        <w:tc>
          <w:tcPr>
            <w:tcW w:w="23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2/15/2022 </w:t>
            </w:r>
            <w:r>
              <w:rPr>
                <w:rFonts w:ascii="Times New Roman" w:cs="Times New Roman" w:eastAsia="Times New Roman" w:hAnsi="Times New Roman"/>
                <w:sz w:val="12"/>
                <w:szCs w:val="12"/>
                <w:color w:val="auto"/>
                <w:vertAlign w:val="superscript"/>
              </w:rPr>
              <w:t>(2)</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3/11/2022</w:t>
            </w: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3/25/2022</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4,154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4,154</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0"/>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5/02/2022</w:t>
            </w:r>
          </w:p>
        </w:tc>
        <w:tc>
          <w:tcPr>
            <w:tcW w:w="126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6/10/2022</w:t>
            </w: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6/24/2022</w:t>
            </w:r>
          </w:p>
        </w:tc>
        <w:tc>
          <w:tcPr>
            <w:tcW w:w="1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0.36</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8,797</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8,797</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0"/>
        </w:trPr>
        <w:tc>
          <w:tcPr>
            <w:tcW w:w="23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5/02/2022 </w:t>
            </w:r>
            <w:r>
              <w:rPr>
                <w:rFonts w:ascii="Times New Roman" w:cs="Times New Roman" w:eastAsia="Times New Roman" w:hAnsi="Times New Roman"/>
                <w:sz w:val="12"/>
                <w:szCs w:val="12"/>
                <w:color w:val="auto"/>
                <w:vertAlign w:val="superscript"/>
              </w:rPr>
              <w:t>(2)</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6/10/2022</w:t>
            </w: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6/24/2022</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1,712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1,712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0"/>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8/01/2022</w:t>
            </w:r>
          </w:p>
        </w:tc>
        <w:tc>
          <w:tcPr>
            <w:tcW w:w="126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9/9/2022</w:t>
            </w: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9/23/2022</w:t>
            </w:r>
          </w:p>
        </w:tc>
        <w:tc>
          <w:tcPr>
            <w:tcW w:w="1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0.36</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8,797</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8,797</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0"/>
        </w:trPr>
        <w:tc>
          <w:tcPr>
            <w:tcW w:w="23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8/01/2022 </w:t>
            </w:r>
            <w:r>
              <w:rPr>
                <w:rFonts w:ascii="Times New Roman" w:cs="Times New Roman" w:eastAsia="Times New Roman" w:hAnsi="Times New Roman"/>
                <w:sz w:val="12"/>
                <w:szCs w:val="12"/>
                <w:color w:val="auto"/>
                <w:vertAlign w:val="superscript"/>
              </w:rPr>
              <w:t>(2)</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9/9/2022</w:t>
            </w: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9/23/2022</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1,711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1,711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0"/>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8/01/2022</w:t>
            </w:r>
          </w:p>
        </w:tc>
        <w:tc>
          <w:tcPr>
            <w:tcW w:w="126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12/2/2022</w:t>
            </w: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12/16/2022</w:t>
            </w:r>
          </w:p>
        </w:tc>
        <w:tc>
          <w:tcPr>
            <w:tcW w:w="1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0.36</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8,902</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8,902</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0"/>
        </w:trPr>
        <w:tc>
          <w:tcPr>
            <w:tcW w:w="23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8/01/2022 </w:t>
            </w:r>
            <w:r>
              <w:rPr>
                <w:rFonts w:ascii="Times New Roman" w:cs="Times New Roman" w:eastAsia="Times New Roman" w:hAnsi="Times New Roman"/>
                <w:sz w:val="12"/>
                <w:szCs w:val="12"/>
                <w:color w:val="auto"/>
                <w:vertAlign w:val="superscript"/>
              </w:rPr>
              <w:t>(2)</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12/2/2022</w:t>
            </w: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12/16/2022</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0.07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1,731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1,731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11/03/2022 </w:t>
            </w:r>
            <w:r>
              <w:rPr>
                <w:rFonts w:ascii="Times New Roman" w:cs="Times New Roman" w:eastAsia="Times New Roman" w:hAnsi="Times New Roman"/>
                <w:sz w:val="12"/>
                <w:szCs w:val="12"/>
                <w:color w:val="auto"/>
                <w:vertAlign w:val="superscript"/>
              </w:rPr>
              <w:t>(2)</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12/2/2022</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12/16/2022</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1,978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1,978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11/03/2022 </w:t>
            </w:r>
            <w:r>
              <w:rPr>
                <w:rFonts w:ascii="Times New Roman" w:cs="Times New Roman" w:eastAsia="Times New Roman" w:hAnsi="Times New Roman"/>
                <w:sz w:val="12"/>
                <w:szCs w:val="12"/>
                <w:color w:val="auto"/>
                <w:vertAlign w:val="superscript"/>
              </w:rPr>
              <w:t>(1)</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12/2/2022</w:t>
            </w: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12/16/2022</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2,473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2,473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49,052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49,052</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 2023:</w:t>
            </w: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2/15/2023</w:t>
            </w:r>
          </w:p>
        </w:tc>
        <w:tc>
          <w:tcPr>
            <w:tcW w:w="1260" w:type="dxa"/>
            <w:vAlign w:val="bottom"/>
            <w:tcBorders>
              <w:bottom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3/22/2023</w:t>
            </w:r>
          </w:p>
        </w:tc>
        <w:tc>
          <w:tcPr>
            <w:tcW w:w="8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3/29/2023</w:t>
            </w:r>
          </w:p>
        </w:tc>
        <w:tc>
          <w:tcPr>
            <w:tcW w:w="120" w:type="dxa"/>
            <w:vAlign w:val="bottom"/>
            <w:tcBorders>
              <w:bottom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0.41</w:t>
            </w:r>
          </w:p>
        </w:tc>
        <w:tc>
          <w:tcPr>
            <w:tcW w:w="3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10,245</w:t>
            </w:r>
          </w:p>
        </w:tc>
        <w:tc>
          <w:tcPr>
            <w:tcW w:w="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10,245</w:t>
            </w:r>
          </w:p>
        </w:tc>
        <w:tc>
          <w:tcPr>
            <w:tcW w:w="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tcBorders>
              <w:bottom w:val="single" w:sz="8" w:color="CFF0FC"/>
            </w:tcBorders>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0"/>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2/15/2023 (2)</w:t>
            </w:r>
          </w:p>
        </w:tc>
        <w:tc>
          <w:tcPr>
            <w:tcW w:w="126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3/22/2023</w:t>
            </w: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3/29/2023</w:t>
            </w:r>
          </w:p>
        </w:tc>
        <w:tc>
          <w:tcPr>
            <w:tcW w:w="1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0.15</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3,748</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3,748</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0"/>
        </w:trPr>
        <w:tc>
          <w:tcPr>
            <w:tcW w:w="23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2/15/2023 (1)</w:t>
            </w:r>
          </w:p>
        </w:tc>
        <w:tc>
          <w:tcPr>
            <w:tcW w:w="1260" w:type="dxa"/>
            <w:vAlign w:val="bottom"/>
            <w:tcBorders>
              <w:bottom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3/22/2023</w:t>
            </w:r>
          </w:p>
        </w:tc>
        <w:tc>
          <w:tcPr>
            <w:tcW w:w="8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3/29/2023</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0.10</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2,499</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2,499</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tcBorders>
              <w:bottom w:val="single" w:sz="8" w:color="CFF0FC"/>
            </w:tcBorders>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5/02/2023</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6/21/2023</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6/28/2023</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10,340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9,987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18,061</w:t>
            </w:r>
          </w:p>
        </w:tc>
        <w:tc>
          <w:tcPr>
            <w:tcW w:w="380" w:type="dxa"/>
            <w:vAlign w:val="bottom"/>
          </w:tcPr>
          <w:p>
            <w:pPr>
              <w:spacing w:after="0"/>
              <w:rPr>
                <w:sz w:val="12"/>
                <w:szCs w:val="12"/>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19.56</w:t>
            </w:r>
          </w:p>
        </w:tc>
        <w:tc>
          <w:tcPr>
            <w:tcW w:w="0" w:type="dxa"/>
            <w:vAlign w:val="bottom"/>
          </w:tcPr>
          <w:p>
            <w:pPr>
              <w:spacing w:after="0"/>
              <w:rPr>
                <w:sz w:val="1"/>
                <w:szCs w:val="1"/>
                <w:color w:val="auto"/>
              </w:rPr>
            </w:pPr>
          </w:p>
        </w:tc>
      </w:tr>
      <w:tr>
        <w:trPr>
          <w:trHeight w:val="14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5/02/2023 (2)</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6/21/2023</w:t>
            </w: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6/28/2023</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4,792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4,628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164</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8,370</w:t>
            </w:r>
          </w:p>
        </w:tc>
        <w:tc>
          <w:tcPr>
            <w:tcW w:w="3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19.56</w:t>
            </w:r>
          </w:p>
        </w:tc>
        <w:tc>
          <w:tcPr>
            <w:tcW w:w="0" w:type="dxa"/>
            <w:vAlign w:val="bottom"/>
          </w:tcPr>
          <w:p>
            <w:pPr>
              <w:spacing w:after="0"/>
              <w:rPr>
                <w:sz w:val="1"/>
                <w:szCs w:val="1"/>
                <w:color w:val="auto"/>
              </w:rPr>
            </w:pPr>
          </w:p>
        </w:tc>
      </w:tr>
      <w:tr>
        <w:trPr>
          <w:trHeight w:val="140"/>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5/02/2023 (1)</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6/21/2023</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6/28/2023</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2,436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4,405</w:t>
            </w:r>
          </w:p>
        </w:tc>
        <w:tc>
          <w:tcPr>
            <w:tcW w:w="380" w:type="dxa"/>
            <w:vAlign w:val="bottom"/>
          </w:tcPr>
          <w:p>
            <w:pPr>
              <w:spacing w:after="0"/>
              <w:rPr>
                <w:sz w:val="12"/>
                <w:szCs w:val="12"/>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19.56</w:t>
            </w:r>
          </w:p>
        </w:tc>
        <w:tc>
          <w:tcPr>
            <w:tcW w:w="0" w:type="dxa"/>
            <w:vAlign w:val="bottom"/>
          </w:tcPr>
          <w:p>
            <w:pPr>
              <w:spacing w:after="0"/>
              <w:rPr>
                <w:sz w:val="1"/>
                <w:szCs w:val="1"/>
                <w:color w:val="auto"/>
              </w:rPr>
            </w:pPr>
          </w:p>
        </w:tc>
      </w:tr>
      <w:tr>
        <w:trPr>
          <w:trHeight w:val="128"/>
        </w:trPr>
        <w:tc>
          <w:tcPr>
            <w:tcW w:w="2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8/01/2023</w:t>
            </w:r>
          </w:p>
        </w:tc>
        <w:tc>
          <w:tcPr>
            <w:tcW w:w="1260" w:type="dxa"/>
            <w:vAlign w:val="bottom"/>
            <w:tcBorders>
              <w:bottom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9/20/2023</w:t>
            </w:r>
          </w:p>
        </w:tc>
        <w:tc>
          <w:tcPr>
            <w:tcW w:w="8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9/27/2023</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0.41</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11,666</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11,666</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tcBorders>
              <w:bottom w:val="single" w:sz="8" w:color="CFF0FC"/>
            </w:tcBorders>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0"/>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8/01/2023 (2)</w:t>
            </w:r>
          </w:p>
        </w:tc>
        <w:tc>
          <w:tcPr>
            <w:tcW w:w="126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9/20/2023</w:t>
            </w: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9/27/2023</w:t>
            </w:r>
          </w:p>
        </w:tc>
        <w:tc>
          <w:tcPr>
            <w:tcW w:w="1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0.21</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5,975</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5,975</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0"/>
        </w:trPr>
        <w:tc>
          <w:tcPr>
            <w:tcW w:w="23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8/01/2023 (1)</w:t>
            </w:r>
          </w:p>
        </w:tc>
        <w:tc>
          <w:tcPr>
            <w:tcW w:w="1260" w:type="dxa"/>
            <w:vAlign w:val="bottom"/>
            <w:tcBorders>
              <w:bottom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9/20/2023</w:t>
            </w:r>
          </w:p>
        </w:tc>
        <w:tc>
          <w:tcPr>
            <w:tcW w:w="8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9/27/2023</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0.10</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2,845</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2,845</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tcBorders>
              <w:bottom w:val="single" w:sz="8" w:color="CFF0FC"/>
            </w:tcBorders>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0"/>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10/30/2023</w:t>
            </w:r>
          </w:p>
        </w:tc>
        <w:tc>
          <w:tcPr>
            <w:tcW w:w="126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12/20/2023</w:t>
            </w: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12/27/2023</w:t>
            </w:r>
          </w:p>
        </w:tc>
        <w:tc>
          <w:tcPr>
            <w:tcW w:w="1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0.43</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13,061</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13,061</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0"/>
        </w:trPr>
        <w:tc>
          <w:tcPr>
            <w:tcW w:w="23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10/30/2023 (2)</w:t>
            </w:r>
          </w:p>
        </w:tc>
        <w:tc>
          <w:tcPr>
            <w:tcW w:w="1260" w:type="dxa"/>
            <w:vAlign w:val="bottom"/>
            <w:tcBorders>
              <w:bottom w:val="single" w:sz="8" w:color="CFF0FC"/>
            </w:tcBorders>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12/20/2023</w:t>
            </w:r>
          </w:p>
        </w:tc>
        <w:tc>
          <w:tcPr>
            <w:tcW w:w="820" w:type="dxa"/>
            <w:vAlign w:val="bottom"/>
            <w:tcBorders>
              <w:bottom w:val="single" w:sz="8" w:color="CFF0FC"/>
            </w:tcBorders>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12/27/2023</w:t>
            </w: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0.27</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8,200</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8,200</w:t>
            </w:r>
          </w:p>
        </w:tc>
        <w:tc>
          <w:tcPr>
            <w:tcW w:w="2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tcBorders>
              <w:bottom w:val="single" w:sz="8" w:color="CFF0FC"/>
            </w:tcBorders>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0"/>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10/30/2023 (1)</w:t>
            </w:r>
          </w:p>
        </w:tc>
        <w:tc>
          <w:tcPr>
            <w:tcW w:w="126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12/20/2023</w:t>
            </w: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12/27/2023</w:t>
            </w:r>
          </w:p>
        </w:tc>
        <w:tc>
          <w:tcPr>
            <w:tcW w:w="1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0.10</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3,037</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3,037</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46"/>
        </w:trPr>
        <w:tc>
          <w:tcPr>
            <w:tcW w:w="23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78,930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78,327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603</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30,836</w:t>
            </w: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b w:val="1"/>
                <w:bCs w:val="1"/>
                <w:color w:val="auto"/>
              </w:rPr>
              <w:t>Nine Months Ended September 30, 2024:</w:t>
            </w:r>
          </w:p>
        </w:tc>
        <w:tc>
          <w:tcPr>
            <w:tcW w:w="12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2/13/2024</w:t>
            </w:r>
          </w:p>
        </w:tc>
        <w:tc>
          <w:tcPr>
            <w:tcW w:w="126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3/20/2024</w:t>
            </w:r>
          </w:p>
        </w:tc>
        <w:tc>
          <w:tcPr>
            <w:tcW w:w="8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3/27/2024</w:t>
            </w:r>
          </w:p>
        </w:tc>
        <w:tc>
          <w:tcPr>
            <w:tcW w:w="12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0.43</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13,513</w:t>
            </w: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13,513</w:t>
            </w: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50"/>
        </w:trPr>
        <w:tc>
          <w:tcPr>
            <w:tcW w:w="230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2/13/2024 </w:t>
            </w:r>
            <w:r>
              <w:rPr>
                <w:rFonts w:ascii="Times New Roman" w:cs="Times New Roman" w:eastAsia="Times New Roman" w:hAnsi="Times New Roman"/>
                <w:sz w:val="12"/>
                <w:szCs w:val="12"/>
                <w:color w:val="auto"/>
                <w:vertAlign w:val="superscript"/>
              </w:rPr>
              <w:t>(2)</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3/20/2024</w:t>
            </w: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3/27/2024</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0.22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6,914</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6,914</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6"/>
                <w:szCs w:val="6"/>
                <w:color w:val="auto"/>
              </w:rPr>
              <w:t>(3)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6"/>
                <w:szCs w:val="6"/>
                <w:color w:val="auto"/>
              </w:rPr>
              <w:t>(3)</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0"/>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4/29/2024</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6/19/2024</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6/26/2024</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14,240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13,623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617</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31,889</w:t>
            </w:r>
          </w:p>
        </w:tc>
        <w:tc>
          <w:tcPr>
            <w:tcW w:w="380" w:type="dxa"/>
            <w:vAlign w:val="bottom"/>
          </w:tcPr>
          <w:p>
            <w:pPr>
              <w:spacing w:after="0"/>
              <w:rPr>
                <w:sz w:val="12"/>
                <w:szCs w:val="12"/>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19.36</w:t>
            </w:r>
          </w:p>
        </w:tc>
        <w:tc>
          <w:tcPr>
            <w:tcW w:w="0" w:type="dxa"/>
            <w:vAlign w:val="bottom"/>
          </w:tcPr>
          <w:p>
            <w:pPr>
              <w:spacing w:after="0"/>
              <w:rPr>
                <w:sz w:val="1"/>
                <w:szCs w:val="1"/>
                <w:color w:val="auto"/>
              </w:rPr>
            </w:pPr>
          </w:p>
        </w:tc>
      </w:tr>
      <w:tr>
        <w:trPr>
          <w:trHeight w:val="14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4/29/2024 </w:t>
            </w:r>
            <w:r>
              <w:rPr>
                <w:rFonts w:ascii="Times New Roman" w:cs="Times New Roman" w:eastAsia="Times New Roman" w:hAnsi="Times New Roman"/>
                <w:sz w:val="12"/>
                <w:szCs w:val="12"/>
                <w:color w:val="auto"/>
                <w:vertAlign w:val="superscript"/>
              </w:rPr>
              <w:t>(2)</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6/19/2024</w:t>
            </w: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6/26/2024</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5,299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5,069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230</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11,866</w:t>
            </w:r>
          </w:p>
        </w:tc>
        <w:tc>
          <w:tcPr>
            <w:tcW w:w="3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19.36</w:t>
            </w:r>
          </w:p>
        </w:tc>
        <w:tc>
          <w:tcPr>
            <w:tcW w:w="0" w:type="dxa"/>
            <w:vAlign w:val="bottom"/>
          </w:tcPr>
          <w:p>
            <w:pPr>
              <w:spacing w:after="0"/>
              <w:rPr>
                <w:sz w:val="1"/>
                <w:szCs w:val="1"/>
                <w:color w:val="auto"/>
              </w:rPr>
            </w:pPr>
          </w:p>
        </w:tc>
      </w:tr>
      <w:tr>
        <w:trPr>
          <w:trHeight w:val="140"/>
        </w:trPr>
        <w:tc>
          <w:tcPr>
            <w:tcW w:w="23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7/29/2024</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9/19/2024</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9/26/2024</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14,567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14,002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565</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28,981</w:t>
            </w:r>
          </w:p>
        </w:tc>
        <w:tc>
          <w:tcPr>
            <w:tcW w:w="380" w:type="dxa"/>
            <w:vAlign w:val="bottom"/>
          </w:tcPr>
          <w:p>
            <w:pPr>
              <w:spacing w:after="0"/>
              <w:rPr>
                <w:sz w:val="12"/>
                <w:szCs w:val="12"/>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19.50</w:t>
            </w:r>
          </w:p>
        </w:tc>
        <w:tc>
          <w:tcPr>
            <w:tcW w:w="0" w:type="dxa"/>
            <w:vAlign w:val="bottom"/>
          </w:tcPr>
          <w:p>
            <w:pPr>
              <w:spacing w:after="0"/>
              <w:rPr>
                <w:sz w:val="1"/>
                <w:szCs w:val="1"/>
                <w:color w:val="auto"/>
              </w:rPr>
            </w:pPr>
          </w:p>
        </w:tc>
      </w:tr>
      <w:tr>
        <w:trPr>
          <w:trHeight w:val="148"/>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rPr>
              <w:t xml:space="preserve">7/29/2024 </w:t>
            </w:r>
            <w:r>
              <w:rPr>
                <w:rFonts w:ascii="Times New Roman" w:cs="Times New Roman" w:eastAsia="Times New Roman" w:hAnsi="Times New Roman"/>
                <w:sz w:val="12"/>
                <w:szCs w:val="12"/>
                <w:color w:val="auto"/>
                <w:vertAlign w:val="superscript"/>
              </w:rPr>
              <w:t>(2)</w:t>
            </w:r>
          </w:p>
        </w:tc>
        <w:tc>
          <w:tcPr>
            <w:tcW w:w="12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0"/>
                <w:szCs w:val="10"/>
                <w:color w:val="auto"/>
              </w:rPr>
              <w:t>9/19/2024</w:t>
            </w:r>
          </w:p>
        </w:tc>
        <w:tc>
          <w:tcPr>
            <w:tcW w:w="8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0"/>
                <w:szCs w:val="10"/>
                <w:color w:val="auto"/>
              </w:rPr>
              <w:t>9/26/2024</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0.14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4,743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4,560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183</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9,436</w:t>
            </w:r>
          </w:p>
        </w:tc>
        <w:tc>
          <w:tcPr>
            <w:tcW w:w="38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0"/>
                <w:szCs w:val="10"/>
                <w:color w:val="auto"/>
              </w:rPr>
              <w:t>19.50</w:t>
            </w: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59,276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57,681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1,595</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82,172</w:t>
            </w: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40" w:hanging="322"/>
        <w:spacing w:after="0"/>
        <w:tabs>
          <w:tab w:leader="none" w:pos="3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Special dividend</w:t>
      </w:r>
    </w:p>
    <w:p>
      <w:pPr>
        <w:spacing w:after="0" w:line="22" w:lineRule="exact"/>
        <w:rPr>
          <w:rFonts w:ascii="Times New Roman" w:cs="Times New Roman" w:eastAsia="Times New Roman" w:hAnsi="Times New Roman"/>
          <w:sz w:val="13"/>
          <w:szCs w:val="13"/>
          <w:color w:val="auto"/>
        </w:rPr>
      </w:pPr>
    </w:p>
    <w:p>
      <w:pPr>
        <w:ind w:left="340" w:hanging="322"/>
        <w:spacing w:after="0"/>
        <w:tabs>
          <w:tab w:leader="none" w:pos="3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Supplemental dividend</w:t>
      </w:r>
    </w:p>
    <w:p>
      <w:pPr>
        <w:spacing w:after="0" w:line="18" w:lineRule="exact"/>
        <w:rPr>
          <w:rFonts w:ascii="Times New Roman" w:cs="Times New Roman" w:eastAsia="Times New Roman" w:hAnsi="Times New Roman"/>
          <w:sz w:val="13"/>
          <w:szCs w:val="13"/>
          <w:color w:val="auto"/>
        </w:rPr>
      </w:pPr>
    </w:p>
    <w:p>
      <w:pPr>
        <w:ind w:left="340" w:right="100" w:hanging="322"/>
        <w:spacing w:after="0" w:line="265" w:lineRule="auto"/>
        <w:tabs>
          <w:tab w:leader="none" w:pos="3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the shares issued pursuant to the DRIP as reflected in the table above, during the nine months ended September 30, 2024 and the years ended December 31, 2023 and 2022,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p>
      <w:pPr>
        <w:spacing w:after="0" w:line="195"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Price Paid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20" w:type="dxa"/>
            <w:vAlign w:val="bottom"/>
          </w:tcPr>
          <w:p>
            <w:pPr>
              <w:spacing w:after="0"/>
              <w:rPr>
                <w:sz w:val="16"/>
                <w:szCs w:val="16"/>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and Reissued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Amount Paid</w:t>
            </w:r>
          </w:p>
        </w:tc>
      </w:tr>
      <w:tr>
        <w:trPr>
          <w:trHeight w:val="18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2022 through March 31, 2022</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20,380</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20.51</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00" w:type="dxa"/>
            <w:vAlign w:val="bottom"/>
            <w:shd w:val="clear" w:color="auto" w:fill="CCEEFF"/>
          </w:tcPr>
          <w:p>
            <w:pPr>
              <w:spacing w:after="0"/>
              <w:rPr>
                <w:sz w:val="16"/>
                <w:szCs w:val="16"/>
                <w:color w:val="auto"/>
              </w:rPr>
            </w:pPr>
          </w:p>
        </w:tc>
      </w:tr>
      <w:tr>
        <w:trPr>
          <w:trHeight w:val="176"/>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1, 2022 through June 30, 2022</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20,233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17.89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00" w:type="dxa"/>
            <w:vAlign w:val="bottom"/>
          </w:tcPr>
          <w:p>
            <w:pPr>
              <w:spacing w:after="0"/>
              <w:rPr>
                <w:sz w:val="15"/>
                <w:szCs w:val="15"/>
                <w:color w:val="auto"/>
              </w:rPr>
            </w:pPr>
          </w:p>
        </w:tc>
      </w:tr>
      <w:tr>
        <w:trPr>
          <w:trHeight w:val="18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July 1, 2022 through September 30, 2022</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21,114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17.08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shd w:val="clear" w:color="auto" w:fill="CCEEFF"/>
          </w:tcPr>
          <w:p>
            <w:pPr>
              <w:spacing w:after="0"/>
              <w:rPr>
                <w:sz w:val="16"/>
                <w:szCs w:val="16"/>
                <w:color w:val="auto"/>
              </w:rPr>
            </w:pPr>
          </w:p>
        </w:tc>
      </w:tr>
      <w:tr>
        <w:trPr>
          <w:trHeight w:val="176"/>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October 1, 2022 through December 31, 2022</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23,026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18.99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Pr>
          <w:p>
            <w:pPr>
              <w:spacing w:after="0"/>
              <w:rPr>
                <w:sz w:val="15"/>
                <w:szCs w:val="15"/>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84,753</w:t>
            </w:r>
          </w:p>
        </w:tc>
        <w:tc>
          <w:tcPr>
            <w:tcW w:w="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18.61</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1,577</w:t>
            </w:r>
          </w:p>
        </w:tc>
        <w:tc>
          <w:tcPr>
            <w:tcW w:w="100" w:type="dxa"/>
            <w:vAlign w:val="bottom"/>
            <w:shd w:val="clear" w:color="auto" w:fill="CFF0FC"/>
          </w:tcPr>
          <w:p>
            <w:pPr>
              <w:spacing w:after="0"/>
              <w:rPr>
                <w:sz w:val="19"/>
                <w:szCs w:val="19"/>
                <w:color w:val="auto"/>
              </w:rPr>
            </w:pPr>
          </w:p>
        </w:tc>
      </w:tr>
      <w:tr>
        <w:trPr>
          <w:trHeight w:val="352"/>
        </w:trPr>
        <w:tc>
          <w:tcPr>
            <w:tcW w:w="46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80"/>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Price Paid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20" w:type="dxa"/>
            <w:vAlign w:val="bottom"/>
          </w:tcPr>
          <w:p>
            <w:pPr>
              <w:spacing w:after="0"/>
              <w:rPr>
                <w:sz w:val="16"/>
                <w:szCs w:val="16"/>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and Reissued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Amount Paid</w:t>
            </w:r>
          </w:p>
        </w:tc>
      </w:tr>
      <w:tr>
        <w:trPr>
          <w:trHeight w:val="18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2023 through March 31, 2023</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25,512</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19.22</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00" w:type="dxa"/>
            <w:vAlign w:val="bottom"/>
            <w:shd w:val="clear" w:color="auto" w:fill="CCEEFF"/>
          </w:tcPr>
          <w:p>
            <w:pPr>
              <w:spacing w:after="0"/>
              <w:rPr>
                <w:sz w:val="16"/>
                <w:szCs w:val="16"/>
                <w:color w:val="auto"/>
              </w:rPr>
            </w:pPr>
          </w:p>
        </w:tc>
      </w:tr>
      <w:tr>
        <w:trPr>
          <w:trHeight w:val="176"/>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1, 2023 through June 30, 2023</w:t>
            </w:r>
          </w:p>
        </w:tc>
        <w:tc>
          <w:tcPr>
            <w:tcW w:w="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July 1, 2023 through September 30, 2023</w:t>
            </w:r>
          </w:p>
        </w:tc>
        <w:tc>
          <w:tcPr>
            <w:tcW w:w="1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39,962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19.21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100" w:type="dxa"/>
            <w:vAlign w:val="bottom"/>
            <w:shd w:val="clear" w:color="auto" w:fill="CCEEFF"/>
          </w:tcPr>
          <w:p>
            <w:pPr>
              <w:spacing w:after="0"/>
              <w:rPr>
                <w:sz w:val="16"/>
                <w:szCs w:val="16"/>
                <w:color w:val="auto"/>
              </w:rPr>
            </w:pPr>
          </w:p>
        </w:tc>
      </w:tr>
      <w:tr>
        <w:trPr>
          <w:trHeight w:val="176"/>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October 1, 2023 through December 31, 2023</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45,047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19.83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w:t>
            </w:r>
          </w:p>
        </w:tc>
        <w:tc>
          <w:tcPr>
            <w:tcW w:w="100" w:type="dxa"/>
            <w:vAlign w:val="bottom"/>
          </w:tcPr>
          <w:p>
            <w:pPr>
              <w:spacing w:after="0"/>
              <w:rPr>
                <w:sz w:val="15"/>
                <w:szCs w:val="15"/>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110,521</w:t>
            </w:r>
          </w:p>
        </w:tc>
        <w:tc>
          <w:tcPr>
            <w:tcW w:w="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19.46</w:t>
            </w:r>
          </w:p>
        </w:tc>
        <w:tc>
          <w:tcPr>
            <w:tcW w:w="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2,151</w:t>
            </w:r>
          </w:p>
        </w:tc>
        <w:tc>
          <w:tcPr>
            <w:tcW w:w="100" w:type="dxa"/>
            <w:vAlign w:val="bottom"/>
            <w:shd w:val="clear" w:color="auto" w:fill="CFF0FC"/>
          </w:tcPr>
          <w:p>
            <w:pPr>
              <w:spacing w:after="0"/>
              <w:rPr>
                <w:sz w:val="19"/>
                <w:szCs w:val="19"/>
                <w:color w:val="auto"/>
              </w:rPr>
            </w:pPr>
          </w:p>
        </w:tc>
      </w:tr>
      <w:tr>
        <w:trPr>
          <w:trHeight w:val="352"/>
        </w:trPr>
        <w:tc>
          <w:tcPr>
            <w:tcW w:w="46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80"/>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Purchased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Price Paid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2024:</w:t>
            </w:r>
          </w:p>
        </w:tc>
        <w:tc>
          <w:tcPr>
            <w:tcW w:w="20" w:type="dxa"/>
            <w:vAlign w:val="bottom"/>
          </w:tcPr>
          <w:p>
            <w:pPr>
              <w:spacing w:after="0"/>
              <w:rPr>
                <w:sz w:val="16"/>
                <w:szCs w:val="16"/>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and Reissued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 Paid</w:t>
            </w:r>
          </w:p>
        </w:tc>
      </w:tr>
      <w:tr>
        <w:trPr>
          <w:trHeight w:val="184"/>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January 1, 2024 through March 31, 2024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43,050</w:t>
            </w:r>
          </w:p>
        </w:tc>
        <w:tc>
          <w:tcPr>
            <w:tcW w:w="4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40" w:type="dxa"/>
            <w:vAlign w:val="bottom"/>
            <w:shd w:val="clear" w:color="auto" w:fill="CFF0FC"/>
          </w:tcPr>
          <w:p>
            <w:pPr>
              <w:spacing w:after="0"/>
              <w:rPr>
                <w:sz w:val="16"/>
                <w:szCs w:val="16"/>
                <w:color w:val="auto"/>
              </w:rPr>
            </w:pPr>
          </w:p>
        </w:tc>
        <w:tc>
          <w:tcPr>
            <w:tcW w:w="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100" w:type="dxa"/>
            <w:vAlign w:val="bottom"/>
            <w:shd w:val="clear" w:color="auto" w:fill="CFF0FC"/>
          </w:tcPr>
          <w:p>
            <w:pPr>
              <w:spacing w:after="0"/>
              <w:rPr>
                <w:sz w:val="16"/>
                <w:szCs w:val="16"/>
                <w:color w:val="auto"/>
              </w:rPr>
            </w:pPr>
          </w:p>
        </w:tc>
      </w:tr>
      <w:tr>
        <w:trPr>
          <w:trHeight w:val="176"/>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1, 2024 through June 30, 2024</w:t>
            </w:r>
          </w:p>
        </w:tc>
        <w:tc>
          <w:tcPr>
            <w:tcW w:w="2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1, 2024 through September 30, 2024</w:t>
            </w:r>
          </w:p>
        </w:tc>
        <w:tc>
          <w:tcPr>
            <w:tcW w:w="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43,050</w:t>
            </w:r>
          </w:p>
        </w:tc>
        <w:tc>
          <w:tcPr>
            <w:tcW w:w="4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40" w:type="dxa"/>
            <w:vAlign w:val="bottom"/>
          </w:tcPr>
          <w:p>
            <w:pPr>
              <w:spacing w:after="0"/>
              <w:rPr>
                <w:sz w:val="15"/>
                <w:szCs w:val="15"/>
                <w:color w:val="auto"/>
              </w:rPr>
            </w:pP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100" w:type="dxa"/>
            <w:vAlign w:val="bottom"/>
          </w:tcPr>
          <w:p>
            <w:pPr>
              <w:spacing w:after="0"/>
              <w:rPr>
                <w:sz w:val="15"/>
                <w:szCs w:val="15"/>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40" w:orient="portrait"/>
          <w:cols w:equalWidth="0" w:num="1">
            <w:col w:w="10560"/>
          </w:cols>
          <w:pgMar w:left="660" w:top="1131" w:right="680"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type w:val="continuous"/>
        </w:sectPr>
      </w:pPr>
    </w:p>
    <w:bookmarkStart w:id="41" w:name="page42"/>
    <w:bookmarkEnd w:id="41"/>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Financial Highlights</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is a schedule of financial highlights for the nine months ended September 30, 2024 and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31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10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 value at beginning of period</w:t>
            </w: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Net investment income </w:t>
            </w:r>
            <w:r>
              <w:rPr>
                <w:rFonts w:ascii="Times New Roman" w:cs="Times New Roman" w:eastAsia="Times New Roman" w:hAnsi="Times New Roman"/>
                <w:sz w:val="21"/>
                <w:szCs w:val="21"/>
                <w:color w:val="auto"/>
                <w:vertAlign w:val="superscript"/>
              </w:rPr>
              <w:t>(1)</w:t>
            </w:r>
          </w:p>
        </w:tc>
        <w:tc>
          <w:tcPr>
            <w:tcW w:w="10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Net realized gain (loss) on investments, net of tax (provision) </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Net unrealized appreciation (depreciation) on investments </w:t>
            </w:r>
            <w:r>
              <w:rPr>
                <w:rFonts w:ascii="Times New Roman" w:cs="Times New Roman" w:eastAsia="Times New Roman" w:hAnsi="Times New Roman"/>
                <w:sz w:val="21"/>
                <w:szCs w:val="21"/>
                <w:color w:val="auto"/>
                <w:vertAlign w:val="superscript"/>
              </w:rPr>
              <w:t>(1)</w:t>
            </w:r>
          </w:p>
        </w:tc>
        <w:tc>
          <w:tcPr>
            <w:tcW w:w="10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(0.17 )</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(0.01 )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Realized losses on extinguishment of debt </w:t>
            </w:r>
            <w:r>
              <w:rPr>
                <w:rFonts w:ascii="Times New Roman" w:cs="Times New Roman" w:eastAsia="Times New Roman" w:hAnsi="Times New Roman"/>
                <w:sz w:val="21"/>
                <w:szCs w:val="21"/>
                <w:color w:val="auto"/>
                <w:vertAlign w:val="superscript"/>
              </w:rPr>
              <w:t>(1)</w:t>
            </w:r>
          </w:p>
        </w:tc>
        <w:tc>
          <w:tcPr>
            <w:tcW w:w="10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(0.02 )</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Total increase from investment operations </w:t>
            </w:r>
            <w:r>
              <w:rPr>
                <w:rFonts w:ascii="Times New Roman" w:cs="Times New Roman" w:eastAsia="Times New Roman" w:hAnsi="Times New Roman"/>
                <w:sz w:val="21"/>
                <w:szCs w:val="21"/>
                <w:color w:val="auto"/>
                <w:vertAlign w:val="superscript"/>
              </w:rPr>
              <w:t>(1)</w:t>
            </w:r>
          </w:p>
        </w:tc>
        <w:tc>
          <w:tcPr>
            <w:tcW w:w="10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Accretive (dilutive) effect of share issuances and repurchases</w:t>
            </w:r>
          </w:p>
        </w:tc>
        <w:tc>
          <w:tcPr>
            <w:tcW w:w="10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66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66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declared to stockholders</w:t>
            </w:r>
          </w:p>
        </w:tc>
        <w:tc>
          <w:tcPr>
            <w:tcW w:w="10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(1.81 )</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(2.08 )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(11)</w:t>
            </w:r>
          </w:p>
        </w:tc>
        <w:tc>
          <w:tcPr>
            <w:tcW w:w="10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(0.03 )</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(0.07 )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asset value at end of period</w:t>
            </w:r>
          </w:p>
        </w:tc>
        <w:tc>
          <w:tcPr>
            <w:tcW w:w="1040" w:type="dxa"/>
            <w:vAlign w:val="bottom"/>
            <w:tcBorders>
              <w:bottom w:val="single" w:sz="8" w:color="auto"/>
            </w:tcBorders>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662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Market value at end of period</w:t>
            </w:r>
          </w:p>
        </w:tc>
        <w:tc>
          <w:tcPr>
            <w:tcW w:w="1040" w:type="dxa"/>
            <w:vAlign w:val="bottom"/>
            <w:tcBorders>
              <w:bottom w:val="single" w:sz="8" w:color="auto"/>
            </w:tcBorders>
          </w:tcPr>
          <w:p>
            <w:pPr>
              <w:jc w:val="right"/>
              <w:ind w:right="8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19.60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19.20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Shares outstanding at end of period</w:t>
            </w:r>
          </w:p>
        </w:tc>
        <w:tc>
          <w:tcPr>
            <w:tcW w:w="10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7"/>
              </w:rPr>
              <w:t>33,914,652</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28,453,469</w:t>
            </w:r>
          </w:p>
        </w:tc>
        <w:tc>
          <w:tcPr>
            <w:tcW w:w="8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during the period</w:t>
            </w:r>
          </w:p>
        </w:tc>
        <w:tc>
          <w:tcPr>
            <w:tcW w:w="10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32,138,865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25,490,379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assets at end of period</w:t>
            </w: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658,761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548,625</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Average net assets </w:t>
            </w:r>
            <w:r>
              <w:rPr>
                <w:rFonts w:ascii="Times New Roman" w:cs="Times New Roman" w:eastAsia="Times New Roman" w:hAnsi="Times New Roman"/>
                <w:sz w:val="21"/>
                <w:szCs w:val="21"/>
                <w:color w:val="auto"/>
                <w:vertAlign w:val="superscript"/>
              </w:rPr>
              <w:t>(6)</w:t>
            </w: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625,835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499,241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Ratios to average net assets:</w:t>
            </w:r>
          </w:p>
        </w:tc>
        <w:tc>
          <w:tcPr>
            <w:tcW w:w="10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62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Total expenses </w:t>
            </w:r>
            <w:r>
              <w:rPr>
                <w:rFonts w:ascii="Times New Roman" w:cs="Times New Roman" w:eastAsia="Times New Roman" w:hAnsi="Times New Roman"/>
                <w:sz w:val="20"/>
                <w:szCs w:val="20"/>
                <w:color w:val="auto"/>
                <w:vertAlign w:val="superscript"/>
              </w:rPr>
              <w:t>(2)(4)(10)</w:t>
            </w:r>
          </w:p>
        </w:tc>
        <w:tc>
          <w:tcPr>
            <w:tcW w:w="1040" w:type="dxa"/>
            <w:vAlign w:val="bottom"/>
          </w:tcPr>
          <w:p>
            <w:pPr>
              <w:spacing w:after="0"/>
              <w:rPr>
                <w:sz w:val="15"/>
                <w:szCs w:val="15"/>
                <w:color w:val="auto"/>
              </w:rPr>
            </w:pPr>
          </w:p>
        </w:tc>
        <w:tc>
          <w:tcPr>
            <w:tcW w:w="106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11.5 %</w:t>
            </w:r>
          </w:p>
        </w:tc>
        <w:tc>
          <w:tcPr>
            <w:tcW w:w="1040" w:type="dxa"/>
            <w:vAlign w:val="bottom"/>
          </w:tcPr>
          <w:p>
            <w:pPr>
              <w:spacing w:after="0"/>
              <w:rPr>
                <w:sz w:val="15"/>
                <w:szCs w:val="15"/>
                <w:color w:val="auto"/>
              </w:rPr>
            </w:pPr>
          </w:p>
        </w:tc>
        <w:tc>
          <w:tcPr>
            <w:tcW w:w="8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12.5 %</w:t>
            </w:r>
          </w:p>
        </w:tc>
        <w:tc>
          <w:tcPr>
            <w:tcW w:w="0" w:type="dxa"/>
            <w:vAlign w:val="bottom"/>
          </w:tcPr>
          <w:p>
            <w:pPr>
              <w:spacing w:after="0"/>
              <w:rPr>
                <w:sz w:val="1"/>
                <w:szCs w:val="1"/>
                <w:color w:val="auto"/>
              </w:rPr>
            </w:pPr>
          </w:p>
        </w:tc>
      </w:tr>
      <w:tr>
        <w:trPr>
          <w:trHeight w:val="204"/>
        </w:trPr>
        <w:tc>
          <w:tcPr>
            <w:tcW w:w="66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Net investment income </w:t>
            </w:r>
            <w:r>
              <w:rPr>
                <w:rFonts w:ascii="Times New Roman" w:cs="Times New Roman" w:eastAsia="Times New Roman" w:hAnsi="Times New Roman"/>
                <w:sz w:val="21"/>
                <w:szCs w:val="21"/>
                <w:color w:val="auto"/>
                <w:vertAlign w:val="superscript"/>
              </w:rPr>
              <w:t>(5)</w:t>
            </w:r>
          </w:p>
        </w:tc>
        <w:tc>
          <w:tcPr>
            <w:tcW w:w="1040" w:type="dxa"/>
            <w:vAlign w:val="bottom"/>
          </w:tcPr>
          <w:p>
            <w:pPr>
              <w:spacing w:after="0"/>
              <w:rPr>
                <w:sz w:val="17"/>
                <w:szCs w:val="17"/>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11.9 %</w:t>
            </w:r>
          </w:p>
        </w:tc>
        <w:tc>
          <w:tcPr>
            <w:tcW w:w="10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0" w:type="dxa"/>
            <w:vAlign w:val="bottom"/>
          </w:tcPr>
          <w:p>
            <w:pPr>
              <w:spacing w:after="0"/>
              <w:rPr>
                <w:sz w:val="1"/>
                <w:szCs w:val="1"/>
                <w:color w:val="auto"/>
              </w:rPr>
            </w:pPr>
          </w:p>
        </w:tc>
      </w:tr>
      <w:tr>
        <w:trPr>
          <w:trHeight w:val="204"/>
        </w:trPr>
        <w:tc>
          <w:tcPr>
            <w:tcW w:w="66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Total return based on market value </w:t>
            </w:r>
            <w:r>
              <w:rPr>
                <w:rFonts w:ascii="Times New Roman" w:cs="Times New Roman" w:eastAsia="Times New Roman" w:hAnsi="Times New Roman"/>
                <w:sz w:val="21"/>
                <w:szCs w:val="21"/>
                <w:color w:val="auto"/>
                <w:vertAlign w:val="superscript"/>
              </w:rPr>
              <w:t>(3)</w:t>
            </w:r>
          </w:p>
        </w:tc>
        <w:tc>
          <w:tcPr>
            <w:tcW w:w="1040" w:type="dxa"/>
            <w:vAlign w:val="bottom"/>
          </w:tcPr>
          <w:p>
            <w:pPr>
              <w:spacing w:after="0"/>
              <w:rPr>
                <w:sz w:val="17"/>
                <w:szCs w:val="17"/>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9.1 %</w:t>
            </w:r>
          </w:p>
        </w:tc>
        <w:tc>
          <w:tcPr>
            <w:tcW w:w="10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0" w:type="dxa"/>
            <w:vAlign w:val="bottom"/>
          </w:tcPr>
          <w:p>
            <w:pPr>
              <w:spacing w:after="0"/>
              <w:rPr>
                <w:sz w:val="1"/>
                <w:szCs w:val="1"/>
                <w:color w:val="auto"/>
              </w:rPr>
            </w:pPr>
          </w:p>
        </w:tc>
      </w:tr>
      <w:tr>
        <w:trPr>
          <w:trHeight w:val="204"/>
        </w:trPr>
        <w:tc>
          <w:tcPr>
            <w:tcW w:w="66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Total return based on net asset value </w:t>
            </w:r>
            <w:r>
              <w:rPr>
                <w:rFonts w:ascii="Times New Roman" w:cs="Times New Roman" w:eastAsia="Times New Roman" w:hAnsi="Times New Roman"/>
                <w:sz w:val="21"/>
                <w:szCs w:val="21"/>
                <w:color w:val="auto"/>
                <w:vertAlign w:val="superscript"/>
              </w:rPr>
              <w:t>(8)</w:t>
            </w:r>
          </w:p>
        </w:tc>
        <w:tc>
          <w:tcPr>
            <w:tcW w:w="1040" w:type="dxa"/>
            <w:vAlign w:val="bottom"/>
          </w:tcPr>
          <w:p>
            <w:pPr>
              <w:spacing w:after="0"/>
              <w:rPr>
                <w:sz w:val="17"/>
                <w:szCs w:val="17"/>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9.8 %</w:t>
            </w:r>
          </w:p>
        </w:tc>
        <w:tc>
          <w:tcPr>
            <w:tcW w:w="104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line="228" w:lineRule="exact"/>
              <w:rPr>
                <w:sz w:val="20"/>
                <w:szCs w:val="20"/>
                <w:color w:val="auto"/>
              </w:rPr>
            </w:pPr>
            <w:r>
              <w:rPr>
                <w:rFonts w:ascii="Times New Roman" w:cs="Times New Roman" w:eastAsia="Times New Roman" w:hAnsi="Times New Roman"/>
                <w:sz w:val="16"/>
                <w:szCs w:val="16"/>
                <w:color w:val="auto"/>
              </w:rPr>
              <w:t xml:space="preserve">Portfolio turnover ratio </w:t>
            </w:r>
            <w:r>
              <w:rPr>
                <w:rFonts w:ascii="Times New Roman" w:cs="Times New Roman" w:eastAsia="Times New Roman" w:hAnsi="Times New Roman"/>
                <w:sz w:val="21"/>
                <w:szCs w:val="21"/>
                <w:color w:val="auto"/>
                <w:vertAlign w:val="superscript"/>
              </w:rPr>
              <w:t>(9)</w:t>
            </w:r>
          </w:p>
        </w:tc>
        <w:tc>
          <w:tcPr>
            <w:tcW w:w="104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19.7 %</w:t>
            </w:r>
          </w:p>
        </w:tc>
        <w:tc>
          <w:tcPr>
            <w:tcW w:w="104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0" w:type="dxa"/>
            <w:vAlign w:val="bottom"/>
          </w:tcPr>
          <w:p>
            <w:pPr>
              <w:spacing w:after="0"/>
              <w:rPr>
                <w:sz w:val="1"/>
                <w:szCs w:val="1"/>
                <w:color w:val="auto"/>
              </w:rPr>
            </w:pPr>
          </w:p>
        </w:tc>
      </w:tr>
      <w:tr>
        <w:trPr>
          <w:trHeight w:val="204"/>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Data:</w:t>
            </w:r>
          </w:p>
        </w:tc>
        <w:tc>
          <w:tcPr>
            <w:tcW w:w="10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Average debt outstanding </w:t>
            </w:r>
            <w:r>
              <w:rPr>
                <w:rFonts w:ascii="Times New Roman" w:cs="Times New Roman" w:eastAsia="Times New Roman" w:hAnsi="Times New Roman"/>
                <w:sz w:val="21"/>
                <w:szCs w:val="21"/>
                <w:color w:val="auto"/>
                <w:vertAlign w:val="superscript"/>
              </w:rPr>
              <w:t>(7)</w:t>
            </w: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449,846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Average debt per share </w:t>
            </w:r>
            <w:r>
              <w:rPr>
                <w:rFonts w:ascii="Times New Roman" w:cs="Times New Roman" w:eastAsia="Times New Roman" w:hAnsi="Times New Roman"/>
                <w:sz w:val="21"/>
                <w:szCs w:val="21"/>
                <w:color w:val="auto"/>
                <w:vertAlign w:val="superscript"/>
              </w:rPr>
              <w:t>(1)</w:t>
            </w: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-906145</wp:posOffset>
            </wp:positionV>
            <wp:extent cx="6707505" cy="129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-647065</wp:posOffset>
            </wp:positionV>
            <wp:extent cx="6707505" cy="129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(1)Weighted average per share data.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(2)Annualized with the exception of income tax (provision) benefit from realized gains on investments.</w:t>
      </w:r>
    </w:p>
    <w:p>
      <w:pPr>
        <w:spacing w:after="0" w:line="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3"/>
          <w:szCs w:val="13"/>
          <w:color w:val="auto"/>
        </w:rPr>
        <w:t>(3)Total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p>
    <w:p>
      <w:pPr>
        <w:spacing w:after="0" w:line="1" w:lineRule="exact"/>
        <w:rPr>
          <w:sz w:val="20"/>
          <w:szCs w:val="20"/>
          <w:color w:val="auto"/>
        </w:rPr>
      </w:pPr>
    </w:p>
    <w:p>
      <w:pPr>
        <w:ind w:right="580"/>
        <w:spacing w:after="0" w:line="250" w:lineRule="auto"/>
        <w:rPr>
          <w:sz w:val="20"/>
          <w:szCs w:val="20"/>
          <w:color w:val="auto"/>
        </w:rPr>
      </w:pPr>
      <w:r>
        <w:rPr>
          <w:rFonts w:ascii="Times New Roman" w:cs="Times New Roman" w:eastAsia="Times New Roman" w:hAnsi="Times New Roman"/>
          <w:sz w:val="13"/>
          <w:szCs w:val="13"/>
          <w:color w:val="auto"/>
        </w:rPr>
        <w:t>(4)The total expenses to average net assets ratio is calculated using (i) the “total expenses, net of base management waiver”, (ii) the “income tax provision (benefit)”, and (iii) the “income tax (provision) benefit from realized gains on investments” captions, as presented on the consolidated statements of operations.</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3"/>
          <w:szCs w:val="13"/>
          <w:color w:val="auto"/>
        </w:rPr>
        <w:t>(5)The net investment income to average net assets ratio is annualized and calculated using the net investment income caption as presented on the consolidated statements of operations, which includes incentive fee.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(6)Average net assets is calculated as the average of the net asset balances as of each quarter end during the fiscal year and the prior year end.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(7)Average debt outstanding is calculated as the average of the outstanding debt balances, including secured borrowings, as of each quarter end during the fiscal year and the prior year end.</w:t>
      </w:r>
    </w:p>
    <w:p>
      <w:pPr>
        <w:spacing w:after="0" w:line="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3"/>
          <w:szCs w:val="13"/>
          <w:color w:val="auto"/>
        </w:rPr>
        <w:t>(8)Total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(9)Annualized.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(10)The following are schedules of supplemental expense ratios to average net assets: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40" w:type="dxa"/>
            <w:vAlign w:val="bottom"/>
            <w:gridSpan w:val="5"/>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0"/>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Ratio to average net assets:</w:t>
            </w:r>
          </w:p>
        </w:tc>
        <w:tc>
          <w:tcPr>
            <w:tcW w:w="2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0"/>
        </w:trPr>
        <w:tc>
          <w:tcPr>
            <w:tcW w:w="3740" w:type="dxa"/>
            <w:vAlign w:val="bottom"/>
          </w:tcPr>
          <w:p>
            <w:pPr>
              <w:ind w:left="20"/>
              <w:spacing w:after="0" w:line="180" w:lineRule="exact"/>
              <w:rPr>
                <w:sz w:val="20"/>
                <w:szCs w:val="20"/>
                <w:color w:val="auto"/>
              </w:rPr>
            </w:pPr>
            <w:r>
              <w:rPr>
                <w:rFonts w:ascii="Times New Roman" w:cs="Times New Roman" w:eastAsia="Times New Roman" w:hAnsi="Times New Roman"/>
                <w:sz w:val="15"/>
                <w:szCs w:val="15"/>
                <w:color w:val="auto"/>
              </w:rPr>
              <w:t xml:space="preserve">Expenses other than incentive fee </w:t>
            </w:r>
            <w:r>
              <w:rPr>
                <w:rFonts w:ascii="Times New Roman" w:cs="Times New Roman" w:eastAsia="Times New Roman" w:hAnsi="Times New Roman"/>
                <w:sz w:val="20"/>
                <w:szCs w:val="20"/>
                <w:color w:val="auto"/>
                <w:vertAlign w:val="superscript"/>
              </w:rPr>
              <w:t>(2)</w:t>
            </w:r>
          </w:p>
        </w:tc>
        <w:tc>
          <w:tcPr>
            <w:tcW w:w="2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w:t>
            </w:r>
          </w:p>
        </w:tc>
        <w:tc>
          <w:tcPr>
            <w:tcW w:w="26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89"/>
              </w:rPr>
              <w:t>%</w:t>
            </w:r>
          </w:p>
        </w:tc>
        <w:tc>
          <w:tcPr>
            <w:tcW w:w="1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1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w w:val="89"/>
              </w:rPr>
              <w:t>%</w:t>
            </w:r>
          </w:p>
        </w:tc>
      </w:tr>
      <w:tr>
        <w:trPr>
          <w:trHeight w:val="204"/>
        </w:trPr>
        <w:tc>
          <w:tcPr>
            <w:tcW w:w="374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Incentive fee </w:t>
            </w:r>
            <w:r>
              <w:rPr>
                <w:rFonts w:ascii="Times New Roman" w:cs="Times New Roman" w:eastAsia="Times New Roman" w:hAnsi="Times New Roman"/>
                <w:sz w:val="21"/>
                <w:szCs w:val="21"/>
                <w:color w:val="auto"/>
                <w:vertAlign w:val="superscript"/>
              </w:rPr>
              <w:t>(9)</w:t>
            </w:r>
          </w:p>
        </w:tc>
        <w:tc>
          <w:tcPr>
            <w:tcW w:w="4920" w:type="dxa"/>
            <w:vAlign w:val="bottom"/>
            <w:gridSpan w:val="4"/>
          </w:tcPr>
          <w:p>
            <w:pPr>
              <w:jc w:val="right"/>
              <w:ind w:right="42"/>
              <w:spacing w:after="0"/>
              <w:rPr>
                <w:sz w:val="20"/>
                <w:szCs w:val="20"/>
                <w:color w:val="auto"/>
              </w:rPr>
            </w:pPr>
            <w:r>
              <w:rPr>
                <w:rFonts w:ascii="Times New Roman" w:cs="Times New Roman" w:eastAsia="Times New Roman" w:hAnsi="Times New Roman"/>
                <w:sz w:val="16"/>
                <w:szCs w:val="16"/>
                <w:color w:val="auto"/>
              </w:rPr>
              <w:t>3.2 %</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85"/>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Total expenses </w:t>
            </w:r>
            <w:r>
              <w:rPr>
                <w:rFonts w:ascii="Times New Roman" w:cs="Times New Roman" w:eastAsia="Times New Roman" w:hAnsi="Times New Roman"/>
                <w:sz w:val="21"/>
                <w:szCs w:val="21"/>
                <w:color w:val="auto"/>
                <w:vertAlign w:val="superscript"/>
              </w:rPr>
              <w:t>(2)(4)</w:t>
            </w:r>
          </w:p>
        </w:tc>
        <w:tc>
          <w:tcPr>
            <w:tcW w:w="4920" w:type="dxa"/>
            <w:vAlign w:val="bottom"/>
            <w:gridSpan w:val="4"/>
          </w:tcPr>
          <w:p>
            <w:pPr>
              <w:jc w:val="right"/>
              <w:ind w:right="42"/>
              <w:spacing w:after="0"/>
              <w:rPr>
                <w:sz w:val="20"/>
                <w:szCs w:val="20"/>
                <w:color w:val="auto"/>
              </w:rPr>
            </w:pPr>
            <w:r>
              <w:rPr>
                <w:rFonts w:ascii="Times New Roman" w:cs="Times New Roman" w:eastAsia="Times New Roman" w:hAnsi="Times New Roman"/>
                <w:sz w:val="16"/>
                <w:szCs w:val="16"/>
                <w:color w:val="auto"/>
              </w:rPr>
              <w:t>11.5 %</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314"/>
        </w:trPr>
        <w:tc>
          <w:tcPr>
            <w:tcW w:w="3740" w:type="dxa"/>
            <w:vAlign w:val="bottom"/>
          </w:tcPr>
          <w:p>
            <w:pPr>
              <w:spacing w:after="0"/>
              <w:rPr>
                <w:sz w:val="24"/>
                <w:szCs w:val="24"/>
                <w:color w:val="auto"/>
              </w:rPr>
            </w:pPr>
          </w:p>
        </w:tc>
        <w:tc>
          <w:tcPr>
            <w:tcW w:w="2660" w:type="dxa"/>
            <w:vAlign w:val="bottom"/>
          </w:tcPr>
          <w:p>
            <w:pPr>
              <w:jc w:val="right"/>
              <w:ind w:right="962"/>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74"/>
        </w:trPr>
        <w:tc>
          <w:tcPr>
            <w:tcW w:w="3740" w:type="dxa"/>
            <w:vAlign w:val="bottom"/>
            <w:tcBorders>
              <w:bottom w:val="single" w:sz="8" w:color="EEEEEE"/>
            </w:tcBorders>
          </w:tcPr>
          <w:p>
            <w:pPr>
              <w:spacing w:after="0"/>
              <w:rPr>
                <w:sz w:val="24"/>
                <w:szCs w:val="24"/>
                <w:color w:val="auto"/>
              </w:rPr>
            </w:pPr>
          </w:p>
        </w:tc>
        <w:tc>
          <w:tcPr>
            <w:tcW w:w="26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8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8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-929005</wp:posOffset>
            </wp:positionV>
            <wp:extent cx="6707505" cy="1295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131" w:right="620" w:bottom="1440" w:gutter="0" w:footer="0" w:header="0"/>
        </w:sectPr>
      </w:pPr>
    </w:p>
    <w:bookmarkStart w:id="42" w:name="page43"/>
    <w:bookmarkEnd w:id="42"/>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p>
      <w:pPr>
        <w:spacing w:after="0" w:line="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(unaudited)</w:t>
      </w: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thousands, except shares and per share data)</w:t>
      </w:r>
    </w:p>
    <w:p>
      <w:pPr>
        <w:spacing w:after="0" w:line="12"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Ratio to average net assets:</w:t>
            </w:r>
          </w:p>
        </w:tc>
        <w:tc>
          <w:tcPr>
            <w:tcW w:w="2060" w:type="dxa"/>
            <w:vAlign w:val="bottom"/>
            <w:tcBorders>
              <w:top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20" w:type="dxa"/>
            <w:vAlign w:val="bottom"/>
            <w:tcBorders>
              <w:top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3994150" cy="22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94150" cy="22860"/>
                    </a:xfrm>
                    <a:prstGeom prst="rect">
                      <a:avLst/>
                    </a:prstGeom>
                    <a:noFill/>
                  </pic:spPr>
                </pic:pic>
              </a:graphicData>
            </a:graphic>
          </wp:anchor>
        </w:drawing>
      </w:r>
    </w:p>
    <w:p>
      <w:pPr>
        <w:sectPr>
          <w:pgSz w:w="11900" w:h="16840" w:orient="portrait"/>
          <w:cols w:equalWidth="0" w:num="1">
            <w:col w:w="10660"/>
          </w:cols>
          <w:pgMar w:left="660" w:top="1131" w:right="580" w:bottom="1440" w:gutter="0" w:footer="0" w:header="0"/>
        </w:sectPr>
      </w:pP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 xml:space="preserve">Total expenses, before base management fee waiver </w:t>
      </w:r>
      <w:r>
        <w:rPr>
          <w:rFonts w:ascii="Times New Roman" w:cs="Times New Roman" w:eastAsia="Times New Roman" w:hAnsi="Times New Roman"/>
          <w:sz w:val="20"/>
          <w:szCs w:val="20"/>
          <w:color w:val="auto"/>
          <w:vertAlign w:val="superscript"/>
        </w:rPr>
        <w:t>(2)</w:t>
      </w:r>
    </w:p>
    <w:p>
      <w:pPr>
        <w:ind w:left="20"/>
        <w:spacing w:after="0" w:line="188" w:lineRule="auto"/>
        <w:rPr>
          <w:sz w:val="20"/>
          <w:szCs w:val="20"/>
          <w:color w:val="auto"/>
        </w:rPr>
      </w:pPr>
      <w:r>
        <w:rPr>
          <w:rFonts w:ascii="Times New Roman" w:cs="Times New Roman" w:eastAsia="Times New Roman" w:hAnsi="Times New Roman"/>
          <w:sz w:val="16"/>
          <w:szCs w:val="16"/>
          <w:color w:val="auto"/>
        </w:rPr>
        <w:t xml:space="preserve">Base management fee waiver </w:t>
      </w:r>
      <w:r>
        <w:rPr>
          <w:rFonts w:ascii="Times New Roman" w:cs="Times New Roman" w:eastAsia="Times New Roman" w:hAnsi="Times New Roman"/>
          <w:sz w:val="21"/>
          <w:szCs w:val="21"/>
          <w:color w:val="auto"/>
          <w:vertAlign w:val="superscript"/>
        </w:rPr>
        <w:t>(9)</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Total expenses </w:t>
      </w:r>
      <w:r>
        <w:rPr>
          <w:rFonts w:ascii="Times New Roman" w:cs="Times New Roman" w:eastAsia="Times New Roman" w:hAnsi="Times New Roman"/>
          <w:sz w:val="21"/>
          <w:szCs w:val="21"/>
          <w:color w:val="auto"/>
          <w:vertAlign w:val="superscript"/>
        </w:rPr>
        <w:t>(2)(4)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9"/>
        </w:trPr>
        <w:tc>
          <w:tcPr>
            <w:tcW w:w="2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11.5 %</w:t>
            </w: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12.6 %</w:t>
            </w:r>
          </w:p>
        </w:tc>
      </w:tr>
      <w:tr>
        <w:trPr>
          <w:trHeight w:val="203"/>
        </w:trPr>
        <w:tc>
          <w:tcPr>
            <w:tcW w:w="2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4"/>
        </w:trPr>
        <w:tc>
          <w:tcPr>
            <w:tcW w:w="2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11.5 %</w:t>
            </w:r>
          </w:p>
        </w:tc>
        <w:tc>
          <w:tcPr>
            <w:tcW w:w="2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-257175</wp:posOffset>
            </wp:positionV>
            <wp:extent cx="6707505" cy="129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70" w:lineRule="exact"/>
        <w:rPr>
          <w:sz w:val="20"/>
          <w:szCs w:val="20"/>
          <w:color w:val="auto"/>
        </w:rPr>
      </w:pPr>
    </w:p>
    <w:p>
      <w:pPr>
        <w:sectPr>
          <w:pgSz w:w="11900" w:h="16840" w:orient="portrait"/>
          <w:cols w:equalWidth="0" w:num="2">
            <w:col w:w="5680" w:space="720"/>
            <w:col w:w="4260"/>
          </w:cols>
          <w:pgMar w:left="660" w:top="1131" w:right="580" w:bottom="1440" w:gutter="0" w:footer="0" w:header="0"/>
          <w:type w:val="continuous"/>
        </w:sectPr>
      </w:pPr>
    </w:p>
    <w:p>
      <w:pPr>
        <w:ind w:right="180"/>
        <w:spacing w:after="0" w:line="286" w:lineRule="auto"/>
        <w:rPr>
          <w:sz w:val="20"/>
          <w:szCs w:val="20"/>
          <w:color w:val="auto"/>
        </w:rPr>
      </w:pPr>
      <w:r>
        <w:rPr>
          <w:rFonts w:ascii="Times New Roman" w:cs="Times New Roman" w:eastAsia="Times New Roman" w:hAnsi="Times New Roman"/>
          <w:sz w:val="13"/>
          <w:szCs w:val="13"/>
          <w:color w:val="auto"/>
        </w:rPr>
        <w:t>(11)Represents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Subsequent Events</w:t>
      </w:r>
    </w:p>
    <w:p>
      <w:pPr>
        <w:spacing w:after="0" w:line="142" w:lineRule="exact"/>
        <w:rPr>
          <w:sz w:val="20"/>
          <w:szCs w:val="20"/>
          <w:color w:val="auto"/>
        </w:rPr>
      </w:pPr>
    </w:p>
    <w:p>
      <w:pPr>
        <w:ind w:right="100" w:firstLine="444"/>
        <w:spacing w:after="0" w:line="259" w:lineRule="auto"/>
        <w:rPr>
          <w:sz w:val="20"/>
          <w:szCs w:val="20"/>
          <w:color w:val="auto"/>
        </w:rPr>
      </w:pPr>
      <w:r>
        <w:rPr>
          <w:rFonts w:ascii="Times New Roman" w:cs="Times New Roman" w:eastAsia="Times New Roman" w:hAnsi="Times New Roman"/>
          <w:sz w:val="16"/>
          <w:szCs w:val="16"/>
          <w:color w:val="auto"/>
        </w:rPr>
        <w:t>On October 1, 2024, the Company invested $6,281 in first lien debt and common equity in Estex Manufacturing Company, LLC, a branded manufacturer of sewn products used in the utility, airline / aerospace, sports, and military end markets.</w:t>
      </w:r>
    </w:p>
    <w:p>
      <w:pPr>
        <w:spacing w:after="0" w:line="107" w:lineRule="exact"/>
        <w:rPr>
          <w:sz w:val="20"/>
          <w:szCs w:val="20"/>
          <w:color w:val="auto"/>
        </w:rPr>
      </w:pPr>
    </w:p>
    <w:p>
      <w:pPr>
        <w:ind w:right="660" w:firstLine="444"/>
        <w:spacing w:after="0" w:line="259" w:lineRule="auto"/>
        <w:rPr>
          <w:sz w:val="20"/>
          <w:szCs w:val="20"/>
          <w:color w:val="auto"/>
        </w:rPr>
      </w:pPr>
      <w:r>
        <w:rPr>
          <w:rFonts w:ascii="Times New Roman" w:cs="Times New Roman" w:eastAsia="Times New Roman" w:hAnsi="Times New Roman"/>
          <w:sz w:val="16"/>
          <w:szCs w:val="16"/>
          <w:color w:val="auto"/>
        </w:rPr>
        <w:t>On October 11, 2024, the Company exited its debt investment in US Fertility Enterprises, LLC. The Company received payment in full of $15,237 on its subordinated debt, which included a prepayment fee.</w:t>
      </w:r>
    </w:p>
    <w:p>
      <w:pPr>
        <w:spacing w:after="0" w:line="107" w:lineRule="exact"/>
        <w:rPr>
          <w:sz w:val="20"/>
          <w:szCs w:val="20"/>
          <w:color w:val="auto"/>
        </w:rPr>
      </w:pPr>
    </w:p>
    <w:p>
      <w:pPr>
        <w:ind w:right="180" w:firstLine="444"/>
        <w:spacing w:after="0" w:line="259" w:lineRule="auto"/>
        <w:rPr>
          <w:sz w:val="20"/>
          <w:szCs w:val="20"/>
          <w:color w:val="auto"/>
        </w:rPr>
      </w:pPr>
      <w:r>
        <w:rPr>
          <w:rFonts w:ascii="Times New Roman" w:cs="Times New Roman" w:eastAsia="Times New Roman" w:hAnsi="Times New Roman"/>
          <w:sz w:val="16"/>
          <w:szCs w:val="16"/>
          <w:color w:val="auto"/>
        </w:rPr>
        <w:t>On October 24, 2024, the Company exited its debt investment in Sonicwall US Holdings, Inc. The Company received payment of $3,348 on its second lien debt, resulting in a realized loss of $102.</w:t>
      </w:r>
    </w:p>
    <w:p>
      <w:pPr>
        <w:spacing w:after="0" w:line="107" w:lineRule="exact"/>
        <w:rPr>
          <w:sz w:val="20"/>
          <w:szCs w:val="20"/>
          <w:color w:val="auto"/>
        </w:rPr>
      </w:pPr>
    </w:p>
    <w:p>
      <w:pPr>
        <w:ind w:right="400" w:firstLine="444"/>
        <w:spacing w:after="0" w:line="259" w:lineRule="auto"/>
        <w:rPr>
          <w:sz w:val="20"/>
          <w:szCs w:val="20"/>
          <w:color w:val="auto"/>
        </w:rPr>
      </w:pPr>
      <w:r>
        <w:rPr>
          <w:rFonts w:ascii="Times New Roman" w:cs="Times New Roman" w:eastAsia="Times New Roman" w:hAnsi="Times New Roman"/>
          <w:sz w:val="16"/>
          <w:szCs w:val="16"/>
          <w:color w:val="auto"/>
        </w:rPr>
        <w:t>On October 25, 2024, the Company invested $14,800 in first lien debt and common equity in Axis Medical Technologies LLC (dba Movemedical), a leading provider of last-mile supply chain software solutions to medical device OEMs.</w:t>
      </w:r>
    </w:p>
    <w:p>
      <w:pPr>
        <w:spacing w:after="0" w:line="107" w:lineRule="exact"/>
        <w:rPr>
          <w:sz w:val="20"/>
          <w:szCs w:val="20"/>
          <w:color w:val="auto"/>
        </w:rPr>
      </w:pPr>
    </w:p>
    <w:p>
      <w:pPr>
        <w:ind w:right="300" w:firstLine="444"/>
        <w:spacing w:after="0" w:line="259" w:lineRule="auto"/>
        <w:rPr>
          <w:sz w:val="20"/>
          <w:szCs w:val="20"/>
          <w:color w:val="auto"/>
        </w:rPr>
      </w:pPr>
      <w:r>
        <w:rPr>
          <w:rFonts w:ascii="Times New Roman" w:cs="Times New Roman" w:eastAsia="Times New Roman" w:hAnsi="Times New Roman"/>
          <w:sz w:val="16"/>
          <w:szCs w:val="16"/>
          <w:color w:val="auto"/>
        </w:rPr>
        <w:t>On October 28, 2024, the Board declared a regular quarterly dividend of $0.43 per share and a supplemental dividend of $0.18 per share payable on December 27, 2024, to stockholders of record as of December 17, 2024.</w:t>
      </w:r>
    </w:p>
    <w:p>
      <w:pPr>
        <w:spacing w:after="0" w:line="2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60"/>
          </w:cols>
          <w:pgMar w:left="660" w:top="1131" w:right="580"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40" w:lineRule="exact"/>
        <w:rPr>
          <w:sz w:val="20"/>
          <w:szCs w:val="20"/>
          <w:color w:val="auto"/>
        </w:rPr>
      </w:pPr>
    </w:p>
    <w:p>
      <w:pPr>
        <w:ind w:right="20" w:firstLine="276"/>
        <w:spacing w:after="0" w:line="244" w:lineRule="auto"/>
        <w:rPr>
          <w:sz w:val="20"/>
          <w:szCs w:val="20"/>
          <w:color w:val="auto"/>
        </w:rPr>
      </w:pPr>
      <w:r>
        <w:rPr>
          <w:rFonts w:ascii="Times New Roman" w:cs="Times New Roman" w:eastAsia="Times New Roman" w:hAnsi="Times New Roman"/>
          <w:sz w:val="16"/>
          <w:szCs w:val="16"/>
          <w:i w:val="1"/>
          <w:iCs w:val="1"/>
          <w:color w:val="auto"/>
        </w:rPr>
        <w:t>The following discussion and analysis of our financial condition and results of operations should be read in conjunction with Fidus Investment Corporation’s consolidated financial statements and related notes appearing in our annual report on Form 10- K for the year ended December 31, 2023, filed with the SEC on February 29, 2024. The information contained in this section should also be read in conjunction with our unaudited consolidated financial statements and related notes thereto appearing elsewhere in this Quarterly Report on Form 10-Q.</w:t>
      </w:r>
    </w:p>
    <w:p>
      <w:pPr>
        <w:spacing w:after="0" w:line="152" w:lineRule="exact"/>
        <w:rPr>
          <w:sz w:val="20"/>
          <w:szCs w:val="20"/>
          <w:color w:val="auto"/>
        </w:rPr>
      </w:pPr>
    </w:p>
    <w:p>
      <w:pPr>
        <w:ind w:right="380" w:firstLine="264"/>
        <w:spacing w:after="0" w:line="424" w:lineRule="auto"/>
        <w:rPr>
          <w:sz w:val="20"/>
          <w:szCs w:val="20"/>
          <w:color w:val="auto"/>
        </w:rPr>
      </w:pPr>
      <w:r>
        <w:rPr>
          <w:rFonts w:ascii="Times New Roman" w:cs="Times New Roman" w:eastAsia="Times New Roman" w:hAnsi="Times New Roman"/>
          <w:sz w:val="16"/>
          <w:szCs w:val="16"/>
          <w:i w:val="1"/>
          <w:iCs w:val="1"/>
          <w:color w:val="auto"/>
        </w:rPr>
        <w:t xml:space="preserve">Except as otherwise specified, references to “we,” “us,” “our,” “Fidus” and “FIC” refer to Fidus Investment Corporation and its consolidated subsidiaries. </w:t>
      </w:r>
      <w:r>
        <w:rPr>
          <w:rFonts w:ascii="Times New Roman" w:cs="Times New Roman" w:eastAsia="Times New Roman" w:hAnsi="Times New Roman"/>
          <w:sz w:val="16"/>
          <w:szCs w:val="16"/>
          <w:b w:val="1"/>
          <w:bCs w:val="1"/>
          <w:color w:val="auto"/>
        </w:rPr>
        <w:t>Forward Looking Statements</w:t>
      </w:r>
    </w:p>
    <w:p>
      <w:pPr>
        <w:ind w:firstLine="468"/>
        <w:spacing w:after="0" w:line="284" w:lineRule="auto"/>
        <w:rPr>
          <w:sz w:val="20"/>
          <w:szCs w:val="20"/>
          <w:color w:val="auto"/>
        </w:rPr>
      </w:pPr>
      <w:r>
        <w:rPr>
          <w:rFonts w:ascii="Times New Roman" w:cs="Times New Roman" w:eastAsia="Times New Roman" w:hAnsi="Times New Roman"/>
          <w:sz w:val="14"/>
          <w:szCs w:val="14"/>
          <w:color w:val="auto"/>
        </w:rPr>
        <w:t>This Quarterly Report on Form 10- 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•our future operating results;</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the financial and lending markets;</w:t>
      </w:r>
    </w:p>
    <w:p>
      <w:pPr>
        <w:ind w:left="480" w:right="1500"/>
        <w:spacing w:after="0" w:line="234" w:lineRule="auto"/>
        <w:rPr>
          <w:sz w:val="20"/>
          <w:szCs w:val="20"/>
          <w:color w:val="auto"/>
        </w:rPr>
      </w:pPr>
      <w:r>
        <w:rPr>
          <w:rFonts w:ascii="Times New Roman" w:cs="Times New Roman" w:eastAsia="Times New Roman" w:hAnsi="Times New Roman"/>
          <w:sz w:val="16"/>
          <w:szCs w:val="16"/>
          <w:color w:val="auto"/>
        </w:rPr>
        <w:t>•our business prospects and the prospects of our portfolio companies, including our and their ability to achieve our respective objectives; •the impact of investments that we expect to make;</w:t>
      </w:r>
    </w:p>
    <w:p>
      <w:pPr>
        <w:ind w:left="480"/>
        <w:spacing w:after="0" w:line="236" w:lineRule="auto"/>
        <w:rPr>
          <w:sz w:val="20"/>
          <w:szCs w:val="20"/>
          <w:color w:val="auto"/>
        </w:rPr>
      </w:pPr>
      <w:r>
        <w:rPr>
          <w:rFonts w:ascii="Times New Roman" w:cs="Times New Roman" w:eastAsia="Times New Roman" w:hAnsi="Times New Roman"/>
          <w:sz w:val="16"/>
          <w:szCs w:val="16"/>
          <w:color w:val="auto"/>
        </w:rPr>
        <w:t>•our contractual arrangements and relationships with third parties;</w:t>
      </w:r>
    </w:p>
    <w:p>
      <w:pPr>
        <w:ind w:left="480"/>
        <w:spacing w:after="0" w:line="235" w:lineRule="auto"/>
        <w:rPr>
          <w:sz w:val="20"/>
          <w:szCs w:val="20"/>
          <w:color w:val="auto"/>
        </w:rPr>
      </w:pPr>
      <w:r>
        <w:rPr>
          <w:rFonts w:ascii="Times New Roman" w:cs="Times New Roman" w:eastAsia="Times New Roman" w:hAnsi="Times New Roman"/>
          <w:sz w:val="16"/>
          <w:szCs w:val="16"/>
          <w:color w:val="auto"/>
        </w:rPr>
        <w:t>•the dependence of our future success on the general economy and its impact on the industries in which we invest;</w:t>
      </w:r>
    </w:p>
    <w:p>
      <w:pPr>
        <w:ind w:left="480"/>
        <w:spacing w:after="0" w:line="235" w:lineRule="auto"/>
        <w:rPr>
          <w:sz w:val="20"/>
          <w:szCs w:val="20"/>
          <w:color w:val="auto"/>
        </w:rPr>
      </w:pPr>
      <w:r>
        <w:rPr>
          <w:rFonts w:ascii="Times New Roman" w:cs="Times New Roman" w:eastAsia="Times New Roman" w:hAnsi="Times New Roman"/>
          <w:sz w:val="16"/>
          <w:szCs w:val="16"/>
          <w:color w:val="auto"/>
        </w:rPr>
        <w:t>•an economic downturn and its impacts on the ability of our portfolio companies to operate and the investment opportunities available to us;</w:t>
      </w:r>
    </w:p>
    <w:p>
      <w:pPr>
        <w:ind w:left="480" w:right="40"/>
        <w:spacing w:after="0" w:line="234" w:lineRule="auto"/>
        <w:rPr>
          <w:sz w:val="20"/>
          <w:szCs w:val="20"/>
          <w:color w:val="auto"/>
        </w:rPr>
      </w:pPr>
      <w:r>
        <w:rPr>
          <w:rFonts w:ascii="Times New Roman" w:cs="Times New Roman" w:eastAsia="Times New Roman" w:hAnsi="Times New Roman"/>
          <w:sz w:val="16"/>
          <w:szCs w:val="16"/>
          <w:color w:val="auto"/>
        </w:rPr>
        <w:t>•the impact of geopolitical conditions, including the ongoing conflict between Ukraine and Russia, the ongoing conflicts in the Middle East, and U.S. and China relations, and its impact on financial market volatility, global economic markets, and various sectors, industries and markets for commodities globally; •the ability of our portfolio companies to achieve their objectives;</w:t>
      </w:r>
    </w:p>
    <w:p>
      <w:pPr>
        <w:ind w:left="480"/>
        <w:spacing w:after="0" w:line="237" w:lineRule="auto"/>
        <w:rPr>
          <w:sz w:val="20"/>
          <w:szCs w:val="20"/>
          <w:color w:val="auto"/>
        </w:rPr>
      </w:pPr>
      <w:r>
        <w:rPr>
          <w:rFonts w:ascii="Times New Roman" w:cs="Times New Roman" w:eastAsia="Times New Roman" w:hAnsi="Times New Roman"/>
          <w:sz w:val="16"/>
          <w:szCs w:val="16"/>
          <w:color w:val="auto"/>
        </w:rPr>
        <w:t>•our expected financing and investments;</w:t>
      </w:r>
    </w:p>
    <w:p>
      <w:pPr>
        <w:ind w:left="480"/>
        <w:spacing w:after="0" w:line="235" w:lineRule="auto"/>
        <w:rPr>
          <w:sz w:val="20"/>
          <w:szCs w:val="20"/>
          <w:color w:val="auto"/>
        </w:rPr>
      </w:pPr>
      <w:r>
        <w:rPr>
          <w:rFonts w:ascii="Times New Roman" w:cs="Times New Roman" w:eastAsia="Times New Roman" w:hAnsi="Times New Roman"/>
          <w:sz w:val="16"/>
          <w:szCs w:val="16"/>
          <w:color w:val="auto"/>
        </w:rPr>
        <w:t>•the adequacy of our cash resources and working capital;</w:t>
      </w:r>
    </w:p>
    <w:p>
      <w:pPr>
        <w:ind w:left="480"/>
        <w:spacing w:after="0" w:line="235" w:lineRule="auto"/>
        <w:rPr>
          <w:sz w:val="20"/>
          <w:szCs w:val="20"/>
          <w:color w:val="auto"/>
        </w:rPr>
      </w:pPr>
      <w:r>
        <w:rPr>
          <w:rFonts w:ascii="Times New Roman" w:cs="Times New Roman" w:eastAsia="Times New Roman" w:hAnsi="Times New Roman"/>
          <w:sz w:val="16"/>
          <w:szCs w:val="16"/>
          <w:color w:val="auto"/>
        </w:rPr>
        <w:t>•the timing of cash flows, if any, from the operations of our portfolio companies;</w:t>
      </w:r>
    </w:p>
    <w:p>
      <w:pPr>
        <w:ind w:left="480" w:right="2420"/>
        <w:spacing w:after="0" w:line="234" w:lineRule="auto"/>
        <w:rPr>
          <w:sz w:val="20"/>
          <w:szCs w:val="20"/>
          <w:color w:val="auto"/>
        </w:rPr>
      </w:pPr>
      <w:r>
        <w:rPr>
          <w:rFonts w:ascii="Times New Roman" w:cs="Times New Roman" w:eastAsia="Times New Roman" w:hAnsi="Times New Roman"/>
          <w:sz w:val="16"/>
          <w:szCs w:val="16"/>
          <w:color w:val="auto"/>
        </w:rPr>
        <w:t>•the ability of the Investment Advisor to locate suitable investments for us and to monitor and administer our investments; •the ability of our Investment Advisor to attract and retain highly talented professionals; •our regulatory structure and tax treatment;</w:t>
      </w:r>
    </w:p>
    <w:p>
      <w:pPr>
        <w:spacing w:after="0" w:line="2" w:lineRule="exact"/>
        <w:rPr>
          <w:sz w:val="20"/>
          <w:szCs w:val="20"/>
          <w:color w:val="auto"/>
        </w:rPr>
      </w:pPr>
    </w:p>
    <w:p>
      <w:pPr>
        <w:ind w:left="480" w:right="4140"/>
        <w:spacing w:after="0" w:line="234" w:lineRule="auto"/>
        <w:rPr>
          <w:sz w:val="20"/>
          <w:szCs w:val="20"/>
          <w:color w:val="auto"/>
        </w:rPr>
      </w:pPr>
      <w:r>
        <w:rPr>
          <w:rFonts w:ascii="Times New Roman" w:cs="Times New Roman" w:eastAsia="Times New Roman" w:hAnsi="Times New Roman"/>
          <w:sz w:val="16"/>
          <w:szCs w:val="16"/>
          <w:color w:val="auto"/>
        </w:rPr>
        <w:t>•our ability to operate as a BDC and a RIC and each of the SBIC Funds to operate as an SBIC; •the timing, form and amount of any dividend distributions;</w:t>
      </w:r>
    </w:p>
    <w:p>
      <w:pPr>
        <w:spacing w:after="0" w:line="1" w:lineRule="exact"/>
        <w:rPr>
          <w:sz w:val="20"/>
          <w:szCs w:val="20"/>
          <w:color w:val="auto"/>
        </w:rPr>
      </w:pPr>
    </w:p>
    <w:p>
      <w:pPr>
        <w:jc w:val="both"/>
        <w:ind w:left="480" w:right="3020"/>
        <w:spacing w:after="0" w:line="237" w:lineRule="auto"/>
        <w:rPr>
          <w:sz w:val="20"/>
          <w:szCs w:val="20"/>
          <w:color w:val="auto"/>
        </w:rPr>
      </w:pPr>
      <w:r>
        <w:rPr>
          <w:rFonts w:ascii="Times New Roman" w:cs="Times New Roman" w:eastAsia="Times New Roman" w:hAnsi="Times New Roman"/>
          <w:sz w:val="16"/>
          <w:szCs w:val="16"/>
          <w:color w:val="auto"/>
        </w:rPr>
        <w:t>•the impact of interest rate volatility and the elevated level of inflation on our business and portfolio companies; •the valuation of any investments in portfolio companies, particularly those having no liquid trading market; and •our ability to recover unrealized losses.</w:t>
      </w:r>
    </w:p>
    <w:p>
      <w:pPr>
        <w:spacing w:after="0" w:line="121" w:lineRule="exact"/>
        <w:rPr>
          <w:sz w:val="20"/>
          <w:szCs w:val="20"/>
          <w:color w:val="auto"/>
        </w:rPr>
      </w:pPr>
    </w:p>
    <w:p>
      <w:pPr>
        <w:ind w:right="40" w:firstLine="468"/>
        <w:spacing w:after="0" w:line="331" w:lineRule="auto"/>
        <w:rPr>
          <w:sz w:val="20"/>
          <w:szCs w:val="20"/>
          <w:color w:val="auto"/>
        </w:rPr>
      </w:pPr>
      <w:r>
        <w:rPr>
          <w:rFonts w:ascii="Times New Roman" w:cs="Times New Roman" w:eastAsia="Times New Roman" w:hAnsi="Times New Roman"/>
          <w:sz w:val="14"/>
          <w:szCs w:val="14"/>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11" w:right="720" w:bottom="1440" w:gutter="0" w:footer="0" w:header="0"/>
        </w:sectPr>
      </w:pPr>
    </w:p>
    <w:bookmarkStart w:id="44" w:name="page45"/>
    <w:bookmarkEnd w:id="44"/>
    <w:p>
      <w:pPr>
        <w:ind w:left="480"/>
        <w:spacing w:after="0" w:line="246" w:lineRule="auto"/>
        <w:rPr>
          <w:sz w:val="20"/>
          <w:szCs w:val="20"/>
          <w:color w:val="auto"/>
        </w:rPr>
      </w:pPr>
      <w:r>
        <w:rPr>
          <w:rFonts w:ascii="Times New Roman" w:cs="Times New Roman" w:eastAsia="Times New Roman" w:hAnsi="Times New Roman"/>
          <w:sz w:val="16"/>
          <w:szCs w:val="16"/>
          <w:color w:val="auto"/>
        </w:rPr>
        <w:t>•an economic downturn and significant disruptions to our portfolio companies, including supply chain disruptions and labor shortages, could impair our portfolio companies’ ability to continue to operate, which could lead to the loss of some or all of our investments in such portfolio companies;</w:t>
      </w:r>
    </w:p>
    <w:p>
      <w:pPr>
        <w:spacing w:after="0" w:line="1" w:lineRule="exact"/>
        <w:rPr>
          <w:sz w:val="20"/>
          <w:szCs w:val="20"/>
          <w:color w:val="auto"/>
        </w:rPr>
      </w:pPr>
    </w:p>
    <w:p>
      <w:pPr>
        <w:ind w:left="480" w:right="1840"/>
        <w:spacing w:after="0" w:line="268" w:lineRule="auto"/>
        <w:rPr>
          <w:sz w:val="20"/>
          <w:szCs w:val="20"/>
          <w:color w:val="auto"/>
        </w:rPr>
      </w:pPr>
      <w:r>
        <w:rPr>
          <w:rFonts w:ascii="Times New Roman" w:cs="Times New Roman" w:eastAsia="Times New Roman" w:hAnsi="Times New Roman"/>
          <w:sz w:val="14"/>
          <w:szCs w:val="14"/>
          <w:color w:val="auto"/>
        </w:rPr>
        <w:t>•a contraction of available credit and/or an inability to access the equity markets could impair our lending and investment activities; •interest rate vo</w:t>
      </w:r>
      <w:r>
        <w:rPr>
          <w:rFonts w:ascii="Times New Roman" w:cs="Times New Roman" w:eastAsia="Times New Roman" w:hAnsi="Times New Roman"/>
          <w:sz w:val="14"/>
          <w:szCs w:val="14"/>
          <w:u w:val="single" w:color="auto"/>
          <w:color w:val="auto"/>
        </w:rPr>
        <w:t>l</w:t>
      </w:r>
      <w:r>
        <w:rPr>
          <w:rFonts w:ascii="Times New Roman" w:cs="Times New Roman" w:eastAsia="Times New Roman" w:hAnsi="Times New Roman"/>
          <w:sz w:val="14"/>
          <w:szCs w:val="14"/>
          <w:color w:val="auto"/>
        </w:rPr>
        <w:t>atility, could adversely affect our results, particularly because we use leverage as part of our investment strategy;</w:t>
      </w:r>
    </w:p>
    <w:p>
      <w:pPr>
        <w:spacing w:after="0" w:line="1" w:lineRule="exact"/>
        <w:rPr>
          <w:sz w:val="20"/>
          <w:szCs w:val="20"/>
          <w:color w:val="auto"/>
        </w:rPr>
      </w:pPr>
    </w:p>
    <w:p>
      <w:pPr>
        <w:ind w:left="480" w:right="120"/>
        <w:spacing w:after="0" w:line="234" w:lineRule="auto"/>
        <w:rPr>
          <w:sz w:val="20"/>
          <w:szCs w:val="20"/>
          <w:color w:val="auto"/>
        </w:rPr>
      </w:pPr>
      <w:r>
        <w:rPr>
          <w:rFonts w:ascii="Times New Roman" w:cs="Times New Roman" w:eastAsia="Times New Roman" w:hAnsi="Times New Roman"/>
          <w:sz w:val="16"/>
          <w:szCs w:val="16"/>
          <w:color w:val="auto"/>
        </w:rPr>
        <w:t>•the elevated level of inflation could adversely affect our business, results of operations and financial condition of our portfolio companies, which may, in turn, impact the valuation of such portfolio companies; and</w:t>
      </w:r>
    </w:p>
    <w:p>
      <w:pPr>
        <w:spacing w:after="0" w:line="1" w:lineRule="exact"/>
        <w:rPr>
          <w:sz w:val="20"/>
          <w:szCs w:val="20"/>
          <w:color w:val="auto"/>
        </w:rPr>
      </w:pPr>
    </w:p>
    <w:p>
      <w:pPr>
        <w:ind w:left="480" w:right="60"/>
        <w:spacing w:after="0" w:line="238" w:lineRule="auto"/>
        <w:rPr>
          <w:sz w:val="20"/>
          <w:szCs w:val="20"/>
          <w:color w:val="auto"/>
        </w:rPr>
      </w:pPr>
      <w:r>
        <w:rPr>
          <w:rFonts w:ascii="Times New Roman" w:cs="Times New Roman" w:eastAsia="Times New Roman" w:hAnsi="Times New Roman"/>
          <w:sz w:val="16"/>
          <w:szCs w:val="16"/>
          <w:color w:val="auto"/>
        </w:rPr>
        <w:t>•the risks, uncertainties and other factors we identify in Item 1A. – Risk Factors contained in our Annual Report on Form 10-K for the year ended December 31, 2023, elsewhere in this Quarterly Report on Form 10-Q and in our other filings with the SEC.</w:t>
      </w:r>
    </w:p>
    <w:p>
      <w:pPr>
        <w:spacing w:after="0" w:line="121" w:lineRule="exact"/>
        <w:rPr>
          <w:sz w:val="20"/>
          <w:szCs w:val="20"/>
          <w:color w:val="auto"/>
        </w:rPr>
      </w:pPr>
    </w:p>
    <w:p>
      <w:pPr>
        <w:ind w:firstLine="471"/>
        <w:spacing w:after="0" w:line="238" w:lineRule="auto"/>
        <w:rPr>
          <w:sz w:val="20"/>
          <w:szCs w:val="20"/>
          <w:color w:val="auto"/>
        </w:rPr>
      </w:pPr>
      <w:r>
        <w:rPr>
          <w:rFonts w:ascii="Times New Roman" w:cs="Times New Roman" w:eastAsia="Times New Roman" w:hAnsi="Times New Roman"/>
          <w:sz w:val="16"/>
          <w:szCs w:val="16"/>
          <w:color w:val="auto"/>
        </w:rPr>
        <w:t xml:space="preserve">Although we believe that the assumptions on which these forward-looking statements are based are reasonable, any of those assumptions could prove to be inaccurate, and as a result, the forward -looking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 w:cs="Times New Roman" w:eastAsia="Times New Roman" w:hAnsi="Times New Roman"/>
          <w:sz w:val="16"/>
          <w:szCs w:val="16"/>
          <w:i w:val="1"/>
          <w:iCs w:val="1"/>
          <w:color w:val="auto"/>
        </w:rPr>
        <w:t>Item 1.A – Risk Factors</w:t>
      </w:r>
      <w:r>
        <w:rPr>
          <w:rFonts w:ascii="Times New Roman" w:cs="Times New Roman" w:eastAsia="Times New Roman" w:hAnsi="Times New Roman"/>
          <w:sz w:val="16"/>
          <w:szCs w:val="16"/>
          <w:color w:val="auto"/>
        </w:rPr>
        <w:t xml:space="preserve"> contained in our Annual Report on Form 10-K for the year ended December 31, 2023, filed with the SEC on February 29, 2024. You should not place undue reliance on these forward-looking statements, which apply only as of the date of this Quarterly Report on Form 10-Q.</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13" w:right="70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General and Corporate Structure</w:t>
      </w:r>
    </w:p>
    <w:p>
      <w:pPr>
        <w:spacing w:after="0" w:line="142" w:lineRule="exact"/>
        <w:rPr>
          <w:sz w:val="20"/>
          <w:szCs w:val="20"/>
          <w:color w:val="auto"/>
        </w:rPr>
      </w:pPr>
    </w:p>
    <w:p>
      <w:pPr>
        <w:ind w:right="240" w:firstLine="444"/>
        <w:spacing w:after="0" w:line="239" w:lineRule="auto"/>
        <w:rPr>
          <w:sz w:val="20"/>
          <w:szCs w:val="20"/>
          <w:color w:val="auto"/>
        </w:rPr>
      </w:pPr>
      <w:r>
        <w:rPr>
          <w:rFonts w:ascii="Times New Roman" w:cs="Times New Roman" w:eastAsia="Times New Roman" w:hAnsi="Times New Roman"/>
          <w:sz w:val="16"/>
          <w:szCs w:val="16"/>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25"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FIC was formed as a Maryland corporation on February 14, 2011. We completed our initial public offering, or IPO, in June 2011. On June 20, 2011, FIC acquired all of the limited partnership interests of Fidus Mezzanine Capital, L.P.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Fidus Mezzanine Capital II, L.P. ("Fund II"). On April 18, 2018, we commenced operations of a third wholly-owned subsidiary, Fund III. On November 28, 2023, we commenced operations of a fourth wholly-owned subsidiary, Fund IV.</w:t>
      </w:r>
    </w:p>
    <w:p>
      <w:pPr>
        <w:spacing w:after="0" w:line="122" w:lineRule="exact"/>
        <w:rPr>
          <w:sz w:val="20"/>
          <w:szCs w:val="20"/>
          <w:color w:val="auto"/>
        </w:rPr>
      </w:pPr>
    </w:p>
    <w:p>
      <w:pPr>
        <w:ind w:right="100" w:firstLine="444"/>
        <w:spacing w:after="0" w:line="241" w:lineRule="auto"/>
        <w:rPr>
          <w:sz w:val="20"/>
          <w:szCs w:val="20"/>
          <w:color w:val="auto"/>
        </w:rPr>
      </w:pPr>
      <w:r>
        <w:rPr>
          <w:rFonts w:ascii="Times New Roman" w:cs="Times New Roman" w:eastAsia="Times New Roman" w:hAnsi="Times New Roman"/>
          <w:sz w:val="16"/>
          <w:szCs w:val="16"/>
          <w:color w:val="auto"/>
        </w:rPr>
        <w:t>Fund III and Fund IV received their SBIC licenses on March 21, 2019 and September 30, 2024, respectively. We plan to continue to operate Fund III and Fund IV as SBICs, subject to SBA approval, and to utilize the proceeds of the sale of SBA-guaranteed debentures to enhance returns to our stockholders. Fund I and Fund II completed their wind-down plans, can no longer issue additional SBA debentures, and relinquished their SBIC licenses on March 20, 2020 and March 7, 2024, respectively. We have also made, and continue to make, investments directly through FIC. We believe that utilizing FIC and the SBIC Funds as investment vehicles provides us with access to a broader array of investment opportunities.</w:t>
      </w:r>
    </w:p>
    <w:p>
      <w:pPr>
        <w:spacing w:after="0" w:line="121"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color w:val="auto"/>
        </w:rPr>
        <w:t>We have certain wholly-owned subsidiaries (the “Taxable Subsidiaries”), each of which generally holds one or more of our portfolio investments listed on the consolidated schedules of investments, that have elected to be treated as corporations for U.S. federal income tax purposes and are thus subject to U.S. federal income tax at corporate rates.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 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11" w:right="720" w:bottom="1440" w:gutter="0" w:footer="0" w:header="0"/>
        </w:sectPr>
      </w:pPr>
    </w:p>
    <w:bookmarkStart w:id="46" w:name="page47"/>
    <w:bookmarkEnd w:id="46"/>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Investments</w:t>
      </w:r>
    </w:p>
    <w:p>
      <w:pPr>
        <w:spacing w:after="0" w:line="142" w:lineRule="exact"/>
        <w:rPr>
          <w:sz w:val="20"/>
          <w:szCs w:val="20"/>
          <w:color w:val="auto"/>
        </w:rPr>
      </w:pPr>
    </w:p>
    <w:p>
      <w:pPr>
        <w:ind w:right="60" w:firstLine="468"/>
        <w:spacing w:after="0" w:line="241" w:lineRule="auto"/>
        <w:rPr>
          <w:sz w:val="20"/>
          <w:szCs w:val="20"/>
          <w:color w:val="auto"/>
        </w:rPr>
      </w:pPr>
      <w:r>
        <w:rPr>
          <w:rFonts w:ascii="Times New Roman" w:cs="Times New Roman" w:eastAsia="Times New Roman" w:hAnsi="Times New Roman"/>
          <w:sz w:val="16"/>
          <w:szCs w:val="16"/>
          <w:color w:val="auto"/>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 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spacing w:after="0" w:line="119" w:lineRule="exact"/>
        <w:rPr>
          <w:sz w:val="20"/>
          <w:szCs w:val="20"/>
          <w:color w:val="auto"/>
        </w:rPr>
      </w:pPr>
    </w:p>
    <w:p>
      <w:pPr>
        <w:ind w:right="120" w:firstLine="468"/>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First Lien Debt. </w:t>
      </w:r>
      <w:r>
        <w:rPr>
          <w:rFonts w:ascii="Times New Roman" w:cs="Times New Roman" w:eastAsia="Times New Roman" w:hAnsi="Times New Roman"/>
          <w:sz w:val="16"/>
          <w:szCs w:val="16"/>
          <w:color w:val="auto"/>
        </w:rPr>
        <w:t>We structure some of our investments as senior secured or first lien debt investments. First lien debt investments are secured by a first priority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 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 alone first lien loans. Agreements among lenders also typically provide greater voting rights to the “last out” lenders than the intercreditor agreements to which second lien lenders often are subject.</w:t>
      </w:r>
    </w:p>
    <w:p>
      <w:pPr>
        <w:spacing w:after="0" w:line="126" w:lineRule="exact"/>
        <w:rPr>
          <w:sz w:val="20"/>
          <w:szCs w:val="20"/>
          <w:color w:val="auto"/>
        </w:rPr>
      </w:pPr>
    </w:p>
    <w:p>
      <w:pPr>
        <w:ind w:right="360" w:firstLine="612"/>
        <w:spacing w:after="0" w:line="247" w:lineRule="auto"/>
        <w:rPr>
          <w:sz w:val="20"/>
          <w:szCs w:val="20"/>
          <w:color w:val="auto"/>
        </w:rPr>
      </w:pPr>
      <w:r>
        <w:rPr>
          <w:rFonts w:ascii="Times New Roman" w:cs="Times New Roman" w:eastAsia="Times New Roman" w:hAnsi="Times New Roman"/>
          <w:sz w:val="16"/>
          <w:szCs w:val="16"/>
          <w:color w:val="auto"/>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PRIME or SOFR floor.</w:t>
      </w:r>
    </w:p>
    <w:p>
      <w:pPr>
        <w:spacing w:after="0" w:line="114" w:lineRule="exact"/>
        <w:rPr>
          <w:sz w:val="20"/>
          <w:szCs w:val="20"/>
          <w:color w:val="auto"/>
        </w:rPr>
      </w:pPr>
    </w:p>
    <w:p>
      <w:pPr>
        <w:ind w:right="120" w:firstLine="468"/>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Second Lien Debt. </w:t>
      </w:r>
      <w:r>
        <w:rPr>
          <w:rFonts w:ascii="Times New Roman" w:cs="Times New Roman" w:eastAsia="Times New Roman" w:hAnsi="Times New Roman"/>
          <w:sz w:val="16"/>
          <w:szCs w:val="16"/>
          <w:color w:val="auto"/>
        </w:rPr>
        <w:t>Some of our debt investments take the form of second lien debt, which includes senior subordinated notes. Second lien debt investments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p>
    <w:p>
      <w:pPr>
        <w:spacing w:after="0" w:line="122" w:lineRule="exact"/>
        <w:rPr>
          <w:sz w:val="20"/>
          <w:szCs w:val="20"/>
          <w:color w:val="auto"/>
        </w:rPr>
      </w:pPr>
    </w:p>
    <w:p>
      <w:pPr>
        <w:ind w:firstLine="468"/>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Subordinated Debt. </w:t>
      </w:r>
      <w:r>
        <w:rPr>
          <w:rFonts w:ascii="Times New Roman" w:cs="Times New Roman" w:eastAsia="Times New Roman" w:hAnsi="Times New Roman"/>
          <w:sz w:val="16"/>
          <w:szCs w:val="16"/>
          <w:color w:val="auto"/>
        </w:rPr>
        <w:t>These investments are typically structured as unsecured, subordinated notes. Structurally, subordinated debt usually ranks subordinate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spacing w:after="0" w:line="173" w:lineRule="exact"/>
        <w:rPr>
          <w:sz w:val="20"/>
          <w:szCs w:val="20"/>
          <w:color w:val="auto"/>
        </w:rPr>
      </w:pPr>
    </w:p>
    <w:p>
      <w:pPr>
        <w:ind w:right="60" w:firstLine="468"/>
        <w:spacing w:after="0" w:line="238" w:lineRule="auto"/>
        <w:rPr>
          <w:sz w:val="20"/>
          <w:szCs w:val="20"/>
          <w:color w:val="auto"/>
        </w:rPr>
      </w:pPr>
      <w:r>
        <w:rPr>
          <w:rFonts w:ascii="Times New Roman" w:cs="Times New Roman" w:eastAsia="Times New Roman" w:hAnsi="Times New Roman"/>
          <w:sz w:val="16"/>
          <w:szCs w:val="16"/>
          <w:i w:val="1"/>
          <w:iCs w:val="1"/>
          <w:color w:val="auto"/>
        </w:rPr>
        <w:t>Equity Securities</w:t>
      </w:r>
      <w:r>
        <w:rPr>
          <w:rFonts w:ascii="Times New Roman" w:cs="Times New Roman" w:eastAsia="Times New Roman" w:hAnsi="Times New Roman"/>
          <w:sz w:val="16"/>
          <w:szCs w:val="16"/>
          <w:color w:val="auto"/>
        </w:rPr>
        <w:t>. Our equity investments typically consist of either a direct minority equity investment in common or preferred stock or membership/partnership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7" w:name="page48"/>
    <w:bookmarkEnd w:id="47"/>
    <w:p>
      <w:pPr>
        <w:spacing w:after="0" w:line="15" w:lineRule="exact"/>
        <w:rPr>
          <w:sz w:val="20"/>
          <w:szCs w:val="20"/>
          <w:color w:val="auto"/>
        </w:rPr>
      </w:pPr>
    </w:p>
    <w:p>
      <w:pPr>
        <w:ind w:firstLine="468"/>
        <w:spacing w:after="0" w:line="272" w:lineRule="auto"/>
        <w:rPr>
          <w:sz w:val="20"/>
          <w:szCs w:val="20"/>
          <w:color w:val="auto"/>
        </w:rPr>
      </w:pPr>
      <w:r>
        <w:rPr>
          <w:rFonts w:ascii="Times New Roman" w:cs="Times New Roman" w:eastAsia="Times New Roman" w:hAnsi="Times New Roman"/>
          <w:sz w:val="14"/>
          <w:szCs w:val="14"/>
          <w:i w:val="1"/>
          <w:iCs w:val="1"/>
          <w:color w:val="auto"/>
        </w:rPr>
        <w:t>Revenues</w:t>
      </w:r>
      <w:r>
        <w:rPr>
          <w:rFonts w:ascii="Times New Roman" w:cs="Times New Roman" w:eastAsia="Times New Roman" w:hAnsi="Times New Roman"/>
          <w:sz w:val="14"/>
          <w:szCs w:val="14"/>
          <w:color w:val="auto"/>
        </w:rPr>
        <w:t>: We generate revenue in the form of interest and fee income on debt investments and dividends, if any, on equity investments. Our debt investments,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 -accrual investments are restored to accrual status when past due principal, interest or dividends are paid and, in management’s judgment, payments are likely to remain current. See “Critical Accounting Policies and Use of Estimates – Revenue Recognition.”</w:t>
      </w:r>
    </w:p>
    <w:p>
      <w:pPr>
        <w:spacing w:after="0" w:line="200" w:lineRule="exact"/>
        <w:rPr>
          <w:sz w:val="20"/>
          <w:szCs w:val="20"/>
          <w:color w:val="auto"/>
        </w:rPr>
      </w:pPr>
    </w:p>
    <w:p>
      <w:pPr>
        <w:spacing w:after="0" w:line="268" w:lineRule="exact"/>
        <w:rPr>
          <w:sz w:val="20"/>
          <w:szCs w:val="20"/>
          <w:color w:val="auto"/>
        </w:rPr>
      </w:pPr>
    </w:p>
    <w:p>
      <w:pPr>
        <w:ind w:right="60" w:firstLine="468"/>
        <w:spacing w:after="0" w:line="247" w:lineRule="auto"/>
        <w:rPr>
          <w:sz w:val="20"/>
          <w:szCs w:val="20"/>
          <w:color w:val="auto"/>
        </w:rPr>
      </w:pPr>
      <w:r>
        <w:rPr>
          <w:rFonts w:ascii="Times New Roman" w:cs="Times New Roman" w:eastAsia="Times New Roman" w:hAnsi="Times New Roman"/>
          <w:sz w:val="16"/>
          <w:szCs w:val="16"/>
          <w:color w:val="auto"/>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114" w:lineRule="exact"/>
        <w:rPr>
          <w:sz w:val="20"/>
          <w:szCs w:val="20"/>
          <w:color w:val="auto"/>
        </w:rPr>
      </w:pPr>
    </w:p>
    <w:p>
      <w:pPr>
        <w:ind w:firstLine="468"/>
        <w:spacing w:after="0" w:line="287" w:lineRule="auto"/>
        <w:rPr>
          <w:sz w:val="20"/>
          <w:szCs w:val="20"/>
          <w:color w:val="auto"/>
        </w:rPr>
      </w:pPr>
      <w:r>
        <w:rPr>
          <w:rFonts w:ascii="Times New Roman" w:cs="Times New Roman" w:eastAsia="Times New Roman" w:hAnsi="Times New Roman"/>
          <w:sz w:val="14"/>
          <w:szCs w:val="14"/>
          <w:i w:val="1"/>
          <w:iCs w:val="1"/>
          <w:color w:val="auto"/>
        </w:rPr>
        <w:t>Expenses</w:t>
      </w:r>
      <w:r>
        <w:rPr>
          <w:rFonts w:ascii="Times New Roman" w:cs="Times New Roman" w:eastAsia="Times New Roman" w:hAnsi="Times New Roman"/>
          <w:sz w:val="14"/>
          <w:szCs w:val="14"/>
          <w:color w:val="auto"/>
        </w:rPr>
        <w:t>: All investment professionals of the Investment Advisor and/or its affiliates, when and to the extent engaged in providing investment advisory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•organization;</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•calculating our net asset value (including the cost and expenses of any independent valuation firm);</w:t>
      </w:r>
    </w:p>
    <w:p>
      <w:pPr>
        <w:ind w:left="480" w:right="240"/>
        <w:spacing w:after="0" w:line="234" w:lineRule="auto"/>
        <w:rPr>
          <w:sz w:val="20"/>
          <w:szCs w:val="20"/>
          <w:color w:val="auto"/>
        </w:rPr>
      </w:pPr>
      <w:r>
        <w:rPr>
          <w:rFonts w:ascii="Times New Roman" w:cs="Times New Roman" w:eastAsia="Times New Roman" w:hAnsi="Times New Roman"/>
          <w:sz w:val="16"/>
          <w:szCs w:val="16"/>
          <w:color w:val="auto"/>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 •interest payable on debt, if any, incurred to finance our investments;</w:t>
      </w:r>
    </w:p>
    <w:p>
      <w:pPr>
        <w:ind w:left="480"/>
        <w:spacing w:after="0" w:line="238" w:lineRule="auto"/>
        <w:rPr>
          <w:sz w:val="20"/>
          <w:szCs w:val="20"/>
          <w:color w:val="auto"/>
        </w:rPr>
      </w:pPr>
      <w:r>
        <w:rPr>
          <w:rFonts w:ascii="Times New Roman" w:cs="Times New Roman" w:eastAsia="Times New Roman" w:hAnsi="Times New Roman"/>
          <w:sz w:val="16"/>
          <w:szCs w:val="16"/>
          <w:color w:val="auto"/>
        </w:rPr>
        <w:t>•offerings of our common stock and other securities;</w:t>
      </w:r>
    </w:p>
    <w:p>
      <w:pPr>
        <w:ind w:left="480"/>
        <w:spacing w:after="0" w:line="235" w:lineRule="auto"/>
        <w:rPr>
          <w:sz w:val="20"/>
          <w:szCs w:val="20"/>
          <w:color w:val="auto"/>
        </w:rPr>
      </w:pPr>
      <w:r>
        <w:rPr>
          <w:rFonts w:ascii="Times New Roman" w:cs="Times New Roman" w:eastAsia="Times New Roman" w:hAnsi="Times New Roman"/>
          <w:sz w:val="16"/>
          <w:szCs w:val="16"/>
          <w:color w:val="auto"/>
        </w:rPr>
        <w:t>•investment advisory fees and management fees;</w:t>
      </w:r>
    </w:p>
    <w:p>
      <w:pPr>
        <w:ind w:left="480" w:right="220"/>
        <w:spacing w:after="0" w:line="234" w:lineRule="auto"/>
        <w:rPr>
          <w:sz w:val="20"/>
          <w:szCs w:val="20"/>
          <w:color w:val="auto"/>
        </w:rPr>
      </w:pPr>
      <w:r>
        <w:rPr>
          <w:rFonts w:ascii="Times New Roman" w:cs="Times New Roman" w:eastAsia="Times New Roman" w:hAnsi="Times New Roman"/>
          <w:sz w:val="16"/>
          <w:szCs w:val="16"/>
          <w:color w:val="auto"/>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ind w:left="480"/>
        <w:spacing w:after="0" w:line="238" w:lineRule="auto"/>
        <w:rPr>
          <w:sz w:val="20"/>
          <w:szCs w:val="20"/>
          <w:color w:val="auto"/>
        </w:rPr>
      </w:pPr>
      <w:r>
        <w:rPr>
          <w:rFonts w:ascii="Times New Roman" w:cs="Times New Roman" w:eastAsia="Times New Roman" w:hAnsi="Times New Roman"/>
          <w:sz w:val="16"/>
          <w:szCs w:val="16"/>
          <w:color w:val="auto"/>
        </w:rPr>
        <w:t>•transfer agent, dividend agent and custodial fees and expenses;</w:t>
      </w:r>
    </w:p>
    <w:p>
      <w:pPr>
        <w:ind w:left="480"/>
        <w:spacing w:after="0" w:line="235" w:lineRule="auto"/>
        <w:rPr>
          <w:sz w:val="20"/>
          <w:szCs w:val="20"/>
          <w:color w:val="auto"/>
        </w:rPr>
      </w:pPr>
      <w:r>
        <w:rPr>
          <w:rFonts w:ascii="Times New Roman" w:cs="Times New Roman" w:eastAsia="Times New Roman" w:hAnsi="Times New Roman"/>
          <w:sz w:val="16"/>
          <w:szCs w:val="16"/>
          <w:color w:val="auto"/>
        </w:rPr>
        <w:t>•federal and state registration fees;</w:t>
      </w:r>
    </w:p>
    <w:p>
      <w:pPr>
        <w:ind w:left="480"/>
        <w:spacing w:after="0" w:line="235" w:lineRule="auto"/>
        <w:rPr>
          <w:sz w:val="20"/>
          <w:szCs w:val="20"/>
          <w:color w:val="auto"/>
        </w:rPr>
      </w:pPr>
      <w:r>
        <w:rPr>
          <w:rFonts w:ascii="Times New Roman" w:cs="Times New Roman" w:eastAsia="Times New Roman" w:hAnsi="Times New Roman"/>
          <w:sz w:val="16"/>
          <w:szCs w:val="16"/>
          <w:color w:val="auto"/>
        </w:rPr>
        <w:t>•all costs of registration and listing our shares on any securities exchange;</w:t>
      </w:r>
    </w:p>
    <w:p>
      <w:pPr>
        <w:ind w:left="480"/>
        <w:spacing w:after="0" w:line="234" w:lineRule="auto"/>
        <w:rPr>
          <w:sz w:val="20"/>
          <w:szCs w:val="20"/>
          <w:color w:val="auto"/>
        </w:rPr>
      </w:pPr>
      <w:r>
        <w:rPr>
          <w:rFonts w:ascii="Times New Roman" w:cs="Times New Roman" w:eastAsia="Times New Roman" w:hAnsi="Times New Roman"/>
          <w:sz w:val="16"/>
          <w:szCs w:val="16"/>
          <w:color w:val="auto"/>
        </w:rPr>
        <w:t>•U.S. federal, state and local taxes;</w:t>
      </w:r>
    </w:p>
    <w:p>
      <w:pPr>
        <w:ind w:left="480"/>
        <w:spacing w:after="0" w:line="235" w:lineRule="auto"/>
        <w:rPr>
          <w:sz w:val="20"/>
          <w:szCs w:val="20"/>
          <w:color w:val="auto"/>
        </w:rPr>
      </w:pPr>
      <w:r>
        <w:rPr>
          <w:rFonts w:ascii="Times New Roman" w:cs="Times New Roman" w:eastAsia="Times New Roman" w:hAnsi="Times New Roman"/>
          <w:sz w:val="16"/>
          <w:szCs w:val="16"/>
          <w:color w:val="auto"/>
        </w:rPr>
        <w:t>•Independent Directors’ fees and expenses;</w:t>
      </w:r>
    </w:p>
    <w:p>
      <w:pPr>
        <w:spacing w:after="0" w:line="1" w:lineRule="exact"/>
        <w:rPr>
          <w:sz w:val="20"/>
          <w:szCs w:val="20"/>
          <w:color w:val="auto"/>
        </w:rPr>
      </w:pPr>
    </w:p>
    <w:p>
      <w:pPr>
        <w:ind w:left="480" w:right="2480"/>
        <w:spacing w:after="0" w:line="234" w:lineRule="auto"/>
        <w:rPr>
          <w:sz w:val="20"/>
          <w:szCs w:val="20"/>
          <w:color w:val="auto"/>
        </w:rPr>
      </w:pPr>
      <w:r>
        <w:rPr>
          <w:rFonts w:ascii="Times New Roman" w:cs="Times New Roman" w:eastAsia="Times New Roman" w:hAnsi="Times New Roman"/>
          <w:sz w:val="16"/>
          <w:szCs w:val="16"/>
          <w:color w:val="auto"/>
        </w:rPr>
        <w:t>•costs of preparing and filing reports or other documents required by the SEC or other regulators including printing costs; •costs of any reports, proxy statements or other notices to stockholders, including printing and mailing costs;</w:t>
      </w:r>
    </w:p>
    <w:p>
      <w:pPr>
        <w:ind w:left="480"/>
        <w:spacing w:after="0" w:line="236" w:lineRule="auto"/>
        <w:rPr>
          <w:sz w:val="20"/>
          <w:szCs w:val="20"/>
          <w:color w:val="auto"/>
        </w:rPr>
      </w:pPr>
      <w:r>
        <w:rPr>
          <w:rFonts w:ascii="Times New Roman" w:cs="Times New Roman" w:eastAsia="Times New Roman" w:hAnsi="Times New Roman"/>
          <w:sz w:val="16"/>
          <w:szCs w:val="16"/>
          <w:color w:val="auto"/>
        </w:rPr>
        <w:t>•our allocable portion of any fidelity bond, directors and officers/errors and omissions liability insurance, and any other insurance premiums;</w:t>
      </w:r>
    </w:p>
    <w:p>
      <w:pPr>
        <w:ind w:left="480" w:right="140"/>
        <w:spacing w:after="0" w:line="234" w:lineRule="auto"/>
        <w:rPr>
          <w:sz w:val="20"/>
          <w:szCs w:val="20"/>
          <w:color w:val="auto"/>
        </w:rPr>
      </w:pPr>
      <w:r>
        <w:rPr>
          <w:rFonts w:ascii="Times New Roman" w:cs="Times New Roman" w:eastAsia="Times New Roman" w:hAnsi="Times New Roman"/>
          <w:sz w:val="16"/>
          <w:szCs w:val="16"/>
          <w:color w:val="auto"/>
        </w:rPr>
        <w:t>•direct costs and expenses of administration, including printing, mailing, long distance telephone, copying, secretarial and other staff, independent auditors and outside legal costs;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8" w:name="page49"/>
    <w:bookmarkEnd w:id="48"/>
    <w:p>
      <w:pPr>
        <w:ind w:left="480"/>
        <w:spacing w:after="0"/>
        <w:rPr>
          <w:sz w:val="20"/>
          <w:szCs w:val="20"/>
          <w:color w:val="auto"/>
        </w:rPr>
      </w:pPr>
      <w:r>
        <w:rPr>
          <w:rFonts w:ascii="Times New Roman" w:cs="Times New Roman" w:eastAsia="Times New Roman" w:hAnsi="Times New Roman"/>
          <w:sz w:val="16"/>
          <w:szCs w:val="16"/>
          <w:color w:val="auto"/>
        </w:rPr>
        <w:t>•proxy voting expenses; and</w:t>
      </w:r>
    </w:p>
    <w:p>
      <w:pPr>
        <w:spacing w:after="0" w:line="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•all other expenses reasonably incurred by us or the Investment Advisor in connection with administering our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Composition, Investment Activity and Yield</w:t>
      </w:r>
    </w:p>
    <w:p>
      <w:pPr>
        <w:spacing w:after="0" w:line="142" w:lineRule="exact"/>
        <w:rPr>
          <w:sz w:val="20"/>
          <w:szCs w:val="20"/>
          <w:color w:val="auto"/>
        </w:rPr>
      </w:pPr>
    </w:p>
    <w:p>
      <w:pPr>
        <w:ind w:right="200" w:firstLine="444"/>
        <w:spacing w:after="0" w:line="241" w:lineRule="auto"/>
        <w:rPr>
          <w:sz w:val="20"/>
          <w:szCs w:val="20"/>
          <w:color w:val="auto"/>
        </w:rPr>
      </w:pPr>
      <w:r>
        <w:rPr>
          <w:rFonts w:ascii="Times New Roman" w:cs="Times New Roman" w:eastAsia="Times New Roman" w:hAnsi="Times New Roman"/>
          <w:sz w:val="16"/>
          <w:szCs w:val="16"/>
          <w:color w:val="auto"/>
        </w:rPr>
        <w:t>During the nine months ended September 30, 2024 and 2023, we invested $274.2 million and $204.0 million, respectively, in debt and equity investments including eleven and ten new portfolio companies, respectively. During the nine months ended September 30, 2024 and 2023, we received proceeds from sales or repayments, including principal, return of capital dividends and net realized gains (losses), of $154.1 million and $ 146.4 million, respectively, including an exit of six and six portfolio companies, respectively. The following table summarizes purchases of investments and sales and repayments of investments by type for the nine months ended September 30, 2024 and 2023 (dollars in millions).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Purchases of Investments</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Sales and Repayments of Investments</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0"/>
        </w:trPr>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gridSpan w:val="2"/>
          </w:tcPr>
          <w:p>
            <w:pPr>
              <w:jc w:val="right"/>
              <w:ind w:right="9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4"/>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Lien Debt</w:t>
            </w:r>
            <w:r>
              <w:rPr>
                <w:rFonts w:ascii="Times New Roman" w:cs="Times New Roman" w:eastAsia="Times New Roman" w:hAnsi="Times New Roman"/>
                <w:sz w:val="16"/>
                <w:szCs w:val="16"/>
                <w:color w:val="auto"/>
                <w:vertAlign w:val="superscript"/>
              </w:rPr>
              <w:t>(1)</w:t>
            </w: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77.5 %</w:t>
            </w:r>
          </w:p>
        </w:tc>
        <w:tc>
          <w:tcPr>
            <w:tcW w:w="5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135.2</w:t>
            </w: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66.2 %</w:t>
            </w:r>
          </w:p>
        </w:tc>
        <w:tc>
          <w:tcPr>
            <w:tcW w:w="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1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58.6 %</w:t>
            </w: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47.1 %</w:t>
            </w:r>
          </w:p>
        </w:tc>
      </w:tr>
      <w:tr>
        <w:trPr>
          <w:trHeight w:val="176"/>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 Debt</w:t>
            </w: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260" w:type="dxa"/>
            <w:vAlign w:val="bottom"/>
          </w:tcPr>
          <w:p>
            <w:pPr>
              <w:spacing w:after="0"/>
              <w:rPr>
                <w:sz w:val="15"/>
                <w:szCs w:val="15"/>
                <w:color w:val="auto"/>
              </w:rPr>
            </w:pPr>
          </w:p>
        </w:tc>
      </w:tr>
      <w:tr>
        <w:trPr>
          <w:trHeight w:val="184"/>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60" w:type="dxa"/>
            <w:vAlign w:val="bottom"/>
            <w:shd w:val="clear" w:color="auto" w:fill="CCEEFF"/>
          </w:tcPr>
          <w:p>
            <w:pPr>
              <w:spacing w:after="0"/>
              <w:rPr>
                <w:sz w:val="16"/>
                <w:szCs w:val="16"/>
                <w:color w:val="auto"/>
              </w:rPr>
            </w:pPr>
          </w:p>
        </w:tc>
      </w:tr>
      <w:tr>
        <w:trPr>
          <w:trHeight w:val="176"/>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60" w:type="dxa"/>
            <w:vAlign w:val="bottom"/>
          </w:tcPr>
          <w:p>
            <w:pPr>
              <w:spacing w:after="0"/>
              <w:rPr>
                <w:sz w:val="15"/>
                <w:szCs w:val="15"/>
                <w:color w:val="auto"/>
              </w:rPr>
            </w:pPr>
          </w:p>
        </w:tc>
      </w:tr>
      <w:tr>
        <w:trPr>
          <w:trHeight w:val="184"/>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274.2</w:t>
            </w:r>
          </w:p>
        </w:tc>
        <w:tc>
          <w:tcPr>
            <w:tcW w:w="220" w:type="dxa"/>
            <w:vAlign w:val="bottom"/>
          </w:tcPr>
          <w:p>
            <w:pPr>
              <w:spacing w:after="0"/>
              <w:rPr>
                <w:sz w:val="15"/>
                <w:szCs w:val="15"/>
                <w:color w:val="auto"/>
              </w:rPr>
            </w:pPr>
          </w:p>
        </w:tc>
        <w:tc>
          <w:tcPr>
            <w:tcW w:w="120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5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220" w:type="dxa"/>
            <w:vAlign w:val="bottom"/>
          </w:tcPr>
          <w:p>
            <w:pPr>
              <w:spacing w:after="0"/>
              <w:rPr>
                <w:sz w:val="15"/>
                <w:szCs w:val="15"/>
                <w:color w:val="auto"/>
              </w:rPr>
            </w:pPr>
          </w:p>
        </w:tc>
        <w:tc>
          <w:tcPr>
            <w:tcW w:w="11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1780" w:type="dxa"/>
            <w:vAlign w:val="bottom"/>
            <w:gridSpan w:val="3"/>
          </w:tcPr>
          <w:p>
            <w:pPr>
              <w:jc w:val="right"/>
              <w:ind w:right="30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146.4</w:t>
            </w:r>
          </w:p>
        </w:tc>
        <w:tc>
          <w:tcPr>
            <w:tcW w:w="200" w:type="dxa"/>
            <w:vAlign w:val="bottom"/>
          </w:tcPr>
          <w:p>
            <w:pPr>
              <w:spacing w:after="0"/>
              <w:rPr>
                <w:sz w:val="15"/>
                <w:szCs w:val="15"/>
                <w:color w:val="auto"/>
              </w:rPr>
            </w:pPr>
          </w:p>
        </w:tc>
        <w:tc>
          <w:tcPr>
            <w:tcW w:w="8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r>
      <w:tr>
        <w:trPr>
          <w:trHeight w:val="20"/>
        </w:trPr>
        <w:tc>
          <w:tcPr>
            <w:tcW w:w="1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4" w:lineRule="exact"/>
        <w:rPr>
          <w:sz w:val="20"/>
          <w:szCs w:val="20"/>
          <w:color w:val="auto"/>
        </w:rPr>
      </w:pPr>
    </w:p>
    <w:p>
      <w:pPr>
        <w:ind w:right="120" w:firstLine="6"/>
        <w:spacing w:after="0" w:line="286" w:lineRule="auto"/>
        <w:tabs>
          <w:tab w:leader="none" w:pos="187"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nine months ended September 30, 2024 and 2023, first lien debt includes unitranche securities, which account for 32.3% and 35.7% of purchases, respectively. For the nine months ended September 30, 2024 and 2023, first lien debt includes unitranche securities, which account for 6.3% and 3.9% of repayments, respectively.</w:t>
      </w:r>
    </w:p>
    <w:p>
      <w:pPr>
        <w:spacing w:after="0" w:line="98" w:lineRule="exact"/>
        <w:rPr>
          <w:sz w:val="20"/>
          <w:szCs w:val="20"/>
          <w:color w:val="auto"/>
        </w:rPr>
      </w:pPr>
    </w:p>
    <w:p>
      <w:pPr>
        <w:ind w:right="80" w:firstLine="444"/>
        <w:spacing w:after="0" w:line="284" w:lineRule="auto"/>
        <w:rPr>
          <w:sz w:val="20"/>
          <w:szCs w:val="20"/>
          <w:color w:val="auto"/>
        </w:rPr>
      </w:pPr>
      <w:r>
        <w:rPr>
          <w:rFonts w:ascii="Times New Roman" w:cs="Times New Roman" w:eastAsia="Times New Roman" w:hAnsi="Times New Roman"/>
          <w:sz w:val="14"/>
          <w:szCs w:val="14"/>
          <w:color w:val="auto"/>
        </w:rPr>
        <w:t>As of September 30, 2024, the fair value of our investment portfolio totaled $ 1,090.7 million and consisted of 85 active portfolio companies and five portfolio companies that have sold their underlying operations. As of September 30, 2024, 49 portfolio companies’ debt investments bore interest at a variable rate, which represented $702.0 million, or 73.2%, of our debt investment portfolio on a fair value basis, and the remainder of our debt investment portfolio was comprised of fixed-rate investments. Overall, the portfolio had net unrealized appreciation of $15.9 million as of September 30, 2024. As of September 30, 2024, our average active portfolio company investment at amortized cost was $12.6 million, which excludes investments in five portfolio companies that have sold their underlying operations.</w:t>
      </w:r>
    </w:p>
    <w:p>
      <w:pPr>
        <w:spacing w:after="0" w:line="92" w:lineRule="exact"/>
        <w:rPr>
          <w:sz w:val="20"/>
          <w:szCs w:val="20"/>
          <w:color w:val="auto"/>
        </w:rPr>
      </w:pPr>
    </w:p>
    <w:p>
      <w:pPr>
        <w:ind w:right="120" w:firstLine="444"/>
        <w:spacing w:after="0" w:line="284" w:lineRule="auto"/>
        <w:rPr>
          <w:sz w:val="20"/>
          <w:szCs w:val="20"/>
          <w:color w:val="auto"/>
        </w:rPr>
      </w:pPr>
      <w:r>
        <w:rPr>
          <w:rFonts w:ascii="Times New Roman" w:cs="Times New Roman" w:eastAsia="Times New Roman" w:hAnsi="Times New Roman"/>
          <w:sz w:val="14"/>
          <w:szCs w:val="14"/>
          <w:color w:val="auto"/>
        </w:rPr>
        <w:t>As of December 31, 2023, the fair value of our investment portfolio totaled $957.9 million and consisted of 81 active portfolio companies and one portfolio company that has sold its underlying operations. As of December 31, 2023, 46 portfolio companies’ debt investments bore interest at a variable rate, which represented $629.3 million, or 75.6%, of our debt investment portfolio on a fair value basis, and the remainder of our debt investment portfolio was comprised of fixed- rate investments. Overall, the portfolio had net unrealized appreciation of $21.3 million as of December 31, 2023. As of December 31, 2023, our average active portfolio company investment at amortized cost was $11.6 million, which excludes an investment in one portfolio company that has sold its underlying operations.</w:t>
      </w:r>
    </w:p>
    <w:p>
      <w:pPr>
        <w:spacing w:after="0" w:line="92" w:lineRule="exact"/>
        <w:rPr>
          <w:sz w:val="20"/>
          <w:szCs w:val="20"/>
          <w:color w:val="auto"/>
        </w:rPr>
      </w:pPr>
    </w:p>
    <w:p>
      <w:pPr>
        <w:ind w:right="140" w:firstLine="444"/>
        <w:spacing w:after="0" w:line="243" w:lineRule="auto"/>
        <w:rPr>
          <w:sz w:val="20"/>
          <w:szCs w:val="20"/>
          <w:color w:val="auto"/>
        </w:rPr>
      </w:pPr>
      <w:r>
        <w:rPr>
          <w:rFonts w:ascii="Times New Roman" w:cs="Times New Roman" w:eastAsia="Times New Roman" w:hAnsi="Times New Roman"/>
          <w:sz w:val="16"/>
          <w:szCs w:val="16"/>
          <w:color w:val="auto"/>
        </w:rPr>
        <w:t>The weighted average yield on debt investments as of September 30, 2024 and December 31, 2023 was 13.8% and 14.2%,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following table shows the portfolio composition by investment type at fair value and cost and as a percentage of total investments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3"/>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3"/>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3"/>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4"/>
        </w:trPr>
        <w:tc>
          <w:tcPr>
            <w:tcW w:w="1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4"/>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First Lien Debt</w:t>
            </w:r>
            <w:r>
              <w:rPr>
                <w:rFonts w:ascii="Times New Roman" w:cs="Times New Roman" w:eastAsia="Times New Roman" w:hAnsi="Times New Roman"/>
                <w:sz w:val="16"/>
                <w:szCs w:val="16"/>
                <w:color w:val="auto"/>
                <w:vertAlign w:val="superscript"/>
              </w:rPr>
              <w:t>(1)</w:t>
            </w:r>
          </w:p>
        </w:tc>
        <w:tc>
          <w:tcPr>
            <w:tcW w:w="280" w:type="dxa"/>
            <w:vAlign w:val="bottom"/>
            <w:shd w:val="clear" w:color="auto" w:fill="CFF0FC"/>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696.3</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63.9 %</w:t>
            </w: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578.1</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60.3 %</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697.3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64.9 %</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61.6 %</w:t>
            </w:r>
          </w:p>
        </w:tc>
      </w:tr>
      <w:tr>
        <w:trPr>
          <w:trHeight w:val="17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 Debt</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320" w:type="dxa"/>
            <w:vAlign w:val="bottom"/>
          </w:tcPr>
          <w:p>
            <w:pPr>
              <w:spacing w:after="0"/>
              <w:rPr>
                <w:sz w:val="15"/>
                <w:szCs w:val="15"/>
                <w:color w:val="auto"/>
              </w:rPr>
            </w:pPr>
          </w:p>
        </w:tc>
      </w:tr>
      <w:tr>
        <w:trPr>
          <w:trHeight w:val="184"/>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Subordinated Debt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135.2</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320" w:type="dxa"/>
            <w:vAlign w:val="bottom"/>
            <w:shd w:val="clear" w:color="auto" w:fill="CFF0FC"/>
          </w:tcPr>
          <w:p>
            <w:pPr>
              <w:spacing w:after="0"/>
              <w:rPr>
                <w:sz w:val="16"/>
                <w:szCs w:val="16"/>
                <w:color w:val="auto"/>
              </w:rPr>
            </w:pPr>
          </w:p>
        </w:tc>
      </w:tr>
      <w:tr>
        <w:trPr>
          <w:trHeight w:val="17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320" w:type="dxa"/>
            <w:vAlign w:val="bottom"/>
          </w:tcPr>
          <w:p>
            <w:pPr>
              <w:spacing w:after="0"/>
              <w:rPr>
                <w:sz w:val="15"/>
                <w:szCs w:val="15"/>
                <w:color w:val="auto"/>
              </w:rPr>
            </w:pPr>
          </w:p>
        </w:tc>
      </w:tr>
      <w:tr>
        <w:trPr>
          <w:trHeight w:val="184"/>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320" w:type="dxa"/>
            <w:vAlign w:val="bottom"/>
            <w:shd w:val="clear" w:color="auto" w:fill="CFF0FC"/>
          </w:tcPr>
          <w:p>
            <w:pPr>
              <w:spacing w:after="0"/>
              <w:rPr>
                <w:sz w:val="16"/>
                <w:szCs w:val="16"/>
                <w:color w:val="auto"/>
              </w:rPr>
            </w:pPr>
          </w:p>
        </w:tc>
      </w:tr>
      <w:tr>
        <w:trPr>
          <w:trHeight w:val="180"/>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ind w:right="42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r>
      <w:tr>
        <w:trPr>
          <w:trHeight w:val="20"/>
        </w:trPr>
        <w:tc>
          <w:tcPr>
            <w:tcW w:w="1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 w:firstLine="6"/>
        <w:spacing w:after="0" w:line="286" w:lineRule="auto"/>
        <w:tabs>
          <w:tab w:leader="none" w:pos="187"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unitranche investments, which account for 36.8% and 37.4% of our portfolio on a fair value and cost basis as of September 30, 2024, respectively. Includes unitranche investments, which account for 37.6% and 38.5% of our portfolio on a fair value and cost basis as of December 31, 2023, respectively.</w:t>
      </w:r>
    </w:p>
    <w:p>
      <w:pPr>
        <w:spacing w:after="0" w:line="98" w:lineRule="exact"/>
        <w:rPr>
          <w:sz w:val="20"/>
          <w:szCs w:val="20"/>
          <w:color w:val="auto"/>
        </w:rPr>
      </w:pPr>
    </w:p>
    <w:p>
      <w:pPr>
        <w:ind w:right="120" w:firstLine="444"/>
        <w:spacing w:after="0" w:line="247" w:lineRule="auto"/>
        <w:rPr>
          <w:sz w:val="20"/>
          <w:szCs w:val="20"/>
          <w:color w:val="auto"/>
        </w:rPr>
      </w:pPr>
      <w:r>
        <w:rPr>
          <w:rFonts w:ascii="Times New Roman" w:cs="Times New Roman" w:eastAsia="Times New Roman" w:hAnsi="Times New Roman"/>
          <w:sz w:val="16"/>
          <w:szCs w:val="16"/>
          <w:color w:val="auto"/>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3"/>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0"/>
        </w:trPr>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3"/>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3"/>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center"/>
              <w:ind w:left="2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0"/>
        </w:trPr>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4"/>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4"/>
        </w:trPr>
        <w:tc>
          <w:tcPr>
            <w:tcW w:w="1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Midwest</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104.3</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3"/>
                <w:szCs w:val="13"/>
                <w:color w:val="auto"/>
              </w:rPr>
              <w:t>9.6 %</w:t>
            </w:r>
          </w:p>
        </w:tc>
        <w:tc>
          <w:tcPr>
            <w:tcW w:w="3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112.6</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11.8 %</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6.2 %</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8.1 %</w:t>
            </w:r>
          </w:p>
        </w:tc>
      </w:tr>
      <w:tr>
        <w:trPr>
          <w:trHeight w:val="176"/>
        </w:trPr>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Southeast</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346.6</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292.4</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348.1</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260" w:type="dxa"/>
            <w:vAlign w:val="bottom"/>
          </w:tcPr>
          <w:p>
            <w:pPr>
              <w:spacing w:after="0"/>
              <w:rPr>
                <w:sz w:val="15"/>
                <w:szCs w:val="15"/>
                <w:color w:val="auto"/>
              </w:rPr>
            </w:pPr>
          </w:p>
        </w:tc>
      </w:tr>
      <w:tr>
        <w:trPr>
          <w:trHeight w:val="184"/>
        </w:trPr>
        <w:tc>
          <w:tcPr>
            <w:tcW w:w="1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Northeast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210.7</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176.4</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260" w:type="dxa"/>
            <w:vAlign w:val="bottom"/>
            <w:shd w:val="clear" w:color="auto" w:fill="CFF0FC"/>
          </w:tcPr>
          <w:p>
            <w:pPr>
              <w:spacing w:after="0"/>
              <w:rPr>
                <w:sz w:val="16"/>
                <w:szCs w:val="16"/>
                <w:color w:val="auto"/>
              </w:rPr>
            </w:pPr>
          </w:p>
        </w:tc>
      </w:tr>
      <w:tr>
        <w:trPr>
          <w:trHeight w:val="176"/>
        </w:trPr>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West</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198.0</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260" w:type="dxa"/>
            <w:vAlign w:val="bottom"/>
          </w:tcPr>
          <w:p>
            <w:pPr>
              <w:spacing w:after="0"/>
              <w:rPr>
                <w:sz w:val="15"/>
                <w:szCs w:val="15"/>
                <w:color w:val="auto"/>
              </w:rPr>
            </w:pPr>
          </w:p>
        </w:tc>
      </w:tr>
      <w:tr>
        <w:trPr>
          <w:trHeight w:val="184"/>
        </w:trPr>
        <w:tc>
          <w:tcPr>
            <w:tcW w:w="1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Southwest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186.3</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249.1</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194.5</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260" w:type="dxa"/>
            <w:vAlign w:val="bottom"/>
            <w:shd w:val="clear" w:color="auto" w:fill="CFF0FC"/>
          </w:tcPr>
          <w:p>
            <w:pPr>
              <w:spacing w:after="0"/>
              <w:rPr>
                <w:sz w:val="16"/>
                <w:szCs w:val="16"/>
                <w:color w:val="auto"/>
              </w:rPr>
            </w:pPr>
          </w:p>
        </w:tc>
      </w:tr>
      <w:tr>
        <w:trPr>
          <w:trHeight w:val="176"/>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60" w:type="dxa"/>
            <w:vAlign w:val="bottom"/>
          </w:tcPr>
          <w:p>
            <w:pPr>
              <w:spacing w:after="0"/>
              <w:rPr>
                <w:sz w:val="15"/>
                <w:szCs w:val="15"/>
                <w:color w:val="auto"/>
              </w:rPr>
            </w:pPr>
          </w:p>
        </w:tc>
      </w:tr>
      <w:tr>
        <w:trPr>
          <w:trHeight w:val="204"/>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1,090.7</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340"/>
              <w:spacing w:after="0" w:line="184"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1"/>
                <w:szCs w:val="21"/>
                <w:color w:val="auto"/>
                <w:vertAlign w:val="subscript"/>
              </w:rPr>
              <w:t>%</w:t>
            </w:r>
          </w:p>
        </w:tc>
        <w:tc>
          <w:tcPr>
            <w:tcW w:w="3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957.9</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line="184"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1"/>
                <w:szCs w:val="21"/>
                <w:color w:val="auto"/>
                <w:vertAlign w:val="subscript"/>
              </w:rPr>
              <w:t>%</w:t>
            </w:r>
          </w:p>
        </w:tc>
        <w:tc>
          <w:tcPr>
            <w:tcW w:w="2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1,074.8</w:t>
            </w: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00"/>
              <w:spacing w:after="0" w:line="184"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1"/>
                <w:szCs w:val="21"/>
                <w:color w:val="auto"/>
                <w:vertAlign w:val="subscript"/>
              </w:rPr>
              <w:t>%</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40"/>
              <w:spacing w:after="0" w:line="184"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1"/>
                <w:szCs w:val="21"/>
                <w:color w:val="auto"/>
                <w:vertAlign w:val="subscript"/>
              </w:rPr>
              <w:t>%</w:t>
            </w:r>
          </w:p>
        </w:tc>
      </w:tr>
      <w:tr>
        <w:trPr>
          <w:trHeight w:val="20"/>
        </w:trPr>
        <w:tc>
          <w:tcPr>
            <w:tcW w:w="1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bl>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following table shows the detailed industry composition of our portfolio at fair value and cost as a percentage of total investments: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980" w:type="dxa"/>
            <w:vAlign w:val="bottom"/>
            <w:gridSpan w:val="3"/>
          </w:tcPr>
          <w:p>
            <w:pPr>
              <w:ind w:left="13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98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7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84"/>
        </w:trPr>
        <w:tc>
          <w:tcPr>
            <w:tcW w:w="2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6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6"/>
                <w:szCs w:val="16"/>
                <w:color w:val="auto"/>
              </w:rPr>
            </w:pPr>
          </w:p>
        </w:tc>
        <w:tc>
          <w:tcPr>
            <w:tcW w:w="14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6"/>
                <w:szCs w:val="16"/>
                <w:color w:val="auto"/>
              </w:rPr>
            </w:pPr>
          </w:p>
        </w:tc>
        <w:tc>
          <w:tcPr>
            <w:tcW w:w="14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Information Technology Services</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32.8 %</w:t>
            </w:r>
          </w:p>
        </w:tc>
        <w:tc>
          <w:tcPr>
            <w:tcW w:w="2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33.7 %</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35.4 %</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36.0 %</w:t>
            </w:r>
          </w:p>
        </w:tc>
      </w:tr>
      <w:tr>
        <w:trPr>
          <w:trHeight w:val="176"/>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Business Services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3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Healthcare Products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300" w:type="dxa"/>
            <w:vAlign w:val="bottom"/>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Component Manufacturing</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3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Healthcare Services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300" w:type="dxa"/>
            <w:vAlign w:val="bottom"/>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Utilities: Services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3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Retail</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300" w:type="dxa"/>
            <w:vAlign w:val="bottom"/>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Transportation Services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3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Building Products Manufacturing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300" w:type="dxa"/>
            <w:vAlign w:val="bottom"/>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Consumer Services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3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Specialty Distribution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300" w:type="dxa"/>
            <w:vAlign w:val="bottom"/>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Environmental Industries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3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Promotional Products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300" w:type="dxa"/>
            <w:vAlign w:val="bottom"/>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Consumer Products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3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Aerospace &amp; Defense Manufacturing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300" w:type="dxa"/>
            <w:vAlign w:val="bottom"/>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Industrial Cleaning &amp; Coatings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3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Oil &amp; Gas Services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3"/>
                <w:szCs w:val="13"/>
                <w:color w:val="auto"/>
              </w:rPr>
              <w:t>Restaurants</w:t>
            </w:r>
          </w:p>
        </w:tc>
        <w:tc>
          <w:tcPr>
            <w:tcW w:w="1980" w:type="dxa"/>
            <w:vAlign w:val="bottom"/>
            <w:gridSpan w:val="3"/>
          </w:tcPr>
          <w:p>
            <w:pPr>
              <w:ind w:left="132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8"/>
                <w:szCs w:val="8"/>
                <w:color w:val="auto"/>
              </w:rPr>
              <w:t xml:space="preserve">  (1)</w:t>
            </w:r>
          </w:p>
        </w:tc>
        <w:tc>
          <w:tcPr>
            <w:tcW w:w="150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8"/>
                <w:szCs w:val="8"/>
                <w:color w:val="auto"/>
              </w:rPr>
              <w:t xml:space="preserve">  (1)</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30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74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1700" w:type="dxa"/>
            <w:vAlign w:val="bottom"/>
            <w:gridSpan w:val="2"/>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174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r>
      <w:tr>
        <w:trPr>
          <w:trHeight w:val="148"/>
        </w:trPr>
        <w:tc>
          <w:tcPr>
            <w:tcW w:w="20" w:type="dxa"/>
            <w:vAlign w:val="bottom"/>
          </w:tcPr>
          <w:p>
            <w:pPr>
              <w:spacing w:after="0"/>
              <w:rPr>
                <w:sz w:val="12"/>
                <w:szCs w:val="12"/>
                <w:color w:val="auto"/>
              </w:rPr>
            </w:pPr>
          </w:p>
        </w:tc>
        <w:tc>
          <w:tcPr>
            <w:tcW w:w="3620" w:type="dxa"/>
            <w:vAlign w:val="bottom"/>
            <w:tcBorders>
              <w:top w:val="single" w:sz="8" w:color="CCEEFF"/>
            </w:tcBorders>
          </w:tcPr>
          <w:p>
            <w:pPr>
              <w:spacing w:after="0" w:line="148" w:lineRule="exact"/>
              <w:rPr>
                <w:sz w:val="20"/>
                <w:szCs w:val="20"/>
                <w:color w:val="auto"/>
              </w:rPr>
            </w:pPr>
            <w:r>
              <w:rPr>
                <w:rFonts w:ascii="Times New Roman" w:cs="Times New Roman" w:eastAsia="Times New Roman" w:hAnsi="Times New Roman"/>
                <w:sz w:val="13"/>
                <w:szCs w:val="13"/>
                <w:color w:val="auto"/>
              </w:rPr>
              <w:t>(1) Percentage is less than 0.1% of respective total.</w:t>
            </w:r>
          </w:p>
        </w:tc>
        <w:tc>
          <w:tcPr>
            <w:tcW w:w="1460" w:type="dxa"/>
            <w:vAlign w:val="bottom"/>
            <w:tcBorders>
              <w:top w:val="single" w:sz="8" w:color="auto"/>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Asset Quality</w:t>
      </w:r>
    </w:p>
    <w:p>
      <w:pPr>
        <w:spacing w:after="0" w:line="142" w:lineRule="exact"/>
        <w:rPr>
          <w:sz w:val="20"/>
          <w:szCs w:val="20"/>
          <w:color w:val="auto"/>
        </w:rPr>
      </w:pPr>
    </w:p>
    <w:p>
      <w:pPr>
        <w:ind w:right="120" w:firstLine="348"/>
        <w:spacing w:after="0" w:line="247" w:lineRule="auto"/>
        <w:rPr>
          <w:sz w:val="20"/>
          <w:szCs w:val="20"/>
          <w:color w:val="auto"/>
        </w:rPr>
      </w:pPr>
      <w:r>
        <w:rPr>
          <w:rFonts w:ascii="Times New Roman" w:cs="Times New Roman" w:eastAsia="Times New Roman" w:hAnsi="Times New Roman"/>
          <w:sz w:val="16"/>
          <w:szCs w:val="16"/>
          <w:color w:val="auto"/>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p>
    <w:p>
      <w:pPr>
        <w:spacing w:after="0" w:line="116" w:lineRule="exact"/>
        <w:rPr>
          <w:sz w:val="20"/>
          <w:szCs w:val="20"/>
          <w:color w:val="auto"/>
        </w:rPr>
      </w:pPr>
    </w:p>
    <w:p>
      <w:pPr>
        <w:ind w:left="480" w:right="120"/>
        <w:spacing w:after="0" w:line="242" w:lineRule="auto"/>
        <w:rPr>
          <w:sz w:val="20"/>
          <w:szCs w:val="20"/>
          <w:color w:val="auto"/>
        </w:rPr>
      </w:pPr>
      <w:r>
        <w:rPr>
          <w:rFonts w:ascii="Times New Roman" w:cs="Times New Roman" w:eastAsia="Times New Roman" w:hAnsi="Times New Roman"/>
          <w:sz w:val="16"/>
          <w:szCs w:val="16"/>
          <w:color w:val="auto"/>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spacing w:after="0" w:line="2" w:lineRule="exact"/>
        <w:rPr>
          <w:sz w:val="20"/>
          <w:szCs w:val="20"/>
          <w:color w:val="auto"/>
        </w:rPr>
      </w:pPr>
    </w:p>
    <w:p>
      <w:pPr>
        <w:ind w:left="480" w:right="160"/>
        <w:spacing w:after="0" w:line="234" w:lineRule="auto"/>
        <w:rPr>
          <w:sz w:val="20"/>
          <w:szCs w:val="20"/>
          <w:color w:val="auto"/>
        </w:rPr>
      </w:pPr>
      <w:r>
        <w:rPr>
          <w:rFonts w:ascii="Times New Roman" w:cs="Times New Roman" w:eastAsia="Times New Roman" w:hAnsi="Times New Roman"/>
          <w:sz w:val="16"/>
          <w:szCs w:val="16"/>
          <w:color w:val="auto"/>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 •Investment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spacing w:after="0" w:line="3" w:lineRule="exact"/>
        <w:rPr>
          <w:sz w:val="20"/>
          <w:szCs w:val="20"/>
          <w:color w:val="auto"/>
        </w:rPr>
      </w:pPr>
    </w:p>
    <w:p>
      <w:pPr>
        <w:ind w:left="480" w:right="200"/>
        <w:spacing w:after="0" w:line="234" w:lineRule="auto"/>
        <w:rPr>
          <w:sz w:val="20"/>
          <w:szCs w:val="20"/>
          <w:color w:val="auto"/>
        </w:rPr>
      </w:pPr>
      <w:r>
        <w:rPr>
          <w:rFonts w:ascii="Times New Roman" w:cs="Times New Roman" w:eastAsia="Times New Roman" w:hAnsi="Times New Roman"/>
          <w:sz w:val="16"/>
          <w:szCs w:val="16"/>
          <w:color w:val="auto"/>
        </w:rPr>
        <w:t>•Investment Rating 4 is used for investments performing materially below expectations and the risk has increased materially since origination. The investment has the potential for some loss of investment return, but we expect no loss of principal.</w:t>
      </w:r>
    </w:p>
    <w:p>
      <w:pPr>
        <w:spacing w:after="0" w:line="1" w:lineRule="exact"/>
        <w:rPr>
          <w:sz w:val="20"/>
          <w:szCs w:val="20"/>
          <w:color w:val="auto"/>
        </w:rPr>
      </w:pPr>
    </w:p>
    <w:p>
      <w:pPr>
        <w:ind w:left="480" w:right="240"/>
        <w:spacing w:after="0" w:line="234" w:lineRule="auto"/>
        <w:rPr>
          <w:sz w:val="20"/>
          <w:szCs w:val="20"/>
          <w:color w:val="auto"/>
        </w:rPr>
      </w:pPr>
      <w:r>
        <w:rPr>
          <w:rFonts w:ascii="Times New Roman" w:cs="Times New Roman" w:eastAsia="Times New Roman" w:hAnsi="Times New Roman"/>
          <w:sz w:val="16"/>
          <w:szCs w:val="16"/>
          <w:color w:val="auto"/>
        </w:rPr>
        <w:t>•Investment Rating 5 is used for investments performing substantially below our expectations and the risks have increased substantially since origination. We expect some loss of principal.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8" w:right="680" w:bottom="1440" w:gutter="0" w:footer="0" w:header="0"/>
        </w:sectPr>
      </w:pPr>
    </w:p>
    <w:bookmarkStart w:id="50" w:name="page51"/>
    <w:bookmarkEnd w:id="50"/>
    <w:p>
      <w:pPr>
        <w:spacing w:after="0" w:line="17" w:lineRule="exact"/>
        <w:rPr>
          <w:sz w:val="20"/>
          <w:szCs w:val="20"/>
          <w:color w:val="auto"/>
        </w:rPr>
      </w:pPr>
    </w:p>
    <w:p>
      <w:pPr>
        <w:ind w:right="100" w:firstLine="444"/>
        <w:spacing w:after="0" w:line="239" w:lineRule="auto"/>
        <w:rPr>
          <w:sz w:val="20"/>
          <w:szCs w:val="20"/>
          <w:color w:val="auto"/>
        </w:rPr>
      </w:pPr>
      <w:r>
        <w:rPr>
          <w:rFonts w:ascii="Times New Roman" w:cs="Times New Roman" w:eastAsia="Times New Roman" w:hAnsi="Times New Roman"/>
          <w:sz w:val="16"/>
          <w:szCs w:val="16"/>
          <w:color w:val="auto"/>
        </w:rPr>
        <w:t>We also have observed, and continue to observe, supply chain disruptions, labor and resource shortages, commodity inflation, elements of financial market instability (including high interest rates), an uncertain economic outlook for the United States (which may include a recession), and elements of geopolitical instability (including the ongoing war in Ukraine and U.S. and China relations and ongoing conflict in the Middle East).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spacing w:after="0" w:line="125" w:lineRule="exact"/>
        <w:rPr>
          <w:sz w:val="20"/>
          <w:szCs w:val="20"/>
          <w:color w:val="auto"/>
        </w:rPr>
      </w:pPr>
    </w:p>
    <w:p>
      <w:pPr>
        <w:ind w:right="140" w:firstLine="444"/>
        <w:spacing w:after="0" w:line="259" w:lineRule="auto"/>
        <w:rPr>
          <w:sz w:val="20"/>
          <w:szCs w:val="20"/>
          <w:color w:val="auto"/>
        </w:rPr>
      </w:pPr>
      <w:r>
        <w:rPr>
          <w:rFonts w:ascii="Times New Roman" w:cs="Times New Roman" w:eastAsia="Times New Roman" w:hAnsi="Times New Roman"/>
          <w:sz w:val="16"/>
          <w:szCs w:val="16"/>
          <w:color w:val="auto"/>
        </w:rPr>
        <w:t>The following table shows the distribution of our investments on the 1 to 5 investment rating scale at fair value and cost as of September 30, 2024 and December 31, 2023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3"/>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3"/>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3"/>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3"/>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4"/>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Rating</w:t>
            </w:r>
          </w:p>
        </w:tc>
        <w:tc>
          <w:tcPr>
            <w:tcW w:w="2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4"/>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shd w:val="clear" w:color="auto" w:fill="CFF0FC"/>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8.5 %</w:t>
            </w:r>
          </w:p>
        </w:tc>
        <w:tc>
          <w:tcPr>
            <w:tcW w:w="32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3"/>
                <w:szCs w:val="13"/>
                <w:color w:val="auto"/>
              </w:rPr>
              <w:t>8.9 %</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3.2 %</w:t>
            </w:r>
          </w:p>
        </w:tc>
      </w:tr>
      <w:tr>
        <w:trPr>
          <w:trHeight w:val="17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320" w:type="dxa"/>
            <w:vAlign w:val="bottom"/>
          </w:tcPr>
          <w:p>
            <w:pPr>
              <w:spacing w:after="0"/>
              <w:rPr>
                <w:sz w:val="15"/>
                <w:szCs w:val="15"/>
                <w:color w:val="auto"/>
              </w:rPr>
            </w:pPr>
          </w:p>
        </w:tc>
      </w:tr>
      <w:tr>
        <w:trPr>
          <w:trHeight w:val="184"/>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110.6</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5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320" w:type="dxa"/>
            <w:vAlign w:val="bottom"/>
            <w:shd w:val="clear" w:color="auto" w:fill="CFF0FC"/>
          </w:tcPr>
          <w:p>
            <w:pPr>
              <w:spacing w:after="0"/>
              <w:rPr>
                <w:sz w:val="16"/>
                <w:szCs w:val="16"/>
                <w:color w:val="auto"/>
              </w:rPr>
            </w:pPr>
          </w:p>
        </w:tc>
      </w:tr>
      <w:tr>
        <w:trPr>
          <w:trHeight w:val="176"/>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320" w:type="dxa"/>
            <w:vAlign w:val="bottom"/>
          </w:tcPr>
          <w:p>
            <w:pPr>
              <w:spacing w:after="0"/>
              <w:rPr>
                <w:sz w:val="15"/>
                <w:szCs w:val="15"/>
                <w:color w:val="auto"/>
              </w:rPr>
            </w:pPr>
          </w:p>
        </w:tc>
      </w:tr>
      <w:tr>
        <w:trPr>
          <w:trHeight w:val="184"/>
        </w:trPr>
        <w:tc>
          <w:tcPr>
            <w:tcW w:w="1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5</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320" w:type="dxa"/>
            <w:vAlign w:val="bottom"/>
            <w:shd w:val="clear" w:color="auto" w:fill="CFF0FC"/>
          </w:tcPr>
          <w:p>
            <w:pPr>
              <w:spacing w:after="0"/>
              <w:rPr>
                <w:sz w:val="16"/>
                <w:szCs w:val="16"/>
                <w:color w:val="auto"/>
              </w:rPr>
            </w:pPr>
          </w:p>
        </w:tc>
      </w:tr>
      <w:tr>
        <w:trPr>
          <w:trHeight w:val="180"/>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ind w:right="42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957.9</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1"/>
                <w:szCs w:val="11"/>
                <w:color w:val="auto"/>
              </w:rPr>
              <w:t xml:space="preserve">100.0 </w:t>
            </w:r>
            <w:r>
              <w:rPr>
                <w:rFonts w:ascii="Times New Roman" w:cs="Times New Roman" w:eastAsia="Times New Roman" w:hAnsi="Times New Roman"/>
                <w:sz w:val="20"/>
                <w:szCs w:val="20"/>
                <w:color w:val="auto"/>
                <w:vertAlign w:val="subscript"/>
              </w:rPr>
              <w:t>%</w:t>
            </w:r>
          </w:p>
        </w:tc>
      </w:tr>
      <w:tr>
        <w:trPr>
          <w:trHeight w:val="20"/>
        </w:trPr>
        <w:tc>
          <w:tcPr>
            <w:tcW w:w="1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31" w:lineRule="exact"/>
        <w:rPr>
          <w:sz w:val="20"/>
          <w:szCs w:val="20"/>
          <w:color w:val="auto"/>
        </w:rPr>
      </w:pPr>
    </w:p>
    <w:p>
      <w:pPr>
        <w:ind w:right="760" w:firstLine="444"/>
        <w:spacing w:after="0" w:line="259" w:lineRule="auto"/>
        <w:rPr>
          <w:sz w:val="20"/>
          <w:szCs w:val="20"/>
          <w:color w:val="auto"/>
        </w:rPr>
      </w:pPr>
      <w:r>
        <w:rPr>
          <w:rFonts w:ascii="Times New Roman" w:cs="Times New Roman" w:eastAsia="Times New Roman" w:hAnsi="Times New Roman"/>
          <w:sz w:val="16"/>
          <w:szCs w:val="16"/>
          <w:color w:val="auto"/>
        </w:rPr>
        <w:t>Based on our investment rating system, the weighted average rating of our portfolio as of September 30, 2024 and December 31, 2023 was 2.0 and 2.0, respectively, on a fair value basis and 2.2 and 2.2, respectively, on a cost basis.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Non-Accrual</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September 30, 2024 and December 31, 2023, we had debt investments in three portfolio companies on non-accrual status (dollars in millions),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4"/>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5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220" w:type="dxa"/>
            <w:vAlign w:val="bottom"/>
          </w:tcPr>
          <w:p>
            <w:pPr>
              <w:spacing w:after="0"/>
              <w:rPr>
                <w:sz w:val="15"/>
                <w:szCs w:val="15"/>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Cost</w:t>
            </w:r>
          </w:p>
        </w:tc>
      </w:tr>
      <w:tr>
        <w:trPr>
          <w:trHeight w:val="184"/>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GreenFiber, LLC</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44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40" w:type="dxa"/>
            <w:vAlign w:val="bottom"/>
          </w:tcPr>
          <w:p>
            <w:pPr>
              <w:spacing w:after="0"/>
              <w:rPr>
                <w:sz w:val="16"/>
                <w:szCs w:val="16"/>
                <w:color w:val="auto"/>
              </w:rPr>
            </w:pPr>
          </w:p>
        </w:tc>
      </w:tr>
      <w:tr>
        <w:trPr>
          <w:trHeight w:val="18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Suited Connector LLC</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40" w:type="dxa"/>
            <w:vAlign w:val="bottom"/>
            <w:shd w:val="clear" w:color="auto" w:fill="CCEEFF"/>
          </w:tcPr>
          <w:p>
            <w:pPr>
              <w:spacing w:after="0"/>
              <w:rPr>
                <w:sz w:val="16"/>
                <w:szCs w:val="16"/>
                <w:color w:val="auto"/>
              </w:rPr>
            </w:pPr>
          </w:p>
        </w:tc>
      </w:tr>
      <w:tr>
        <w:trPr>
          <w:trHeight w:val="176"/>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Virtex Enterprises, LP</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40" w:type="dxa"/>
            <w:vAlign w:val="bottom"/>
          </w:tcPr>
          <w:p>
            <w:pPr>
              <w:spacing w:after="0"/>
              <w:rPr>
                <w:sz w:val="15"/>
                <w:szCs w:val="15"/>
                <w:color w:val="auto"/>
              </w:rPr>
            </w:pPr>
          </w:p>
        </w:tc>
      </w:tr>
      <w:tr>
        <w:trPr>
          <w:trHeight w:val="22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240" w:type="dxa"/>
            <w:vAlign w:val="bottom"/>
            <w:tcBorders>
              <w:bottom w:val="single" w:sz="8" w:color="CCEEFF"/>
            </w:tcBorders>
            <w:shd w:val="clear" w:color="auto" w:fill="CCEEFF"/>
          </w:tcPr>
          <w:p>
            <w:pPr>
              <w:spacing w:after="0"/>
              <w:rPr>
                <w:sz w:val="19"/>
                <w:szCs w:val="19"/>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Discussion and Analysis of Results of Operations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three and nine months ended September 30, 2024 and 2023</w:t>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Investment Income</w:t>
      </w:r>
    </w:p>
    <w:p>
      <w:pPr>
        <w:spacing w:after="0" w:line="142" w:lineRule="exact"/>
        <w:rPr>
          <w:sz w:val="20"/>
          <w:szCs w:val="20"/>
          <w:color w:val="auto"/>
        </w:rPr>
      </w:pPr>
    </w:p>
    <w:p>
      <w:pPr>
        <w:jc w:val="both"/>
        <w:ind w:right="80" w:firstLine="444"/>
        <w:spacing w:after="0" w:line="259" w:lineRule="auto"/>
        <w:rPr>
          <w:sz w:val="20"/>
          <w:szCs w:val="20"/>
          <w:color w:val="auto"/>
        </w:rPr>
      </w:pPr>
      <w:r>
        <w:rPr>
          <w:rFonts w:ascii="Times New Roman" w:cs="Times New Roman" w:eastAsia="Times New Roman" w:hAnsi="Times New Roman"/>
          <w:sz w:val="16"/>
          <w:szCs w:val="16"/>
          <w:color w:val="auto"/>
        </w:rPr>
        <w:t>Below is a summary of the changes in total investment income for the three months ended September 30, 2024 as compared to the same period in 2023 (dollars in millions, percent change calculated based on underlying dollar amounts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2520" w:type="dxa"/>
            <w:vAlign w:val="bottom"/>
            <w:gridSpan w:val="5"/>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 xml:space="preserve">% Change </w:t>
            </w:r>
            <w:r>
              <w:rPr>
                <w:rFonts w:ascii="Times New Roman" w:cs="Times New Roman" w:eastAsia="Times New Roman" w:hAnsi="Times New Roman"/>
                <w:sz w:val="16"/>
                <w:szCs w:val="16"/>
                <w:b w:val="1"/>
                <w:bCs w:val="1"/>
                <w:color w:val="auto"/>
                <w:vertAlign w:val="superscript"/>
              </w:rPr>
              <w:t>(1)(2)</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80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Payment-in-kind interest income</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(33.6 %)</w:t>
            </w: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 income</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428.2 %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 income</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00" w:type="dxa"/>
            <w:vAlign w:val="bottom"/>
          </w:tcPr>
          <w:p>
            <w:pPr>
              <w:spacing w:after="0"/>
              <w:rPr>
                <w:sz w:val="15"/>
                <w:szCs w:val="15"/>
                <w:color w:val="auto"/>
              </w:rPr>
            </w:pP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19.4 %</w:t>
            </w: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on idle funds and other income</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NM</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 income</w:t>
            </w:r>
          </w:p>
        </w:tc>
        <w:tc>
          <w:tcPr>
            <w:tcW w:w="800" w:type="dxa"/>
            <w:vAlign w:val="bottom"/>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0" w:type="dxa"/>
            <w:vAlign w:val="bottom"/>
          </w:tcPr>
          <w:p>
            <w:pPr>
              <w:spacing w:after="0"/>
              <w:rPr>
                <w:sz w:val="15"/>
                <w:szCs w:val="15"/>
                <w:color w:val="auto"/>
              </w:rPr>
            </w:pPr>
          </w:p>
        </w:tc>
        <w:tc>
          <w:tcPr>
            <w:tcW w:w="172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1"/>
                <w:szCs w:val="11"/>
                <w:color w:val="auto"/>
              </w:rPr>
              <w:t xml:space="preserve">12.3 </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hanging="194"/>
        <w:spacing w:after="0"/>
        <w:tabs>
          <w:tab w:leader="none" w:pos="2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NM = Not meaningful</w:t>
      </w:r>
    </w:p>
    <w:p>
      <w:pPr>
        <w:spacing w:after="0" w:line="20" w:lineRule="exact"/>
        <w:rPr>
          <w:rFonts w:ascii="Times New Roman" w:cs="Times New Roman" w:eastAsia="Times New Roman" w:hAnsi="Times New Roman"/>
          <w:sz w:val="13"/>
          <w:szCs w:val="13"/>
          <w:color w:val="auto"/>
        </w:rPr>
      </w:pPr>
    </w:p>
    <w:p>
      <w:pPr>
        <w:ind w:left="200" w:hanging="194"/>
        <w:spacing w:after="0"/>
        <w:tabs>
          <w:tab w:leader="none" w:pos="2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 change calculated based on underlying dollar amounts in thousands as presented on the consolidated statements of operations.</w:t>
      </w:r>
    </w:p>
    <w:p>
      <w:pPr>
        <w:spacing w:after="0" w:line="135" w:lineRule="exact"/>
        <w:rPr>
          <w:sz w:val="20"/>
          <w:szCs w:val="20"/>
          <w:color w:val="auto"/>
        </w:rPr>
      </w:pPr>
    </w:p>
    <w:p>
      <w:pPr>
        <w:ind w:right="120" w:firstLine="444"/>
        <w:spacing w:after="0" w:line="259" w:lineRule="auto"/>
        <w:rPr>
          <w:sz w:val="20"/>
          <w:szCs w:val="20"/>
          <w:color w:val="auto"/>
        </w:rPr>
      </w:pPr>
      <w:r>
        <w:rPr>
          <w:rFonts w:ascii="Times New Roman" w:cs="Times New Roman" w:eastAsia="Times New Roman" w:hAnsi="Times New Roman"/>
          <w:sz w:val="16"/>
          <w:szCs w:val="16"/>
          <w:color w:val="auto"/>
        </w:rPr>
        <w:t>For the three months ended September 30, 2024, total investment income was $ 38.4 million, an increase of $4.2 million or 12.3%, from the $34.2 million of total investment income for the three months ended September 30, 2023. As reflected in the table above, the increase is primarily attributable to the following:</w:t>
      </w:r>
    </w:p>
    <w:p>
      <w:pPr>
        <w:spacing w:after="0" w:line="107" w:lineRule="exact"/>
        <w:rPr>
          <w:sz w:val="20"/>
          <w:szCs w:val="20"/>
          <w:color w:val="auto"/>
        </w:rPr>
      </w:pPr>
    </w:p>
    <w:p>
      <w:pPr>
        <w:ind w:left="700" w:right="220"/>
        <w:spacing w:after="0" w:line="242" w:lineRule="auto"/>
        <w:rPr>
          <w:sz w:val="20"/>
          <w:szCs w:val="20"/>
          <w:color w:val="auto"/>
        </w:rPr>
      </w:pPr>
      <w:r>
        <w:rPr>
          <w:rFonts w:ascii="Times New Roman" w:cs="Times New Roman" w:eastAsia="Times New Roman" w:hAnsi="Times New Roman"/>
          <w:sz w:val="16"/>
          <w:szCs w:val="16"/>
          <w:color w:val="auto"/>
        </w:rPr>
        <w:t>•$2.6 million increase in total interest income (which includes payment -in-kind ("PIK") interest income) resulting from an increase in average debt investment balances, partially offset by a decrease in weighted average yield on debt investment balances outstanding during 2024 as compared to the same period in 2023.</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660" w:top="1440" w:right="600" w:bottom="1440" w:gutter="0" w:footer="0" w:header="0"/>
        </w:sectPr>
      </w:pPr>
    </w:p>
    <w:bookmarkStart w:id="51" w:name="page52"/>
    <w:bookmarkEnd w:id="51"/>
    <w:p>
      <w:pPr>
        <w:spacing w:after="0" w:line="17" w:lineRule="exact"/>
        <w:rPr>
          <w:sz w:val="20"/>
          <w:szCs w:val="20"/>
          <w:color w:val="auto"/>
        </w:rPr>
      </w:pPr>
    </w:p>
    <w:p>
      <w:pPr>
        <w:ind w:left="700" w:right="220"/>
        <w:spacing w:after="0" w:line="259" w:lineRule="auto"/>
        <w:rPr>
          <w:sz w:val="20"/>
          <w:szCs w:val="20"/>
          <w:color w:val="auto"/>
        </w:rPr>
      </w:pPr>
      <w:r>
        <w:rPr>
          <w:rFonts w:ascii="Times New Roman" w:cs="Times New Roman" w:eastAsia="Times New Roman" w:hAnsi="Times New Roman"/>
          <w:sz w:val="16"/>
          <w:szCs w:val="16"/>
          <w:color w:val="auto"/>
        </w:rPr>
        <w:t>•$ 1.1 million increase in dividend income due to an increase in distributions received from equity investments, during 2024 as compared to the same period in 2023.</w:t>
      </w:r>
    </w:p>
    <w:p>
      <w:pPr>
        <w:spacing w:after="0" w:line="1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•$0.5 million increase in fee income resulting from an increase in amendment during 2024 as compared to the same period in 2023.</w:t>
      </w:r>
    </w:p>
    <w:p>
      <w:pPr>
        <w:spacing w:after="0" w:line="140" w:lineRule="exact"/>
        <w:rPr>
          <w:sz w:val="20"/>
          <w:szCs w:val="20"/>
          <w:color w:val="auto"/>
        </w:rPr>
      </w:pPr>
    </w:p>
    <w:p>
      <w:pPr>
        <w:ind w:right="120" w:firstLine="444"/>
        <w:spacing w:after="0" w:line="244" w:lineRule="auto"/>
        <w:rPr>
          <w:sz w:val="20"/>
          <w:szCs w:val="20"/>
          <w:color w:val="auto"/>
        </w:rPr>
      </w:pPr>
      <w:r>
        <w:rPr>
          <w:rFonts w:ascii="Times New Roman" w:cs="Times New Roman" w:eastAsia="Times New Roman" w:hAnsi="Times New Roman"/>
          <w:sz w:val="16"/>
          <w:szCs w:val="16"/>
          <w:color w:val="auto"/>
        </w:rPr>
        <w:t>Below is a summary of the changes in total investment income for the nine months ended September 30, 2024 as compared to the same period in 2023 (dollars in millions):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NM = Not meaningful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22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 xml:space="preserve">% Change </w:t>
            </w:r>
            <w:r>
              <w:rPr>
                <w:rFonts w:ascii="Times New Roman" w:cs="Times New Roman" w:eastAsia="Times New Roman" w:hAnsi="Times New Roman"/>
                <w:sz w:val="16"/>
                <w:szCs w:val="16"/>
                <w:b w:val="1"/>
                <w:bCs w:val="1"/>
                <w:color w:val="auto"/>
                <w:vertAlign w:val="superscript"/>
              </w:rPr>
              <w:t>(1)(2)</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20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780" w:type="dxa"/>
            <w:vAlign w:val="bottom"/>
            <w:shd w:val="clear" w:color="auto" w:fill="CFF0FC"/>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112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6"/>
              </w:rPr>
              <w:t>80.4</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Payment-in-kind interest income</w:t>
            </w:r>
          </w:p>
        </w:tc>
        <w:tc>
          <w:tcPr>
            <w:tcW w:w="7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23.3 %</w:t>
            </w: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 income</w:t>
            </w:r>
          </w:p>
        </w:tc>
        <w:tc>
          <w:tcPr>
            <w:tcW w:w="78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125.1 %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 income</w:t>
            </w:r>
          </w:p>
        </w:tc>
        <w:tc>
          <w:tcPr>
            <w:tcW w:w="7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10.9 %</w:t>
            </w:r>
          </w:p>
        </w:tc>
        <w:tc>
          <w:tcPr>
            <w:tcW w:w="0" w:type="dxa"/>
            <w:vAlign w:val="bottom"/>
          </w:tcPr>
          <w:p>
            <w:pPr>
              <w:spacing w:after="0"/>
              <w:rPr>
                <w:sz w:val="1"/>
                <w:szCs w:val="1"/>
                <w:color w:val="auto"/>
              </w:rPr>
            </w:pPr>
          </w:p>
        </w:tc>
      </w:tr>
      <w:tr>
        <w:trPr>
          <w:trHeight w:val="184"/>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on idle funds and other income</w:t>
            </w:r>
          </w:p>
        </w:tc>
        <w:tc>
          <w:tcPr>
            <w:tcW w:w="78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50.1 %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investment income</w:t>
            </w:r>
          </w:p>
        </w:tc>
        <w:tc>
          <w:tcPr>
            <w:tcW w:w="780" w:type="dxa"/>
            <w:vAlign w:val="bottom"/>
          </w:tcPr>
          <w:p>
            <w:pPr>
              <w:jc w:val="right"/>
              <w:ind w:right="63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w:t>
            </w:r>
          </w:p>
        </w:tc>
        <w:tc>
          <w:tcPr>
            <w:tcW w:w="112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93.8</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88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1"/>
                <w:szCs w:val="11"/>
                <w:color w:val="auto"/>
              </w:rPr>
              <w:t xml:space="preserve">15.9 </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 Percent change calculated based on underlying dollar amounts in thousands as presented on the consolidated statements of operations.</w:t>
      </w:r>
    </w:p>
    <w:p>
      <w:pPr>
        <w:spacing w:after="0" w:line="149" w:lineRule="exact"/>
        <w:rPr>
          <w:sz w:val="20"/>
          <w:szCs w:val="20"/>
          <w:color w:val="auto"/>
        </w:rPr>
      </w:pPr>
    </w:p>
    <w:p>
      <w:pPr>
        <w:ind w:right="100" w:firstLine="348"/>
        <w:spacing w:after="0" w:line="259" w:lineRule="auto"/>
        <w:rPr>
          <w:sz w:val="20"/>
          <w:szCs w:val="20"/>
          <w:color w:val="auto"/>
        </w:rPr>
      </w:pPr>
      <w:r>
        <w:rPr>
          <w:rFonts w:ascii="Times New Roman" w:cs="Times New Roman" w:eastAsia="Times New Roman" w:hAnsi="Times New Roman"/>
          <w:sz w:val="16"/>
          <w:szCs w:val="16"/>
          <w:color w:val="auto"/>
        </w:rPr>
        <w:t>For the nine months ended September 30, 2024, total investment income was $108.7 million, an increase of $14.9 million or 15.9%, from the $93.8 million of total investment income for the nine months ended September 30, 2023. As reflected in the table above, the increase is primarily attributable to the following:</w:t>
      </w:r>
    </w:p>
    <w:p>
      <w:pPr>
        <w:spacing w:after="0" w:line="107" w:lineRule="exact"/>
        <w:rPr>
          <w:sz w:val="20"/>
          <w:szCs w:val="20"/>
          <w:color w:val="auto"/>
        </w:rPr>
      </w:pPr>
    </w:p>
    <w:p>
      <w:pPr>
        <w:ind w:left="700" w:right="220"/>
        <w:spacing w:after="0" w:line="247" w:lineRule="auto"/>
        <w:rPr>
          <w:sz w:val="20"/>
          <w:szCs w:val="20"/>
          <w:color w:val="auto"/>
        </w:rPr>
      </w:pPr>
      <w:r>
        <w:rPr>
          <w:rFonts w:ascii="Times New Roman" w:cs="Times New Roman" w:eastAsia="Times New Roman" w:hAnsi="Times New Roman"/>
          <w:sz w:val="16"/>
          <w:szCs w:val="16"/>
          <w:color w:val="auto"/>
        </w:rPr>
        <w:t>•$12.1 million increase in total interest income (which includes a $1.0 million increase in PIK interest income) resulting from an increase in average debt investment balances, partially offset by a decrease in weighted average yield on debt investment balances outstanding during 2024 as compared to the same period in 2023.</w:t>
      </w:r>
    </w:p>
    <w:p>
      <w:pPr>
        <w:spacing w:after="0" w:line="116" w:lineRule="exact"/>
        <w:rPr>
          <w:sz w:val="20"/>
          <w:szCs w:val="20"/>
          <w:color w:val="auto"/>
        </w:rPr>
      </w:pPr>
    </w:p>
    <w:p>
      <w:pPr>
        <w:ind w:left="700" w:right="220"/>
        <w:spacing w:after="0" w:line="259" w:lineRule="auto"/>
        <w:rPr>
          <w:sz w:val="20"/>
          <w:szCs w:val="20"/>
          <w:color w:val="auto"/>
        </w:rPr>
      </w:pPr>
      <w:r>
        <w:rPr>
          <w:rFonts w:ascii="Times New Roman" w:cs="Times New Roman" w:eastAsia="Times New Roman" w:hAnsi="Times New Roman"/>
          <w:sz w:val="16"/>
          <w:szCs w:val="16"/>
          <w:color w:val="auto"/>
        </w:rPr>
        <w:t>•$ 1.1 million increase in dividend income due to an increase in distributions received from equity investments, during 2024 as compared to the same period in 2023.</w:t>
      </w:r>
    </w:p>
    <w:p>
      <w:pPr>
        <w:spacing w:after="0" w:line="107" w:lineRule="exact"/>
        <w:rPr>
          <w:sz w:val="20"/>
          <w:szCs w:val="20"/>
          <w:color w:val="auto"/>
        </w:rPr>
      </w:pPr>
    </w:p>
    <w:p>
      <w:pPr>
        <w:ind w:left="700" w:right="260"/>
        <w:spacing w:after="0" w:line="259" w:lineRule="auto"/>
        <w:rPr>
          <w:sz w:val="20"/>
          <w:szCs w:val="20"/>
          <w:color w:val="auto"/>
        </w:rPr>
      </w:pPr>
      <w:r>
        <w:rPr>
          <w:rFonts w:ascii="Times New Roman" w:cs="Times New Roman" w:eastAsia="Times New Roman" w:hAnsi="Times New Roman"/>
          <w:sz w:val="16"/>
          <w:szCs w:val="16"/>
          <w:color w:val="auto"/>
        </w:rPr>
        <w:t>•$0.7 million increase in fee income resulting from an increase in amendment and origination fees, partially offset by a decrease in prepayment fees during 2024 as compared to the same period in 2023.</w:t>
      </w:r>
    </w:p>
    <w:p>
      <w:pPr>
        <w:spacing w:after="0" w:line="107" w:lineRule="exact"/>
        <w:rPr>
          <w:sz w:val="20"/>
          <w:szCs w:val="20"/>
          <w:color w:val="auto"/>
        </w:rPr>
      </w:pPr>
    </w:p>
    <w:p>
      <w:pPr>
        <w:ind w:left="360" w:right="200" w:firstLine="348"/>
        <w:spacing w:after="0" w:line="422" w:lineRule="auto"/>
        <w:rPr>
          <w:sz w:val="20"/>
          <w:szCs w:val="20"/>
          <w:color w:val="auto"/>
        </w:rPr>
      </w:pPr>
      <w:r>
        <w:rPr>
          <w:rFonts w:ascii="Times New Roman" w:cs="Times New Roman" w:eastAsia="Times New Roman" w:hAnsi="Times New Roman"/>
          <w:sz w:val="16"/>
          <w:szCs w:val="16"/>
          <w:color w:val="auto"/>
        </w:rPr>
        <w:t xml:space="preserve">•$1.0 million increase in interest on idle funds due to an increase in average cash balances outstanding during 2024 as compared to the same period in 2023. </w:t>
      </w:r>
      <w:r>
        <w:rPr>
          <w:rFonts w:ascii="Times New Roman" w:cs="Times New Roman" w:eastAsia="Times New Roman" w:hAnsi="Times New Roman"/>
          <w:sz w:val="16"/>
          <w:szCs w:val="16"/>
          <w:i w:val="1"/>
          <w:iCs w:val="1"/>
          <w:color w:val="auto"/>
        </w:rPr>
        <w:t>Expenses</w:t>
      </w:r>
    </w:p>
    <w:p>
      <w:pPr>
        <w:spacing w:after="0" w:line="1" w:lineRule="exact"/>
        <w:rPr>
          <w:sz w:val="20"/>
          <w:szCs w:val="20"/>
          <w:color w:val="auto"/>
        </w:rPr>
      </w:pPr>
    </w:p>
    <w:p>
      <w:pPr>
        <w:ind w:right="260" w:firstLine="444"/>
        <w:spacing w:after="0" w:line="259" w:lineRule="auto"/>
        <w:rPr>
          <w:sz w:val="20"/>
          <w:szCs w:val="20"/>
          <w:color w:val="auto"/>
        </w:rPr>
      </w:pPr>
      <w:r>
        <w:rPr>
          <w:rFonts w:ascii="Times New Roman" w:cs="Times New Roman" w:eastAsia="Times New Roman" w:hAnsi="Times New Roman"/>
          <w:sz w:val="16"/>
          <w:szCs w:val="16"/>
          <w:color w:val="auto"/>
        </w:rPr>
        <w:t>Below is a summary of the changes in total expenses, including income tax provision, for the three months ended September 30, 2024 as compared to the same period in 2023 (dollars in millions, percent change calculated based on underlying dollar amounts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2740" w:type="dxa"/>
            <w:vAlign w:val="bottom"/>
            <w:gridSpan w:val="6"/>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 xml:space="preserve">% Change </w:t>
            </w:r>
            <w:r>
              <w:rPr>
                <w:rFonts w:ascii="Times New Roman" w:cs="Times New Roman" w:eastAsia="Times New Roman" w:hAnsi="Times New Roman"/>
                <w:sz w:val="16"/>
                <w:szCs w:val="16"/>
                <w:b w:val="1"/>
                <w:bCs w:val="1"/>
                <w:color w:val="auto"/>
                <w:vertAlign w:val="superscript"/>
              </w:rPr>
              <w:t>(1)(2)</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and financing expenses</w:t>
            </w:r>
          </w:p>
        </w:tc>
        <w:tc>
          <w:tcPr>
            <w:tcW w:w="80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NM</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 management fee</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200" w:type="dxa"/>
            <w:vAlign w:val="bottom"/>
          </w:tcPr>
          <w:p>
            <w:pPr>
              <w:spacing w:after="0"/>
              <w:rPr>
                <w:sz w:val="15"/>
                <w:szCs w:val="15"/>
                <w:color w:val="auto"/>
              </w:rPr>
            </w:pPr>
          </w:p>
        </w:tc>
        <w:tc>
          <w:tcPr>
            <w:tcW w:w="17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16.5 %</w:t>
            </w: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Incentive fee - income</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 (reversal) - capital gains</w:t>
            </w:r>
          </w:p>
        </w:tc>
        <w:tc>
          <w:tcPr>
            <w:tcW w:w="80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(1.0 )</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(2.5 )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(164.6 %)</w:t>
            </w:r>
          </w:p>
        </w:tc>
        <w:tc>
          <w:tcPr>
            <w:tcW w:w="0" w:type="dxa"/>
            <w:vAlign w:val="bottom"/>
          </w:tcPr>
          <w:p>
            <w:pPr>
              <w:spacing w:after="0"/>
              <w:rPr>
                <w:sz w:val="1"/>
                <w:szCs w:val="1"/>
                <w:color w:val="auto"/>
              </w:rPr>
            </w:pPr>
          </w:p>
        </w:tc>
      </w:tr>
      <w:tr>
        <w:trPr>
          <w:trHeight w:val="23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Administrative service expenses</w:t>
            </w: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Professional fees</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general and administrative expenses</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NM</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expenses, before base management fee waiver</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(6.4 %)</w:t>
            </w: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Base management fee waiver</w:t>
            </w:r>
          </w:p>
        </w:tc>
        <w:tc>
          <w:tcPr>
            <w:tcW w:w="8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(0.1 )</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(0.1 )</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NM</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expenses, before income tax provision</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(1.1 )</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(6.4 %)</w:t>
            </w: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provision (benefit)</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NM</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expenses, including income tax provision</w:t>
            </w:r>
          </w:p>
        </w:tc>
        <w:tc>
          <w:tcPr>
            <w:tcW w:w="800" w:type="dxa"/>
            <w:vAlign w:val="bottom"/>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24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2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1"/>
                <w:szCs w:val="11"/>
                <w:color w:val="auto"/>
              </w:rPr>
              <w:t xml:space="preserve">(0.5 </w:t>
            </w:r>
            <w:r>
              <w:rPr>
                <w:rFonts w:ascii="Times New Roman" w:cs="Times New Roman" w:eastAsia="Times New Roman" w:hAnsi="Times New Roman"/>
                <w:sz w:val="20"/>
                <w:szCs w:val="20"/>
                <w:color w:val="auto"/>
                <w:vertAlign w:val="subscript"/>
              </w:rPr>
              <w:t>)</w:t>
            </w:r>
          </w:p>
        </w:tc>
        <w:tc>
          <w:tcPr>
            <w:tcW w:w="172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1"/>
                <w:szCs w:val="11"/>
                <w:color w:val="auto"/>
              </w:rPr>
              <w:t xml:space="preserve">(3.2 </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00" w:hanging="194"/>
        <w:spacing w:after="0"/>
        <w:tabs>
          <w:tab w:leader="none" w:pos="2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NM = Not meaningful</w:t>
      </w:r>
    </w:p>
    <w:p>
      <w:pPr>
        <w:spacing w:after="0" w:line="20" w:lineRule="exact"/>
        <w:rPr>
          <w:rFonts w:ascii="Times New Roman" w:cs="Times New Roman" w:eastAsia="Times New Roman" w:hAnsi="Times New Roman"/>
          <w:sz w:val="13"/>
          <w:szCs w:val="13"/>
          <w:color w:val="auto"/>
        </w:rPr>
      </w:pPr>
    </w:p>
    <w:p>
      <w:pPr>
        <w:ind w:left="200" w:hanging="194"/>
        <w:spacing w:after="0"/>
        <w:tabs>
          <w:tab w:leader="none" w:pos="2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 change calculated based on underlying dollar amounts in thousands as presented on the consolidated statements of operations.</w:t>
      </w:r>
    </w:p>
    <w:p>
      <w:pPr>
        <w:spacing w:after="0" w:line="135" w:lineRule="exact"/>
        <w:rPr>
          <w:sz w:val="20"/>
          <w:szCs w:val="20"/>
          <w:color w:val="auto"/>
        </w:rPr>
      </w:pPr>
    </w:p>
    <w:p>
      <w:pPr>
        <w:ind w:right="240" w:firstLine="444"/>
        <w:spacing w:after="0" w:line="247" w:lineRule="auto"/>
        <w:rPr>
          <w:sz w:val="20"/>
          <w:szCs w:val="20"/>
          <w:color w:val="auto"/>
        </w:rPr>
      </w:pPr>
      <w:r>
        <w:rPr>
          <w:rFonts w:ascii="Times New Roman" w:cs="Times New Roman" w:eastAsia="Times New Roman" w:hAnsi="Times New Roman"/>
          <w:sz w:val="16"/>
          <w:szCs w:val="16"/>
          <w:color w:val="auto"/>
        </w:rPr>
        <w:t>For the three months ended September 30, 2024, total expenses, including income tax provision, were $17.0 million, a decrease of $0.5 million or (3.2%), from the $17.5 million of total expenses for the three months ended September 30, 2023. As reflected in the table above, changes across the periods were primarily attributable to the following:</w:t>
      </w:r>
    </w:p>
    <w:p>
      <w:pPr>
        <w:spacing w:after="0" w:line="116" w:lineRule="exact"/>
        <w:rPr>
          <w:sz w:val="20"/>
          <w:szCs w:val="20"/>
          <w:color w:val="auto"/>
        </w:rPr>
      </w:pPr>
    </w:p>
    <w:p>
      <w:pPr>
        <w:ind w:left="780" w:right="40"/>
        <w:spacing w:after="0" w:line="246" w:lineRule="auto"/>
        <w:rPr>
          <w:sz w:val="20"/>
          <w:szCs w:val="20"/>
          <w:color w:val="auto"/>
        </w:rPr>
      </w:pPr>
      <w:r>
        <w:rPr>
          <w:rFonts w:ascii="Times New Roman" w:cs="Times New Roman" w:eastAsia="Times New Roman" w:hAnsi="Times New Roman"/>
          <w:sz w:val="16"/>
          <w:szCs w:val="16"/>
          <w:color w:val="auto"/>
        </w:rPr>
        <w:t>•$0.7 million net increase in base management fee, including the base management fee waiver, due to higher average total assets during 2024 as compared to the same period in 2023.</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660" w:top="1440" w:right="600" w:bottom="1440" w:gutter="0" w:footer="0" w:header="0"/>
        </w:sectPr>
      </w:pPr>
    </w:p>
    <w:bookmarkStart w:id="52" w:name="page53"/>
    <w:bookmarkEnd w:id="52"/>
    <w:p>
      <w:pPr>
        <w:spacing w:after="0" w:line="17" w:lineRule="exact"/>
        <w:rPr>
          <w:sz w:val="20"/>
          <w:szCs w:val="20"/>
          <w:color w:val="auto"/>
        </w:rPr>
      </w:pPr>
    </w:p>
    <w:p>
      <w:pPr>
        <w:ind w:left="780" w:right="40"/>
        <w:spacing w:after="0" w:line="259" w:lineRule="auto"/>
        <w:rPr>
          <w:sz w:val="20"/>
          <w:szCs w:val="20"/>
          <w:color w:val="auto"/>
        </w:rPr>
      </w:pPr>
      <w:r>
        <w:rPr>
          <w:rFonts w:ascii="Times New Roman" w:cs="Times New Roman" w:eastAsia="Times New Roman" w:hAnsi="Times New Roman"/>
          <w:sz w:val="16"/>
          <w:szCs w:val="16"/>
          <w:color w:val="auto"/>
        </w:rPr>
        <w:t>•$ 0.6 million increase in the income incentive fee due to an increase in pre-incentive fee net investment income during 2024 as compared to the same period in 2023.</w:t>
      </w:r>
    </w:p>
    <w:p>
      <w:pPr>
        <w:spacing w:after="0" w:line="107" w:lineRule="exact"/>
        <w:rPr>
          <w:sz w:val="20"/>
          <w:szCs w:val="20"/>
          <w:color w:val="auto"/>
        </w:rPr>
      </w:pPr>
    </w:p>
    <w:p>
      <w:pPr>
        <w:ind w:left="780" w:right="540"/>
        <w:spacing w:after="0" w:line="259" w:lineRule="auto"/>
        <w:rPr>
          <w:sz w:val="20"/>
          <w:szCs w:val="20"/>
          <w:color w:val="auto"/>
        </w:rPr>
      </w:pPr>
      <w:r>
        <w:rPr>
          <w:rFonts w:ascii="Times New Roman" w:cs="Times New Roman" w:eastAsia="Times New Roman" w:hAnsi="Times New Roman"/>
          <w:sz w:val="16"/>
          <w:szCs w:val="16"/>
          <w:color w:val="auto"/>
        </w:rPr>
        <w:t>•$2.5 million decrease in the accrued capital gains incentive fee due to a net $12.6 million decrease in net gain on investments and realized losses on extinguishment of debt during 2024 as compared to the same period in 2023.</w:t>
      </w:r>
    </w:p>
    <w:p>
      <w:pPr>
        <w:spacing w:after="0" w:line="107" w:lineRule="exact"/>
        <w:rPr>
          <w:sz w:val="20"/>
          <w:szCs w:val="20"/>
          <w:color w:val="auto"/>
        </w:rPr>
      </w:pPr>
    </w:p>
    <w:p>
      <w:pPr>
        <w:ind w:left="780" w:right="80"/>
        <w:spacing w:after="0" w:line="259" w:lineRule="auto"/>
        <w:rPr>
          <w:sz w:val="20"/>
          <w:szCs w:val="20"/>
          <w:color w:val="auto"/>
        </w:rPr>
      </w:pPr>
      <w:r>
        <w:rPr>
          <w:rFonts w:ascii="Times New Roman" w:cs="Times New Roman" w:eastAsia="Times New Roman" w:hAnsi="Times New Roman"/>
          <w:sz w:val="16"/>
          <w:szCs w:val="16"/>
          <w:color w:val="auto"/>
        </w:rPr>
        <w:t>•$0.6 million increase in the income tax provision (benefit) due to an increase in taxable income at the Taxable Subsidiaries during 2024 as compared to the same period in 2023.</w:t>
      </w:r>
    </w:p>
    <w:p>
      <w:pPr>
        <w:spacing w:after="0" w:line="107" w:lineRule="exact"/>
        <w:rPr>
          <w:sz w:val="20"/>
          <w:szCs w:val="20"/>
          <w:color w:val="auto"/>
        </w:rPr>
      </w:pPr>
    </w:p>
    <w:p>
      <w:pPr>
        <w:ind w:right="260" w:firstLine="444"/>
        <w:spacing w:after="0" w:line="257" w:lineRule="auto"/>
        <w:rPr>
          <w:sz w:val="20"/>
          <w:szCs w:val="20"/>
          <w:color w:val="auto"/>
        </w:rPr>
      </w:pPr>
      <w:r>
        <w:rPr>
          <w:rFonts w:ascii="Times New Roman" w:cs="Times New Roman" w:eastAsia="Times New Roman" w:hAnsi="Times New Roman"/>
          <w:sz w:val="16"/>
          <w:szCs w:val="16"/>
          <w:color w:val="auto"/>
        </w:rPr>
        <w:t>Below is a summary of the changes in total expenses, including income tax provision, for the nine months ended September 30, 2024 as compared to the same period in 2023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 xml:space="preserve">% Change </w:t>
            </w:r>
            <w:r>
              <w:rPr>
                <w:rFonts w:ascii="Times New Roman" w:cs="Times New Roman" w:eastAsia="Times New Roman" w:hAnsi="Times New Roman"/>
                <w:sz w:val="16"/>
                <w:szCs w:val="16"/>
                <w:b w:val="1"/>
                <w:bCs w:val="1"/>
                <w:color w:val="auto"/>
                <w:vertAlign w:val="superscript"/>
              </w:rPr>
              <w:t>(1)(2)</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0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and financing expenses</w:t>
            </w:r>
          </w:p>
        </w:tc>
        <w:tc>
          <w:tcPr>
            <w:tcW w:w="80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16.8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Base management fee</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12.1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15.9 %</w:t>
            </w: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Incentive fee - income</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12.0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Incentive fee - capital gains</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85.8 %</w:t>
            </w: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Administrative service expenses</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Professional fees</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20.8 %</w:t>
            </w: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general and administrative expenses</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expenses, before base management fee waiver</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45.8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14.1 %</w:t>
            </w: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Base management fee waiver</w:t>
            </w:r>
          </w:p>
        </w:tc>
        <w:tc>
          <w:tcPr>
            <w:tcW w:w="8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(0.2 )</w:t>
            </w:r>
          </w:p>
        </w:tc>
        <w:tc>
          <w:tcPr>
            <w:tcW w:w="8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(0.2 )</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expenses, before income tax provision</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45.6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14.2 %</w:t>
            </w:r>
          </w:p>
        </w:tc>
        <w:tc>
          <w:tcPr>
            <w:tcW w:w="0" w:type="dxa"/>
            <w:vAlign w:val="bottom"/>
          </w:tcPr>
          <w:p>
            <w:pPr>
              <w:spacing w:after="0"/>
              <w:rPr>
                <w:sz w:val="1"/>
                <w:szCs w:val="1"/>
                <w:color w:val="auto"/>
              </w:rPr>
            </w:pPr>
          </w:p>
        </w:tc>
      </w:tr>
      <w:tr>
        <w:trPr>
          <w:trHeight w:val="18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provision (benefit)</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2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NM</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expenses, including income tax provision</w:t>
            </w:r>
          </w:p>
        </w:tc>
        <w:tc>
          <w:tcPr>
            <w:tcW w:w="800" w:type="dxa"/>
            <w:vAlign w:val="bottom"/>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240" w:type="dxa"/>
            <w:vAlign w:val="bottom"/>
          </w:tcPr>
          <w:p>
            <w:pPr>
              <w:spacing w:after="0"/>
              <w:rPr>
                <w:sz w:val="15"/>
                <w:szCs w:val="15"/>
                <w:color w:val="auto"/>
              </w:rPr>
            </w:pP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45.6</w:t>
            </w:r>
          </w:p>
        </w:tc>
        <w:tc>
          <w:tcPr>
            <w:tcW w:w="22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88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1"/>
                <w:szCs w:val="11"/>
                <w:color w:val="auto"/>
              </w:rPr>
              <w:t xml:space="preserve">15.5 </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hanging="194"/>
        <w:spacing w:after="0"/>
        <w:tabs>
          <w:tab w:leader="none" w:pos="2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NM = Not meaningful</w:t>
      </w:r>
    </w:p>
    <w:p>
      <w:pPr>
        <w:spacing w:after="0" w:line="18" w:lineRule="exact"/>
        <w:rPr>
          <w:rFonts w:ascii="Times New Roman" w:cs="Times New Roman" w:eastAsia="Times New Roman" w:hAnsi="Times New Roman"/>
          <w:sz w:val="13"/>
          <w:szCs w:val="13"/>
          <w:color w:val="auto"/>
        </w:rPr>
      </w:pPr>
    </w:p>
    <w:p>
      <w:pPr>
        <w:ind w:left="200" w:hanging="194"/>
        <w:spacing w:after="0"/>
        <w:tabs>
          <w:tab w:leader="none" w:pos="2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Percent change calculated based on underlying dollar amounts in thousands as presented on the consolidated statements of operations.</w:t>
      </w:r>
    </w:p>
    <w:p>
      <w:pPr>
        <w:spacing w:after="0" w:line="149" w:lineRule="exact"/>
        <w:rPr>
          <w:sz w:val="20"/>
          <w:szCs w:val="20"/>
          <w:color w:val="auto"/>
        </w:rPr>
      </w:pPr>
    </w:p>
    <w:p>
      <w:pPr>
        <w:ind w:right="120" w:firstLine="444"/>
        <w:spacing w:after="0" w:line="247" w:lineRule="auto"/>
        <w:rPr>
          <w:sz w:val="20"/>
          <w:szCs w:val="20"/>
          <w:color w:val="auto"/>
        </w:rPr>
      </w:pPr>
      <w:r>
        <w:rPr>
          <w:rFonts w:ascii="Times New Roman" w:cs="Times New Roman" w:eastAsia="Times New Roman" w:hAnsi="Times New Roman"/>
          <w:sz w:val="16"/>
          <w:szCs w:val="16"/>
          <w:color w:val="auto"/>
        </w:rPr>
        <w:t>For the nine months ended September 30, 2024, total expenses, including income tax provision, were $52.7 million, an increase of $7.1 million or 15.5%, from the $45.6 million of total expenses for the nine months ended September 30, 2023. As reflected in the table above, changes across periods were primarily attributable to the following:</w:t>
      </w:r>
    </w:p>
    <w:p>
      <w:pPr>
        <w:spacing w:after="0" w:line="116" w:lineRule="exact"/>
        <w:rPr>
          <w:sz w:val="20"/>
          <w:szCs w:val="20"/>
          <w:color w:val="auto"/>
        </w:rPr>
      </w:pPr>
    </w:p>
    <w:p>
      <w:pPr>
        <w:ind w:left="780" w:right="180"/>
        <w:spacing w:after="0" w:line="259" w:lineRule="auto"/>
        <w:rPr>
          <w:sz w:val="20"/>
          <w:szCs w:val="20"/>
          <w:color w:val="auto"/>
        </w:rPr>
      </w:pPr>
      <w:r>
        <w:rPr>
          <w:rFonts w:ascii="Times New Roman" w:cs="Times New Roman" w:eastAsia="Times New Roman" w:hAnsi="Times New Roman"/>
          <w:sz w:val="16"/>
          <w:szCs w:val="16"/>
          <w:color w:val="auto"/>
        </w:rPr>
        <w:t>•$1.3 million increase in interest and financing expenses due to an increase in the weighted average interest rate of our debt outstanding and an increase in average borrowings outstanding during 2024 as compared to 2023.</w:t>
      </w:r>
    </w:p>
    <w:p>
      <w:pPr>
        <w:spacing w:after="0" w:line="107" w:lineRule="exact"/>
        <w:rPr>
          <w:sz w:val="20"/>
          <w:szCs w:val="20"/>
          <w:color w:val="auto"/>
        </w:rPr>
      </w:pPr>
    </w:p>
    <w:p>
      <w:pPr>
        <w:ind w:left="780"/>
        <w:spacing w:after="0" w:line="259" w:lineRule="auto"/>
        <w:rPr>
          <w:sz w:val="20"/>
          <w:szCs w:val="20"/>
          <w:color w:val="auto"/>
        </w:rPr>
      </w:pPr>
      <w:r>
        <w:rPr>
          <w:rFonts w:ascii="Times New Roman" w:cs="Times New Roman" w:eastAsia="Times New Roman" w:hAnsi="Times New Roman"/>
          <w:sz w:val="16"/>
          <w:szCs w:val="16"/>
          <w:color w:val="auto"/>
        </w:rPr>
        <w:t>•$1.9 million net increase in base management fee, including the base management fee waiver, due to higher average total assets during 2024 as compared to 2023.</w:t>
      </w:r>
    </w:p>
    <w:p>
      <w:pPr>
        <w:spacing w:after="0" w:line="107" w:lineRule="exact"/>
        <w:rPr>
          <w:sz w:val="20"/>
          <w:szCs w:val="20"/>
          <w:color w:val="auto"/>
        </w:rPr>
      </w:pPr>
    </w:p>
    <w:p>
      <w:pPr>
        <w:ind w:left="780" w:right="260"/>
        <w:spacing w:after="0" w:line="259" w:lineRule="auto"/>
        <w:rPr>
          <w:sz w:val="20"/>
          <w:szCs w:val="20"/>
          <w:color w:val="auto"/>
        </w:rPr>
      </w:pPr>
      <w:r>
        <w:rPr>
          <w:rFonts w:ascii="Times New Roman" w:cs="Times New Roman" w:eastAsia="Times New Roman" w:hAnsi="Times New Roman"/>
          <w:sz w:val="16"/>
          <w:szCs w:val="16"/>
          <w:color w:val="auto"/>
        </w:rPr>
        <w:t>•$2.1 million net increase in the income incentive fee due to an increase in pre-incentive fee net investment income during 2024 as compared to the same period in 2023.</w:t>
      </w:r>
    </w:p>
    <w:p>
      <w:pPr>
        <w:spacing w:after="0" w:line="107" w:lineRule="exact"/>
        <w:rPr>
          <w:sz w:val="20"/>
          <w:szCs w:val="20"/>
          <w:color w:val="auto"/>
        </w:rPr>
      </w:pPr>
    </w:p>
    <w:p>
      <w:pPr>
        <w:ind w:left="780" w:right="680"/>
        <w:spacing w:after="0" w:line="259" w:lineRule="auto"/>
        <w:rPr>
          <w:sz w:val="20"/>
          <w:szCs w:val="20"/>
          <w:color w:val="auto"/>
        </w:rPr>
      </w:pPr>
      <w:r>
        <w:rPr>
          <w:rFonts w:ascii="Times New Roman" w:cs="Times New Roman" w:eastAsia="Times New Roman" w:hAnsi="Times New Roman"/>
          <w:sz w:val="16"/>
          <w:szCs w:val="16"/>
          <w:color w:val="auto"/>
        </w:rPr>
        <w:t>•$0.4 million increase in the accrued capital gains incentive fee due to a net $2.2 million increase in net gain on investments and realized losses on extinguishment of debt during 2024 as compared to the same period in 2023.</w:t>
      </w:r>
    </w:p>
    <w:p>
      <w:pPr>
        <w:spacing w:after="0" w:line="10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•$0.5 million increase in professional fees due to increased legal, audit and tax compliance costs during 2024 as compared to 2023.</w:t>
      </w:r>
    </w:p>
    <w:p>
      <w:pPr>
        <w:spacing w:after="0" w:line="140" w:lineRule="exact"/>
        <w:rPr>
          <w:sz w:val="20"/>
          <w:szCs w:val="20"/>
          <w:color w:val="auto"/>
        </w:rPr>
      </w:pPr>
    </w:p>
    <w:p>
      <w:pPr>
        <w:ind w:left="780" w:right="300"/>
        <w:spacing w:after="0" w:line="259" w:lineRule="auto"/>
        <w:rPr>
          <w:sz w:val="20"/>
          <w:szCs w:val="20"/>
          <w:color w:val="auto"/>
        </w:rPr>
      </w:pPr>
      <w:r>
        <w:rPr>
          <w:rFonts w:ascii="Times New Roman" w:cs="Times New Roman" w:eastAsia="Times New Roman" w:hAnsi="Times New Roman"/>
          <w:sz w:val="16"/>
          <w:szCs w:val="16"/>
          <w:color w:val="auto"/>
        </w:rPr>
        <w:t>•$0.7 million increase in the income tax provision (benefit) due to an increase in taxable income at the Taxable Subsidiaries during 2024 as compared to 2023.</w:t>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Net Investment Income</w:t>
      </w:r>
    </w:p>
    <w:p>
      <w:pPr>
        <w:spacing w:after="0" w:line="142" w:lineRule="exact"/>
        <w:rPr>
          <w:sz w:val="20"/>
          <w:szCs w:val="20"/>
          <w:color w:val="auto"/>
        </w:rPr>
      </w:pPr>
    </w:p>
    <w:p>
      <w:pPr>
        <w:ind w:right="120" w:firstLine="444"/>
        <w:spacing w:after="0" w:line="247" w:lineRule="auto"/>
        <w:rPr>
          <w:sz w:val="20"/>
          <w:szCs w:val="20"/>
          <w:color w:val="auto"/>
        </w:rPr>
      </w:pPr>
      <w:r>
        <w:rPr>
          <w:rFonts w:ascii="Times New Roman" w:cs="Times New Roman" w:eastAsia="Times New Roman" w:hAnsi="Times New Roman"/>
          <w:sz w:val="16"/>
          <w:szCs w:val="16"/>
          <w:color w:val="auto"/>
        </w:rPr>
        <w:t>Net investment income increased by $4.7 million, or 28.5%, to $21.4 million during the three months ended September 30, 2024 as compared to the same period in 2023, as a result of the $4.2 million increase in total investment income and the $0.5 million decrease in total expenses, including base management fee waiver and income tax provision.</w:t>
      </w:r>
    </w:p>
    <w:p>
      <w:pPr>
        <w:spacing w:after="0" w:line="116" w:lineRule="exact"/>
        <w:rPr>
          <w:sz w:val="20"/>
          <w:szCs w:val="20"/>
          <w:color w:val="auto"/>
        </w:rPr>
      </w:pPr>
    </w:p>
    <w:p>
      <w:pPr>
        <w:jc w:val="both"/>
        <w:ind w:right="160" w:firstLine="444"/>
        <w:spacing w:after="0" w:line="242" w:lineRule="auto"/>
        <w:rPr>
          <w:sz w:val="20"/>
          <w:szCs w:val="20"/>
          <w:color w:val="auto"/>
        </w:rPr>
      </w:pPr>
      <w:r>
        <w:rPr>
          <w:rFonts w:ascii="Times New Roman" w:cs="Times New Roman" w:eastAsia="Times New Roman" w:hAnsi="Times New Roman"/>
          <w:sz w:val="16"/>
          <w:szCs w:val="16"/>
          <w:color w:val="auto"/>
        </w:rPr>
        <w:t>Net investment income increased by $7.8 million, or 16.2%, to $56.0 million during the nine months ended September 30, 2024 as compared to the same period in 2023, as a result of the $14.9 million increase in total investment income, partially offset by the $7.1 million increase in total expenses, including base management fee waiver and income tax provision.</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3" w:name="page54"/>
    <w:bookmarkEnd w:id="53"/>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Net Gain (Loss) on Investments</w:t>
      </w:r>
    </w:p>
    <w:p>
      <w:pPr>
        <w:spacing w:after="0" w:line="142" w:lineRule="exact"/>
        <w:rPr>
          <w:sz w:val="20"/>
          <w:szCs w:val="20"/>
          <w:color w:val="auto"/>
        </w:rPr>
      </w:pPr>
    </w:p>
    <w:p>
      <w:pPr>
        <w:ind w:right="300" w:firstLine="348"/>
        <w:spacing w:after="0" w:line="289" w:lineRule="auto"/>
        <w:rPr>
          <w:sz w:val="20"/>
          <w:szCs w:val="20"/>
          <w:color w:val="auto"/>
        </w:rPr>
      </w:pPr>
      <w:r>
        <w:rPr>
          <w:rFonts w:ascii="Times New Roman" w:cs="Times New Roman" w:eastAsia="Times New Roman" w:hAnsi="Times New Roman"/>
          <w:sz w:val="14"/>
          <w:szCs w:val="14"/>
          <w:color w:val="auto"/>
        </w:rPr>
        <w:t>For the three and nine months ended September 30, 2024, the total net realized gain/(loss) on investments, before income tax (provision)/benefit, was $ (0.4) million and $12.2 million, respectively. Income tax (provision) benefit from realized gains on investments was zero and $ (1.6) million for the three and nine months ended September 30, 2024, respectively. We realize a gain/(loss) on our equity investments primarily when we either sell our equity investment or the underlying portfolio company is sold. Significant realized gains (losses) for the three and nine months ended September 30, 2024 are summarized below (dollars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760" w:type="dxa"/>
            <w:vAlign w:val="bottom"/>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Period Ended September 30, 2024</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3320" w:type="dxa"/>
            <w:vAlign w:val="bottom"/>
            <w:vMerge w:val="restart"/>
          </w:tcPr>
          <w:p>
            <w:pPr>
              <w:ind w:left="1220"/>
              <w:spacing w:after="0"/>
              <w:rPr>
                <w:sz w:val="20"/>
                <w:szCs w:val="20"/>
                <w:color w:val="auto"/>
              </w:rPr>
            </w:pPr>
            <w:r>
              <w:rPr>
                <w:rFonts w:ascii="Times New Roman" w:cs="Times New Roman" w:eastAsia="Times New Roman" w:hAnsi="Times New Roman"/>
                <w:sz w:val="13"/>
                <w:szCs w:val="13"/>
                <w:b w:val="1"/>
                <w:bCs w:val="1"/>
                <w:color w:val="auto"/>
              </w:rPr>
              <w:t xml:space="preserve">Realization Event </w:t>
            </w:r>
            <w:r>
              <w:rPr>
                <w:rFonts w:ascii="Times New Roman" w:cs="Times New Roman" w:eastAsia="Times New Roman" w:hAnsi="Times New Roman"/>
                <w:sz w:val="16"/>
                <w:szCs w:val="16"/>
                <w:b w:val="1"/>
                <w:bCs w:val="1"/>
                <w:color w:val="auto"/>
                <w:vertAlign w:val="superscript"/>
              </w:rPr>
              <w:t>(1)</w:t>
            </w:r>
          </w:p>
        </w:tc>
        <w:tc>
          <w:tcPr>
            <w:tcW w:w="960" w:type="dxa"/>
            <w:vAlign w:val="bottom"/>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Three</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Nine</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3320" w:type="dxa"/>
            <w:vAlign w:val="bottom"/>
            <w:vMerge w:val="continue"/>
          </w:tcPr>
          <w:p>
            <w:pPr>
              <w:spacing w:after="0"/>
              <w:rPr>
                <w:sz w:val="16"/>
                <w:szCs w:val="16"/>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Applied Data Corporation</w:t>
            </w:r>
          </w:p>
        </w:tc>
        <w:tc>
          <w:tcPr>
            <w:tcW w:w="3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Exit of portfolio company</w:t>
            </w:r>
          </w:p>
        </w:tc>
        <w:tc>
          <w:tcPr>
            <w:tcW w:w="96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Power Grid Components, Inc.</w:t>
            </w:r>
          </w:p>
        </w:tc>
        <w:tc>
          <w:tcPr>
            <w:tcW w:w="33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Escrow distribution</w:t>
            </w:r>
          </w:p>
        </w:tc>
        <w:tc>
          <w:tcPr>
            <w:tcW w:w="96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Comply365, LLC</w:t>
            </w:r>
          </w:p>
        </w:tc>
        <w:tc>
          <w:tcPr>
            <w:tcW w:w="3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Exit of portfolio company</w:t>
            </w:r>
          </w:p>
        </w:tc>
        <w:tc>
          <w:tcPr>
            <w:tcW w:w="9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(0.2 )</w:t>
            </w:r>
          </w:p>
        </w:tc>
        <w:tc>
          <w:tcPr>
            <w:tcW w:w="100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(0.1 )</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Frontline Food Services, LLC</w:t>
            </w:r>
          </w:p>
        </w:tc>
        <w:tc>
          <w:tcPr>
            <w:tcW w:w="3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(f/k/a Accent Food Services, LLC)</w:t>
            </w:r>
          </w:p>
        </w:tc>
        <w:tc>
          <w:tcPr>
            <w:tcW w:w="33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Escrow distribution</w:t>
            </w:r>
          </w:p>
        </w:tc>
        <w:tc>
          <w:tcPr>
            <w:tcW w:w="96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LifeSpan Biosciences, Inc.</w:t>
            </w:r>
          </w:p>
        </w:tc>
        <w:tc>
          <w:tcPr>
            <w:tcW w:w="3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Sale of portfolio company</w:t>
            </w:r>
          </w:p>
        </w:tc>
        <w:tc>
          <w:tcPr>
            <w:tcW w:w="9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Virginia Tile Company, LLC</w:t>
            </w:r>
          </w:p>
        </w:tc>
        <w:tc>
          <w:tcPr>
            <w:tcW w:w="33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Sale of portfolio company</w:t>
            </w:r>
          </w:p>
        </w:tc>
        <w:tc>
          <w:tcPr>
            <w:tcW w:w="96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Pool &amp; Electrical Products, LLC</w:t>
            </w:r>
          </w:p>
        </w:tc>
        <w:tc>
          <w:tcPr>
            <w:tcW w:w="3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Exit of portfolio company</w:t>
            </w:r>
          </w:p>
        </w:tc>
        <w:tc>
          <w:tcPr>
            <w:tcW w:w="9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Rhino Assembly Company, LLC</w:t>
            </w:r>
          </w:p>
        </w:tc>
        <w:tc>
          <w:tcPr>
            <w:tcW w:w="33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Sale of portfolio company</w:t>
            </w:r>
          </w:p>
        </w:tc>
        <w:tc>
          <w:tcPr>
            <w:tcW w:w="9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(0.1 )</w:t>
            </w:r>
          </w:p>
        </w:tc>
        <w:tc>
          <w:tcPr>
            <w:tcW w:w="0" w:type="dxa"/>
            <w:vAlign w:val="bottom"/>
          </w:tcPr>
          <w:p>
            <w:pPr>
              <w:spacing w:after="0"/>
              <w:rPr>
                <w:sz w:val="1"/>
                <w:szCs w:val="1"/>
                <w:color w:val="auto"/>
              </w:rPr>
            </w:pPr>
          </w:p>
        </w:tc>
      </w:tr>
      <w:tr>
        <w:trPr>
          <w:trHeight w:val="184"/>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Magenta Buyer LLC (dba Trellix)</w:t>
            </w:r>
          </w:p>
        </w:tc>
        <w:tc>
          <w:tcPr>
            <w:tcW w:w="33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Exit of portfolio company</w:t>
            </w:r>
          </w:p>
        </w:tc>
        <w:tc>
          <w:tcPr>
            <w:tcW w:w="9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(5.4 )</w:t>
            </w:r>
          </w:p>
        </w:tc>
        <w:tc>
          <w:tcPr>
            <w:tcW w:w="100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(5.4 )</w:t>
            </w: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Gurobi Optimization, LLC</w:t>
            </w:r>
          </w:p>
        </w:tc>
        <w:tc>
          <w:tcPr>
            <w:tcW w:w="33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Exit of portfolio company</w:t>
            </w:r>
          </w:p>
        </w:tc>
        <w:tc>
          <w:tcPr>
            <w:tcW w:w="9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3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3"/>
                <w:szCs w:val="13"/>
                <w:color w:val="auto"/>
              </w:rPr>
              <w:t>(0.4 )</w:t>
            </w:r>
          </w:p>
        </w:tc>
        <w:tc>
          <w:tcPr>
            <w:tcW w:w="100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(provision) benefit from realized gains on investments</w:t>
            </w:r>
          </w:p>
        </w:tc>
        <w:tc>
          <w:tcPr>
            <w:tcW w:w="3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(1.6 )</w:t>
            </w:r>
          </w:p>
        </w:tc>
        <w:tc>
          <w:tcPr>
            <w:tcW w:w="0" w:type="dxa"/>
            <w:vAlign w:val="bottom"/>
          </w:tcPr>
          <w:p>
            <w:pPr>
              <w:spacing w:after="0"/>
              <w:rPr>
                <w:sz w:val="1"/>
                <w:szCs w:val="1"/>
                <w:color w:val="auto"/>
              </w:rPr>
            </w:pPr>
          </w:p>
        </w:tc>
      </w:tr>
      <w:tr>
        <w:trPr>
          <w:trHeight w:val="204"/>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realized gain (loss), net of income tax provision, on investments</w:t>
            </w:r>
          </w:p>
        </w:tc>
        <w:tc>
          <w:tcPr>
            <w:tcW w:w="3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83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420"/>
              <w:spacing w:after="0" w:line="184" w:lineRule="exact"/>
              <w:rPr>
                <w:sz w:val="20"/>
                <w:szCs w:val="20"/>
                <w:color w:val="auto"/>
              </w:rPr>
            </w:pPr>
            <w:r>
              <w:rPr>
                <w:rFonts w:ascii="Times New Roman" w:cs="Times New Roman" w:eastAsia="Times New Roman" w:hAnsi="Times New Roman"/>
                <w:sz w:val="11"/>
                <w:szCs w:val="11"/>
                <w:color w:val="auto"/>
              </w:rPr>
              <w:t xml:space="preserve">(0.4 </w:t>
            </w:r>
            <w:r>
              <w:rPr>
                <w:rFonts w:ascii="Times New Roman" w:cs="Times New Roman" w:eastAsia="Times New Roman" w:hAnsi="Times New Roman"/>
                <w:sz w:val="21"/>
                <w:szCs w:val="21"/>
                <w:color w:val="auto"/>
                <w:vertAlign w:val="subscript"/>
              </w:rPr>
              <w:t>)</w:t>
            </w:r>
          </w:p>
        </w:tc>
        <w:tc>
          <w:tcPr>
            <w:tcW w:w="100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40" w:right="80" w:hanging="322"/>
        <w:spacing w:after="0" w:line="262" w:lineRule="auto"/>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three and nine months ended September 30, 2023, the total net realized gain/(loss) on investments, before income tax (provision)/benefit, was $9.8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$4.3 million, respectively. Income tax (provision) benefit from realized gains on investments was zero and $(1.6) million for the three and nine months ended September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 2023, respectively. We realize a gain/(loss) on our equity investments primarily when we either sell our equity investment or the underlying portfolio company 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sold. Significant realized gains (losses) for the three and nine months ended September 30, 2023 are summarized below (dollars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840" w:type="dxa"/>
            <w:vAlign w:val="bottom"/>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Period Ended September 30, 2023</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2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Three</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Nine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2960" w:type="dxa"/>
            <w:vAlign w:val="bottom"/>
          </w:tcPr>
          <w:p>
            <w:pPr>
              <w:ind w:left="1220"/>
              <w:spacing w:after="0"/>
              <w:rPr>
                <w:sz w:val="20"/>
                <w:szCs w:val="20"/>
                <w:color w:val="auto"/>
              </w:rPr>
            </w:pPr>
            <w:r>
              <w:rPr>
                <w:rFonts w:ascii="Times New Roman" w:cs="Times New Roman" w:eastAsia="Times New Roman" w:hAnsi="Times New Roman"/>
                <w:sz w:val="13"/>
                <w:szCs w:val="13"/>
                <w:b w:val="1"/>
                <w:bCs w:val="1"/>
                <w:color w:val="auto"/>
              </w:rPr>
              <w:t>Realization Event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 Tranzonic Companies</w:t>
            </w:r>
          </w:p>
        </w:tc>
        <w:tc>
          <w:tcPr>
            <w:tcW w:w="2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Escrow distribution</w:t>
            </w:r>
          </w:p>
        </w:tc>
        <w:tc>
          <w:tcPr>
            <w:tcW w:w="122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89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6"/>
                <w:szCs w:val="16"/>
                <w:color w:val="auto"/>
              </w:rPr>
            </w:pPr>
          </w:p>
        </w:tc>
      </w:tr>
      <w:tr>
        <w:trPr>
          <w:trHeight w:val="17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Rhino Assembly Company, LLC</w:t>
            </w:r>
          </w:p>
        </w:tc>
        <w:tc>
          <w:tcPr>
            <w:tcW w:w="29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Exit of portfolio company</w:t>
            </w:r>
          </w:p>
        </w:tc>
        <w:tc>
          <w:tcPr>
            <w:tcW w:w="1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5"/>
                <w:szCs w:val="15"/>
                <w:color w:val="auto"/>
              </w:rPr>
            </w:pPr>
          </w:p>
        </w:tc>
      </w:tr>
      <w:tr>
        <w:trPr>
          <w:trHeight w:val="18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ECM Industries, LLC</w:t>
            </w:r>
          </w:p>
        </w:tc>
        <w:tc>
          <w:tcPr>
            <w:tcW w:w="2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Exit of portfolio company</w:t>
            </w:r>
          </w:p>
        </w:tc>
        <w:tc>
          <w:tcPr>
            <w:tcW w:w="12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6"/>
                <w:szCs w:val="16"/>
                <w:color w:val="auto"/>
              </w:rPr>
            </w:pPr>
          </w:p>
        </w:tc>
      </w:tr>
      <w:tr>
        <w:trPr>
          <w:trHeight w:val="15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Frontline Food Services, LLC</w:t>
            </w:r>
          </w:p>
        </w:tc>
        <w:tc>
          <w:tcPr>
            <w:tcW w:w="2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(f/k/a Accent Food Services, LLC)</w:t>
            </w:r>
          </w:p>
        </w:tc>
        <w:tc>
          <w:tcPr>
            <w:tcW w:w="29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Escrow distribution</w:t>
            </w:r>
          </w:p>
        </w:tc>
        <w:tc>
          <w:tcPr>
            <w:tcW w:w="1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5"/>
                <w:szCs w:val="15"/>
                <w:color w:val="auto"/>
              </w:rPr>
            </w:pPr>
          </w:p>
        </w:tc>
      </w:tr>
      <w:tr>
        <w:trPr>
          <w:trHeight w:val="18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EBL, LLC (EbLens)</w:t>
            </w:r>
          </w:p>
        </w:tc>
        <w:tc>
          <w:tcPr>
            <w:tcW w:w="2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Exit of portfolio company</w:t>
            </w:r>
          </w:p>
        </w:tc>
        <w:tc>
          <w:tcPr>
            <w:tcW w:w="12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(11.5 )</w:t>
            </w:r>
          </w:p>
        </w:tc>
      </w:tr>
      <w:tr>
        <w:trPr>
          <w:trHeight w:val="17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FAR Research Inc.</w:t>
            </w:r>
          </w:p>
        </w:tc>
        <w:tc>
          <w:tcPr>
            <w:tcW w:w="29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Escrow distribution</w:t>
            </w:r>
          </w:p>
        </w:tc>
        <w:tc>
          <w:tcPr>
            <w:tcW w:w="1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5"/>
                <w:szCs w:val="15"/>
                <w:color w:val="auto"/>
              </w:rPr>
            </w:pPr>
          </w:p>
        </w:tc>
      </w:tr>
      <w:tr>
        <w:trPr>
          <w:trHeight w:val="18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Ipro Tech, LLC</w:t>
            </w:r>
          </w:p>
        </w:tc>
        <w:tc>
          <w:tcPr>
            <w:tcW w:w="2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Exit of portfolio company</w:t>
            </w:r>
          </w:p>
        </w:tc>
        <w:tc>
          <w:tcPr>
            <w:tcW w:w="12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6"/>
                <w:szCs w:val="16"/>
                <w:color w:val="auto"/>
              </w:rPr>
            </w:pPr>
          </w:p>
        </w:tc>
      </w:tr>
      <w:tr>
        <w:trPr>
          <w:trHeight w:val="17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Hallmark Health Care Solutions, Inc.</w:t>
            </w:r>
          </w:p>
        </w:tc>
        <w:tc>
          <w:tcPr>
            <w:tcW w:w="296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Partial sale of equity investment</w:t>
            </w:r>
          </w:p>
        </w:tc>
        <w:tc>
          <w:tcPr>
            <w:tcW w:w="1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5"/>
                <w:szCs w:val="15"/>
                <w:color w:val="auto"/>
              </w:rPr>
            </w:pPr>
          </w:p>
        </w:tc>
      </w:tr>
      <w:tr>
        <w:trPr>
          <w:trHeight w:val="18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29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6"/>
                <w:szCs w:val="16"/>
                <w:color w:val="auto"/>
              </w:rPr>
            </w:pPr>
          </w:p>
        </w:tc>
      </w:tr>
      <w:tr>
        <w:trPr>
          <w:trHeight w:val="176"/>
        </w:trPr>
        <w:tc>
          <w:tcPr>
            <w:tcW w:w="4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(provision) benefit from realized gains on investments</w:t>
            </w:r>
          </w:p>
        </w:tc>
        <w:tc>
          <w:tcPr>
            <w:tcW w:w="2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(1.6 )</w:t>
            </w:r>
          </w:p>
        </w:tc>
      </w:tr>
      <w:tr>
        <w:trPr>
          <w:trHeight w:val="22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realized gain (loss), net of income tax provision, on investments</w:t>
            </w:r>
          </w:p>
        </w:tc>
        <w:tc>
          <w:tcPr>
            <w:tcW w:w="29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74"/>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36" w:lineRule="exact"/>
        <w:rPr>
          <w:sz w:val="20"/>
          <w:szCs w:val="20"/>
          <w:color w:val="auto"/>
        </w:rPr>
      </w:pPr>
    </w:p>
    <w:p>
      <w:pPr>
        <w:ind w:left="340" w:right="80" w:hanging="322"/>
        <w:spacing w:after="0" w:line="262" w:lineRule="auto"/>
        <w:tabs>
          <w:tab w:leader="none" w:pos="34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p>
      <w:pPr>
        <w:spacing w:after="0" w:line="126" w:lineRule="exact"/>
        <w:rPr>
          <w:sz w:val="20"/>
          <w:szCs w:val="20"/>
          <w:color w:val="auto"/>
        </w:rPr>
      </w:pPr>
    </w:p>
    <w:p>
      <w:pPr>
        <w:ind w:right="480" w:firstLine="444"/>
        <w:spacing w:after="0" w:line="259" w:lineRule="auto"/>
        <w:rPr>
          <w:sz w:val="20"/>
          <w:szCs w:val="20"/>
          <w:color w:val="auto"/>
        </w:rPr>
      </w:pPr>
      <w:r>
        <w:rPr>
          <w:rFonts w:ascii="Times New Roman" w:cs="Times New Roman" w:eastAsia="Times New Roman" w:hAnsi="Times New Roman"/>
          <w:sz w:val="16"/>
          <w:szCs w:val="16"/>
          <w:color w:val="auto"/>
        </w:rPr>
        <w:t>During the three and nine months ended September 30, 2024 and 2023, we recorded a net change in unrealized appreciation (depreciation) on investments attributable to the following (dollars in millions):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tcPr>
          <w:p>
            <w:pPr>
              <w:spacing w:after="0"/>
              <w:rPr>
                <w:sz w:val="15"/>
                <w:szCs w:val="15"/>
                <w:color w:val="auto"/>
              </w:rPr>
            </w:pPr>
          </w:p>
        </w:tc>
        <w:tc>
          <w:tcPr>
            <w:tcW w:w="2740" w:type="dxa"/>
            <w:vAlign w:val="bottom"/>
            <w:gridSpan w:val="4"/>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Unrealized Appreciation (Depreciation)</w:t>
            </w: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Exit, sale or restructuring of investments</w:t>
            </w:r>
          </w:p>
        </w:tc>
        <w:tc>
          <w:tcPr>
            <w:tcW w:w="102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(1.5 )</w:t>
            </w:r>
          </w:p>
        </w:tc>
        <w:tc>
          <w:tcPr>
            <w:tcW w:w="1040" w:type="dxa"/>
            <w:vAlign w:val="bottom"/>
            <w:shd w:val="clear" w:color="auto" w:fill="CFF0FC"/>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(3.7 )</w:t>
            </w:r>
          </w:p>
        </w:tc>
        <w:tc>
          <w:tcPr>
            <w:tcW w:w="3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(8.8 )</w:t>
            </w:r>
          </w:p>
        </w:tc>
        <w:tc>
          <w:tcPr>
            <w:tcW w:w="360" w:type="dxa"/>
            <w:vAlign w:val="bottom"/>
            <w:shd w:val="clear" w:color="auto" w:fill="CFF0FC"/>
          </w:tcPr>
          <w:p>
            <w:pPr>
              <w:jc w:val="center"/>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adjustments to debt investments</w:t>
            </w:r>
          </w:p>
        </w:tc>
        <w:tc>
          <w:tcPr>
            <w:tcW w:w="10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(6.7 )</w:t>
            </w:r>
          </w:p>
        </w:tc>
        <w:tc>
          <w:tcPr>
            <w:tcW w:w="104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(2.8 )</w:t>
            </w:r>
          </w:p>
        </w:tc>
        <w:tc>
          <w:tcPr>
            <w:tcW w:w="3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(5.5 )</w:t>
            </w:r>
          </w:p>
        </w:tc>
        <w:tc>
          <w:tcPr>
            <w:tcW w:w="36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(8.1 )</w:t>
            </w:r>
          </w:p>
        </w:tc>
        <w:tc>
          <w:tcPr>
            <w:tcW w:w="0" w:type="dxa"/>
            <w:vAlign w:val="bottom"/>
          </w:tcPr>
          <w:p>
            <w:pPr>
              <w:spacing w:after="0"/>
              <w:rPr>
                <w:sz w:val="1"/>
                <w:szCs w:val="1"/>
                <w:color w:val="auto"/>
              </w:rPr>
            </w:pPr>
          </w:p>
        </w:tc>
      </w:tr>
      <w:tr>
        <w:trPr>
          <w:trHeight w:val="184"/>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Fair value adjustments to equity investments</w:t>
            </w:r>
          </w:p>
        </w:tc>
        <w:tc>
          <w:tcPr>
            <w:tcW w:w="10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unrealized appreciation (depreciation)</w:t>
            </w:r>
          </w:p>
        </w:tc>
        <w:tc>
          <w:tcPr>
            <w:tcW w:w="1020" w:type="dxa"/>
            <w:vAlign w:val="bottom"/>
          </w:tcPr>
          <w:p>
            <w:pPr>
              <w:jc w:val="right"/>
              <w:ind w:right="899"/>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1"/>
                <w:szCs w:val="11"/>
                <w:color w:val="auto"/>
              </w:rPr>
              <w:t xml:space="preserve">(4.6 </w:t>
            </w:r>
            <w:r>
              <w:rPr>
                <w:rFonts w:ascii="Times New Roman" w:cs="Times New Roman" w:eastAsia="Times New Roman" w:hAnsi="Times New Roman"/>
                <w:sz w:val="20"/>
                <w:szCs w:val="20"/>
                <w:color w:val="auto"/>
                <w:vertAlign w:val="subscript"/>
              </w:rPr>
              <w:t>)</w:t>
            </w: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1"/>
                <w:szCs w:val="11"/>
                <w:color w:val="auto"/>
              </w:rPr>
              <w:t xml:space="preserve">(2.1 </w:t>
            </w:r>
            <w:r>
              <w:rPr>
                <w:rFonts w:ascii="Times New Roman" w:cs="Times New Roman" w:eastAsia="Times New Roman" w:hAnsi="Times New Roman"/>
                <w:sz w:val="20"/>
                <w:szCs w:val="20"/>
                <w:color w:val="auto"/>
                <w:vertAlign w:val="subscript"/>
              </w:rPr>
              <w:t>)</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1"/>
                <w:szCs w:val="11"/>
                <w:color w:val="auto"/>
              </w:rPr>
              <w:t xml:space="preserve">(5.4 </w:t>
            </w:r>
            <w:r>
              <w:rPr>
                <w:rFonts w:ascii="Times New Roman" w:cs="Times New Roman" w:eastAsia="Times New Roman" w:hAnsi="Times New Roman"/>
                <w:sz w:val="20"/>
                <w:szCs w:val="20"/>
                <w:color w:val="auto"/>
                <w:vertAlign w:val="subscript"/>
              </w:rPr>
              <w:t>)</w:t>
            </w:r>
          </w:p>
        </w:tc>
        <w:tc>
          <w:tcPr>
            <w:tcW w:w="36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1"/>
                <w:szCs w:val="11"/>
                <w:color w:val="auto"/>
              </w:rPr>
              <w:t xml:space="preserve">(0.1 </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Net Increase in Net Assets Resulting From Operations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4" w:name="page55"/>
    <w:bookmarkEnd w:id="54"/>
    <w:p>
      <w:pPr>
        <w:spacing w:after="0" w:line="17" w:lineRule="exact"/>
        <w:rPr>
          <w:sz w:val="20"/>
          <w:szCs w:val="20"/>
          <w:color w:val="auto"/>
        </w:rPr>
      </w:pPr>
    </w:p>
    <w:p>
      <w:pPr>
        <w:ind w:right="40" w:firstLine="444"/>
        <w:spacing w:after="0" w:line="259" w:lineRule="auto"/>
        <w:rPr>
          <w:sz w:val="20"/>
          <w:szCs w:val="20"/>
          <w:color w:val="auto"/>
        </w:rPr>
      </w:pPr>
      <w:r>
        <w:rPr>
          <w:rFonts w:ascii="Times New Roman" w:cs="Times New Roman" w:eastAsia="Times New Roman" w:hAnsi="Times New Roman"/>
          <w:sz w:val="16"/>
          <w:szCs w:val="16"/>
          <w:color w:val="auto"/>
        </w:rPr>
        <w:t>Net increase (decrease) in net assets resulting from operations during the three months ended September 30, 2024 and 2023 was $16.5 million and $24.3 million, respectively, as a result of the events described above.</w:t>
      </w:r>
    </w:p>
    <w:p>
      <w:pPr>
        <w:spacing w:after="0" w:line="107" w:lineRule="exact"/>
        <w:rPr>
          <w:sz w:val="20"/>
          <w:szCs w:val="20"/>
          <w:color w:val="auto"/>
        </w:rPr>
      </w:pPr>
    </w:p>
    <w:p>
      <w:pPr>
        <w:ind w:right="80" w:firstLine="444"/>
        <w:spacing w:after="0" w:line="259" w:lineRule="auto"/>
        <w:rPr>
          <w:sz w:val="20"/>
          <w:szCs w:val="20"/>
          <w:color w:val="auto"/>
        </w:rPr>
      </w:pPr>
      <w:r>
        <w:rPr>
          <w:rFonts w:ascii="Times New Roman" w:cs="Times New Roman" w:eastAsia="Times New Roman" w:hAnsi="Times New Roman"/>
          <w:sz w:val="16"/>
          <w:szCs w:val="16"/>
          <w:color w:val="auto"/>
        </w:rPr>
        <w:t>Net increase (decrease) in net assets resulting from operations during the nine months ended September 30, 2024 and 2023 was $60.7 million and $50.7 million, respectively, as a result of the events described above.</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Liquidity and Capital Resources</w:t>
      </w:r>
    </w:p>
    <w:p>
      <w:pPr>
        <w:spacing w:after="0" w:line="144" w:lineRule="exact"/>
        <w:rPr>
          <w:sz w:val="20"/>
          <w:szCs w:val="20"/>
          <w:color w:val="auto"/>
        </w:rPr>
      </w:pPr>
    </w:p>
    <w:p>
      <w:pPr>
        <w:ind w:firstLine="444"/>
        <w:spacing w:after="0" w:line="237" w:lineRule="auto"/>
        <w:rPr>
          <w:sz w:val="20"/>
          <w:szCs w:val="20"/>
          <w:color w:val="auto"/>
        </w:rPr>
      </w:pPr>
      <w:r>
        <w:rPr>
          <w:rFonts w:ascii="Times New Roman" w:cs="Times New Roman" w:eastAsia="Times New Roman" w:hAnsi="Times New Roman"/>
          <w:sz w:val="16"/>
          <w:szCs w:val="16"/>
          <w:color w:val="auto"/>
        </w:rPr>
        <w:t>As of September 30, 2024, we had $54.4 million in cash and cash equivalents and our net assets totaled $658.8 million. We believe that our current cash and cash equivalents on hand, our Credit Facility, our anticipated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ATM Program) and future borrowings, as well as cash flows from operations, including income earned from investments in our portfolio companies. On both a short- term and long-term basis, our primary use of funds will be investments in portfolio companies and cash distributions to our stockholders. During the nine months ended September 30, 2024, we repaid $35.0 million of SBA debentures relating to Fund II that would have matured during the period March 1, 2026 through September 1, 2027. Our remaining outstanding SBA debentures begin to mature in 2029 and subsequent years through 2034, which will require repayment on or before the respective maturity dates. In light of current market conditions, we will continually evaluate our overall liquidity position and take proactive steps to maintain that position based on the current circumstances. This “Financial Liquidity and Capital Resources” section should be read in conjunction with the notes of our consolidated financial statements.</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Cash Flows</w:t>
      </w:r>
    </w:p>
    <w:p>
      <w:pPr>
        <w:spacing w:after="0" w:line="142"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For the nine months ended September 30, 2024, we experienced a net decrease in cash and cash equivalents in the amount of $ 64.7 million. During that period, we made payments of $ 75.8 million of cash for operating activities, which included the funding of $274.2 million of investments that was partially offset by proceeds received from sales and repayments of investments of $154.1 million. During the same period, we repaid SBA debentures of $35.0 million relating to Fund II, received net borrowings of $40.0 million under our Credit Facility, received net proceeds from the ATM Program of approximately $66.3 million, received repayments of $1.9 million on our secured borrowings, paid cash dividends to stockholders of $57.7 million, and made payment of deferred financing costs related to our debt financings of $0.6 million.</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Capital Resources</w:t>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We anticipate that we will continue to fund our investment activities on a long-term basis through a combination of additional debt and equity capital.</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SBA Debentures</w:t>
      </w:r>
    </w:p>
    <w:p>
      <w:pPr>
        <w:spacing w:after="0" w:line="142" w:lineRule="exact"/>
        <w:rPr>
          <w:sz w:val="20"/>
          <w:szCs w:val="20"/>
          <w:color w:val="auto"/>
        </w:rPr>
      </w:pPr>
    </w:p>
    <w:p>
      <w:pPr>
        <w:ind w:firstLine="432"/>
        <w:spacing w:after="0" w:line="236" w:lineRule="auto"/>
        <w:rPr>
          <w:sz w:val="20"/>
          <w:szCs w:val="20"/>
          <w:color w:val="auto"/>
        </w:rPr>
      </w:pPr>
      <w:r>
        <w:rPr>
          <w:rFonts w:ascii="Times New Roman" w:cs="Times New Roman" w:eastAsia="Times New Roman" w:hAnsi="Times New Roman"/>
          <w:sz w:val="16"/>
          <w:szCs w:val="16"/>
          <w:color w:val="auto"/>
        </w:rPr>
        <w:t>Fund III and Fund IV are licensed to operate as an SBIC, and have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The SBA may limit the amount that may be drawn each year under the SBA debenture commitments, and each issuance of leverage is conditioned on SBIC's full compliance, as determined by the SBA, with the terms and conditions under SBA regulations.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Fund II has completed a wind-down plan, relinquished its SBIC license and can no longer issue additional SBA debentures, effective as of March 7, 2024. Effective September 30, 2024, the SBA approved a new SBIC license for Fund IV. As of September 30, 2024, Fund III and Fund IV had $175.0 million and zero outstanding SBA debentures, respectively. Subject to SBA regulatory requirements and approval of SBA debenture commitments, we may access up to $175.0 million of additional SBA debentures under the SBIC debenture program. For more information on the SBA debentures, please refer to Note 6 to our consolidated financial statements.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5" w:name="page56"/>
    <w:bookmarkEnd w:id="55"/>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Credit Facility</w:t>
      </w:r>
    </w:p>
    <w:p>
      <w:pPr>
        <w:spacing w:after="0" w:line="142" w:lineRule="exact"/>
        <w:rPr>
          <w:sz w:val="20"/>
          <w:szCs w:val="20"/>
          <w:color w:val="auto"/>
        </w:rPr>
      </w:pPr>
    </w:p>
    <w:p>
      <w:pPr>
        <w:ind w:right="60" w:firstLine="432"/>
        <w:spacing w:after="0" w:line="237" w:lineRule="auto"/>
        <w:rPr>
          <w:sz w:val="20"/>
          <w:szCs w:val="20"/>
          <w:color w:val="auto"/>
        </w:rPr>
      </w:pPr>
      <w:r>
        <w:rPr>
          <w:rFonts w:ascii="Times New Roman" w:cs="Times New Roman" w:eastAsia="Times New Roman" w:hAnsi="Times New Roman"/>
          <w:sz w:val="16"/>
          <w:szCs w:val="16"/>
          <w:color w:val="auto"/>
        </w:rPr>
        <w:t>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the SBIC Funds are not collateral for the Credit Facility. On April 24, 2019, we entered into an Amended &amp; Restated Senior Secured Revolving Credit Agreement (the “Amended Credit Agreement”) among us, as borrower, the lenders party thereto, and ING, as administrative agent. On June 26, 2020, we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the Secured Overnight Financing Rate (SOFR) from the London Interbank Offered Rate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 On July 25, 2024, the Company entered into an incremental commitment agreement that increased the Credit Facility total commitment from $100.0 million to $140.0 million.</w:t>
      </w:r>
    </w:p>
    <w:p>
      <w:pPr>
        <w:spacing w:after="0" w:line="123" w:lineRule="exact"/>
        <w:rPr>
          <w:sz w:val="20"/>
          <w:szCs w:val="20"/>
          <w:color w:val="auto"/>
        </w:rPr>
      </w:pPr>
    </w:p>
    <w:p>
      <w:pPr>
        <w:jc w:val="both"/>
        <w:ind w:right="180" w:firstLine="432"/>
        <w:spacing w:after="0" w:line="299" w:lineRule="auto"/>
        <w:rPr>
          <w:sz w:val="20"/>
          <w:szCs w:val="20"/>
          <w:color w:val="auto"/>
        </w:rPr>
      </w:pPr>
      <w:r>
        <w:rPr>
          <w:rFonts w:ascii="Times New Roman" w:cs="Times New Roman" w:eastAsia="Times New Roman" w:hAnsi="Times New Roman"/>
          <w:sz w:val="14"/>
          <w:szCs w:val="14"/>
          <w:color w:val="auto"/>
        </w:rPr>
        <w:t>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spacing w:after="0" w:line="83" w:lineRule="exact"/>
        <w:rPr>
          <w:sz w:val="20"/>
          <w:szCs w:val="20"/>
          <w:color w:val="auto"/>
        </w:rPr>
      </w:pPr>
    </w:p>
    <w:p>
      <w:pPr>
        <w:ind w:firstLine="432"/>
        <w:spacing w:after="0" w:line="243" w:lineRule="auto"/>
        <w:rPr>
          <w:sz w:val="20"/>
          <w:szCs w:val="20"/>
          <w:color w:val="auto"/>
        </w:rPr>
      </w:pPr>
      <w:r>
        <w:rPr>
          <w:rFonts w:ascii="Times New Roman" w:cs="Times New Roman" w:eastAsia="Times New Roman" w:hAnsi="Times New Roman"/>
          <w:sz w:val="16"/>
          <w:szCs w:val="16"/>
          <w:color w:val="auto"/>
        </w:rPr>
        <w:t>Amounts available to borrow under the Credit Facility are subject to a minimum borrowing/collateral base that applies an advance rate to certain investments held by us, excluding investments held by the SBIC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19" w:lineRule="exact"/>
        <w:rPr>
          <w:sz w:val="20"/>
          <w:szCs w:val="20"/>
          <w:color w:val="auto"/>
        </w:rPr>
      </w:pPr>
    </w:p>
    <w:p>
      <w:pPr>
        <w:ind w:right="200" w:firstLine="432"/>
        <w:spacing w:after="0" w:line="243" w:lineRule="auto"/>
        <w:rPr>
          <w:sz w:val="20"/>
          <w:szCs w:val="20"/>
          <w:color w:val="auto"/>
        </w:rPr>
      </w:pPr>
      <w:r>
        <w:rPr>
          <w:rFonts w:ascii="Times New Roman" w:cs="Times New Roman" w:eastAsia="Times New Roman" w:hAnsi="Times New Roman"/>
          <w:sz w:val="16"/>
          <w:szCs w:val="16"/>
          <w:color w:val="auto"/>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September 30, 2024, we were in compliance in all material respects with the terms of the Credit Agreement and we had $40.0 million in borrowings outstanding under the Credit Facility.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i w:val="1"/>
          <w:iCs w:val="1"/>
          <w:color w:val="auto"/>
        </w:rPr>
        <w:t>Notes</w:t>
      </w:r>
    </w:p>
    <w:p>
      <w:pPr>
        <w:spacing w:after="0" w:line="190"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On December 23, 2020, we closed the offering of $125.0 million in aggregate principal amount of our 4.75% notes due 2026, or the “January 2026 Notes”. The total net proceeds to us from the January 2026 Notes, based on a public offering price of 100.00% of par, after deducting underwriting discounts of $2.5 million and offering expenses of $0.4 million, were $122.1 million.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We do not intend to list the January 2026 Notes on any securities exchange or automated dealer quotation system. As of September 30, 2024, the outstanding principal balance of the January 2026 Notes was $125.0 million.</w:t>
      </w:r>
    </w:p>
    <w:p>
      <w:pPr>
        <w:spacing w:after="0" w:line="122" w:lineRule="exact"/>
        <w:rPr>
          <w:sz w:val="20"/>
          <w:szCs w:val="20"/>
          <w:color w:val="auto"/>
        </w:rPr>
      </w:pPr>
    </w:p>
    <w:p>
      <w:pPr>
        <w:ind w:firstLine="444"/>
        <w:spacing w:after="0" w:line="239" w:lineRule="auto"/>
        <w:rPr>
          <w:sz w:val="20"/>
          <w:szCs w:val="20"/>
          <w:color w:val="auto"/>
        </w:rPr>
      </w:pPr>
      <w:r>
        <w:rPr>
          <w:rFonts w:ascii="Times New Roman" w:cs="Times New Roman" w:eastAsia="Times New Roman" w:hAnsi="Times New Roman"/>
          <w:sz w:val="16"/>
          <w:szCs w:val="16"/>
          <w:color w:val="auto"/>
        </w:rPr>
        <w:t>On October 8, 2021, we closed the offering of $125.0 million in aggregate principal amount of our 3.50% notes due 2026, or the “November 2026 Notes” (collectively with the January 2026 Notes, the “Notes”). The total net proceeds to us from the November 2026 Notes, based on a public offering price of 99.996% of par, after deducting underwriting discounts of $2.5 million and offering expenses of $0.3 million, were $ 122.2 million.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We do not intend to list the November 2026 Notes on any securities exchange or automated dealer quotation system. As of September 30, 2024, the outstanding principal balance of the November 2026 Notes was $125.0 million.</w:t>
      </w:r>
    </w:p>
    <w:p>
      <w:pPr>
        <w:spacing w:after="0" w:line="122" w:lineRule="exact"/>
        <w:rPr>
          <w:sz w:val="20"/>
          <w:szCs w:val="20"/>
          <w:color w:val="auto"/>
        </w:rPr>
      </w:pPr>
    </w:p>
    <w:p>
      <w:pPr>
        <w:ind w:right="60" w:firstLine="432"/>
        <w:spacing w:after="0"/>
        <w:rPr>
          <w:sz w:val="20"/>
          <w:szCs w:val="20"/>
          <w:color w:val="auto"/>
        </w:rPr>
      </w:pPr>
      <w:r>
        <w:rPr>
          <w:rFonts w:ascii="Times New Roman" w:cs="Times New Roman" w:eastAsia="Times New Roman" w:hAnsi="Times New Roman"/>
          <w:sz w:val="16"/>
          <w:szCs w:val="16"/>
          <w:color w:val="auto"/>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 including the Credit Facility.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6" w:name="page57"/>
    <w:bookmarkEnd w:id="56"/>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Secured Borrowing</w:t>
      </w:r>
    </w:p>
    <w:p>
      <w:pPr>
        <w:spacing w:after="0" w:line="142" w:lineRule="exact"/>
        <w:rPr>
          <w:sz w:val="20"/>
          <w:szCs w:val="20"/>
          <w:color w:val="auto"/>
        </w:rPr>
      </w:pPr>
    </w:p>
    <w:p>
      <w:pPr>
        <w:ind w:right="160" w:firstLine="432"/>
        <w:spacing w:after="0" w:line="239" w:lineRule="auto"/>
        <w:rPr>
          <w:sz w:val="20"/>
          <w:szCs w:val="20"/>
          <w:color w:val="auto"/>
        </w:rPr>
      </w:pPr>
      <w:r>
        <w:rPr>
          <w:rFonts w:ascii="Times New Roman" w:cs="Times New Roman" w:eastAsia="Times New Roman" w:hAnsi="Times New Roman"/>
          <w:sz w:val="16"/>
          <w:szCs w:val="16"/>
          <w:color w:val="auto"/>
        </w:rPr>
        <w:t>As of September 30, 2024, the carrying value of secured borrowings totaled $14.0 million and the fair value of the associated loans included in investments was $14.0 million. As of December 31, 2023, carrying value of secured borrowings totaled $ 15.9 million and the fair value of the associated loans included in investments was $15.8 million.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 As a result, sale treatment was not permitted and these partial loan sales were treated as secured borrowings. The weighted average interest rate on our secured borrowings was approximately 8.915% and 9.407% as of September 30, 2024 and December 31, 2023, respectively.</w:t>
      </w:r>
    </w:p>
    <w:p>
      <w:pPr>
        <w:spacing w:after="0" w:line="125" w:lineRule="exact"/>
        <w:rPr>
          <w:sz w:val="20"/>
          <w:szCs w:val="20"/>
          <w:color w:val="auto"/>
        </w:rPr>
      </w:pPr>
    </w:p>
    <w:p>
      <w:pPr>
        <w:ind w:right="80" w:firstLine="432"/>
        <w:spacing w:after="0" w:line="247" w:lineRule="auto"/>
        <w:rPr>
          <w:sz w:val="20"/>
          <w:szCs w:val="20"/>
          <w:color w:val="auto"/>
        </w:rPr>
      </w:pPr>
      <w:r>
        <w:rPr>
          <w:rFonts w:ascii="Times New Roman" w:cs="Times New Roman" w:eastAsia="Times New Roman" w:hAnsi="Times New Roman"/>
          <w:sz w:val="16"/>
          <w:szCs w:val="16"/>
          <w:color w:val="auto"/>
        </w:rPr>
        <w:t>As of September 30, 2024, the weighted average stated interest rates for our SBA debentures and the Notes were 4.316% and 4.125%, respectively. As of September 30, 2024, we had $100.0 million of unutilized commitment under our Credit Facility, and we were subject to a 0.696% fee on such amount. As of September 30, 2024, the weighted average stated interest rate on total debt outstanding was 4.647%.</w:t>
      </w:r>
    </w:p>
    <w:p>
      <w:pPr>
        <w:spacing w:after="0" w:line="116" w:lineRule="exact"/>
        <w:rPr>
          <w:sz w:val="20"/>
          <w:szCs w:val="20"/>
          <w:color w:val="auto"/>
        </w:rPr>
      </w:pPr>
    </w:p>
    <w:p>
      <w:pPr>
        <w:ind w:firstLine="432"/>
        <w:spacing w:after="0" w:line="239" w:lineRule="auto"/>
        <w:rPr>
          <w:sz w:val="20"/>
          <w:szCs w:val="20"/>
          <w:color w:val="auto"/>
        </w:rPr>
      </w:pPr>
      <w:r>
        <w:rPr>
          <w:rFonts w:ascii="Times New Roman" w:cs="Times New Roman" w:eastAsia="Times New Roman" w:hAnsi="Times New Roman"/>
          <w:sz w:val="16"/>
          <w:szCs w:val="16"/>
          <w:color w:val="auto"/>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effective as of April 29, 2020. We also have received exemptive relief from the U.S. Securities and Exchange Commission (“SEC”) to allow us to exclude the senior securities issued by the SBIC Funds and any future SBIC subsidiary from the definition of senior securities in the 150% asset coverage requirement applicable to the Company under the 1940 Act, which, in turn, will enable us to fund more investments with debt capital.</w:t>
      </w:r>
    </w:p>
    <w:p>
      <w:pPr>
        <w:spacing w:after="0" w:line="122" w:lineRule="exact"/>
        <w:rPr>
          <w:sz w:val="20"/>
          <w:szCs w:val="20"/>
          <w:color w:val="auto"/>
        </w:rPr>
      </w:pPr>
    </w:p>
    <w:p>
      <w:pPr>
        <w:ind w:right="20" w:firstLine="444"/>
        <w:spacing w:after="0" w:line="239" w:lineRule="auto"/>
        <w:rPr>
          <w:sz w:val="20"/>
          <w:szCs w:val="20"/>
          <w:color w:val="auto"/>
        </w:rPr>
      </w:pPr>
      <w:r>
        <w:rPr>
          <w:rFonts w:ascii="Times New Roman" w:cs="Times New Roman" w:eastAsia="Times New Roman" w:hAnsi="Times New Roman"/>
          <w:sz w:val="16"/>
          <w:szCs w:val="16"/>
          <w:color w:val="auto"/>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12, 2024, our stockholders approved a proposal to authorize us to sell or otherwise issue common stock at a price below net asset value per share for a period of one year ending on the earlier of June 12, 2025 or the date of our 2025 Annual Meeting of Stockholders. Our stockholders specified that the cumulative number of shares sold pursuant to such authority during such period may not exceed 25.0% of our then outstanding common stock immediately prior to each such sale.</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Equity ATM Program</w:t>
      </w:r>
    </w:p>
    <w:p>
      <w:pPr>
        <w:spacing w:after="0" w:line="142" w:lineRule="exact"/>
        <w:rPr>
          <w:sz w:val="20"/>
          <w:szCs w:val="20"/>
          <w:color w:val="auto"/>
        </w:rPr>
      </w:pPr>
    </w:p>
    <w:p>
      <w:pPr>
        <w:ind w:right="60" w:firstLine="348"/>
        <w:spacing w:after="0" w:line="239" w:lineRule="auto"/>
        <w:rPr>
          <w:sz w:val="20"/>
          <w:szCs w:val="20"/>
          <w:color w:val="auto"/>
        </w:rPr>
      </w:pPr>
      <w:r>
        <w:rPr>
          <w:rFonts w:ascii="Times New Roman" w:cs="Times New Roman" w:eastAsia="Times New Roman" w:hAnsi="Times New Roman"/>
          <w:sz w:val="16"/>
          <w:szCs w:val="16"/>
          <w:color w:val="auto"/>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 million. On August 11, 2023, the Company increased the maximum amount of shares to be sold through the ATM Program to $150.0 million from $50.0 million. On February 29, 2024, the Company increased the maximum amount of shares to be sold through the ATM Program to $300.0 million from $150.0 million. Cumulative to date, the Company has sold 9,364,244 shares of common stock under the ATM Program at a weighted-average price of $19.75, raising $185.0 million of gross proceeds. Net proceeds were $182.5 million after commissions to the sales agents on sales sold. As of September 30, 2024, the Company has $115.0 million available under the ATM Program.</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Stock Repurchase Program</w:t>
      </w:r>
    </w:p>
    <w:p>
      <w:pPr>
        <w:spacing w:after="0" w:line="142" w:lineRule="exact"/>
        <w:rPr>
          <w:sz w:val="20"/>
          <w:szCs w:val="20"/>
          <w:color w:val="auto"/>
        </w:rPr>
      </w:pPr>
    </w:p>
    <w:p>
      <w:pPr>
        <w:ind w:right="100" w:firstLine="444"/>
        <w:spacing w:after="0" w:line="237" w:lineRule="auto"/>
        <w:rPr>
          <w:sz w:val="20"/>
          <w:szCs w:val="20"/>
          <w:color w:val="auto"/>
        </w:rPr>
      </w:pPr>
      <w:r>
        <w:rPr>
          <w:rFonts w:ascii="Times New Roman" w:cs="Times New Roman" w:eastAsia="Times New Roman" w:hAnsi="Times New Roman"/>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Most recently, on October 28, 2024, the Board extended the Stock Repurchase Program through December 31, 2025,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and nine months ended September 30, 2024 and 2023. Refer to Note 8 to our consolidated financial statements for additional information concerning stock repurchases.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7" w:name="page58"/>
    <w:bookmarkEnd w:id="57"/>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Use of Estimates</w:t>
      </w:r>
    </w:p>
    <w:p>
      <w:pPr>
        <w:spacing w:after="0" w:line="142" w:lineRule="exact"/>
        <w:rPr>
          <w:sz w:val="20"/>
          <w:szCs w:val="20"/>
          <w:color w:val="auto"/>
        </w:rPr>
      </w:pPr>
    </w:p>
    <w:p>
      <w:pPr>
        <w:ind w:right="20" w:firstLine="444"/>
        <w:spacing w:after="0" w:line="239" w:lineRule="auto"/>
        <w:rPr>
          <w:sz w:val="20"/>
          <w:szCs w:val="20"/>
          <w:color w:val="auto"/>
        </w:rPr>
      </w:pPr>
      <w:r>
        <w:rPr>
          <w:rFonts w:ascii="Times New Roman" w:cs="Times New Roman" w:eastAsia="Times New Roman" w:hAnsi="Times New Roman"/>
          <w:sz w:val="16"/>
          <w:szCs w:val="16"/>
          <w:color w:val="auto"/>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relating to investment valuations and transfers of financial assets are set forth below. See Note 2. Significant Accounting Policies to our consolidated financial statements for more information regarding our critical accounting policies relating to revenue recognition.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of Portfolio Investments</w:t>
      </w:r>
    </w:p>
    <w:p>
      <w:pPr>
        <w:spacing w:after="0" w:line="144" w:lineRule="exact"/>
        <w:rPr>
          <w:sz w:val="20"/>
          <w:szCs w:val="20"/>
          <w:color w:val="auto"/>
        </w:rPr>
      </w:pPr>
    </w:p>
    <w:p>
      <w:pPr>
        <w:ind w:right="360" w:firstLine="444"/>
        <w:spacing w:after="0" w:line="259" w:lineRule="auto"/>
        <w:rPr>
          <w:sz w:val="20"/>
          <w:szCs w:val="20"/>
          <w:color w:val="auto"/>
        </w:rPr>
      </w:pPr>
      <w:r>
        <w:rPr>
          <w:rFonts w:ascii="Times New Roman" w:cs="Times New Roman" w:eastAsia="Times New Roman" w:hAnsi="Times New Roman"/>
          <w:sz w:val="16"/>
          <w:szCs w:val="16"/>
          <w:color w:val="auto"/>
        </w:rPr>
        <w:t>As a BDC, we report our assets and liabilities at fair value at all times consistent with GAAP and the 1940 Act. Accordingly, we are required to periodically determine the fair value of all of our portfolio investments.</w:t>
      </w:r>
    </w:p>
    <w:p>
      <w:pPr>
        <w:spacing w:after="0" w:line="107" w:lineRule="exact"/>
        <w:rPr>
          <w:sz w:val="20"/>
          <w:szCs w:val="20"/>
          <w:color w:val="auto"/>
        </w:rPr>
      </w:pPr>
    </w:p>
    <w:p>
      <w:pPr>
        <w:ind w:right="120" w:firstLine="444"/>
        <w:spacing w:after="0" w:line="239" w:lineRule="auto"/>
        <w:rPr>
          <w:sz w:val="20"/>
          <w:szCs w:val="20"/>
          <w:color w:val="auto"/>
        </w:rPr>
      </w:pPr>
      <w:r>
        <w:rPr>
          <w:rFonts w:ascii="Times New Roman" w:cs="Times New Roman" w:eastAsia="Times New Roman" w:hAnsi="Times New Roman"/>
          <w:sz w:val="16"/>
          <w:szCs w:val="16"/>
          <w:color w:val="auto"/>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 could be material.</w:t>
      </w:r>
    </w:p>
    <w:p>
      <w:pPr>
        <w:spacing w:after="0" w:line="125" w:lineRule="exact"/>
        <w:rPr>
          <w:sz w:val="20"/>
          <w:szCs w:val="20"/>
          <w:color w:val="auto"/>
        </w:rPr>
      </w:pPr>
    </w:p>
    <w:p>
      <w:pPr>
        <w:ind w:right="140" w:firstLine="444"/>
        <w:spacing w:after="0" w:line="259" w:lineRule="auto"/>
        <w:rPr>
          <w:sz w:val="20"/>
          <w:szCs w:val="20"/>
          <w:color w:val="auto"/>
        </w:rPr>
      </w:pPr>
      <w:r>
        <w:rPr>
          <w:rFonts w:ascii="Times New Roman" w:cs="Times New Roman" w:eastAsia="Times New Roman" w:hAnsi="Times New Roman"/>
          <w:sz w:val="16"/>
          <w:szCs w:val="16"/>
          <w:color w:val="auto"/>
        </w:rPr>
        <w:t>With respect to investments for which market quotations are not readily available, our board of directors undertakes a multi-step valuation process each quarter, as described below:</w:t>
      </w:r>
    </w:p>
    <w:p>
      <w:pPr>
        <w:spacing w:after="0" w:line="107" w:lineRule="exact"/>
        <w:rPr>
          <w:sz w:val="20"/>
          <w:szCs w:val="20"/>
          <w:color w:val="auto"/>
        </w:rPr>
      </w:pPr>
    </w:p>
    <w:p>
      <w:pPr>
        <w:ind w:left="480" w:right="340"/>
        <w:spacing w:after="0" w:line="246" w:lineRule="auto"/>
        <w:rPr>
          <w:sz w:val="20"/>
          <w:szCs w:val="20"/>
          <w:color w:val="auto"/>
        </w:rPr>
      </w:pPr>
      <w:r>
        <w:rPr>
          <w:rFonts w:ascii="Times New Roman" w:cs="Times New Roman" w:eastAsia="Times New Roman" w:hAnsi="Times New Roman"/>
          <w:sz w:val="16"/>
          <w:szCs w:val="16"/>
          <w:color w:val="auto"/>
        </w:rPr>
        <w:t>•our quarterly valuation process begins with each portfolio company or investment being initially evaluated and rated by the investment professionals of the Investment Advisor responsible for the portfolio investment;</w:t>
      </w:r>
    </w:p>
    <w:p>
      <w:pPr>
        <w:ind w:left="480"/>
        <w:spacing w:after="0" w:line="236" w:lineRule="auto"/>
        <w:rPr>
          <w:sz w:val="20"/>
          <w:szCs w:val="20"/>
          <w:color w:val="auto"/>
        </w:rPr>
      </w:pPr>
      <w:r>
        <w:rPr>
          <w:rFonts w:ascii="Times New Roman" w:cs="Times New Roman" w:eastAsia="Times New Roman" w:hAnsi="Times New Roman"/>
          <w:sz w:val="16"/>
          <w:szCs w:val="16"/>
          <w:color w:val="auto"/>
        </w:rPr>
        <w:t>•preliminary valuation conclusions are then documented and discussed with the investment committee of the Investment Advisor;</w:t>
      </w:r>
    </w:p>
    <w:p>
      <w:pPr>
        <w:ind w:left="480"/>
        <w:spacing w:after="0" w:line="234" w:lineRule="auto"/>
        <w:rPr>
          <w:sz w:val="20"/>
          <w:szCs w:val="20"/>
          <w:color w:val="auto"/>
        </w:rPr>
      </w:pPr>
      <w:r>
        <w:rPr>
          <w:rFonts w:ascii="Times New Roman" w:cs="Times New Roman" w:eastAsia="Times New Roman" w:hAnsi="Times New Roman"/>
          <w:sz w:val="16"/>
          <w:szCs w:val="16"/>
          <w:color w:val="auto"/>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 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p>
      <w:pPr>
        <w:spacing w:after="0" w:line="4" w:lineRule="exact"/>
        <w:rPr>
          <w:sz w:val="20"/>
          <w:szCs w:val="20"/>
          <w:color w:val="auto"/>
        </w:rPr>
      </w:pPr>
    </w:p>
    <w:p>
      <w:pPr>
        <w:ind w:left="480" w:right="540"/>
        <w:spacing w:after="0" w:line="234" w:lineRule="auto"/>
        <w:rPr>
          <w:sz w:val="20"/>
          <w:szCs w:val="20"/>
          <w:color w:val="auto"/>
        </w:rPr>
      </w:pPr>
      <w:r>
        <w:rPr>
          <w:rFonts w:ascii="Times New Roman" w:cs="Times New Roman" w:eastAsia="Times New Roman" w:hAnsi="Times New Roman"/>
          <w:sz w:val="16"/>
          <w:szCs w:val="16"/>
          <w:color w:val="auto"/>
        </w:rPr>
        <w:t>•the audit committee of our board of directors reviews the preliminary valuations of the Investment Advisor and of the independent valuation firm(s) and responds and supplements the valuation recommendations to reflect any comments; and</w:t>
      </w:r>
    </w:p>
    <w:p>
      <w:pPr>
        <w:spacing w:after="0" w:line="1" w:lineRule="exact"/>
        <w:rPr>
          <w:sz w:val="20"/>
          <w:szCs w:val="20"/>
          <w:color w:val="auto"/>
        </w:rPr>
      </w:pPr>
    </w:p>
    <w:p>
      <w:pPr>
        <w:ind w:left="480" w:right="640"/>
        <w:spacing w:after="0" w:line="238" w:lineRule="auto"/>
        <w:rPr>
          <w:sz w:val="20"/>
          <w:szCs w:val="20"/>
          <w:color w:val="auto"/>
        </w:rPr>
      </w:pPr>
      <w:r>
        <w:rPr>
          <w:rFonts w:ascii="Times New Roman" w:cs="Times New Roman" w:eastAsia="Times New Roman" w:hAnsi="Times New Roman"/>
          <w:sz w:val="16"/>
          <w:szCs w:val="16"/>
          <w:color w:val="auto"/>
        </w:rPr>
        <w:t>•our board of directors discusses the valuations and determines the fair value of each investment in our portfolio in good faith, based on the input of the Investment Advisor, the independent valuation firm(s) and the audit committee.</w:t>
      </w:r>
    </w:p>
    <w:p>
      <w:pPr>
        <w:spacing w:after="0" w:line="121" w:lineRule="exact"/>
        <w:rPr>
          <w:sz w:val="20"/>
          <w:szCs w:val="20"/>
          <w:color w:val="auto"/>
        </w:rPr>
      </w:pPr>
    </w:p>
    <w:p>
      <w:pPr>
        <w:jc w:val="both"/>
        <w:ind w:right="60" w:firstLine="444"/>
        <w:spacing w:after="0" w:line="247" w:lineRule="auto"/>
        <w:rPr>
          <w:sz w:val="20"/>
          <w:szCs w:val="20"/>
          <w:color w:val="auto"/>
        </w:rPr>
      </w:pPr>
      <w:r>
        <w:rPr>
          <w:rFonts w:ascii="Times New Roman" w:cs="Times New Roman" w:eastAsia="Times New Roman" w:hAnsi="Times New Roman"/>
          <w:sz w:val="16"/>
          <w:szCs w:val="16"/>
          <w:color w:val="auto"/>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spacing w:after="0" w:line="116" w:lineRule="exact"/>
        <w:rPr>
          <w:sz w:val="20"/>
          <w:szCs w:val="20"/>
          <w:color w:val="auto"/>
        </w:rPr>
      </w:pPr>
    </w:p>
    <w:p>
      <w:pPr>
        <w:jc w:val="both"/>
        <w:ind w:right="380" w:firstLine="444"/>
        <w:spacing w:after="0" w:line="247" w:lineRule="auto"/>
        <w:rPr>
          <w:sz w:val="20"/>
          <w:szCs w:val="20"/>
          <w:color w:val="auto"/>
        </w:rPr>
      </w:pPr>
      <w:r>
        <w:rPr>
          <w:rFonts w:ascii="Times New Roman" w:cs="Times New Roman" w:eastAsia="Times New Roman" w:hAnsi="Times New Roman"/>
          <w:sz w:val="16"/>
          <w:szCs w:val="16"/>
          <w:color w:val="auto"/>
        </w:rPr>
        <w:t>Our Board consulted with the independent third -party valuation firm(s) in arriving at our determination of fair value for 18 and 18 of our portfolio company investments representing 27.7% and 29.9% of the total portfolio investments at fair value (exclusive of new portfolio company investments made during the three months ended September 30, 2024 and December 31, 2023, respectively) as of September 30, 2024 and December 31, 2023, respectively.</w:t>
      </w:r>
    </w:p>
    <w:p>
      <w:pPr>
        <w:spacing w:after="0" w:line="116" w:lineRule="exact"/>
        <w:rPr>
          <w:sz w:val="20"/>
          <w:szCs w:val="20"/>
          <w:color w:val="auto"/>
        </w:rPr>
      </w:pPr>
    </w:p>
    <w:p>
      <w:pPr>
        <w:ind w:right="120" w:firstLine="444"/>
        <w:spacing w:after="0" w:line="238" w:lineRule="auto"/>
        <w:rPr>
          <w:sz w:val="20"/>
          <w:szCs w:val="20"/>
          <w:color w:val="auto"/>
        </w:rPr>
      </w:pPr>
      <w:r>
        <w:rPr>
          <w:rFonts w:ascii="Times New Roman" w:cs="Times New Roman" w:eastAsia="Times New Roman" w:hAnsi="Times New Roman"/>
          <w:sz w:val="16"/>
          <w:szCs w:val="16"/>
          <w:color w:val="auto"/>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8" w:name="page59"/>
    <w:bookmarkEnd w:id="58"/>
    <w:p>
      <w:pPr>
        <w:spacing w:after="0" w:line="17" w:lineRule="exact"/>
        <w:rPr>
          <w:sz w:val="20"/>
          <w:szCs w:val="20"/>
          <w:color w:val="auto"/>
        </w:rPr>
      </w:pPr>
    </w:p>
    <w:p>
      <w:pPr>
        <w:ind w:right="220" w:firstLine="444"/>
        <w:spacing w:after="0" w:line="247" w:lineRule="auto"/>
        <w:rPr>
          <w:sz w:val="20"/>
          <w:szCs w:val="20"/>
          <w:color w:val="auto"/>
        </w:rPr>
      </w:pPr>
      <w:r>
        <w:rPr>
          <w:rFonts w:ascii="Times New Roman" w:cs="Times New Roman" w:eastAsia="Times New Roman" w:hAnsi="Times New Roman"/>
          <w:sz w:val="16"/>
          <w:szCs w:val="16"/>
          <w:color w:val="auto"/>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p>
    <w:p>
      <w:pPr>
        <w:spacing w:after="0" w:line="116" w:lineRule="exact"/>
        <w:rPr>
          <w:sz w:val="20"/>
          <w:szCs w:val="20"/>
          <w:color w:val="auto"/>
        </w:rPr>
      </w:pPr>
    </w:p>
    <w:p>
      <w:pPr>
        <w:ind w:right="60" w:firstLine="444"/>
        <w:spacing w:after="0" w:line="237" w:lineRule="auto"/>
        <w:rPr>
          <w:sz w:val="20"/>
          <w:szCs w:val="20"/>
          <w:color w:val="auto"/>
        </w:rPr>
      </w:pPr>
      <w:r>
        <w:rPr>
          <w:rFonts w:ascii="Times New Roman" w:cs="Times New Roman" w:eastAsia="Times New Roman" w:hAnsi="Times New Roman"/>
          <w:sz w:val="16"/>
          <w:szCs w:val="16"/>
          <w:color w:val="auto"/>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spacing w:after="0" w:line="123" w:lineRule="exact"/>
        <w:rPr>
          <w:sz w:val="20"/>
          <w:szCs w:val="20"/>
          <w:color w:val="auto"/>
        </w:rPr>
      </w:pPr>
    </w:p>
    <w:p>
      <w:pPr>
        <w:ind w:right="40" w:firstLine="444"/>
        <w:spacing w:after="0" w:line="239" w:lineRule="auto"/>
        <w:rPr>
          <w:sz w:val="20"/>
          <w:szCs w:val="20"/>
          <w:color w:val="auto"/>
        </w:rPr>
      </w:pPr>
      <w:r>
        <w:rPr>
          <w:rFonts w:ascii="Times New Roman" w:cs="Times New Roman" w:eastAsia="Times New Roman" w:hAnsi="Times New Roman"/>
          <w:sz w:val="16"/>
          <w:szCs w:val="16"/>
          <w:color w:val="auto"/>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spacing w:after="0" w:line="125" w:lineRule="exact"/>
        <w:rPr>
          <w:sz w:val="20"/>
          <w:szCs w:val="20"/>
          <w:color w:val="auto"/>
        </w:rPr>
      </w:pPr>
    </w:p>
    <w:p>
      <w:pPr>
        <w:ind w:firstLine="444"/>
        <w:spacing w:after="0" w:line="284" w:lineRule="auto"/>
        <w:rPr>
          <w:sz w:val="20"/>
          <w:szCs w:val="20"/>
          <w:color w:val="auto"/>
        </w:rPr>
      </w:pPr>
      <w:r>
        <w:rPr>
          <w:rFonts w:ascii="Times New Roman" w:cs="Times New Roman" w:eastAsia="Times New Roman" w:hAnsi="Times New Roman"/>
          <w:sz w:val="14"/>
          <w:szCs w:val="14"/>
          <w:color w:val="auto"/>
        </w:rPr>
        <w:t>We may also utilize an income approach when estimating the fair value of our equity investments,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spacing w:after="0" w:line="92" w:lineRule="exact"/>
        <w:rPr>
          <w:sz w:val="20"/>
          <w:szCs w:val="20"/>
          <w:color w:val="auto"/>
        </w:rPr>
      </w:pPr>
    </w:p>
    <w:p>
      <w:pPr>
        <w:ind w:right="40" w:firstLine="444"/>
        <w:spacing w:after="0" w:line="259" w:lineRule="auto"/>
        <w:rPr>
          <w:sz w:val="20"/>
          <w:szCs w:val="20"/>
          <w:color w:val="auto"/>
        </w:rPr>
      </w:pPr>
      <w:r>
        <w:rPr>
          <w:rFonts w:ascii="Times New Roman" w:cs="Times New Roman" w:eastAsia="Times New Roman" w:hAnsi="Times New Roman"/>
          <w:sz w:val="16"/>
          <w:szCs w:val="16"/>
          <w:color w:val="auto"/>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Transfers of Financial Assets</w:t>
      </w:r>
    </w:p>
    <w:p>
      <w:pPr>
        <w:spacing w:after="0" w:line="142" w:lineRule="exact"/>
        <w:rPr>
          <w:sz w:val="20"/>
          <w:szCs w:val="20"/>
          <w:color w:val="auto"/>
        </w:rPr>
      </w:pPr>
    </w:p>
    <w:p>
      <w:pPr>
        <w:ind w:right="140" w:firstLine="432"/>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Partial loan and equity sales. </w:t>
      </w:r>
      <w:r>
        <w:rPr>
          <w:rFonts w:ascii="Times New Roman" w:cs="Times New Roman" w:eastAsia="Times New Roman" w:hAnsi="Times New Roman"/>
          <w:sz w:val="16"/>
          <w:szCs w:val="16"/>
          <w:color w:val="auto"/>
        </w:rPr>
        <w:t>We follow the guidance in ASC 860,</w:t>
      </w:r>
      <w:r>
        <w:rPr>
          <w:rFonts w:ascii="Times New Roman" w:cs="Times New Roman" w:eastAsia="Times New Roman" w:hAnsi="Times New Roman"/>
          <w:sz w:val="16"/>
          <w:szCs w:val="16"/>
          <w:i w:val="1"/>
          <w:iCs w:val="1"/>
          <w:color w:val="auto"/>
        </w:rPr>
        <w:t xml:space="preserve"> Transfers and Servicing, </w:t>
      </w:r>
      <w:r>
        <w:rPr>
          <w:rFonts w:ascii="Times New Roman" w:cs="Times New Roman" w:eastAsia="Times New Roman" w:hAnsi="Times New Roman"/>
          <w:sz w:val="16"/>
          <w:szCs w:val="16"/>
          <w:color w:val="auto"/>
        </w:rPr>
        <w:t>when accounting for loan (debt investment) participations,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Standard</w:t>
      </w:r>
    </w:p>
    <w:p>
      <w:pPr>
        <w:spacing w:after="0" w:line="142" w:lineRule="exact"/>
        <w:rPr>
          <w:sz w:val="20"/>
          <w:szCs w:val="20"/>
          <w:color w:val="auto"/>
        </w:rPr>
      </w:pPr>
    </w:p>
    <w:p>
      <w:pPr>
        <w:ind w:right="100" w:firstLine="444"/>
        <w:spacing w:after="0" w:line="241" w:lineRule="auto"/>
        <w:rPr>
          <w:sz w:val="20"/>
          <w:szCs w:val="20"/>
          <w:color w:val="auto"/>
        </w:rPr>
      </w:pPr>
      <w:r>
        <w:rPr>
          <w:rFonts w:ascii="Times New Roman" w:cs="Times New Roman" w:eastAsia="Times New Roman" w:hAnsi="Times New Roman"/>
          <w:sz w:val="16"/>
          <w:szCs w:val="16"/>
          <w:color w:val="auto"/>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We are currently evaluating the impact this ASU will have on our consolidated financial position or disclosures, but we do not expect the impact to be material.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have entered into a number of business relationships with affiliated or related parties, including the following:</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9" w:name="page60"/>
    <w:bookmarkEnd w:id="59"/>
    <w:p>
      <w:pPr>
        <w:ind w:left="480" w:right="20"/>
        <w:spacing w:after="0" w:line="238" w:lineRule="auto"/>
        <w:rPr>
          <w:sz w:val="20"/>
          <w:szCs w:val="20"/>
          <w:color w:val="auto"/>
        </w:rPr>
      </w:pPr>
      <w:r>
        <w:rPr>
          <w:rFonts w:ascii="Times New Roman" w:cs="Times New Roman" w:eastAsia="Times New Roman" w:hAnsi="Times New Roman"/>
          <w:sz w:val="16"/>
          <w:szCs w:val="16"/>
          <w:color w:val="auto"/>
        </w:rPr>
        <w:t>•We have entered into the Investment Advisory Agreement with Fidus Investment Advisors as our investment advisor. Pursuant to the agreement, the Investment Advisor manages our day-to- day operating and investing activities. We pay the Investment Advisor a fee for its services under the Investment Advisory Agreement consisting of two components — a base management fee and an incentive fee. See Note 5 to our consolidated financial statements. The Investment Advisor, in consultation with the Board, agreed to voluntarily waive $0.1 million and $0.2 million of the base management fees on any assets accounted for as secured borrowings as defined under GAAP for the three and nine months ended September 30, 2024, respectively, and $0.1 million and $0.2 million for the three and nine months ended September 30, 2023, respectively.</w:t>
      </w:r>
    </w:p>
    <w:p>
      <w:pPr>
        <w:spacing w:after="0" w:line="4" w:lineRule="exact"/>
        <w:rPr>
          <w:sz w:val="20"/>
          <w:szCs w:val="20"/>
          <w:color w:val="auto"/>
        </w:rPr>
      </w:pPr>
    </w:p>
    <w:p>
      <w:pPr>
        <w:ind w:left="480" w:right="520"/>
        <w:spacing w:after="0" w:line="234" w:lineRule="auto"/>
        <w:rPr>
          <w:sz w:val="20"/>
          <w:szCs w:val="20"/>
          <w:color w:val="auto"/>
        </w:rPr>
      </w:pPr>
      <w:r>
        <w:rPr>
          <w:rFonts w:ascii="Times New Roman" w:cs="Times New Roman" w:eastAsia="Times New Roman" w:hAnsi="Times New Roman"/>
          <w:sz w:val="16"/>
          <w:szCs w:val="16"/>
          <w:color w:val="auto"/>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spacing w:after="0" w:line="1" w:lineRule="exact"/>
        <w:rPr>
          <w:sz w:val="20"/>
          <w:szCs w:val="20"/>
          <w:color w:val="auto"/>
        </w:rPr>
      </w:pPr>
    </w:p>
    <w:p>
      <w:pPr>
        <w:ind w:left="480" w:right="140"/>
        <w:spacing w:after="0" w:line="234" w:lineRule="auto"/>
        <w:rPr>
          <w:sz w:val="20"/>
          <w:szCs w:val="20"/>
          <w:color w:val="auto"/>
        </w:rPr>
      </w:pPr>
      <w:r>
        <w:rPr>
          <w:rFonts w:ascii="Times New Roman" w:cs="Times New Roman" w:eastAsia="Times New Roman" w:hAnsi="Times New Roman"/>
          <w:sz w:val="16"/>
          <w:szCs w:val="16"/>
          <w:color w:val="auto"/>
        </w:rPr>
        <w:t>•We entered into the Administration Agreement with Fidus Investment Advisors to provide us with the office facilities and administrative services necessary to conduct day-to-day operations. See Note 5 to our consolidated financial statements.</w:t>
      </w:r>
    </w:p>
    <w:p>
      <w:pPr>
        <w:spacing w:after="0" w:line="1" w:lineRule="exact"/>
        <w:rPr>
          <w:sz w:val="20"/>
          <w:szCs w:val="20"/>
          <w:color w:val="auto"/>
        </w:rPr>
      </w:pPr>
    </w:p>
    <w:p>
      <w:pPr>
        <w:ind w:left="480"/>
        <w:spacing w:after="0" w:line="238" w:lineRule="auto"/>
        <w:rPr>
          <w:sz w:val="20"/>
          <w:szCs w:val="20"/>
          <w:color w:val="auto"/>
        </w:rPr>
      </w:pPr>
      <w:r>
        <w:rPr>
          <w:rFonts w:ascii="Times New Roman" w:cs="Times New Roman" w:eastAsia="Times New Roman" w:hAnsi="Times New Roman"/>
          <w:sz w:val="16"/>
          <w:szCs w:val="16"/>
          <w:color w:val="auto"/>
        </w:rPr>
        <w:t>•We entered into a license agreement with Fidus Partners, LLC, pursuant to which Fidus Partners, LLC has granted us a non-exclusive, royalty-free license to use the name “Fidus.”</w:t>
      </w:r>
    </w:p>
    <w:p>
      <w:pPr>
        <w:spacing w:after="0" w:line="121" w:lineRule="exact"/>
        <w:rPr>
          <w:sz w:val="20"/>
          <w:szCs w:val="20"/>
          <w:color w:val="auto"/>
        </w:rPr>
      </w:pPr>
    </w:p>
    <w:p>
      <w:pPr>
        <w:jc w:val="both"/>
        <w:ind w:right="80" w:firstLine="444"/>
        <w:spacing w:after="0" w:line="243" w:lineRule="auto"/>
        <w:rPr>
          <w:sz w:val="20"/>
          <w:szCs w:val="20"/>
          <w:color w:val="auto"/>
        </w:rPr>
      </w:pPr>
      <w:r>
        <w:rPr>
          <w:rFonts w:ascii="Times New Roman" w:cs="Times New Roman" w:eastAsia="Times New Roman" w:hAnsi="Times New Roman"/>
          <w:sz w:val="16"/>
          <w:szCs w:val="16"/>
          <w:color w:val="auto"/>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the SBIC Funds and any future SBIC subsidiary from the definition of senior securities in the asset coverage requirement applicable to the Company under the 1940 Act.</w:t>
      </w:r>
    </w:p>
    <w:p>
      <w:pPr>
        <w:spacing w:after="0" w:line="119" w:lineRule="exact"/>
        <w:rPr>
          <w:sz w:val="20"/>
          <w:szCs w:val="20"/>
          <w:color w:val="auto"/>
        </w:rPr>
      </w:pPr>
    </w:p>
    <w:p>
      <w:pPr>
        <w:ind w:right="140" w:firstLine="444"/>
        <w:spacing w:after="0" w:line="276" w:lineRule="auto"/>
        <w:rPr>
          <w:sz w:val="20"/>
          <w:szCs w:val="20"/>
          <w:color w:val="auto"/>
        </w:rPr>
      </w:pPr>
      <w:r>
        <w:rPr>
          <w:rFonts w:ascii="Times New Roman" w:cs="Times New Roman" w:eastAsia="Times New Roman" w:hAnsi="Times New Roman"/>
          <w:sz w:val="14"/>
          <w:szCs w:val="14"/>
          <w:color w:val="auto"/>
        </w:rPr>
        <w:t>While we may co-invest with investment entities managed by the Investment Advisor or its affiliates, to the extent permitted by the 1940 Act and the rules and regulations thereunder, the 1940 Act imposes significant limits on co-investment. On January 4, 2017, the SEC staff has granted us relief sought in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spacing w:after="0" w:line="283" w:lineRule="exact"/>
        <w:rPr>
          <w:sz w:val="20"/>
          <w:szCs w:val="20"/>
          <w:color w:val="auto"/>
        </w:rPr>
      </w:pPr>
    </w:p>
    <w:p>
      <w:pPr>
        <w:ind w:right="20" w:firstLine="444"/>
        <w:spacing w:after="0" w:line="241" w:lineRule="auto"/>
        <w:rPr>
          <w:sz w:val="20"/>
          <w:szCs w:val="20"/>
          <w:color w:val="auto"/>
        </w:rPr>
      </w:pPr>
      <w:r>
        <w:rPr>
          <w:rFonts w:ascii="Times New Roman" w:cs="Times New Roman" w:eastAsia="Times New Roman" w:hAnsi="Times New Roman"/>
          <w:sz w:val="16"/>
          <w:szCs w:val="16"/>
          <w:color w:val="auto"/>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42" w:lineRule="exact"/>
        <w:rPr>
          <w:sz w:val="20"/>
          <w:szCs w:val="20"/>
          <w:color w:val="auto"/>
        </w:rPr>
      </w:pPr>
    </w:p>
    <w:p>
      <w:pPr>
        <w:ind w:right="340" w:firstLine="444"/>
        <w:spacing w:after="0" w:line="259" w:lineRule="auto"/>
        <w:rPr>
          <w:sz w:val="20"/>
          <w:szCs w:val="20"/>
          <w:color w:val="auto"/>
        </w:rPr>
      </w:pPr>
      <w:r>
        <w:rPr>
          <w:rFonts w:ascii="Times New Roman" w:cs="Times New Roman" w:eastAsia="Times New Roman" w:hAnsi="Times New Roman"/>
          <w:sz w:val="16"/>
          <w:szCs w:val="16"/>
          <w:color w:val="auto"/>
        </w:rPr>
        <w:t>On October 1, 2024, we invested $6.3 million in first lien debt and common equity in Estex Manufacturing Company, LLC, a branded manufacturer of sewn products used in the utility, airline / aerospace, sports, and military end markets.</w:t>
      </w:r>
    </w:p>
    <w:p>
      <w:pPr>
        <w:spacing w:after="0" w:line="107" w:lineRule="exact"/>
        <w:rPr>
          <w:sz w:val="20"/>
          <w:szCs w:val="20"/>
          <w:color w:val="auto"/>
        </w:rPr>
      </w:pPr>
    </w:p>
    <w:p>
      <w:pPr>
        <w:ind w:right="260" w:firstLine="444"/>
        <w:spacing w:after="0" w:line="259" w:lineRule="auto"/>
        <w:rPr>
          <w:sz w:val="20"/>
          <w:szCs w:val="20"/>
          <w:color w:val="auto"/>
        </w:rPr>
      </w:pPr>
      <w:r>
        <w:rPr>
          <w:rFonts w:ascii="Times New Roman" w:cs="Times New Roman" w:eastAsia="Times New Roman" w:hAnsi="Times New Roman"/>
          <w:sz w:val="16"/>
          <w:szCs w:val="16"/>
          <w:color w:val="auto"/>
        </w:rPr>
        <w:t>On October 11, 2024, we exited our debt investment in US Fertility Enterprises, LLC. We received payment in full of $15.2 million on our subordinated debt, which included a prepayment fee.</w:t>
      </w:r>
    </w:p>
    <w:p>
      <w:pPr>
        <w:spacing w:after="0" w:line="107" w:lineRule="exact"/>
        <w:rPr>
          <w:sz w:val="20"/>
          <w:szCs w:val="20"/>
          <w:color w:val="auto"/>
        </w:rPr>
      </w:pPr>
    </w:p>
    <w:p>
      <w:pPr>
        <w:ind w:right="120" w:firstLine="444"/>
        <w:spacing w:after="0" w:line="259" w:lineRule="auto"/>
        <w:rPr>
          <w:sz w:val="20"/>
          <w:szCs w:val="20"/>
          <w:color w:val="auto"/>
        </w:rPr>
      </w:pPr>
      <w:r>
        <w:rPr>
          <w:rFonts w:ascii="Times New Roman" w:cs="Times New Roman" w:eastAsia="Times New Roman" w:hAnsi="Times New Roman"/>
          <w:sz w:val="16"/>
          <w:szCs w:val="16"/>
          <w:color w:val="auto"/>
        </w:rPr>
        <w:t>On October 24, 2024, we exited our debt investment in Sonicwall US Holdings, Inc. We received payment of $3.3 million on our second lien debt, resulting in a realized loss of $0.1 million.</w:t>
      </w:r>
    </w:p>
    <w:p>
      <w:pPr>
        <w:spacing w:after="0" w:line="107" w:lineRule="exact"/>
        <w:rPr>
          <w:sz w:val="20"/>
          <w:szCs w:val="20"/>
          <w:color w:val="auto"/>
        </w:rPr>
      </w:pPr>
    </w:p>
    <w:p>
      <w:pPr>
        <w:ind w:right="80" w:firstLine="444"/>
        <w:spacing w:after="0" w:line="259" w:lineRule="auto"/>
        <w:rPr>
          <w:sz w:val="20"/>
          <w:szCs w:val="20"/>
          <w:color w:val="auto"/>
        </w:rPr>
      </w:pPr>
      <w:r>
        <w:rPr>
          <w:rFonts w:ascii="Times New Roman" w:cs="Times New Roman" w:eastAsia="Times New Roman" w:hAnsi="Times New Roman"/>
          <w:sz w:val="16"/>
          <w:szCs w:val="16"/>
          <w:color w:val="auto"/>
        </w:rPr>
        <w:t>On October 25, 2024, we invested $14.8 million in first lien debt and common equity in Axis Medical Technologies LLC (dba Movemedical), a leading provider of last-mile supply chain software solutions to medical device OEMs.</w:t>
      </w:r>
    </w:p>
    <w:p>
      <w:pPr>
        <w:spacing w:after="0" w:line="107" w:lineRule="exact"/>
        <w:rPr>
          <w:sz w:val="20"/>
          <w:szCs w:val="20"/>
          <w:color w:val="auto"/>
        </w:rPr>
      </w:pPr>
    </w:p>
    <w:p>
      <w:pPr>
        <w:ind w:right="200" w:firstLine="444"/>
        <w:spacing w:after="0" w:line="259" w:lineRule="auto"/>
        <w:rPr>
          <w:sz w:val="20"/>
          <w:szCs w:val="20"/>
          <w:color w:val="auto"/>
        </w:rPr>
      </w:pPr>
      <w:r>
        <w:rPr>
          <w:rFonts w:ascii="Times New Roman" w:cs="Times New Roman" w:eastAsia="Times New Roman" w:hAnsi="Times New Roman"/>
          <w:sz w:val="16"/>
          <w:szCs w:val="16"/>
          <w:color w:val="auto"/>
        </w:rPr>
        <w:t>On October 28, 2024, our Board declared a regular quarterly dividend of $0.43 per share and a supplemental dividend of $0.18 per share payable on December 27, 2024, to stockholders of record as of December 17, 2024.</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3" w:right="66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42" w:lineRule="exact"/>
        <w:rPr>
          <w:sz w:val="20"/>
          <w:szCs w:val="20"/>
          <w:color w:val="auto"/>
        </w:rPr>
      </w:pPr>
    </w:p>
    <w:p>
      <w:pPr>
        <w:ind w:right="40" w:firstLine="444"/>
        <w:spacing w:after="0" w:line="238" w:lineRule="auto"/>
        <w:rPr>
          <w:sz w:val="20"/>
          <w:szCs w:val="20"/>
          <w:color w:val="auto"/>
        </w:rPr>
      </w:pPr>
      <w:r>
        <w:rPr>
          <w:rFonts w:ascii="Times New Roman" w:cs="Times New Roman" w:eastAsia="Times New Roman" w:hAnsi="Times New Roman"/>
          <w:sz w:val="16"/>
          <w:szCs w:val="16"/>
          <w:color w:val="auto"/>
        </w:rPr>
        <w:t>We are subject to financial market risks, including changes in interest rates. Changes in interest rates affect both our cost of funding and the valuation of our investment portfolio. Uncertainty with respect to elevated interest rates, inflationary pressures, the Russia-Ukraine war and the conflict in the Middle East and the failure of financial institutions introduced significant volatility in the financial markets, and the effects of this volatility has materially impacted and could continue to materially impact our market risks.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overall market changes, including an increase in market volatility; legislative reform; local, regional, national or global political, social or economic instability; and interest rate volatility.</w:t>
      </w:r>
    </w:p>
    <w:p>
      <w:pPr>
        <w:spacing w:after="0" w:line="125" w:lineRule="exact"/>
        <w:rPr>
          <w:sz w:val="20"/>
          <w:szCs w:val="20"/>
          <w:color w:val="auto"/>
        </w:rPr>
      </w:pPr>
    </w:p>
    <w:p>
      <w:pPr>
        <w:ind w:right="20" w:firstLine="444"/>
        <w:spacing w:after="0" w:line="237" w:lineRule="auto"/>
        <w:rPr>
          <w:sz w:val="20"/>
          <w:szCs w:val="20"/>
          <w:color w:val="auto"/>
        </w:rPr>
      </w:pPr>
      <w:r>
        <w:rPr>
          <w:rFonts w:ascii="Times New Roman" w:cs="Times New Roman" w:eastAsia="Times New Roman" w:hAnsi="Times New Roman"/>
          <w:sz w:val="16"/>
          <w:szCs w:val="16"/>
          <w:color w:val="auto"/>
        </w:rPr>
        <w:t>In the future, our investment income may also be affected by changes in various interest rates, including SOFR and prime rates, to the extent of any debt investments that include floating interest rates. Since March 2022, the Federal Reserve has been rapidly raising interest rates bringing it up to 5.25% to 5.50% range. The Federal Reserve cut its benchmark rate in the third quarter to a range of 4.75% to 5.00%. Although the Federal Reserve cut its benchmark rate for the first time since March 2020 and indicated there may be additional rate cuts in 2024, future reductions to the benchmark rates are not certain. In a high interest rate environment, our cost of funds would increase, which could reduce our net investment income if there is not a corresponding increase in interest income generated by our investment portfolio. It is possible that the Federal Reserve's tightening cycle could result the United States into a recession, which would likely decrease interest rates. Conversely, a prolonged reduction in interest rates will reduce our gross investment income and could result in a decrease in our net investment income if such decreases in base rates, such as SOFR are not offset by a corresponding increase in the spread over such base rate that we earn on any portfolio investments, a decrease in in our operating expenses, including with respect to our income incentive fee, or a decrease in the interest rate of our floating interest rate liabilities tied to such base rate. See Risk Factors contained herein under Part II, Item 1A and in our Annual Report on Form 10-K for the year ended December 31, 2023, such as "Changes in interest rates will affect our cost of capital and net investment income” and “Inflation may adversely affect the business, results of operations and financial condition of our portfolio companies, which may, in turn, impact the valuation of such portfolio companies.”</w:t>
      </w:r>
    </w:p>
    <w:p>
      <w:pPr>
        <w:spacing w:after="0" w:line="124" w:lineRule="exact"/>
        <w:rPr>
          <w:sz w:val="20"/>
          <w:szCs w:val="20"/>
          <w:color w:val="auto"/>
        </w:rPr>
      </w:pPr>
    </w:p>
    <w:p>
      <w:pPr>
        <w:ind w:right="40" w:firstLine="444"/>
        <w:spacing w:after="0" w:line="276" w:lineRule="auto"/>
        <w:rPr>
          <w:sz w:val="20"/>
          <w:szCs w:val="20"/>
          <w:color w:val="auto"/>
        </w:rPr>
      </w:pPr>
      <w:r>
        <w:rPr>
          <w:rFonts w:ascii="Times New Roman" w:cs="Times New Roman" w:eastAsia="Times New Roman" w:hAnsi="Times New Roman"/>
          <w:sz w:val="14"/>
          <w:szCs w:val="14"/>
          <w:color w:val="auto"/>
        </w:rPr>
        <w:t>As of September 30, 2024 and December 31, 2023, the debt investments in 49 and 46 portfolio companies, respectively, bore interest at a variable rate, which represented $702.0 million, or 73.2%, and $629.3 million, or 75.6%,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2.675% on SOFR loans prior to satisfying certain step-down conditions (or 2.50% after satisfying certain step-down conditions, with commensurate reductions in the applicable margins for base rate loans). 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Agreement relating to the Credit Facility contains certain covenants, including a minimum asset coverage ratio of 1.50 to 1.00 (on a regulatory basis) and a senior asset coverage ratio of no less than 2.00 to 1.00. As of September 30, 2024, the Credit Facility is secured by a first priority security interest in all of our assets, excluding the assets of the SBIC Funds.</w:t>
      </w:r>
    </w:p>
    <w:p>
      <w:pPr>
        <w:spacing w:after="0" w:line="319" w:lineRule="exact"/>
        <w:rPr>
          <w:sz w:val="20"/>
          <w:szCs w:val="20"/>
          <w:color w:val="auto"/>
        </w:rPr>
      </w:pPr>
    </w:p>
    <w:p>
      <w:pPr>
        <w:jc w:val="both"/>
        <w:ind w:firstLine="444"/>
        <w:spacing w:after="0" w:line="247" w:lineRule="auto"/>
        <w:rPr>
          <w:sz w:val="20"/>
          <w:szCs w:val="20"/>
          <w:color w:val="auto"/>
        </w:rPr>
      </w:pPr>
      <w:r>
        <w:rPr>
          <w:rFonts w:ascii="Times New Roman" w:cs="Times New Roman" w:eastAsia="Times New Roman" w:hAnsi="Times New Roman"/>
          <w:sz w:val="16"/>
          <w:szCs w:val="16"/>
          <w:color w:val="auto"/>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w:t>
      </w:r>
    </w:p>
    <w:p>
      <w:pPr>
        <w:spacing w:after="0" w:line="152" w:lineRule="exact"/>
        <w:rPr>
          <w:sz w:val="20"/>
          <w:szCs w:val="20"/>
          <w:color w:val="auto"/>
        </w:rPr>
      </w:pPr>
    </w:p>
    <w:p>
      <w:pPr>
        <w:ind w:right="80" w:firstLine="444"/>
        <w:spacing w:after="0" w:line="259" w:lineRule="auto"/>
        <w:rPr>
          <w:sz w:val="20"/>
          <w:szCs w:val="20"/>
          <w:color w:val="auto"/>
        </w:rPr>
      </w:pPr>
      <w:r>
        <w:rPr>
          <w:rFonts w:ascii="Times New Roman" w:cs="Times New Roman" w:eastAsia="Times New Roman" w:hAnsi="Times New Roman"/>
          <w:sz w:val="16"/>
          <w:szCs w:val="16"/>
          <w:color w:val="auto"/>
        </w:rPr>
        <w:t>The following table shows the approximate annualized increase or decrease in the components of net investment income due to hypothetical base rate changes in interest rates, assuming no changes in our investments and borrowings as of September 30, 2024 (dollars in millions):</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ind w:right="294"/>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280" w:type="dxa"/>
            <w:vAlign w:val="bottom"/>
          </w:tcPr>
          <w:p>
            <w:pPr>
              <w:spacing w:after="0"/>
              <w:rPr>
                <w:sz w:val="15"/>
                <w:szCs w:val="15"/>
                <w:color w:val="auto"/>
              </w:rPr>
            </w:pPr>
          </w:p>
        </w:tc>
        <w:tc>
          <w:tcPr>
            <w:tcW w:w="1460" w:type="dxa"/>
            <w:vAlign w:val="bottom"/>
          </w:tcPr>
          <w:p>
            <w:pPr>
              <w:jc w:val="center"/>
              <w:ind w:right="254"/>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ind w:right="294"/>
              <w:spacing w:after="0"/>
              <w:rPr>
                <w:sz w:val="20"/>
                <w:szCs w:val="20"/>
                <w:color w:val="auto"/>
              </w:rPr>
            </w:pPr>
            <w:r>
              <w:rPr>
                <w:rFonts w:ascii="Times New Roman" w:cs="Times New Roman" w:eastAsia="Times New Roman" w:hAnsi="Times New Roman"/>
                <w:sz w:val="13"/>
                <w:szCs w:val="13"/>
                <w:b w:val="1"/>
                <w:bCs w:val="1"/>
                <w:color w:val="auto"/>
              </w:rPr>
              <w:t>Increase</w:t>
            </w:r>
          </w:p>
        </w:tc>
        <w:tc>
          <w:tcPr>
            <w:tcW w:w="280" w:type="dxa"/>
            <w:vAlign w:val="bottom"/>
          </w:tcPr>
          <w:p>
            <w:pPr>
              <w:spacing w:after="0"/>
              <w:rPr>
                <w:sz w:val="15"/>
                <w:szCs w:val="15"/>
                <w:color w:val="auto"/>
              </w:rPr>
            </w:pPr>
          </w:p>
        </w:tc>
        <w:tc>
          <w:tcPr>
            <w:tcW w:w="1460" w:type="dxa"/>
            <w:vAlign w:val="bottom"/>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rPr>
              <w:t>Increase</w:t>
            </w:r>
          </w:p>
        </w:tc>
        <w:tc>
          <w:tcPr>
            <w:tcW w:w="320" w:type="dxa"/>
            <w:vAlign w:val="bottom"/>
          </w:tcPr>
          <w:p>
            <w:pPr>
              <w:spacing w:after="0"/>
              <w:rPr>
                <w:sz w:val="15"/>
                <w:szCs w:val="15"/>
                <w:color w:val="auto"/>
              </w:rPr>
            </w:pPr>
          </w:p>
        </w:tc>
        <w:tc>
          <w:tcPr>
            <w:tcW w:w="140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Net Increase</w:t>
            </w:r>
          </w:p>
        </w:tc>
        <w:tc>
          <w:tcPr>
            <w:tcW w:w="280" w:type="dxa"/>
            <w:vAlign w:val="bottom"/>
          </w:tcPr>
          <w:p>
            <w:pPr>
              <w:spacing w:after="0"/>
              <w:rPr>
                <w:sz w:val="15"/>
                <w:szCs w:val="15"/>
                <w:color w:val="auto"/>
              </w:rPr>
            </w:pPr>
          </w:p>
        </w:tc>
        <w:tc>
          <w:tcPr>
            <w:tcW w:w="136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Net Investment</w:t>
            </w:r>
          </w:p>
        </w:tc>
        <w:tc>
          <w:tcPr>
            <w:tcW w:w="0" w:type="dxa"/>
            <w:vAlign w:val="bottom"/>
          </w:tcPr>
          <w:p>
            <w:pPr>
              <w:spacing w:after="0"/>
              <w:rPr>
                <w:sz w:val="1"/>
                <w:szCs w:val="1"/>
                <w:color w:val="auto"/>
              </w:rPr>
            </w:pPr>
          </w:p>
        </w:tc>
      </w:tr>
      <w:tr>
        <w:trPr>
          <w:trHeight w:val="193"/>
        </w:trPr>
        <w:tc>
          <w:tcPr>
            <w:tcW w:w="3680" w:type="dxa"/>
            <w:vAlign w:val="bottom"/>
          </w:tcPr>
          <w:p>
            <w:pPr>
              <w:jc w:val="right"/>
              <w:ind w:right="1834"/>
              <w:spacing w:after="0"/>
              <w:rPr>
                <w:sz w:val="20"/>
                <w:szCs w:val="20"/>
                <w:color w:val="auto"/>
              </w:rPr>
            </w:pPr>
            <w:r>
              <w:rPr>
                <w:rFonts w:ascii="Times New Roman" w:cs="Times New Roman" w:eastAsia="Times New Roman" w:hAnsi="Times New Roman"/>
                <w:sz w:val="13"/>
                <w:szCs w:val="13"/>
                <w:b w:val="1"/>
                <w:bCs w:val="1"/>
                <w:color w:val="auto"/>
              </w:rPr>
              <w:t>Basis Point Increase (Decrease)</w:t>
            </w:r>
          </w:p>
        </w:tc>
        <w:tc>
          <w:tcPr>
            <w:tcW w:w="300" w:type="dxa"/>
            <w:vAlign w:val="bottom"/>
          </w:tcPr>
          <w:p>
            <w:pPr>
              <w:spacing w:after="0"/>
              <w:rPr>
                <w:sz w:val="16"/>
                <w:szCs w:val="16"/>
                <w:color w:val="auto"/>
              </w:rPr>
            </w:pPr>
          </w:p>
        </w:tc>
        <w:tc>
          <w:tcPr>
            <w:tcW w:w="1480" w:type="dxa"/>
            <w:vAlign w:val="bottom"/>
          </w:tcPr>
          <w:p>
            <w:pPr>
              <w:jc w:val="center"/>
              <w:ind w:right="294"/>
              <w:spacing w:after="0"/>
              <w:rPr>
                <w:sz w:val="20"/>
                <w:szCs w:val="20"/>
                <w:color w:val="auto"/>
              </w:rPr>
            </w:pPr>
            <w:r>
              <w:rPr>
                <w:rFonts w:ascii="Times New Roman" w:cs="Times New Roman" w:eastAsia="Times New Roman" w:hAnsi="Times New Roman"/>
                <w:sz w:val="13"/>
                <w:szCs w:val="13"/>
                <w:b w:val="1"/>
                <w:bCs w:val="1"/>
                <w:color w:val="auto"/>
                <w:w w:val="94"/>
              </w:rPr>
              <w:t xml:space="preserve">(Decrease) </w:t>
            </w:r>
            <w:r>
              <w:rPr>
                <w:rFonts w:ascii="Times New Roman" w:cs="Times New Roman" w:eastAsia="Times New Roman" w:hAnsi="Times New Roman"/>
                <w:sz w:val="16"/>
                <w:szCs w:val="16"/>
                <w:b w:val="1"/>
                <w:bCs w:val="1"/>
                <w:color w:val="auto"/>
                <w:w w:val="94"/>
                <w:vertAlign w:val="superscript"/>
              </w:rPr>
              <w:t>(1) (2)</w:t>
            </w:r>
          </w:p>
        </w:tc>
        <w:tc>
          <w:tcPr>
            <w:tcW w:w="280" w:type="dxa"/>
            <w:vAlign w:val="bottom"/>
          </w:tcPr>
          <w:p>
            <w:pPr>
              <w:spacing w:after="0"/>
              <w:rPr>
                <w:sz w:val="16"/>
                <w:szCs w:val="16"/>
                <w:color w:val="auto"/>
              </w:rPr>
            </w:pPr>
          </w:p>
        </w:tc>
        <w:tc>
          <w:tcPr>
            <w:tcW w:w="1460" w:type="dxa"/>
            <w:vAlign w:val="bottom"/>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w w:val="97"/>
              </w:rPr>
              <w:t xml:space="preserve">(Decrease) </w:t>
            </w:r>
            <w:r>
              <w:rPr>
                <w:rFonts w:ascii="Times New Roman" w:cs="Times New Roman" w:eastAsia="Times New Roman" w:hAnsi="Times New Roman"/>
                <w:sz w:val="16"/>
                <w:szCs w:val="16"/>
                <w:b w:val="1"/>
                <w:bCs w:val="1"/>
                <w:color w:val="auto"/>
                <w:w w:val="97"/>
                <w:vertAlign w:val="superscript"/>
              </w:rPr>
              <w:t>(4)</w:t>
            </w:r>
          </w:p>
        </w:tc>
        <w:tc>
          <w:tcPr>
            <w:tcW w:w="320" w:type="dxa"/>
            <w:vAlign w:val="bottom"/>
          </w:tcPr>
          <w:p>
            <w:pPr>
              <w:spacing w:after="0"/>
              <w:rPr>
                <w:sz w:val="16"/>
                <w:szCs w:val="16"/>
                <w:color w:val="auto"/>
              </w:rPr>
            </w:pPr>
          </w:p>
        </w:tc>
        <w:tc>
          <w:tcPr>
            <w:tcW w:w="140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(Decrease)</w:t>
            </w:r>
          </w:p>
        </w:tc>
        <w:tc>
          <w:tcPr>
            <w:tcW w:w="280" w:type="dxa"/>
            <w:vAlign w:val="bottom"/>
          </w:tcPr>
          <w:p>
            <w:pPr>
              <w:spacing w:after="0"/>
              <w:rPr>
                <w:sz w:val="16"/>
                <w:szCs w:val="16"/>
                <w:color w:val="auto"/>
              </w:rPr>
            </w:pPr>
          </w:p>
        </w:tc>
        <w:tc>
          <w:tcPr>
            <w:tcW w:w="136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 xml:space="preserve">Income </w:t>
            </w:r>
            <w:r>
              <w:rPr>
                <w:rFonts w:ascii="Times New Roman" w:cs="Times New Roman" w:eastAsia="Times New Roman" w:hAnsi="Times New Roman"/>
                <w:sz w:val="16"/>
                <w:szCs w:val="16"/>
                <w:b w:val="1"/>
                <w:bCs w:val="1"/>
                <w:color w:val="auto"/>
                <w:vertAlign w:val="superscript"/>
              </w:rPr>
              <w:t>(3)</w:t>
            </w: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(200 )</w:t>
            </w:r>
          </w:p>
        </w:tc>
        <w:tc>
          <w:tcPr>
            <w:tcW w:w="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(14.1 )</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(1.0 )</w:t>
            </w:r>
          </w:p>
        </w:tc>
        <w:tc>
          <w:tcPr>
            <w:tcW w:w="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(13.1 )</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(10.5 )</w:t>
            </w:r>
          </w:p>
        </w:tc>
        <w:tc>
          <w:tcPr>
            <w:tcW w:w="0" w:type="dxa"/>
            <w:vAlign w:val="bottom"/>
          </w:tcPr>
          <w:p>
            <w:pPr>
              <w:spacing w:after="0"/>
              <w:rPr>
                <w:sz w:val="1"/>
                <w:szCs w:val="1"/>
                <w:color w:val="auto"/>
              </w:rPr>
            </w:pPr>
          </w:p>
        </w:tc>
      </w:tr>
      <w:tr>
        <w:trPr>
          <w:trHeight w:val="176"/>
        </w:trPr>
        <w:tc>
          <w:tcPr>
            <w:tcW w:w="3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(150 )</w:t>
            </w:r>
          </w:p>
        </w:tc>
        <w:tc>
          <w:tcPr>
            <w:tcW w:w="300" w:type="dxa"/>
            <w:vAlign w:val="bottom"/>
          </w:tcPr>
          <w:p>
            <w:pPr>
              <w:spacing w:after="0"/>
              <w:rPr>
                <w:sz w:val="15"/>
                <w:szCs w:val="15"/>
                <w:color w:val="auto"/>
              </w:rPr>
            </w:pPr>
          </w:p>
        </w:tc>
        <w:tc>
          <w:tcPr>
            <w:tcW w:w="1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(10.6 )</w:t>
            </w:r>
          </w:p>
        </w:tc>
        <w:tc>
          <w:tcPr>
            <w:tcW w:w="280" w:type="dxa"/>
            <w:vAlign w:val="bottom"/>
          </w:tcPr>
          <w:p>
            <w:pPr>
              <w:spacing w:after="0"/>
              <w:rPr>
                <w:sz w:val="15"/>
                <w:szCs w:val="15"/>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(0.8 )</w:t>
            </w:r>
          </w:p>
        </w:tc>
        <w:tc>
          <w:tcPr>
            <w:tcW w:w="320" w:type="dxa"/>
            <w:vAlign w:val="bottom"/>
          </w:tcPr>
          <w:p>
            <w:pPr>
              <w:spacing w:after="0"/>
              <w:rPr>
                <w:sz w:val="15"/>
                <w:szCs w:val="15"/>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(9.8 )</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(100 )</w:t>
            </w:r>
          </w:p>
        </w:tc>
        <w:tc>
          <w:tcPr>
            <w:tcW w:w="3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(7.1 )</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(0.5 )</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(6.6 )</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0" w:type="dxa"/>
            <w:vAlign w:val="bottom"/>
          </w:tcPr>
          <w:p>
            <w:pPr>
              <w:spacing w:after="0"/>
              <w:rPr>
                <w:sz w:val="1"/>
                <w:szCs w:val="1"/>
                <w:color w:val="auto"/>
              </w:rPr>
            </w:pPr>
          </w:p>
        </w:tc>
      </w:tr>
      <w:tr>
        <w:trPr>
          <w:trHeight w:val="176"/>
        </w:trPr>
        <w:tc>
          <w:tcPr>
            <w:tcW w:w="36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(50 )</w:t>
            </w:r>
          </w:p>
        </w:tc>
        <w:tc>
          <w:tcPr>
            <w:tcW w:w="300" w:type="dxa"/>
            <w:vAlign w:val="bottom"/>
          </w:tcPr>
          <w:p>
            <w:pPr>
              <w:spacing w:after="0"/>
              <w:rPr>
                <w:sz w:val="15"/>
                <w:szCs w:val="15"/>
                <w:color w:val="auto"/>
              </w:rPr>
            </w:pPr>
          </w:p>
        </w:tc>
        <w:tc>
          <w:tcPr>
            <w:tcW w:w="14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(3.6 )</w:t>
            </w:r>
          </w:p>
        </w:tc>
        <w:tc>
          <w:tcPr>
            <w:tcW w:w="280" w:type="dxa"/>
            <w:vAlign w:val="bottom"/>
          </w:tcPr>
          <w:p>
            <w:pPr>
              <w:spacing w:after="0"/>
              <w:rPr>
                <w:sz w:val="15"/>
                <w:szCs w:val="15"/>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(0.2 )</w:t>
            </w:r>
          </w:p>
        </w:tc>
        <w:tc>
          <w:tcPr>
            <w:tcW w:w="320" w:type="dxa"/>
            <w:vAlign w:val="bottom"/>
          </w:tcPr>
          <w:p>
            <w:pPr>
              <w:spacing w:after="0"/>
              <w:rPr>
                <w:sz w:val="15"/>
                <w:szCs w:val="15"/>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(3.4 )</w:t>
            </w:r>
          </w:p>
        </w:tc>
        <w:tc>
          <w:tcPr>
            <w:tcW w:w="2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50</w:t>
            </w:r>
          </w:p>
        </w:tc>
        <w:tc>
          <w:tcPr>
            <w:tcW w:w="3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3.6</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0.3</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3.3</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76"/>
        </w:trPr>
        <w:tc>
          <w:tcPr>
            <w:tcW w:w="36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100</w:t>
            </w:r>
          </w:p>
        </w:tc>
        <w:tc>
          <w:tcPr>
            <w:tcW w:w="300" w:type="dxa"/>
            <w:vAlign w:val="bottom"/>
          </w:tcPr>
          <w:p>
            <w:pPr>
              <w:spacing w:after="0"/>
              <w:rPr>
                <w:sz w:val="15"/>
                <w:szCs w:val="15"/>
                <w:color w:val="auto"/>
              </w:rPr>
            </w:pPr>
          </w:p>
        </w:tc>
        <w:tc>
          <w:tcPr>
            <w:tcW w:w="14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7.3</w:t>
            </w:r>
          </w:p>
        </w:tc>
        <w:tc>
          <w:tcPr>
            <w:tcW w:w="280" w:type="dxa"/>
            <w:vAlign w:val="bottom"/>
          </w:tcPr>
          <w:p>
            <w:pPr>
              <w:spacing w:after="0"/>
              <w:rPr>
                <w:sz w:val="15"/>
                <w:szCs w:val="15"/>
                <w:color w:val="auto"/>
              </w:rPr>
            </w:pPr>
          </w:p>
        </w:tc>
        <w:tc>
          <w:tcPr>
            <w:tcW w:w="14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0.6</w:t>
            </w:r>
          </w:p>
        </w:tc>
        <w:tc>
          <w:tcPr>
            <w:tcW w:w="320" w:type="dxa"/>
            <w:vAlign w:val="bottom"/>
          </w:tcPr>
          <w:p>
            <w:pPr>
              <w:spacing w:after="0"/>
              <w:rPr>
                <w:sz w:val="15"/>
                <w:szCs w:val="15"/>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6.7</w:t>
            </w:r>
          </w:p>
        </w:tc>
        <w:tc>
          <w:tcPr>
            <w:tcW w:w="280" w:type="dxa"/>
            <w:vAlign w:val="bottom"/>
          </w:tcPr>
          <w:p>
            <w:pPr>
              <w:spacing w:after="0"/>
              <w:rPr>
                <w:sz w:val="15"/>
                <w:szCs w:val="15"/>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150</w:t>
            </w:r>
          </w:p>
        </w:tc>
        <w:tc>
          <w:tcPr>
            <w:tcW w:w="3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10.9</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0.9</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10.0</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76"/>
        </w:trPr>
        <w:tc>
          <w:tcPr>
            <w:tcW w:w="36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200</w:t>
            </w:r>
          </w:p>
        </w:tc>
        <w:tc>
          <w:tcPr>
            <w:tcW w:w="300" w:type="dxa"/>
            <w:vAlign w:val="bottom"/>
          </w:tcPr>
          <w:p>
            <w:pPr>
              <w:spacing w:after="0"/>
              <w:rPr>
                <w:sz w:val="15"/>
                <w:szCs w:val="15"/>
                <w:color w:val="auto"/>
              </w:rPr>
            </w:pPr>
          </w:p>
        </w:tc>
        <w:tc>
          <w:tcPr>
            <w:tcW w:w="14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14.5</w:t>
            </w:r>
          </w:p>
        </w:tc>
        <w:tc>
          <w:tcPr>
            <w:tcW w:w="280" w:type="dxa"/>
            <w:vAlign w:val="bottom"/>
          </w:tcPr>
          <w:p>
            <w:pPr>
              <w:spacing w:after="0"/>
              <w:rPr>
                <w:sz w:val="15"/>
                <w:szCs w:val="15"/>
                <w:color w:val="auto"/>
              </w:rPr>
            </w:pPr>
          </w:p>
        </w:tc>
        <w:tc>
          <w:tcPr>
            <w:tcW w:w="14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1.1</w:t>
            </w:r>
          </w:p>
        </w:tc>
        <w:tc>
          <w:tcPr>
            <w:tcW w:w="320" w:type="dxa"/>
            <w:vAlign w:val="bottom"/>
          </w:tcPr>
          <w:p>
            <w:pPr>
              <w:spacing w:after="0"/>
              <w:rPr>
                <w:sz w:val="15"/>
                <w:szCs w:val="15"/>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13.4</w:t>
            </w:r>
          </w:p>
        </w:tc>
        <w:tc>
          <w:tcPr>
            <w:tcW w:w="280" w:type="dxa"/>
            <w:vAlign w:val="bottom"/>
          </w:tcPr>
          <w:p>
            <w:pPr>
              <w:spacing w:after="0"/>
              <w:rPr>
                <w:sz w:val="15"/>
                <w:szCs w:val="15"/>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84"/>
        </w:trPr>
        <w:tc>
          <w:tcPr>
            <w:tcW w:w="3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250</w:t>
            </w:r>
          </w:p>
        </w:tc>
        <w:tc>
          <w:tcPr>
            <w:tcW w:w="3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18.1</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1.4</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16.7</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72"/>
        </w:trPr>
        <w:tc>
          <w:tcPr>
            <w:tcW w:w="368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rPr>
              <w:t>300</w:t>
            </w:r>
          </w:p>
        </w:tc>
        <w:tc>
          <w:tcPr>
            <w:tcW w:w="300" w:type="dxa"/>
            <w:vAlign w:val="bottom"/>
          </w:tcPr>
          <w:p>
            <w:pPr>
              <w:spacing w:after="0"/>
              <w:rPr>
                <w:sz w:val="14"/>
                <w:szCs w:val="14"/>
                <w:color w:val="auto"/>
              </w:rPr>
            </w:pPr>
          </w:p>
        </w:tc>
        <w:tc>
          <w:tcPr>
            <w:tcW w:w="14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rPr>
              <w:t>21.7</w:t>
            </w:r>
          </w:p>
        </w:tc>
        <w:tc>
          <w:tcPr>
            <w:tcW w:w="280" w:type="dxa"/>
            <w:vAlign w:val="bottom"/>
          </w:tcPr>
          <w:p>
            <w:pPr>
              <w:spacing w:after="0"/>
              <w:rPr>
                <w:sz w:val="14"/>
                <w:szCs w:val="14"/>
                <w:color w:val="auto"/>
              </w:rPr>
            </w:pPr>
          </w:p>
        </w:tc>
        <w:tc>
          <w:tcPr>
            <w:tcW w:w="14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1.7</w:t>
            </w:r>
          </w:p>
        </w:tc>
        <w:tc>
          <w:tcPr>
            <w:tcW w:w="320" w:type="dxa"/>
            <w:vAlign w:val="bottom"/>
          </w:tcPr>
          <w:p>
            <w:pPr>
              <w:spacing w:after="0"/>
              <w:rPr>
                <w:sz w:val="14"/>
                <w:szCs w:val="14"/>
                <w:color w:val="auto"/>
              </w:rPr>
            </w:pPr>
          </w:p>
        </w:tc>
        <w:tc>
          <w:tcPr>
            <w:tcW w:w="140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color w:val="auto"/>
              </w:rPr>
              <w:t>20.0</w:t>
            </w:r>
          </w:p>
        </w:tc>
        <w:tc>
          <w:tcPr>
            <w:tcW w:w="280" w:type="dxa"/>
            <w:vAlign w:val="bottom"/>
          </w:tcPr>
          <w:p>
            <w:pPr>
              <w:spacing w:after="0"/>
              <w:rPr>
                <w:sz w:val="14"/>
                <w:szCs w:val="14"/>
                <w:color w:val="auto"/>
              </w:rPr>
            </w:pPr>
          </w:p>
        </w:tc>
        <w:tc>
          <w:tcPr>
            <w:tcW w:w="13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48"/>
        </w:trPr>
        <w:tc>
          <w:tcPr>
            <w:tcW w:w="36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3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00" w:hanging="194"/>
        <w:spacing w:after="0"/>
        <w:tabs>
          <w:tab w:leader="none" w:pos="2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of our variable rate debt investments have a PRIME or SOFR interest rate floor, which lessens the impact of decreases in interest rates.</w:t>
      </w:r>
    </w:p>
    <w:p>
      <w:pPr>
        <w:spacing w:after="0" w:line="20" w:lineRule="exact"/>
        <w:rPr>
          <w:rFonts w:ascii="Times New Roman" w:cs="Times New Roman" w:eastAsia="Times New Roman" w:hAnsi="Times New Roman"/>
          <w:sz w:val="13"/>
          <w:szCs w:val="13"/>
          <w:color w:val="auto"/>
        </w:rPr>
      </w:pPr>
    </w:p>
    <w:p>
      <w:pPr>
        <w:ind w:left="200" w:hanging="194"/>
        <w:spacing w:after="0"/>
        <w:tabs>
          <w:tab w:leader="none" w:pos="2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income calculated assuming three-month SOFR, and PRIME rate as of September 30, 2024.</w:t>
      </w:r>
    </w:p>
    <w:p>
      <w:pPr>
        <w:spacing w:after="0" w:line="6" w:lineRule="exact"/>
        <w:rPr>
          <w:rFonts w:ascii="Times New Roman" w:cs="Times New Roman" w:eastAsia="Times New Roman" w:hAnsi="Times New Roman"/>
          <w:sz w:val="13"/>
          <w:szCs w:val="13"/>
          <w:color w:val="auto"/>
        </w:rPr>
      </w:pPr>
    </w:p>
    <w:p>
      <w:pPr>
        <w:ind w:left="200" w:hanging="194"/>
        <w:spacing w:after="0"/>
        <w:tabs>
          <w:tab w:leader="none" w:pos="2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the impact of income incentive fee at 20.0% on net increase (decrease) in net interest.</w:t>
      </w:r>
    </w:p>
    <w:p>
      <w:pPr>
        <w:spacing w:after="0" w:line="6" w:lineRule="exact"/>
        <w:rPr>
          <w:rFonts w:ascii="Times New Roman" w:cs="Times New Roman" w:eastAsia="Times New Roman" w:hAnsi="Times New Roman"/>
          <w:sz w:val="13"/>
          <w:szCs w:val="13"/>
          <w:color w:val="auto"/>
        </w:rPr>
      </w:pPr>
    </w:p>
    <w:p>
      <w:pPr>
        <w:ind w:left="200" w:hanging="194"/>
        <w:spacing w:after="0"/>
        <w:tabs>
          <w:tab w:leader="none" w:pos="2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September 30, 2024, we had $40.0 million of borrowings outstanding under our Credit Facility.</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Evaluation of Disclosure Controls and Procedures</w:t>
      </w:r>
    </w:p>
    <w:p>
      <w:pPr>
        <w:spacing w:after="0" w:line="142" w:lineRule="exact"/>
        <w:rPr>
          <w:sz w:val="20"/>
          <w:szCs w:val="20"/>
          <w:color w:val="auto"/>
        </w:rPr>
      </w:pPr>
    </w:p>
    <w:p>
      <w:pPr>
        <w:ind w:right="100" w:firstLine="444"/>
        <w:spacing w:after="0" w:line="237" w:lineRule="auto"/>
        <w:rPr>
          <w:sz w:val="20"/>
          <w:szCs w:val="20"/>
          <w:color w:val="auto"/>
        </w:rPr>
      </w:pPr>
      <w:r>
        <w:rPr>
          <w:rFonts w:ascii="Times New Roman" w:cs="Times New Roman" w:eastAsia="Times New Roman" w:hAnsi="Times New Roman"/>
          <w:sz w:val="16"/>
          <w:szCs w:val="16"/>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Changes in Internal Control over Financial Reporting</w:t>
      </w:r>
    </w:p>
    <w:p>
      <w:pPr>
        <w:spacing w:after="0" w:line="142" w:lineRule="exact"/>
        <w:rPr>
          <w:sz w:val="20"/>
          <w:szCs w:val="20"/>
          <w:color w:val="auto"/>
        </w:rPr>
      </w:pPr>
    </w:p>
    <w:p>
      <w:pPr>
        <w:ind w:right="220" w:firstLine="444"/>
        <w:spacing w:after="0" w:line="259"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during the third quarter of 2024 that have materially affected, or are reasonably likely to materially affect, our internal control over financial reporting.</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are not, and the Investment Advisor is not, currently subject to any material legal proceedings.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78" w:lineRule="exact"/>
        <w:rPr>
          <w:sz w:val="20"/>
          <w:szCs w:val="20"/>
          <w:color w:val="auto"/>
        </w:rPr>
      </w:pPr>
    </w:p>
    <w:p>
      <w:pPr>
        <w:ind w:right="140" w:firstLine="444"/>
        <w:spacing w:after="0" w:line="243" w:lineRule="auto"/>
        <w:rPr>
          <w:sz w:val="20"/>
          <w:szCs w:val="20"/>
          <w:color w:val="auto"/>
        </w:rPr>
      </w:pPr>
      <w:r>
        <w:rPr>
          <w:rFonts w:ascii="Times New Roman" w:cs="Times New Roman" w:eastAsia="Times New Roman" w:hAnsi="Times New Roman"/>
          <w:sz w:val="16"/>
          <w:szCs w:val="16"/>
          <w:color w:val="auto"/>
        </w:rPr>
        <w:t>There have been no material changes to the risk factors previously disclosed under "Item 1A. Risk Factors” previously disclosed in our Annual Report on Form 10-K for the year ended December 31, 2023 filed with the SEC on February 29, 2024, which are incorporated herein by reference. The risk factors therein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Sales of Unregistered Securities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None.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48" w:right="680" w:bottom="1440" w:gutter="0" w:footer="0" w:header="0"/>
        </w:sectPr>
      </w:pPr>
    </w:p>
    <w:bookmarkStart w:id="62" w:name="page63"/>
    <w:bookmarkEnd w:id="62"/>
    <w:p>
      <w:pPr>
        <w:spacing w:after="0" w:line="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Issuer Purchases of Equity Securities</w:t>
      </w:r>
    </w:p>
    <w:p>
      <w:pPr>
        <w:spacing w:after="0" w:line="178" w:lineRule="exact"/>
        <w:rPr>
          <w:sz w:val="20"/>
          <w:szCs w:val="20"/>
          <w:color w:val="auto"/>
        </w:rPr>
      </w:pPr>
    </w:p>
    <w:p>
      <w:pPr>
        <w:ind w:right="20" w:firstLine="444"/>
        <w:spacing w:after="0" w:line="238" w:lineRule="auto"/>
        <w:rPr>
          <w:sz w:val="20"/>
          <w:szCs w:val="20"/>
          <w:color w:val="auto"/>
        </w:rPr>
      </w:pPr>
      <w:r>
        <w:rPr>
          <w:rFonts w:ascii="Times New Roman" w:cs="Times New Roman" w:eastAsia="Times New Roman" w:hAnsi="Times New Roman"/>
          <w:sz w:val="16"/>
          <w:szCs w:val="16"/>
          <w:color w:val="auto"/>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Most recently, on October 28, 2024, the Board extended the Stock Repurchase Program through December 31, 2025,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r>
        <w:rPr>
          <w:rFonts w:ascii="Times New Roman" w:cs="Times New Roman" w:eastAsia="Times New Roman" w:hAnsi="Times New Roman"/>
          <w:sz w:val="16"/>
          <w:szCs w:val="16"/>
          <w:b w:val="1"/>
          <w:bCs w:val="1"/>
          <w:i w:val="1"/>
          <w:iCs w:val="1"/>
          <w:color w:val="auto"/>
        </w:rPr>
        <w: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None.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202" w:lineRule="exact"/>
        <w:rPr>
          <w:sz w:val="20"/>
          <w:szCs w:val="20"/>
          <w:color w:val="auto"/>
        </w:rPr>
      </w:pPr>
    </w:p>
    <w:p>
      <w:pPr>
        <w:ind w:left="460" w:hanging="442"/>
        <w:spacing w:after="0"/>
        <w:tabs>
          <w:tab w:leader="none" w:pos="4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19" w:lineRule="exact"/>
        <w:rPr>
          <w:rFonts w:ascii="Times New Roman" w:cs="Times New Roman" w:eastAsia="Times New Roman" w:hAnsi="Times New Roman"/>
          <w:sz w:val="16"/>
          <w:szCs w:val="16"/>
          <w:color w:val="auto"/>
        </w:rPr>
      </w:pPr>
    </w:p>
    <w:p>
      <w:pPr>
        <w:ind w:left="460" w:hanging="442"/>
        <w:spacing w:after="0"/>
        <w:tabs>
          <w:tab w:leader="none" w:pos="4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8" w:lineRule="exact"/>
        <w:rPr>
          <w:rFonts w:ascii="Times New Roman" w:cs="Times New Roman" w:eastAsia="Times New Roman" w:hAnsi="Times New Roman"/>
          <w:sz w:val="16"/>
          <w:szCs w:val="16"/>
          <w:color w:val="auto"/>
        </w:rPr>
      </w:pPr>
    </w:p>
    <w:p>
      <w:pPr>
        <w:jc w:val="both"/>
        <w:ind w:left="460" w:hanging="442"/>
        <w:spacing w:after="0"/>
        <w:tabs>
          <w:tab w:leader="none" w:pos="4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covered by this Quarterly Report on Form 10-Q, no director or officer of the Company has entered into any (i) contract, instruction or written plan for the purchase or sale of securities of the Company intended to satisfy the affirmative defense conditions of Rule 10b5-1(c) under the Exchange Act or (ii) any non-Rule 10b5-1 trading arrangement.</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5"/>
        </w:trPr>
        <w:tc>
          <w:tcPr>
            <w:tcW w:w="1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 Exhibits.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6"/>
        </w:trPr>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920" w:type="dxa"/>
            <w:vAlign w:val="bottom"/>
            <w:gridSpan w:val="28"/>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r>
      <w:tr>
        <w:trPr>
          <w:trHeight w:val="170"/>
        </w:trPr>
        <w:tc>
          <w:tcPr>
            <w:tcW w:w="1640" w:type="dxa"/>
            <w:vAlign w:val="bottom"/>
          </w:tcPr>
          <w:p>
            <w:pPr>
              <w:jc w:val="center"/>
              <w:ind w:right="82"/>
              <w:spacing w:after="0" w:line="170" w:lineRule="exact"/>
              <w:rPr>
                <w:sz w:val="20"/>
                <w:szCs w:val="20"/>
                <w:color w:val="auto"/>
              </w:rPr>
            </w:pPr>
            <w:r>
              <w:rPr>
                <w:rFonts w:ascii="Times New Roman" w:cs="Times New Roman" w:eastAsia="Times New Roman" w:hAnsi="Times New Roman"/>
                <w:sz w:val="16"/>
                <w:szCs w:val="16"/>
                <w:color w:val="auto"/>
                <w:w w:val="99"/>
              </w:rPr>
              <w:t>3.1</w:t>
            </w:r>
          </w:p>
        </w:tc>
        <w:tc>
          <w:tcPr>
            <w:tcW w:w="8920" w:type="dxa"/>
            <w:vAlign w:val="bottom"/>
            <w:gridSpan w:val="28"/>
          </w:tcPr>
          <w:p>
            <w:pPr>
              <w:spacing w:after="0" w:line="170"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Articles of Amendment and Restatement of the Registrant (Filed as Exhibit (a)(1) to Pre-Effective Amendment No. 2 to the Registrant’s</w:t>
              </w:r>
            </w:hyperlink>
          </w:p>
        </w:tc>
      </w:tr>
      <w:tr>
        <w:trPr>
          <w:trHeight w:val="160"/>
        </w:trPr>
        <w:tc>
          <w:tcPr>
            <w:tcW w:w="1640" w:type="dxa"/>
            <w:vAlign w:val="bottom"/>
          </w:tcPr>
          <w:p>
            <w:pPr>
              <w:spacing w:after="0"/>
              <w:rPr>
                <w:sz w:val="13"/>
                <w:szCs w:val="13"/>
                <w:color w:val="auto"/>
              </w:rPr>
            </w:pPr>
          </w:p>
        </w:tc>
        <w:tc>
          <w:tcPr>
            <w:tcW w:w="8560" w:type="dxa"/>
            <w:vAlign w:val="bottom"/>
            <w:tcBorders>
              <w:top w:val="single" w:sz="8" w:color="0000FF"/>
            </w:tcBorders>
            <w:gridSpan w:val="13"/>
          </w:tcPr>
          <w:p>
            <w:pPr>
              <w:spacing w:after="0" w:line="160" w:lineRule="exact"/>
              <w:rPr>
                <w:rFonts w:ascii="Times New Roman" w:cs="Times New Roman" w:eastAsia="Times New Roman" w:hAnsi="Times New Roman"/>
                <w:sz w:val="16"/>
                <w:szCs w:val="16"/>
                <w:color w:val="0000FF"/>
                <w:w w:val="98"/>
              </w:rPr>
            </w:pPr>
            <w:hyperlink r:id="rId76">
              <w:r>
                <w:rPr>
                  <w:rFonts w:ascii="Times New Roman" w:cs="Times New Roman" w:eastAsia="Times New Roman" w:hAnsi="Times New Roman"/>
                  <w:sz w:val="16"/>
                  <w:szCs w:val="16"/>
                  <w:color w:val="0000FF"/>
                  <w:w w:val="98"/>
                </w:rPr>
                <w:t>Registration Statement on Form N-2 (File No. 333-172550) filed with the U.S. Securities and Exchange Commission on April 29, 2011</w:t>
              </w:r>
            </w:hyperlink>
          </w:p>
        </w:tc>
        <w:tc>
          <w:tcPr>
            <w:tcW w:w="360" w:type="dxa"/>
            <w:vAlign w:val="bottom"/>
            <w:gridSpan w:val="15"/>
          </w:tcPr>
          <w:p>
            <w:pPr>
              <w:spacing w:after="0" w:line="160"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and</w:t>
              </w:r>
            </w:hyperlink>
          </w:p>
        </w:tc>
      </w:tr>
      <w:tr>
        <w:trPr>
          <w:trHeight w:val="160"/>
        </w:trPr>
        <w:tc>
          <w:tcPr>
            <w:tcW w:w="1640" w:type="dxa"/>
            <w:vAlign w:val="bottom"/>
          </w:tcPr>
          <w:p>
            <w:pPr>
              <w:spacing w:after="0"/>
              <w:rPr>
                <w:sz w:val="13"/>
                <w:szCs w:val="13"/>
                <w:color w:val="auto"/>
              </w:rPr>
            </w:pPr>
          </w:p>
        </w:tc>
        <w:tc>
          <w:tcPr>
            <w:tcW w:w="8780" w:type="dxa"/>
            <w:vAlign w:val="bottom"/>
            <w:tcBorders>
              <w:top w:val="single" w:sz="8" w:color="0000FF"/>
            </w:tcBorders>
            <w:gridSpan w:val="21"/>
          </w:tcPr>
          <w:p>
            <w:pPr>
              <w:spacing w:after="0" w:line="160" w:lineRule="exact"/>
              <w:rPr>
                <w:rFonts w:ascii="Times New Roman" w:cs="Times New Roman" w:eastAsia="Times New Roman" w:hAnsi="Times New Roman"/>
                <w:sz w:val="16"/>
                <w:szCs w:val="16"/>
                <w:color w:val="0000FF"/>
              </w:rPr>
            </w:pPr>
            <w:hyperlink r:id="rId76">
              <w:r>
                <w:rPr>
                  <w:rFonts w:ascii="Times New Roman" w:cs="Times New Roman" w:eastAsia="Times New Roman" w:hAnsi="Times New Roman"/>
                  <w:sz w:val="16"/>
                  <w:szCs w:val="16"/>
                  <w:color w:val="0000FF"/>
                </w:rPr>
                <w:t>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8"/>
        </w:trPr>
        <w:tc>
          <w:tcPr>
            <w:tcW w:w="16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9"/>
              </w:rPr>
              <w:t>3.2</w:t>
            </w:r>
          </w:p>
        </w:tc>
        <w:tc>
          <w:tcPr>
            <w:tcW w:w="8920" w:type="dxa"/>
            <w:vAlign w:val="bottom"/>
            <w:gridSpan w:val="28"/>
          </w:tcPr>
          <w:p>
            <w:pPr>
              <w:spacing w:after="0"/>
              <w:rPr>
                <w:rFonts w:ascii="Times New Roman" w:cs="Times New Roman" w:eastAsia="Times New Roman" w:hAnsi="Times New Roman"/>
                <w:sz w:val="16"/>
                <w:szCs w:val="16"/>
                <w:color w:val="0000FF"/>
                <w:w w:val="99"/>
              </w:rPr>
            </w:pPr>
            <w:hyperlink r:id="rId77">
              <w:r>
                <w:rPr>
                  <w:rFonts w:ascii="Times New Roman" w:cs="Times New Roman" w:eastAsia="Times New Roman" w:hAnsi="Times New Roman"/>
                  <w:sz w:val="16"/>
                  <w:szCs w:val="16"/>
                  <w:color w:val="0000FF"/>
                  <w:w w:val="99"/>
                </w:rPr>
                <w:t>Bylaws of the Registrant (Filed as Exhibit (b)(1) to Pre-Effective Amendment No. 2 to the Registrant’s Registration Statement on Form N-2</w:t>
              </w:r>
            </w:hyperlink>
          </w:p>
        </w:tc>
      </w:tr>
      <w:tr>
        <w:trPr>
          <w:trHeight w:val="160"/>
        </w:trPr>
        <w:tc>
          <w:tcPr>
            <w:tcW w:w="1640" w:type="dxa"/>
            <w:vAlign w:val="bottom"/>
          </w:tcPr>
          <w:p>
            <w:pPr>
              <w:spacing w:after="0"/>
              <w:rPr>
                <w:sz w:val="13"/>
                <w:szCs w:val="13"/>
                <w:color w:val="auto"/>
              </w:rPr>
            </w:pPr>
          </w:p>
        </w:tc>
        <w:tc>
          <w:tcPr>
            <w:tcW w:w="8600" w:type="dxa"/>
            <w:vAlign w:val="bottom"/>
            <w:tcBorders>
              <w:top w:val="single" w:sz="8" w:color="0000FF"/>
              <w:bottom w:val="single" w:sz="8" w:color="0000FF"/>
            </w:tcBorders>
            <w:gridSpan w:val="15"/>
          </w:tcPr>
          <w:p>
            <w:pPr>
              <w:spacing w:after="0" w:line="160" w:lineRule="exact"/>
              <w:rPr>
                <w:rFonts w:ascii="Times New Roman" w:cs="Times New Roman" w:eastAsia="Times New Roman" w:hAnsi="Times New Roman"/>
                <w:sz w:val="16"/>
                <w:szCs w:val="16"/>
                <w:color w:val="0000FF"/>
                <w:w w:val="97"/>
              </w:rPr>
            </w:pPr>
            <w:hyperlink r:id="rId77">
              <w:r>
                <w:rPr>
                  <w:rFonts w:ascii="Times New Roman" w:cs="Times New Roman" w:eastAsia="Times New Roman" w:hAnsi="Times New Roman"/>
                  <w:sz w:val="16"/>
                  <w:szCs w:val="16"/>
                  <w:color w:val="0000FF"/>
                  <w:w w:val="97"/>
                </w:rPr>
                <w:t>(File No. 333-172550) filed with the U.S. Securities and Exchange Commission on April 29, 2011 and incorporated herein by reference).</w:t>
              </w:r>
            </w:hyperlink>
          </w:p>
        </w:tc>
        <w:tc>
          <w:tcPr>
            <w:tcW w:w="2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8"/>
        </w:trPr>
        <w:tc>
          <w:tcPr>
            <w:tcW w:w="16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9"/>
              </w:rPr>
              <w:t>4.1</w:t>
            </w:r>
          </w:p>
        </w:tc>
        <w:tc>
          <w:tcPr>
            <w:tcW w:w="8920" w:type="dxa"/>
            <w:vAlign w:val="bottom"/>
            <w:gridSpan w:val="28"/>
          </w:tcPr>
          <w:p>
            <w:pPr>
              <w:spacing w:after="0"/>
              <w:rPr>
                <w:rFonts w:ascii="Times New Roman" w:cs="Times New Roman" w:eastAsia="Times New Roman" w:hAnsi="Times New Roman"/>
                <w:sz w:val="16"/>
                <w:szCs w:val="16"/>
                <w:color w:val="0000FF"/>
                <w:w w:val="98"/>
              </w:rPr>
            </w:pPr>
            <w:hyperlink r:id="rId78">
              <w:r>
                <w:rPr>
                  <w:rFonts w:ascii="Times New Roman" w:cs="Times New Roman" w:eastAsia="Times New Roman" w:hAnsi="Times New Roman"/>
                  <w:sz w:val="16"/>
                  <w:szCs w:val="16"/>
                  <w:color w:val="0000FF"/>
                  <w:w w:val="98"/>
                </w:rPr>
                <w:t>Form of Stock Certificate of the Registrant (Filed as Exhibit (d) to Pre-Effective Amendment No. 2 to the Registrant’s Registration Statement</w:t>
              </w:r>
            </w:hyperlink>
          </w:p>
        </w:tc>
      </w:tr>
      <w:tr>
        <w:trPr>
          <w:trHeight w:val="160"/>
        </w:trPr>
        <w:tc>
          <w:tcPr>
            <w:tcW w:w="1640" w:type="dxa"/>
            <w:vAlign w:val="bottom"/>
          </w:tcPr>
          <w:p>
            <w:pPr>
              <w:spacing w:after="0"/>
              <w:rPr>
                <w:sz w:val="13"/>
                <w:szCs w:val="13"/>
                <w:color w:val="auto"/>
              </w:rPr>
            </w:pPr>
          </w:p>
        </w:tc>
        <w:tc>
          <w:tcPr>
            <w:tcW w:w="8900" w:type="dxa"/>
            <w:vAlign w:val="bottom"/>
            <w:tcBorders>
              <w:top w:val="single" w:sz="8" w:color="0000FF"/>
            </w:tcBorders>
            <w:gridSpan w:val="27"/>
          </w:tcPr>
          <w:p>
            <w:pPr>
              <w:spacing w:after="0" w:line="160" w:lineRule="exact"/>
              <w:rPr>
                <w:rFonts w:ascii="Times New Roman" w:cs="Times New Roman" w:eastAsia="Times New Roman" w:hAnsi="Times New Roman"/>
                <w:sz w:val="16"/>
                <w:szCs w:val="16"/>
                <w:color w:val="0000FF"/>
                <w:w w:val="99"/>
              </w:rPr>
            </w:pPr>
            <w:hyperlink r:id="rId78">
              <w:r>
                <w:rPr>
                  <w:rFonts w:ascii="Times New Roman" w:cs="Times New Roman" w:eastAsia="Times New Roman" w:hAnsi="Times New Roman"/>
                  <w:sz w:val="16"/>
                  <w:szCs w:val="16"/>
                  <w:color w:val="0000FF"/>
                  <w:w w:val="99"/>
                </w:rPr>
                <w:t>on Form N-2 (File No. 333-172550) filed with the U.S. Securities and Exchange Commission on April 29, 2011 and incorporated herein by</w:t>
              </w:r>
            </w:hyperlink>
          </w:p>
        </w:tc>
        <w:tc>
          <w:tcPr>
            <w:tcW w:w="20" w:type="dxa"/>
            <w:vAlign w:val="bottom"/>
          </w:tcPr>
          <w:p>
            <w:pPr>
              <w:spacing w:after="0"/>
              <w:rPr>
                <w:sz w:val="13"/>
                <w:szCs w:val="13"/>
                <w:color w:val="auto"/>
              </w:rPr>
            </w:pPr>
          </w:p>
        </w:tc>
      </w:tr>
      <w:tr>
        <w:trPr>
          <w:trHeight w:val="160"/>
        </w:trPr>
        <w:tc>
          <w:tcPr>
            <w:tcW w:w="1640" w:type="dxa"/>
            <w:vAlign w:val="bottom"/>
          </w:tcPr>
          <w:p>
            <w:pPr>
              <w:spacing w:after="0"/>
              <w:rPr>
                <w:sz w:val="13"/>
                <w:szCs w:val="13"/>
                <w:color w:val="auto"/>
              </w:rPr>
            </w:pPr>
          </w:p>
        </w:tc>
        <w:tc>
          <w:tcPr>
            <w:tcW w:w="680" w:type="dxa"/>
            <w:vAlign w:val="bottom"/>
            <w:tcBorders>
              <w:top w:val="single" w:sz="8" w:color="0000FF"/>
              <w:bottom w:val="single" w:sz="8" w:color="0000FF"/>
            </w:tcBorders>
          </w:tcPr>
          <w:p>
            <w:pPr>
              <w:spacing w:after="0" w:line="160" w:lineRule="exact"/>
              <w:rPr>
                <w:rFonts w:ascii="Times New Roman" w:cs="Times New Roman" w:eastAsia="Times New Roman" w:hAnsi="Times New Roman"/>
                <w:sz w:val="16"/>
                <w:szCs w:val="16"/>
                <w:color w:val="0000FF"/>
                <w:w w:val="95"/>
              </w:rPr>
            </w:pPr>
            <w:hyperlink r:id="rId78">
              <w:r>
                <w:rPr>
                  <w:rFonts w:ascii="Times New Roman" w:cs="Times New Roman" w:eastAsia="Times New Roman" w:hAnsi="Times New Roman"/>
                  <w:sz w:val="16"/>
                  <w:szCs w:val="16"/>
                  <w:color w:val="0000FF"/>
                  <w:w w:val="95"/>
                </w:rPr>
                <w:t>reference).</w:t>
              </w:r>
            </w:hyperlink>
          </w:p>
        </w:tc>
        <w:tc>
          <w:tcPr>
            <w:tcW w:w="808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88"/>
        </w:trPr>
        <w:tc>
          <w:tcPr>
            <w:tcW w:w="16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9"/>
              </w:rPr>
              <w:t>4.2</w:t>
            </w:r>
          </w:p>
        </w:tc>
        <w:tc>
          <w:tcPr>
            <w:tcW w:w="834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w w:val="97"/>
              </w:rPr>
            </w:pPr>
            <w:hyperlink r:id="rId79">
              <w:r>
                <w:rPr>
                  <w:rFonts w:ascii="Times New Roman" w:cs="Times New Roman" w:eastAsia="Times New Roman" w:hAnsi="Times New Roman"/>
                  <w:sz w:val="16"/>
                  <w:szCs w:val="16"/>
                  <w:color w:val="0000FF"/>
                  <w:w w:val="97"/>
                </w:rPr>
                <w:t>Agreement to Furnish Certain Instruments (Filed as Exhibit (f)(2) to Pre-Effective Amendment No. 3 to the Registrant’s Registration</w:t>
              </w:r>
            </w:hyperlink>
          </w:p>
        </w:tc>
        <w:tc>
          <w:tcPr>
            <w:tcW w:w="580" w:type="dxa"/>
            <w:vAlign w:val="bottom"/>
            <w:gridSpan w:val="17"/>
          </w:tcPr>
          <w:p>
            <w:pPr>
              <w:spacing w:after="0"/>
              <w:rPr>
                <w:sz w:val="24"/>
                <w:szCs w:val="24"/>
                <w:color w:val="auto"/>
              </w:rPr>
            </w:pPr>
          </w:p>
        </w:tc>
      </w:tr>
      <w:tr>
        <w:trPr>
          <w:trHeight w:val="160"/>
        </w:trPr>
        <w:tc>
          <w:tcPr>
            <w:tcW w:w="1640" w:type="dxa"/>
            <w:vAlign w:val="bottom"/>
          </w:tcPr>
          <w:p>
            <w:pPr>
              <w:spacing w:after="0"/>
              <w:rPr>
                <w:sz w:val="13"/>
                <w:szCs w:val="13"/>
                <w:color w:val="auto"/>
              </w:rPr>
            </w:pPr>
          </w:p>
        </w:tc>
        <w:tc>
          <w:tcPr>
            <w:tcW w:w="8920" w:type="dxa"/>
            <w:vAlign w:val="bottom"/>
            <w:gridSpan w:val="28"/>
          </w:tcPr>
          <w:p>
            <w:pPr>
              <w:spacing w:after="0" w:line="160" w:lineRule="exact"/>
              <w:rPr>
                <w:rFonts w:ascii="Times New Roman" w:cs="Times New Roman" w:eastAsia="Times New Roman" w:hAnsi="Times New Roman"/>
                <w:sz w:val="16"/>
                <w:szCs w:val="16"/>
                <w:color w:val="0000FF"/>
                <w:w w:val="99"/>
              </w:rPr>
            </w:pPr>
            <w:hyperlink r:id="rId79">
              <w:r>
                <w:rPr>
                  <w:rFonts w:ascii="Times New Roman" w:cs="Times New Roman" w:eastAsia="Times New Roman" w:hAnsi="Times New Roman"/>
                  <w:sz w:val="16"/>
                  <w:szCs w:val="16"/>
                  <w:color w:val="0000FF"/>
                  <w:w w:val="99"/>
                </w:rPr>
                <w:t>Statement on Form N-2 (File No. 333-172550) filed with the U.S. Securities and Exchange Commission on May 26, 2011 and incorporated</w:t>
              </w:r>
            </w:hyperlink>
          </w:p>
        </w:tc>
      </w:tr>
      <w:tr>
        <w:trPr>
          <w:trHeight w:val="160"/>
        </w:trPr>
        <w:tc>
          <w:tcPr>
            <w:tcW w:w="1640" w:type="dxa"/>
            <w:vAlign w:val="bottom"/>
          </w:tcPr>
          <w:p>
            <w:pPr>
              <w:spacing w:after="0"/>
              <w:rPr>
                <w:sz w:val="13"/>
                <w:szCs w:val="13"/>
                <w:color w:val="auto"/>
              </w:rPr>
            </w:pPr>
          </w:p>
        </w:tc>
        <w:tc>
          <w:tcPr>
            <w:tcW w:w="8740" w:type="dxa"/>
            <w:vAlign w:val="bottom"/>
            <w:tcBorders>
              <w:top w:val="single" w:sz="8" w:color="0000FF"/>
            </w:tcBorders>
            <w:gridSpan w:val="19"/>
          </w:tcPr>
          <w:p>
            <w:pPr>
              <w:spacing w:after="0" w:line="160"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herein by reference)</w:t>
              </w:r>
              <w:r>
                <w:rPr>
                  <w:rFonts w:ascii="Times New Roman" w:cs="Times New Roman" w:eastAsia="Times New Roman" w:hAnsi="Times New Roman"/>
                  <w:sz w:val="16"/>
                  <w:szCs w:val="16"/>
                  <w:color w:val="000000"/>
                </w:rPr>
                <w:t>.</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8"/>
        </w:trPr>
        <w:tc>
          <w:tcPr>
            <w:tcW w:w="16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9"/>
              </w:rPr>
              <w:t>4.3</w:t>
            </w:r>
          </w:p>
        </w:tc>
        <w:tc>
          <w:tcPr>
            <w:tcW w:w="8920" w:type="dxa"/>
            <w:vAlign w:val="bottom"/>
            <w:gridSpan w:val="28"/>
          </w:tcPr>
          <w:p>
            <w:pPr>
              <w:spacing w:after="0"/>
              <w:rPr>
                <w:rFonts w:ascii="Times New Roman" w:cs="Times New Roman" w:eastAsia="Times New Roman" w:hAnsi="Times New Roman"/>
                <w:sz w:val="16"/>
                <w:szCs w:val="16"/>
                <w:color w:val="0000FF"/>
                <w:w w:val="99"/>
              </w:rPr>
            </w:pPr>
            <w:hyperlink r:id="rId80">
              <w:r>
                <w:rPr>
                  <w:rFonts w:ascii="Times New Roman" w:cs="Times New Roman" w:eastAsia="Times New Roman" w:hAnsi="Times New Roman"/>
                  <w:sz w:val="16"/>
                  <w:szCs w:val="16"/>
                  <w:color w:val="0000FF"/>
                  <w:w w:val="99"/>
                </w:rPr>
                <w:t>Form of Indenture (Filed as Exhibit (d)(5) to Post-Effective Amendment No. 2 to the Registrant’s Registration Statement on Form N-2 (File</w:t>
              </w:r>
            </w:hyperlink>
          </w:p>
        </w:tc>
      </w:tr>
      <w:tr>
        <w:trPr>
          <w:trHeight w:val="160"/>
        </w:trPr>
        <w:tc>
          <w:tcPr>
            <w:tcW w:w="164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0"/>
          </w:tcPr>
          <w:p>
            <w:pPr>
              <w:spacing w:after="0" w:line="160" w:lineRule="exact"/>
              <w:rPr>
                <w:rFonts w:ascii="Times New Roman" w:cs="Times New Roman" w:eastAsia="Times New Roman" w:hAnsi="Times New Roman"/>
                <w:sz w:val="16"/>
                <w:szCs w:val="16"/>
                <w:color w:val="0000FF"/>
                <w:w w:val="97"/>
              </w:rPr>
            </w:pPr>
            <w:hyperlink r:id="rId80">
              <w:r>
                <w:rPr>
                  <w:rFonts w:ascii="Times New Roman" w:cs="Times New Roman" w:eastAsia="Times New Roman" w:hAnsi="Times New Roman"/>
                  <w:sz w:val="16"/>
                  <w:szCs w:val="16"/>
                  <w:color w:val="0000FF"/>
                  <w:w w:val="97"/>
                </w:rPr>
                <w:t>No. 333-202531) filed with the U.S. Securities and Exchange Commission on April 29, 2016 and incorporated herein by reference).</w:t>
              </w:r>
            </w:hyperlink>
          </w:p>
        </w:tc>
        <w:tc>
          <w:tcPr>
            <w:tcW w:w="5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88"/>
        </w:trPr>
        <w:tc>
          <w:tcPr>
            <w:tcW w:w="16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9"/>
              </w:rPr>
              <w:t>4.4</w:t>
            </w:r>
          </w:p>
        </w:tc>
        <w:tc>
          <w:tcPr>
            <w:tcW w:w="8920" w:type="dxa"/>
            <w:vAlign w:val="bottom"/>
            <w:gridSpan w:val="28"/>
          </w:tcPr>
          <w:p>
            <w:pPr>
              <w:spacing w:after="0"/>
              <w:rPr>
                <w:rFonts w:ascii="Times New Roman" w:cs="Times New Roman" w:eastAsia="Times New Roman" w:hAnsi="Times New Roman"/>
                <w:sz w:val="16"/>
                <w:szCs w:val="16"/>
                <w:color w:val="0000FF"/>
                <w:w w:val="99"/>
              </w:rPr>
            </w:pPr>
            <w:hyperlink r:id="rId81">
              <w:r>
                <w:rPr>
                  <w:rFonts w:ascii="Times New Roman" w:cs="Times New Roman" w:eastAsia="Times New Roman" w:hAnsi="Times New Roman"/>
                  <w:sz w:val="16"/>
                  <w:szCs w:val="16"/>
                  <w:color w:val="0000FF"/>
                  <w:w w:val="99"/>
                </w:rPr>
                <w:t>Fourth Supplemental Indenture dated as of December 23, 2020 between Fidus Investment Corporation and U.S. Bank National Association,</w:t>
              </w:r>
            </w:hyperlink>
          </w:p>
        </w:tc>
      </w:tr>
      <w:tr>
        <w:trPr>
          <w:trHeight w:val="160"/>
        </w:trPr>
        <w:tc>
          <w:tcPr>
            <w:tcW w:w="1640" w:type="dxa"/>
            <w:vAlign w:val="bottom"/>
          </w:tcPr>
          <w:p>
            <w:pPr>
              <w:spacing w:after="0"/>
              <w:rPr>
                <w:sz w:val="13"/>
                <w:szCs w:val="13"/>
                <w:color w:val="auto"/>
              </w:rPr>
            </w:pPr>
          </w:p>
        </w:tc>
        <w:tc>
          <w:tcPr>
            <w:tcW w:w="8800" w:type="dxa"/>
            <w:vAlign w:val="bottom"/>
            <w:tcBorders>
              <w:top w:val="single" w:sz="8" w:color="0000FF"/>
            </w:tcBorders>
            <w:gridSpan w:val="22"/>
          </w:tcPr>
          <w:p>
            <w:pPr>
              <w:spacing w:after="0" w:line="160" w:lineRule="exact"/>
              <w:rPr>
                <w:rFonts w:ascii="Times New Roman" w:cs="Times New Roman" w:eastAsia="Times New Roman" w:hAnsi="Times New Roman"/>
                <w:sz w:val="16"/>
                <w:szCs w:val="16"/>
                <w:color w:val="0000FF"/>
                <w:w w:val="98"/>
              </w:rPr>
            </w:pPr>
            <w:hyperlink r:id="rId81">
              <w:r>
                <w:rPr>
                  <w:rFonts w:ascii="Times New Roman" w:cs="Times New Roman" w:eastAsia="Times New Roman" w:hAnsi="Times New Roman"/>
                  <w:sz w:val="16"/>
                  <w:szCs w:val="16"/>
                  <w:color w:val="0000FF"/>
                  <w:w w:val="98"/>
                </w:rPr>
                <w:t>as trustee (Filed as Exhibit 4.1 to the Registrant’s Current Report on Form 8-K filed with the U.S. Securities and Exchange Commission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1640" w:type="dxa"/>
            <w:vAlign w:val="bottom"/>
          </w:tcPr>
          <w:p>
            <w:pPr>
              <w:spacing w:after="0"/>
              <w:rPr>
                <w:sz w:val="13"/>
                <w:szCs w:val="13"/>
                <w:color w:val="auto"/>
              </w:rPr>
            </w:pPr>
          </w:p>
        </w:tc>
        <w:tc>
          <w:tcPr>
            <w:tcW w:w="8720" w:type="dxa"/>
            <w:vAlign w:val="bottom"/>
            <w:tcBorders>
              <w:top w:val="single" w:sz="8" w:color="0000FF"/>
            </w:tcBorders>
            <w:gridSpan w:val="18"/>
          </w:tcPr>
          <w:p>
            <w:pPr>
              <w:spacing w:after="0" w:line="160"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December 23, 2020 and incorporated herein by reference).</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8"/>
        </w:trPr>
        <w:tc>
          <w:tcPr>
            <w:tcW w:w="16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9"/>
              </w:rPr>
              <w:t>4.5</w:t>
            </w:r>
          </w:p>
        </w:tc>
        <w:tc>
          <w:tcPr>
            <w:tcW w:w="8920" w:type="dxa"/>
            <w:vAlign w:val="bottom"/>
            <w:gridSpan w:val="28"/>
          </w:tcPr>
          <w:p>
            <w:pPr>
              <w:spacing w:after="0"/>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Form of Global Note with respect to the 4.75% Notes due 2026 (Filed as Exhibit 4.1 to the Registrant’s Current Report on Form 8-K filed</w:t>
              </w:r>
            </w:hyperlink>
          </w:p>
        </w:tc>
      </w:tr>
      <w:tr>
        <w:trPr>
          <w:trHeight w:val="160"/>
        </w:trPr>
        <w:tc>
          <w:tcPr>
            <w:tcW w:w="1640" w:type="dxa"/>
            <w:vAlign w:val="bottom"/>
          </w:tcPr>
          <w:p>
            <w:pPr>
              <w:spacing w:after="0"/>
              <w:rPr>
                <w:sz w:val="13"/>
                <w:szCs w:val="13"/>
                <w:color w:val="auto"/>
              </w:rPr>
            </w:pPr>
          </w:p>
        </w:tc>
        <w:tc>
          <w:tcPr>
            <w:tcW w:w="8640" w:type="dxa"/>
            <w:vAlign w:val="bottom"/>
            <w:tcBorders>
              <w:top w:val="single" w:sz="8" w:color="0000FF"/>
            </w:tcBorders>
            <w:gridSpan w:val="16"/>
          </w:tcPr>
          <w:p>
            <w:pPr>
              <w:spacing w:after="0" w:line="160"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with the U.S. Securities and Exchange Commission on December 23, 2020 and incorporated herein by reference).</w:t>
              </w:r>
            </w:hyperlink>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8"/>
        </w:trPr>
        <w:tc>
          <w:tcPr>
            <w:tcW w:w="16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9"/>
              </w:rPr>
              <w:t>4.6</w:t>
            </w:r>
          </w:p>
        </w:tc>
        <w:tc>
          <w:tcPr>
            <w:tcW w:w="8920" w:type="dxa"/>
            <w:vAlign w:val="bottom"/>
            <w:gridSpan w:val="28"/>
          </w:tcPr>
          <w:p>
            <w:pPr>
              <w:spacing w:after="0"/>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Fifth Supplemental Indenture dated as of October 8, 2021 between Fidus Investment Corporation and U.S. Bank National Association, as</w:t>
              </w:r>
            </w:hyperlink>
          </w:p>
        </w:tc>
      </w:tr>
      <w:tr>
        <w:trPr>
          <w:trHeight w:val="160"/>
        </w:trPr>
        <w:tc>
          <w:tcPr>
            <w:tcW w:w="1640" w:type="dxa"/>
            <w:vAlign w:val="bottom"/>
          </w:tcPr>
          <w:p>
            <w:pPr>
              <w:spacing w:after="0"/>
              <w:rPr>
                <w:sz w:val="13"/>
                <w:szCs w:val="13"/>
                <w:color w:val="auto"/>
              </w:rPr>
            </w:pPr>
          </w:p>
        </w:tc>
        <w:tc>
          <w:tcPr>
            <w:tcW w:w="8600" w:type="dxa"/>
            <w:vAlign w:val="bottom"/>
            <w:tcBorders>
              <w:top w:val="single" w:sz="8" w:color="0000FF"/>
            </w:tcBorders>
            <w:gridSpan w:val="15"/>
          </w:tcPr>
          <w:p>
            <w:pPr>
              <w:spacing w:after="0" w:line="160" w:lineRule="exact"/>
              <w:rPr>
                <w:rFonts w:ascii="Times New Roman" w:cs="Times New Roman" w:eastAsia="Times New Roman" w:hAnsi="Times New Roman"/>
                <w:sz w:val="16"/>
                <w:szCs w:val="16"/>
                <w:color w:val="0000FF"/>
                <w:w w:val="98"/>
              </w:rPr>
            </w:pPr>
            <w:hyperlink r:id="rId82">
              <w:r>
                <w:rPr>
                  <w:rFonts w:ascii="Times New Roman" w:cs="Times New Roman" w:eastAsia="Times New Roman" w:hAnsi="Times New Roman"/>
                  <w:sz w:val="16"/>
                  <w:szCs w:val="16"/>
                  <w:color w:val="0000FF"/>
                  <w:w w:val="98"/>
                </w:rPr>
                <w:t>trustee (Filed as Exhibit 4.1 to the Registrant’s Current Report on Form 8-K filed with the U.S. Securities and Exchange Commission on</w:t>
              </w:r>
            </w:hyperlink>
          </w:p>
        </w:tc>
        <w:tc>
          <w:tcPr>
            <w:tcW w:w="60" w:type="dxa"/>
            <w:vAlign w:val="bottom"/>
            <w:gridSpan w:val="2"/>
          </w:tcPr>
          <w:p>
            <w:pPr>
              <w:spacing w:after="0"/>
              <w:rPr>
                <w:sz w:val="13"/>
                <w:szCs w:val="13"/>
                <w:color w:val="auto"/>
              </w:rPr>
            </w:pPr>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164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6"/>
          </w:tcPr>
          <w:p>
            <w:pPr>
              <w:spacing w:after="0" w:line="160" w:lineRule="exact"/>
              <w:rPr>
                <w:rFonts w:ascii="Times New Roman" w:cs="Times New Roman" w:eastAsia="Times New Roman" w:hAnsi="Times New Roman"/>
                <w:sz w:val="16"/>
                <w:szCs w:val="16"/>
                <w:color w:val="0000FF"/>
                <w:w w:val="97"/>
              </w:rPr>
            </w:pPr>
            <w:hyperlink r:id="rId82">
              <w:r>
                <w:rPr>
                  <w:rFonts w:ascii="Times New Roman" w:cs="Times New Roman" w:eastAsia="Times New Roman" w:hAnsi="Times New Roman"/>
                  <w:sz w:val="16"/>
                  <w:szCs w:val="16"/>
                  <w:color w:val="0000FF"/>
                  <w:w w:val="97"/>
                </w:rPr>
                <w:t>October 8, 2021 and incorporated herein by reference).</w:t>
              </w:r>
            </w:hyperlink>
          </w:p>
        </w:tc>
        <w:tc>
          <w:tcPr>
            <w:tcW w:w="5140" w:type="dxa"/>
            <w:vAlign w:val="bottom"/>
            <w:tcBorders>
              <w:top w:val="single" w:sz="8" w:color="0000FF"/>
            </w:tcBorders>
            <w:gridSpan w:val="8"/>
          </w:tcPr>
          <w:p>
            <w:pPr>
              <w:spacing w:after="0"/>
              <w:rPr>
                <w:sz w:val="13"/>
                <w:szCs w:val="13"/>
                <w:color w:val="auto"/>
              </w:rPr>
            </w:pPr>
          </w:p>
        </w:tc>
        <w:tc>
          <w:tcPr>
            <w:tcW w:w="80" w:type="dxa"/>
            <w:vAlign w:val="bottom"/>
            <w:gridSpan w:val="3"/>
          </w:tcPr>
          <w:p>
            <w:pPr>
              <w:spacing w:after="0"/>
              <w:rPr>
                <w:sz w:val="13"/>
                <w:szCs w:val="13"/>
                <w:color w:val="auto"/>
              </w:rPr>
            </w:pPr>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88"/>
        </w:trPr>
        <w:tc>
          <w:tcPr>
            <w:tcW w:w="16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9"/>
              </w:rPr>
              <w:t>4.7</w:t>
            </w:r>
          </w:p>
        </w:tc>
        <w:tc>
          <w:tcPr>
            <w:tcW w:w="8920" w:type="dxa"/>
            <w:vAlign w:val="bottom"/>
            <w:gridSpan w:val="28"/>
          </w:tcPr>
          <w:p>
            <w:pPr>
              <w:spacing w:after="0"/>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Form of Global Note with respect to the 3.50% Notes due 2026 (Filed as Exhibit 4.1 to the Registrant’s Current Report on Form 8-K filed</w:t>
              </w:r>
            </w:hyperlink>
          </w:p>
        </w:tc>
      </w:tr>
      <w:tr>
        <w:trPr>
          <w:trHeight w:val="160"/>
        </w:trPr>
        <w:tc>
          <w:tcPr>
            <w:tcW w:w="1640" w:type="dxa"/>
            <w:vAlign w:val="bottom"/>
          </w:tcPr>
          <w:p>
            <w:pPr>
              <w:spacing w:after="0"/>
              <w:rPr>
                <w:sz w:val="13"/>
                <w:szCs w:val="13"/>
                <w:color w:val="auto"/>
              </w:rPr>
            </w:pPr>
          </w:p>
        </w:tc>
        <w:tc>
          <w:tcPr>
            <w:tcW w:w="8640" w:type="dxa"/>
            <w:vAlign w:val="bottom"/>
            <w:tcBorders>
              <w:top w:val="single" w:sz="8" w:color="0000FF"/>
            </w:tcBorders>
            <w:gridSpan w:val="16"/>
          </w:tcPr>
          <w:p>
            <w:pPr>
              <w:spacing w:after="0" w:line="160"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with the U.S. Securities and Exchange Commission on October 8, 2021 and incorporated herein by reference).</w:t>
              </w:r>
            </w:hyperlink>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760" w:type="dxa"/>
            <w:vAlign w:val="bottom"/>
            <w:gridSpan w:val="3"/>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8"/>
        </w:trPr>
        <w:tc>
          <w:tcPr>
            <w:tcW w:w="16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9"/>
              </w:rPr>
              <w:t>10.1</w:t>
            </w:r>
          </w:p>
        </w:tc>
        <w:tc>
          <w:tcPr>
            <w:tcW w:w="8920" w:type="dxa"/>
            <w:vAlign w:val="bottom"/>
            <w:gridSpan w:val="28"/>
          </w:tcPr>
          <w:p>
            <w:pPr>
              <w:spacing w:after="0"/>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Incremental Commitment Agreement, dated as of July 25, 2024, by and among Fidus Investment Corporation, as borrower, the subsidiary</w:t>
              </w:r>
            </w:hyperlink>
          </w:p>
        </w:tc>
      </w:tr>
      <w:tr>
        <w:trPr>
          <w:trHeight w:val="160"/>
        </w:trPr>
        <w:tc>
          <w:tcPr>
            <w:tcW w:w="1640" w:type="dxa"/>
            <w:vAlign w:val="bottom"/>
          </w:tcPr>
          <w:p>
            <w:pPr>
              <w:spacing w:after="0"/>
              <w:rPr>
                <w:sz w:val="13"/>
                <w:szCs w:val="13"/>
                <w:color w:val="auto"/>
              </w:rPr>
            </w:pPr>
          </w:p>
        </w:tc>
        <w:tc>
          <w:tcPr>
            <w:tcW w:w="8540" w:type="dxa"/>
            <w:vAlign w:val="bottom"/>
            <w:tcBorders>
              <w:top w:val="single" w:sz="8" w:color="0000FF"/>
              <w:bottom w:val="single" w:sz="8" w:color="0000FF"/>
            </w:tcBorders>
            <w:gridSpan w:val="12"/>
          </w:tcPr>
          <w:p>
            <w:pPr>
              <w:spacing w:after="0" w:line="160" w:lineRule="exact"/>
              <w:rPr>
                <w:rFonts w:ascii="Times New Roman" w:cs="Times New Roman" w:eastAsia="Times New Roman" w:hAnsi="Times New Roman"/>
                <w:sz w:val="16"/>
                <w:szCs w:val="16"/>
                <w:color w:val="0000FF"/>
                <w:w w:val="97"/>
              </w:rPr>
            </w:pPr>
            <w:hyperlink r:id="rId83">
              <w:r>
                <w:rPr>
                  <w:rFonts w:ascii="Times New Roman" w:cs="Times New Roman" w:eastAsia="Times New Roman" w:hAnsi="Times New Roman"/>
                  <w:sz w:val="16"/>
                  <w:szCs w:val="16"/>
                  <w:color w:val="0000FF"/>
                  <w:w w:val="97"/>
                </w:rPr>
                <w:t>guarantors party thereto, the increasing lenders party thereto, and ING Capital LLC, as administrative agent (Filed as Exhibit 10.1 to the</w:t>
              </w:r>
            </w:hyperlink>
          </w:p>
        </w:tc>
        <w:tc>
          <w:tcPr>
            <w:tcW w:w="120" w:type="dxa"/>
            <w:vAlign w:val="bottom"/>
            <w:tcBorders>
              <w:top w:val="single" w:sz="8" w:color="0000FF"/>
            </w:tcBorders>
            <w:gridSpan w:val="5"/>
          </w:tcPr>
          <w:p>
            <w:pPr>
              <w:spacing w:after="0"/>
              <w:rPr>
                <w:sz w:val="13"/>
                <w:szCs w:val="13"/>
                <w:color w:val="auto"/>
              </w:rPr>
            </w:pPr>
          </w:p>
        </w:tc>
        <w:tc>
          <w:tcPr>
            <w:tcW w:w="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1640" w:type="dxa"/>
            <w:vAlign w:val="bottom"/>
          </w:tcPr>
          <w:p>
            <w:pPr>
              <w:spacing w:after="0"/>
              <w:rPr>
                <w:sz w:val="13"/>
                <w:szCs w:val="13"/>
                <w:color w:val="auto"/>
              </w:rPr>
            </w:pPr>
          </w:p>
        </w:tc>
        <w:tc>
          <w:tcPr>
            <w:tcW w:w="8920" w:type="dxa"/>
            <w:vAlign w:val="bottom"/>
            <w:gridSpan w:val="28"/>
          </w:tcPr>
          <w:p>
            <w:pPr>
              <w:spacing w:after="0" w:line="160" w:lineRule="exact"/>
              <w:rPr>
                <w:rFonts w:ascii="Times New Roman" w:cs="Times New Roman" w:eastAsia="Times New Roman" w:hAnsi="Times New Roman"/>
                <w:sz w:val="16"/>
                <w:szCs w:val="16"/>
                <w:color w:val="0000FF"/>
                <w:w w:val="98"/>
              </w:rPr>
            </w:pPr>
            <w:hyperlink r:id="rId83">
              <w:r>
                <w:rPr>
                  <w:rFonts w:ascii="Times New Roman" w:cs="Times New Roman" w:eastAsia="Times New Roman" w:hAnsi="Times New Roman"/>
                  <w:sz w:val="16"/>
                  <w:szCs w:val="16"/>
                  <w:color w:val="0000FF"/>
                  <w:w w:val="98"/>
                </w:rPr>
                <w:t>Registrant’s Current Report on Form 8-K filed with the U.S. Securities and Exchange Commission on July 26, 2024 and incorporated herein</w:t>
              </w:r>
            </w:hyperlink>
          </w:p>
        </w:tc>
      </w:tr>
      <w:tr>
        <w:trPr>
          <w:trHeight w:val="160"/>
        </w:trPr>
        <w:tc>
          <w:tcPr>
            <w:tcW w:w="1640" w:type="dxa"/>
            <w:vAlign w:val="bottom"/>
          </w:tcPr>
          <w:p>
            <w:pPr>
              <w:spacing w:after="0"/>
              <w:rPr>
                <w:sz w:val="13"/>
                <w:szCs w:val="13"/>
                <w:color w:val="auto"/>
              </w:rPr>
            </w:pPr>
          </w:p>
        </w:tc>
        <w:tc>
          <w:tcPr>
            <w:tcW w:w="880" w:type="dxa"/>
            <w:vAlign w:val="bottom"/>
            <w:tcBorders>
              <w:top w:val="single" w:sz="8" w:color="0000FF"/>
              <w:bottom w:val="single" w:sz="8" w:color="0000FF"/>
            </w:tcBorders>
            <w:gridSpan w:val="3"/>
          </w:tcPr>
          <w:p>
            <w:pPr>
              <w:spacing w:after="0" w:line="160" w:lineRule="exact"/>
              <w:rPr>
                <w:rFonts w:ascii="Times New Roman" w:cs="Times New Roman" w:eastAsia="Times New Roman" w:hAnsi="Times New Roman"/>
                <w:sz w:val="16"/>
                <w:szCs w:val="16"/>
                <w:color w:val="0000FF"/>
                <w:w w:val="96"/>
              </w:rPr>
            </w:pPr>
            <w:hyperlink r:id="rId83">
              <w:r>
                <w:rPr>
                  <w:rFonts w:ascii="Times New Roman" w:cs="Times New Roman" w:eastAsia="Times New Roman" w:hAnsi="Times New Roman"/>
                  <w:sz w:val="16"/>
                  <w:szCs w:val="16"/>
                  <w:color w:val="0000FF"/>
                  <w:w w:val="96"/>
                </w:rPr>
                <w:t>by reference).</w:t>
              </w:r>
            </w:hyperlink>
          </w:p>
        </w:tc>
        <w:tc>
          <w:tcPr>
            <w:tcW w:w="79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88"/>
        </w:trPr>
        <w:tc>
          <w:tcPr>
            <w:tcW w:w="16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9"/>
              </w:rPr>
              <w:t>31.1</w:t>
            </w:r>
          </w:p>
        </w:tc>
        <w:tc>
          <w:tcPr>
            <w:tcW w:w="8920" w:type="dxa"/>
            <w:vAlign w:val="bottom"/>
            <w:gridSpan w:val="28"/>
          </w:tcPr>
          <w:p>
            <w:pPr>
              <w:spacing w:after="0"/>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Chief Executive Officer Certification Pursuant to Rule 13a-14 of the Securities Exchange Act of 1934, as adopted pursuant to Section 302 of</w:t>
              </w:r>
            </w:hyperlink>
          </w:p>
        </w:tc>
      </w:tr>
      <w:tr>
        <w:trPr>
          <w:trHeight w:val="160"/>
        </w:trPr>
        <w:tc>
          <w:tcPr>
            <w:tcW w:w="1640" w:type="dxa"/>
            <w:vAlign w:val="bottom"/>
          </w:tcPr>
          <w:p>
            <w:pPr>
              <w:spacing w:after="0"/>
              <w:rPr>
                <w:sz w:val="13"/>
                <w:szCs w:val="13"/>
                <w:color w:val="auto"/>
              </w:rPr>
            </w:pPr>
          </w:p>
        </w:tc>
        <w:tc>
          <w:tcPr>
            <w:tcW w:w="8860" w:type="dxa"/>
            <w:vAlign w:val="bottom"/>
            <w:tcBorders>
              <w:top w:val="single" w:sz="8" w:color="0000FF"/>
            </w:tcBorders>
            <w:gridSpan w:val="25"/>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the Sarbanes-Oxley Act of 2002.*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76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8"/>
        </w:trPr>
        <w:tc>
          <w:tcPr>
            <w:tcW w:w="16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9"/>
              </w:rPr>
              <w:t>31.2</w:t>
            </w:r>
          </w:p>
        </w:tc>
        <w:tc>
          <w:tcPr>
            <w:tcW w:w="8920" w:type="dxa"/>
            <w:vAlign w:val="bottom"/>
            <w:gridSpan w:val="28"/>
          </w:tcPr>
          <w:p>
            <w:pPr>
              <w:spacing w:after="0"/>
              <w:rPr>
                <w:rFonts w:ascii="Times New Roman" w:cs="Times New Roman" w:eastAsia="Times New Roman" w:hAnsi="Times New Roman"/>
                <w:sz w:val="16"/>
                <w:szCs w:val="16"/>
                <w:color w:val="0000FF"/>
                <w:w w:val="99"/>
              </w:rPr>
            </w:pPr>
            <w:hyperlink w:anchor="page1">
              <w:r>
                <w:rPr>
                  <w:rFonts w:ascii="Times New Roman" w:cs="Times New Roman" w:eastAsia="Times New Roman" w:hAnsi="Times New Roman"/>
                  <w:sz w:val="16"/>
                  <w:szCs w:val="16"/>
                  <w:color w:val="0000FF"/>
                  <w:w w:val="99"/>
                </w:rPr>
                <w:t>Chief Financial Officer Certification Pursuant to Rule 13a-14 of the Securities Exchange Act of 1934, as adopted pursuant to Section 302 of</w:t>
              </w:r>
            </w:hyperlink>
          </w:p>
        </w:tc>
      </w:tr>
      <w:tr>
        <w:trPr>
          <w:trHeight w:val="160"/>
        </w:trPr>
        <w:tc>
          <w:tcPr>
            <w:tcW w:w="1640" w:type="dxa"/>
            <w:vAlign w:val="bottom"/>
          </w:tcPr>
          <w:p>
            <w:pPr>
              <w:spacing w:after="0"/>
              <w:rPr>
                <w:sz w:val="13"/>
                <w:szCs w:val="13"/>
                <w:color w:val="auto"/>
              </w:rPr>
            </w:pPr>
          </w:p>
        </w:tc>
        <w:tc>
          <w:tcPr>
            <w:tcW w:w="8820" w:type="dxa"/>
            <w:vAlign w:val="bottom"/>
            <w:tcBorders>
              <w:top w:val="single" w:sz="8" w:color="0000FF"/>
            </w:tcBorders>
            <w:gridSpan w:val="23"/>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the Sarbanes-Oxley Act of 2002.*</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76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8"/>
        </w:trPr>
        <w:tc>
          <w:tcPr>
            <w:tcW w:w="164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w w:val="99"/>
              </w:rPr>
              <w:t>32.1</w:t>
            </w:r>
          </w:p>
        </w:tc>
        <w:tc>
          <w:tcPr>
            <w:tcW w:w="8920" w:type="dxa"/>
            <w:vAlign w:val="bottom"/>
            <w:gridSpan w:val="28"/>
          </w:tcPr>
          <w:p>
            <w:pPr>
              <w:spacing w:after="0"/>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Certification pursuant to Section 1350, Chapter 63 of Title 18, United States Code, as adopted pursuant to Section 906 of the Sarbanes-Oxley</w:t>
              </w:r>
            </w:hyperlink>
          </w:p>
        </w:tc>
      </w:tr>
      <w:tr>
        <w:trPr>
          <w:trHeight w:val="160"/>
        </w:trPr>
        <w:tc>
          <w:tcPr>
            <w:tcW w:w="164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60" w:lineRule="exact"/>
              <w:rPr>
                <w:rFonts w:ascii="Times New Roman" w:cs="Times New Roman" w:eastAsia="Times New Roman" w:hAnsi="Times New Roman"/>
                <w:sz w:val="16"/>
                <w:szCs w:val="16"/>
                <w:color w:val="0000FF"/>
                <w:w w:val="94"/>
              </w:rPr>
            </w:pPr>
            <w:hyperlink w:anchor="page1">
              <w:r>
                <w:rPr>
                  <w:rFonts w:ascii="Times New Roman" w:cs="Times New Roman" w:eastAsia="Times New Roman" w:hAnsi="Times New Roman"/>
                  <w:sz w:val="16"/>
                  <w:szCs w:val="16"/>
                  <w:color w:val="0000FF"/>
                  <w:w w:val="94"/>
                </w:rPr>
                <w:t>Act of 2002.*</w:t>
              </w:r>
            </w:hyperlink>
          </w:p>
        </w:tc>
        <w:tc>
          <w:tcPr>
            <w:tcW w:w="802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99"/>
        </w:trPr>
        <w:tc>
          <w:tcPr>
            <w:tcW w:w="1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101.INS</w:t>
            </w:r>
          </w:p>
        </w:tc>
        <w:tc>
          <w:tcPr>
            <w:tcW w:w="892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XBRL tags are embedded</w:t>
            </w:r>
          </w:p>
        </w:tc>
      </w:tr>
      <w:tr>
        <w:trPr>
          <w:trHeight w:val="203"/>
        </w:trPr>
        <w:tc>
          <w:tcPr>
            <w:tcW w:w="1640" w:type="dxa"/>
            <w:vAlign w:val="bottom"/>
          </w:tcPr>
          <w:p>
            <w:pPr>
              <w:spacing w:after="0"/>
              <w:rPr>
                <w:sz w:val="17"/>
                <w:szCs w:val="17"/>
                <w:color w:val="auto"/>
              </w:rPr>
            </w:pPr>
          </w:p>
        </w:tc>
        <w:tc>
          <w:tcPr>
            <w:tcW w:w="892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r>
      <w:tr>
        <w:trPr>
          <w:trHeight w:val="408"/>
        </w:trPr>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101.SCH</w:t>
            </w:r>
          </w:p>
        </w:tc>
        <w:tc>
          <w:tcPr>
            <w:tcW w:w="892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408"/>
        </w:trPr>
        <w:tc>
          <w:tcPr>
            <w:tcW w:w="16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101.CAL</w:t>
            </w:r>
          </w:p>
        </w:tc>
        <w:tc>
          <w:tcPr>
            <w:tcW w:w="8920" w:type="dxa"/>
            <w:vAlign w:val="bottom"/>
            <w:gridSpan w:val="28"/>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396"/>
        </w:trPr>
        <w:tc>
          <w:tcPr>
            <w:tcW w:w="1640" w:type="dxa"/>
            <w:vAlign w:val="bottom"/>
          </w:tcPr>
          <w:p>
            <w:pPr>
              <w:spacing w:after="0"/>
              <w:rPr>
                <w:sz w:val="24"/>
                <w:szCs w:val="24"/>
                <w:color w:val="auto"/>
              </w:rPr>
            </w:pPr>
          </w:p>
        </w:tc>
        <w:tc>
          <w:tcPr>
            <w:tcW w:w="6880" w:type="dxa"/>
            <w:vAlign w:val="bottom"/>
            <w:gridSpan w:val="8"/>
          </w:tcPr>
          <w:p>
            <w:pPr>
              <w:ind w:left="3560"/>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4"/>
        </w:trPr>
        <w:tc>
          <w:tcPr>
            <w:tcW w:w="16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2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64" w:name="page65"/>
    <w:bookmarkEnd w:id="64"/>
    <w:tbl>
      <w:tblPr>
        <w:tblLayout w:type="fixed"/>
        <w:tblInd w:w="460" w:type="dxa"/>
        <w:tblCellMar>
          <w:top w:w="0" w:type="dxa"/>
          <w:left w:w="0" w:type="dxa"/>
          <w:bottom w:w="0" w:type="dxa"/>
          <w:right w:w="0" w:type="dxa"/>
        </w:tblCellMar>
      </w:tblPr>
      <w:tr>
        <w:trPr>
          <w:trHeight w:val="203"/>
        </w:trPr>
        <w:tc>
          <w:tcPr>
            <w:tcW w:w="8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6"/>
              </w:rPr>
              <w:t>101.DEF</w:t>
            </w:r>
          </w:p>
        </w:tc>
        <w:tc>
          <w:tcPr>
            <w:tcW w:w="5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408"/>
        </w:trPr>
        <w:tc>
          <w:tcPr>
            <w:tcW w:w="88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6"/>
              </w:rPr>
              <w:t>101.LAB</w:t>
            </w:r>
          </w:p>
        </w:tc>
        <w:tc>
          <w:tcPr>
            <w:tcW w:w="5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408"/>
        </w:trPr>
        <w:tc>
          <w:tcPr>
            <w:tcW w:w="8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7"/>
              </w:rPr>
              <w:t>101.PRE</w:t>
            </w:r>
          </w:p>
        </w:tc>
        <w:tc>
          <w:tcPr>
            <w:tcW w:w="5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408"/>
        </w:trPr>
        <w:tc>
          <w:tcPr>
            <w:tcW w:w="880" w:type="dxa"/>
            <w:vAlign w:val="bottom"/>
          </w:tcPr>
          <w:p>
            <w:pPr>
              <w:jc w:val="center"/>
              <w:ind w:right="242"/>
              <w:spacing w:after="0"/>
              <w:rPr>
                <w:sz w:val="20"/>
                <w:szCs w:val="20"/>
                <w:color w:val="auto"/>
              </w:rPr>
            </w:pPr>
            <w:r>
              <w:rPr>
                <w:rFonts w:ascii="Times New Roman" w:cs="Times New Roman" w:eastAsia="Times New Roman" w:hAnsi="Times New Roman"/>
                <w:sz w:val="16"/>
                <w:szCs w:val="16"/>
                <w:color w:val="auto"/>
                <w:w w:val="99"/>
              </w:rPr>
              <w:t>104</w:t>
            </w:r>
          </w:p>
        </w:tc>
        <w:tc>
          <w:tcPr>
            <w:tcW w:w="538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96"/>
              </w:rPr>
              <w:t>Cover Page Interactive Data File (embedded within the Inline XBRL document)*</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349"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7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FIDUS INVESTMENT CORPORATION</w:t>
            </w:r>
          </w:p>
        </w:tc>
      </w:tr>
      <w:tr>
        <w:trPr>
          <w:trHeight w:val="374"/>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Date: October 31, 2024</w:t>
            </w:r>
          </w:p>
        </w:tc>
        <w:tc>
          <w:tcPr>
            <w:tcW w:w="192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6"/>
              </w:rPr>
              <w:t>/s/ EDWARD H. ROSS</w:t>
            </w:r>
          </w:p>
        </w:tc>
        <w:tc>
          <w:tcPr>
            <w:tcW w:w="3780" w:type="dxa"/>
            <w:vAlign w:val="bottom"/>
            <w:gridSpan w:val="2"/>
          </w:tcPr>
          <w:p>
            <w:pPr>
              <w:spacing w:after="0"/>
              <w:rPr>
                <w:sz w:val="24"/>
                <w:szCs w:val="24"/>
                <w:color w:val="auto"/>
              </w:rPr>
            </w:pPr>
          </w:p>
        </w:tc>
      </w:tr>
      <w:tr>
        <w:trPr>
          <w:trHeight w:val="218"/>
        </w:trPr>
        <w:tc>
          <w:tcPr>
            <w:tcW w:w="3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Edward H. Ross</w:t>
            </w:r>
          </w:p>
        </w:tc>
      </w:tr>
      <w:tr>
        <w:trPr>
          <w:trHeight w:val="204"/>
        </w:trPr>
        <w:tc>
          <w:tcPr>
            <w:tcW w:w="3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204"/>
        </w:trPr>
        <w:tc>
          <w:tcPr>
            <w:tcW w:w="3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374"/>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Date: October 31, 2024</w:t>
            </w:r>
          </w:p>
        </w:tc>
        <w:tc>
          <w:tcPr>
            <w:tcW w:w="1920" w:type="dxa"/>
            <w:vAlign w:val="bottom"/>
          </w:tcPr>
          <w:p>
            <w:pPr>
              <w:spacing w:after="0"/>
              <w:rPr>
                <w:sz w:val="24"/>
                <w:szCs w:val="24"/>
                <w:color w:val="auto"/>
              </w:rPr>
            </w:pP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6"/>
              </w:rPr>
              <w:t>/s/ SHELBY E. SHERARD</w:t>
            </w:r>
          </w:p>
        </w:tc>
        <w:tc>
          <w:tcPr>
            <w:tcW w:w="3540" w:type="dxa"/>
            <w:vAlign w:val="bottom"/>
          </w:tcPr>
          <w:p>
            <w:pPr>
              <w:spacing w:after="0"/>
              <w:rPr>
                <w:sz w:val="24"/>
                <w:szCs w:val="24"/>
                <w:color w:val="auto"/>
              </w:rPr>
            </w:pPr>
          </w:p>
        </w:tc>
      </w:tr>
      <w:tr>
        <w:trPr>
          <w:trHeight w:val="218"/>
        </w:trPr>
        <w:tc>
          <w:tcPr>
            <w:tcW w:w="3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Shelby E. Sherard</w:t>
            </w:r>
          </w:p>
        </w:tc>
      </w:tr>
      <w:tr>
        <w:trPr>
          <w:trHeight w:val="181"/>
        </w:trPr>
        <w:tc>
          <w:tcPr>
            <w:tcW w:w="3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28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3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372"/>
        </w:trPr>
        <w:tc>
          <w:tcPr>
            <w:tcW w:w="3360" w:type="dxa"/>
            <w:vAlign w:val="bottom"/>
          </w:tcPr>
          <w:p>
            <w:pPr>
              <w:spacing w:after="0"/>
              <w:rPr>
                <w:sz w:val="24"/>
                <w:szCs w:val="24"/>
                <w:color w:val="auto"/>
              </w:rPr>
            </w:pPr>
          </w:p>
        </w:tc>
        <w:tc>
          <w:tcPr>
            <w:tcW w:w="3420" w:type="dxa"/>
            <w:vAlign w:val="bottom"/>
            <w:gridSpan w:val="2"/>
          </w:tcPr>
          <w:p>
            <w:pPr>
              <w:jc w:val="right"/>
              <w:ind w:right="1342"/>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674"/>
        </w:trPr>
        <w:tc>
          <w:tcPr>
            <w:tcW w:w="3360" w:type="dxa"/>
            <w:vAlign w:val="bottom"/>
            <w:tcBorders>
              <w:bottom w:val="single" w:sz="8" w:color="EEEEEE"/>
            </w:tcBorders>
          </w:tcPr>
          <w:p>
            <w:pPr>
              <w:spacing w:after="0"/>
              <w:rPr>
                <w:sz w:val="24"/>
                <w:szCs w:val="24"/>
                <w:color w:val="auto"/>
              </w:rPr>
            </w:pPr>
          </w:p>
        </w:tc>
        <w:tc>
          <w:tcPr>
            <w:tcW w:w="192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35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7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Fidus Investment Corporation Chief Executive Officer Certification</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Rule 13a-14 of the Securities Exchange Act of 1934,</w:t>
      </w:r>
    </w:p>
    <w:p>
      <w:pPr>
        <w:ind w:left="2986"/>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Edward H. Ross, as Chief Executive Officer of Fidus Investment Corporation, certify that:</w:t>
      </w:r>
    </w:p>
    <w:p>
      <w:pPr>
        <w:spacing w:after="0" w:line="176" w:lineRule="exact"/>
        <w:rPr>
          <w:sz w:val="20"/>
          <w:szCs w:val="20"/>
          <w:color w:val="auto"/>
        </w:rPr>
      </w:pPr>
    </w:p>
    <w:p>
      <w:pPr>
        <w:ind w:left="166" w:hanging="166"/>
        <w:spacing w:after="0"/>
        <w:tabs>
          <w:tab w:leader="none" w:pos="16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Fidus Investment Corporation;</w:t>
      </w:r>
    </w:p>
    <w:p>
      <w:pPr>
        <w:spacing w:after="0" w:line="176" w:lineRule="exact"/>
        <w:rPr>
          <w:rFonts w:ascii="Times New Roman" w:cs="Times New Roman" w:eastAsia="Times New Roman" w:hAnsi="Times New Roman"/>
          <w:sz w:val="16"/>
          <w:szCs w:val="16"/>
          <w:color w:val="auto"/>
        </w:rPr>
      </w:pPr>
    </w:p>
    <w:p>
      <w:pPr>
        <w:ind w:left="286" w:right="80" w:hanging="286"/>
        <w:spacing w:after="0" w:line="259" w:lineRule="auto"/>
        <w:tabs>
          <w:tab w:leader="none" w:pos="15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left="286" w:right="80" w:hanging="286"/>
        <w:spacing w:after="0" w:line="259" w:lineRule="auto"/>
        <w:tabs>
          <w:tab w:leader="none" w:pos="15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w:t>
      </w:r>
    </w:p>
    <w:p>
      <w:pPr>
        <w:spacing w:after="0" w:line="37" w:lineRule="exact"/>
        <w:rPr>
          <w:rFonts w:ascii="Times New Roman" w:cs="Times New Roman" w:eastAsia="Times New Roman" w:hAnsi="Times New Roman"/>
          <w:sz w:val="14"/>
          <w:szCs w:val="14"/>
          <w:color w:val="auto"/>
        </w:rPr>
      </w:pPr>
    </w:p>
    <w:p>
      <w:pPr>
        <w:ind w:left="28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58" w:lineRule="exact"/>
        <w:rPr>
          <w:rFonts w:ascii="Times New Roman" w:cs="Times New Roman" w:eastAsia="Times New Roman" w:hAnsi="Times New Roman"/>
          <w:sz w:val="14"/>
          <w:szCs w:val="14"/>
          <w:color w:val="auto"/>
        </w:rPr>
      </w:pPr>
    </w:p>
    <w:p>
      <w:pPr>
        <w:ind w:left="566" w:right="240" w:hanging="290"/>
        <w:spacing w:after="0" w:line="247" w:lineRule="auto"/>
        <w:tabs>
          <w:tab w:leader="none" w:pos="49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6"/>
          <w:szCs w:val="16"/>
          <w:color w:val="auto"/>
        </w:rPr>
      </w:pPr>
    </w:p>
    <w:p>
      <w:pPr>
        <w:ind w:left="566" w:right="100" w:hanging="290"/>
        <w:spacing w:after="0" w:line="247" w:lineRule="auto"/>
        <w:tabs>
          <w:tab w:leader="none" w:pos="499"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6"/>
          <w:szCs w:val="16"/>
          <w:color w:val="auto"/>
        </w:rPr>
      </w:pPr>
    </w:p>
    <w:p>
      <w:pPr>
        <w:ind w:left="566" w:right="420" w:hanging="290"/>
        <w:spacing w:after="0" w:line="259" w:lineRule="auto"/>
        <w:tabs>
          <w:tab w:leader="none" w:pos="49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ind w:left="566" w:right="80" w:hanging="290"/>
        <w:spacing w:after="0" w:line="247" w:lineRule="auto"/>
        <w:tabs>
          <w:tab w:leader="none" w:pos="499"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6"/>
          <w:szCs w:val="16"/>
          <w:color w:val="auto"/>
        </w:rPr>
      </w:pPr>
    </w:p>
    <w:p>
      <w:pPr>
        <w:ind w:left="286" w:right="340" w:hanging="286"/>
        <w:spacing w:after="0" w:line="259" w:lineRule="auto"/>
        <w:tabs>
          <w:tab w:leader="none" w:pos="15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566" w:right="600" w:hanging="290"/>
        <w:spacing w:after="0" w:line="259" w:lineRule="auto"/>
        <w:tabs>
          <w:tab w:leader="none" w:pos="49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566" w:right="200" w:hanging="290"/>
        <w:spacing w:after="0" w:line="259" w:lineRule="auto"/>
        <w:tabs>
          <w:tab w:leader="none" w:pos="499"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 October 31, 2024</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EDWARD H.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-8890</wp:posOffset>
            </wp:positionV>
            <wp:extent cx="104394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6"/>
          <w:szCs w:val="16"/>
          <w:color w:val="auto"/>
        </w:rPr>
        <w:t>Edward H. Ross</w:t>
      </w:r>
    </w:p>
    <w:p>
      <w:pPr>
        <w:ind w:left="6"/>
        <w:spacing w:after="0" w:line="234" w:lineRule="auto"/>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522605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6"/>
          </w:cols>
          <w:pgMar w:left="654" w:top="1311" w:right="66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7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Fidus Investment Corporation Chief Financial Officer Certification</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Pursuant to Rule 13a-14 of the Securities Exchange Act of 1934,</w:t>
      </w:r>
    </w:p>
    <w:p>
      <w:pPr>
        <w:ind w:left="2986"/>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I, Shelby E. Sherard, as Chief Financial Officer of Fidus Investment Corporation, certify that:</w:t>
      </w:r>
    </w:p>
    <w:p>
      <w:pPr>
        <w:spacing w:after="0" w:line="176" w:lineRule="exact"/>
        <w:rPr>
          <w:sz w:val="20"/>
          <w:szCs w:val="20"/>
          <w:color w:val="auto"/>
        </w:rPr>
      </w:pPr>
    </w:p>
    <w:p>
      <w:pPr>
        <w:ind w:left="166" w:hanging="166"/>
        <w:spacing w:after="0"/>
        <w:tabs>
          <w:tab w:leader="none" w:pos="16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Fidus Investment Corporation;</w:t>
      </w:r>
    </w:p>
    <w:p>
      <w:pPr>
        <w:spacing w:after="0" w:line="176" w:lineRule="exact"/>
        <w:rPr>
          <w:rFonts w:ascii="Times New Roman" w:cs="Times New Roman" w:eastAsia="Times New Roman" w:hAnsi="Times New Roman"/>
          <w:sz w:val="16"/>
          <w:szCs w:val="16"/>
          <w:color w:val="auto"/>
        </w:rPr>
      </w:pPr>
    </w:p>
    <w:p>
      <w:pPr>
        <w:ind w:left="286" w:right="80" w:hanging="286"/>
        <w:spacing w:after="0" w:line="259" w:lineRule="auto"/>
        <w:tabs>
          <w:tab w:leader="none" w:pos="15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left="286" w:right="80" w:hanging="286"/>
        <w:spacing w:after="0" w:line="259" w:lineRule="auto"/>
        <w:tabs>
          <w:tab w:leader="none" w:pos="15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166" w:hanging="166"/>
        <w:spacing w:after="0"/>
        <w:tabs>
          <w:tab w:leader="none" w:pos="16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w:t>
      </w:r>
    </w:p>
    <w:p>
      <w:pPr>
        <w:spacing w:after="0" w:line="37" w:lineRule="exact"/>
        <w:rPr>
          <w:rFonts w:ascii="Times New Roman" w:cs="Times New Roman" w:eastAsia="Times New Roman" w:hAnsi="Times New Roman"/>
          <w:sz w:val="14"/>
          <w:szCs w:val="14"/>
          <w:color w:val="auto"/>
        </w:rPr>
      </w:pPr>
    </w:p>
    <w:p>
      <w:pPr>
        <w:ind w:left="28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58" w:lineRule="exact"/>
        <w:rPr>
          <w:rFonts w:ascii="Times New Roman" w:cs="Times New Roman" w:eastAsia="Times New Roman" w:hAnsi="Times New Roman"/>
          <w:sz w:val="14"/>
          <w:szCs w:val="14"/>
          <w:color w:val="auto"/>
        </w:rPr>
      </w:pPr>
    </w:p>
    <w:p>
      <w:pPr>
        <w:ind w:left="566" w:right="240" w:hanging="290"/>
        <w:spacing w:after="0" w:line="247" w:lineRule="auto"/>
        <w:tabs>
          <w:tab w:leader="none" w:pos="49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6"/>
          <w:szCs w:val="16"/>
          <w:color w:val="auto"/>
        </w:rPr>
      </w:pPr>
    </w:p>
    <w:p>
      <w:pPr>
        <w:ind w:left="566" w:right="100" w:hanging="290"/>
        <w:spacing w:after="0" w:line="247" w:lineRule="auto"/>
        <w:tabs>
          <w:tab w:leader="none" w:pos="499"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6"/>
          <w:szCs w:val="16"/>
          <w:color w:val="auto"/>
        </w:rPr>
      </w:pPr>
    </w:p>
    <w:p>
      <w:pPr>
        <w:ind w:left="566" w:right="420" w:hanging="290"/>
        <w:spacing w:after="0" w:line="259" w:lineRule="auto"/>
        <w:tabs>
          <w:tab w:leader="none" w:pos="49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ind w:left="566" w:right="80" w:hanging="290"/>
        <w:spacing w:after="0" w:line="247" w:lineRule="auto"/>
        <w:tabs>
          <w:tab w:leader="none" w:pos="499"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6"/>
          <w:szCs w:val="16"/>
          <w:color w:val="auto"/>
        </w:rPr>
      </w:pPr>
    </w:p>
    <w:p>
      <w:pPr>
        <w:ind w:left="286" w:right="340" w:hanging="286"/>
        <w:spacing w:after="0" w:line="259" w:lineRule="auto"/>
        <w:tabs>
          <w:tab w:leader="none" w:pos="15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566" w:right="600" w:hanging="290"/>
        <w:spacing w:after="0" w:line="259" w:lineRule="auto"/>
        <w:tabs>
          <w:tab w:leader="none" w:pos="49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566" w:right="200" w:hanging="290"/>
        <w:spacing w:after="0" w:line="259" w:lineRule="auto"/>
        <w:tabs>
          <w:tab w:leader="none" w:pos="499"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Date: October 31, 2024</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-8890</wp:posOffset>
            </wp:positionV>
            <wp:extent cx="119697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1196975" cy="7620"/>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6"/>
          <w:szCs w:val="16"/>
          <w:color w:val="auto"/>
        </w:rPr>
        <w:t>Shelby E. Sherard</w:t>
      </w:r>
    </w:p>
    <w:p>
      <w:pPr>
        <w:ind w:left="6"/>
        <w:spacing w:after="0" w:line="234"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636905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6"/>
          </w:cols>
          <w:pgMar w:left="654" w:top="1311" w:right="660"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5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In connection with the Quarterly Report on Form 10-Q of Fidus Investment Corporation (the “Company”) for the quarterly period ended September 30, 2024,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spacing w:after="0" w:line="155" w:lineRule="exact"/>
        <w:rPr>
          <w:sz w:val="20"/>
          <w:szCs w:val="20"/>
          <w:color w:val="auto"/>
        </w:rPr>
      </w:pPr>
    </w:p>
    <w:p>
      <w:pPr>
        <w:ind w:left="500" w:hanging="230"/>
        <w:spacing w:after="0"/>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76" w:lineRule="exact"/>
        <w:rPr>
          <w:rFonts w:ascii="Times New Roman" w:cs="Times New Roman" w:eastAsia="Times New Roman" w:hAnsi="Times New Roman"/>
          <w:sz w:val="16"/>
          <w:szCs w:val="16"/>
          <w:color w:val="auto"/>
        </w:rPr>
      </w:pPr>
    </w:p>
    <w:p>
      <w:pPr>
        <w:ind w:left="500" w:hanging="230"/>
        <w:spacing w:after="0"/>
        <w:tabs>
          <w:tab w:leader="none" w:pos="5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5060" w:right="4040" w:hanging="5016"/>
        <w:spacing w:after="0" w:line="304" w:lineRule="auto"/>
        <w:tabs>
          <w:tab w:leader="none" w:pos="5040" w:val="left"/>
        </w:tabs>
        <w:rPr>
          <w:sz w:val="20"/>
          <w:szCs w:val="20"/>
          <w:color w:val="auto"/>
        </w:rPr>
      </w:pPr>
      <w:r>
        <w:rPr>
          <w:rFonts w:ascii="Times New Roman" w:cs="Times New Roman" w:eastAsia="Times New Roman" w:hAnsi="Times New Roman"/>
          <w:sz w:val="16"/>
          <w:szCs w:val="16"/>
          <w:color w:val="auto"/>
        </w:rPr>
        <w:t>Date: October 31, 2024</w:t>
      </w:r>
      <w:r>
        <w:rPr>
          <w:sz w:val="20"/>
          <w:szCs w:val="20"/>
          <w:color w:val="auto"/>
        </w:rPr>
        <w:tab/>
      </w:r>
      <w:r>
        <w:rPr>
          <w:rFonts w:ascii="Times New Roman" w:cs="Times New Roman" w:eastAsia="Times New Roman" w:hAnsi="Times New Roman"/>
          <w:sz w:val="14"/>
          <w:szCs w:val="14"/>
          <w:u w:val="single" w:color="auto"/>
          <w:color w:val="auto"/>
        </w:rPr>
        <w:t xml:space="preserve">/s/ EDWARD H. ROSS </w:t>
      </w:r>
      <w:r>
        <w:rPr>
          <w:rFonts w:ascii="Times New Roman" w:cs="Times New Roman" w:eastAsia="Times New Roman" w:hAnsi="Times New Roman"/>
          <w:sz w:val="14"/>
          <w:szCs w:val="14"/>
          <w:color w:val="auto"/>
        </w:rPr>
        <w:t>Edward H. Ross</w:t>
      </w:r>
    </w:p>
    <w:p>
      <w:pPr>
        <w:ind w:left="5060"/>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2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2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u w:val="single" w:color="auto"/>
          <w:color w:val="auto"/>
        </w:rPr>
        <w:t>/s/ SHELBY E. SHERARD</w:t>
      </w:r>
    </w:p>
    <w:p>
      <w:pPr>
        <w:spacing w:after="0" w:line="2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Shelby E. Sherard</w:t>
      </w:r>
    </w:p>
    <w:p>
      <w:pPr>
        <w:spacing w:after="0" w:line="2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1441450</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69" w:name="page70"/>
    <w:bookmarkEnd w:id="69"/>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Letter"/>
      <w:start w:val="1"/>
    </w:lvl>
  </w:abstractNum>
  <w:abstractNum w:abstractNumId="3">
    <w:nsid w:val="1BEFD79F"/>
    <w:multiLevelType w:val="hybridMultilevel"/>
    <w:lvl w:ilvl="0">
      <w:lvlJc w:val="left"/>
      <w:lvlText w:val="(%1)"/>
      <w:numFmt w:val="lowerLetter"/>
      <w:start w:val="25"/>
    </w:lvl>
  </w:abstractNum>
  <w:abstractNum w:abstractNumId="4">
    <w:nsid w:val="41A7C4C9"/>
    <w:multiLevelType w:val="hybridMultilevel"/>
    <w:lvl w:ilvl="0">
      <w:lvlJc w:val="left"/>
      <w:lvlText w:val="(%1)"/>
      <w:numFmt w:val="lowerLetter"/>
      <w:start w:val="4"/>
    </w:lvl>
  </w:abstractNum>
  <w:abstractNum w:abstractNumId="5">
    <w:nsid w:val="6B68079A"/>
    <w:multiLevelType w:val="hybridMultilevel"/>
    <w:lvl w:ilvl="0">
      <w:lvlJc w:val="left"/>
      <w:lvlText w:val="%1"/>
      <w:numFmt w:val="upperLetter"/>
      <w:start w:val="6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76" Type="http://schemas.openxmlformats.org/officeDocument/2006/relationships/hyperlink" Target="https://www.sec.gov/Archives/edgar/data/1513363/000095012311041885/w81466a2exv99wxayx1y.htm" TargetMode="External"/><Relationship Id="rId77" Type="http://schemas.openxmlformats.org/officeDocument/2006/relationships/hyperlink" Target="https://www.sec.gov/Archives/edgar/data/1513363/000095012311041885/w81466a2exv99wxbyx1y.htm" TargetMode="External"/><Relationship Id="rId78" Type="http://schemas.openxmlformats.org/officeDocument/2006/relationships/hyperlink" Target="https://www.sec.gov/Archives/edgar/data/1513363/000095012311041885/w81466a2exv99wxdy.htm" TargetMode="External"/><Relationship Id="rId79" Type="http://schemas.openxmlformats.org/officeDocument/2006/relationships/hyperlink" Target="https://www.sec.gov/Archives/edgar/data/1513363/000095012311054001/w81466a3exv99wxfyx2y.htm" TargetMode="External"/><Relationship Id="rId80" Type="http://schemas.openxmlformats.org/officeDocument/2006/relationships/hyperlink" Target="https://www.sec.gov/Archives/edgar/data/1513363/000119312516569246/d141023dex99d5.htm" TargetMode="External"/><Relationship Id="rId81" Type="http://schemas.openxmlformats.org/officeDocument/2006/relationships/hyperlink" Target="https://www.sec.gov/Archives/edgar/data/1513363/000119312520325989/d97521dex41.htm" TargetMode="External"/><Relationship Id="rId82" Type="http://schemas.openxmlformats.org/officeDocument/2006/relationships/hyperlink" Target="https://www.sec.gov/Archives/edgar/data/0001513363/000119312521295460/d193806dex41.htm" TargetMode="External"/><Relationship Id="rId83" Type="http://schemas.openxmlformats.org/officeDocument/2006/relationships/hyperlink" Target="https://www.sec.gov/Archives/edgar/data/1513363/000119312524186196/d86834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2024-11-01T03:22:41Z</dcterms:created>
  <dcterms:modified xsi:type="dcterms:W3CDTF">2024-11-01T03:22:41Z</dcterms:modified>
</cp:coreProperties>
</file>