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dus-20231231.htm"/>
      <w:bookmarkStart w:id="1" w:name="ksfdus202312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spacing w:before="6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spacing w:before="90" w:after="283"/>
        <w:jc w:val="center"/>
        <w:rPr>
          <w:rFonts w:ascii="Times New Roman" w:hAnsi="Times New Roman"/>
          <w:b/>
          <w:color w:val="000000"/>
          <w:sz w:val="36"/>
        </w:rPr>
      </w:pPr>
      <w:r>
        <w:rPr>
          <w:rFonts w:ascii="Times New Roman" w:hAnsi="Times New Roman"/>
          <w:b/>
          <w:color w:val="000000"/>
          <w:sz w:val="36"/>
        </w:rPr>
        <w:t>Form 10-K</w:t>
      </w:r>
    </w:p>
    <w:p>
      <w:pPr>
        <w:pStyle w:val="TextBody"/>
        <w:bidi w:val="0"/>
        <w:spacing w:before="90" w:after="283"/>
        <w:jc w:val="center"/>
        <w:rPr>
          <w:rFonts w:ascii="Times New Roman" w:hAnsi="Times New Roman"/>
          <w:color w:val="000000"/>
          <w:sz w:val="15"/>
        </w:rPr>
      </w:pPr>
      <w:r>
        <w:rPr>
          <w:rFonts w:ascii="Times New Roman" w:hAnsi="Times New Roman"/>
          <w:color w:val="000000"/>
          <w:sz w:val="15"/>
        </w:rPr>
        <w:t>(Mark One)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ind w:left="0" w:right="16" w:hanging="0"/>
              <w:jc w:val="center"/>
              <w:rPr/>
            </w:pPr>
            <w:r>
              <w:rPr>
                <w:color w:val="000000"/>
              </w:rPr>
              <w:t xml:space="preserve">☒ </w:t>
            </w:r>
            <w:r>
              <w:rPr>
                <w:rFonts w:ascii="Times New Roman" w:hAnsi="Times New Roman"/>
                <w:b/>
                <w:color w:val="000000"/>
                <w:sz w:val="24"/>
              </w:rPr>
              <w:t>ANNUAL REPORT PURSUANT TO SECTION 13 OR 15(d) OF THE SECURITIES EXCHANGE ACT OF 1934</w:t>
            </w:r>
          </w:p>
        </w:tc>
      </w:tr>
    </w:tbl>
    <w:p>
      <w:pPr>
        <w:pStyle w:val="TextBody"/>
        <w:bidi w:val="0"/>
        <w:spacing w:before="90" w:after="283"/>
        <w:jc w:val="center"/>
        <w:rPr>
          <w:rFonts w:ascii="Times New Roman" w:hAnsi="Times New Roman"/>
          <w:b/>
          <w:color w:val="000000"/>
          <w:sz w:val="24"/>
        </w:rPr>
      </w:pPr>
      <w:r>
        <w:rPr>
          <w:rFonts w:ascii="Times New Roman" w:hAnsi="Times New Roman"/>
          <w:b/>
          <w:color w:val="000000"/>
          <w:sz w:val="24"/>
        </w:rPr>
        <w:t>For the fiscal year ended December 31, 2023</w:t>
      </w:r>
    </w:p>
    <w:p>
      <w:pPr>
        <w:pStyle w:val="TextBody"/>
        <w:bidi w:val="0"/>
        <w:spacing w:before="90" w:after="283"/>
        <w:jc w:val="center"/>
        <w:rPr>
          <w:rFonts w:ascii="Times New Roman" w:hAnsi="Times New Roman"/>
          <w:b/>
          <w:color w:val="000000"/>
          <w:sz w:val="24"/>
        </w:rPr>
      </w:pPr>
      <w:r>
        <w:rPr>
          <w:rFonts w:ascii="Times New Roman" w:hAnsi="Times New Roman"/>
          <w:b/>
          <w:color w:val="000000"/>
          <w:sz w:val="24"/>
        </w:rPr>
        <w:t>OR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ind w:left="0" w:right="16" w:hanging="0"/>
              <w:jc w:val="center"/>
              <w:rPr/>
            </w:pPr>
            <w:r>
              <w:rPr>
                <w:color w:val="000000"/>
              </w:rPr>
              <w:t xml:space="preserve">☐ </w:t>
            </w:r>
            <w:r>
              <w:rPr>
                <w:rFonts w:ascii="Times New Roman" w:hAnsi="Times New Roman"/>
                <w:b/>
                <w:color w:val="000000"/>
                <w:sz w:val="24"/>
              </w:rPr>
              <w:t>TRANSITION REPORT PURSUANT TO SECTION 13 OR 15(d) OF THE SECURITIES EXCHANGE ACT OF 1934</w:t>
            </w:r>
          </w:p>
        </w:tc>
      </w:tr>
    </w:tbl>
    <w:p>
      <w:pPr>
        <w:pStyle w:val="TextBody"/>
        <w:bidi w:val="0"/>
        <w:spacing w:before="90" w:after="283"/>
        <w:jc w:val="center"/>
        <w:rPr>
          <w:rFonts w:ascii="Times New Roman" w:hAnsi="Times New Roman"/>
          <w:sz w:val="20"/>
        </w:rPr>
      </w:pPr>
      <w:r>
        <w:rPr>
          <w:rFonts w:ascii="Times New Roman" w:hAnsi="Times New Roman"/>
          <w:b/>
          <w:color w:val="000000"/>
          <w:sz w:val="24"/>
        </w:rPr>
        <w:t>For the transition period from to</w:t>
      </w:r>
      <w:r>
        <w:rPr>
          <w:rFonts w:ascii="Times New Roman" w:hAnsi="Times New Roman"/>
          <w:color w:val="000000"/>
          <w:sz w:val="20"/>
        </w:rPr>
        <w:t xml:space="preserve"> </w:t>
      </w:r>
    </w:p>
    <w:p>
      <w:pPr>
        <w:pStyle w:val="TextBody"/>
        <w:bidi w:val="0"/>
        <w:spacing w:before="90" w:after="283"/>
        <w:jc w:val="center"/>
        <w:rPr>
          <w:rFonts w:ascii="Times New Roman" w:hAnsi="Times New Roman"/>
          <w:b/>
          <w:color w:val="000000"/>
          <w:sz w:val="24"/>
        </w:rPr>
      </w:pPr>
      <w:r>
        <w:rPr>
          <w:rFonts w:ascii="Times New Roman" w:hAnsi="Times New Roman"/>
          <w:b/>
          <w:color w:val="000000"/>
          <w:sz w:val="24"/>
        </w:rPr>
        <w:t>Commission file number: 814-00861</w:t>
      </w:r>
    </w:p>
    <w:p>
      <w:pPr>
        <w:pStyle w:val="TextBody"/>
        <w:bidi w:val="0"/>
        <w:spacing w:before="90" w:after="283"/>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620" w:type="dxa"/>
        <w:jc w:val="left"/>
        <w:tblInd w:w="0" w:type="dxa"/>
        <w:tblLayout w:type="fixed"/>
        <w:tblCellMar>
          <w:top w:w="28" w:type="dxa"/>
          <w:left w:w="28" w:type="dxa"/>
          <w:bottom w:w="28" w:type="dxa"/>
          <w:right w:w="28" w:type="dxa"/>
        </w:tblCellMar>
      </w:tblPr>
      <w:tblGrid>
        <w:gridCol w:w="3122"/>
        <w:gridCol w:w="146"/>
        <w:gridCol w:w="1352"/>
      </w:tblGrid>
      <w:tr>
        <w:trPr/>
        <w:tc>
          <w:tcPr>
            <w:tcW w:w="3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3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left"/>
              <w:rPr/>
            </w:pPr>
            <w:r>
              <w:rPr/>
              <w:t> </w:t>
            </w:r>
          </w:p>
        </w:tc>
      </w:tr>
      <w:tr>
        <w:trPr/>
        <w:tc>
          <w:tcPr>
            <w:tcW w:w="3122"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Maryland</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352"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27-5017321</w:t>
            </w:r>
          </w:p>
        </w:tc>
      </w:tr>
      <w:tr>
        <w:trPr/>
        <w:tc>
          <w:tcPr>
            <w:tcW w:w="3122"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Incorporation or Organization)</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352" w:type="dxa"/>
            <w:tcBorders/>
            <w:vAlign w:val="center"/>
          </w:tcPr>
          <w:p>
            <w:pPr>
              <w:pStyle w:val="TableContents"/>
              <w:bidi w:val="0"/>
              <w:ind w:left="0" w:right="16" w:hanging="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Identification No.)</w:t>
            </w:r>
          </w:p>
        </w:tc>
      </w:tr>
      <w:tr>
        <w:trPr/>
        <w:tc>
          <w:tcPr>
            <w:tcW w:w="3122"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r>
      <w:tr>
        <w:trPr/>
        <w:tc>
          <w:tcPr>
            <w:tcW w:w="3122" w:type="dxa"/>
            <w:tcBorders/>
            <w:vAlign w:val="center"/>
          </w:tcPr>
          <w:p>
            <w:pPr>
              <w:pStyle w:val="TableContents"/>
              <w:bidi w:val="0"/>
              <w:ind w:left="0" w:right="16" w:hanging="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Evanston, Illinois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352" w:type="dxa"/>
            <w:tcBorders/>
            <w:vAlign w:val="center"/>
          </w:tcPr>
          <w:p>
            <w:pPr>
              <w:pStyle w:val="TableContents"/>
              <w:bidi w:val="0"/>
              <w:spacing w:before="0" w:after="283"/>
              <w:ind w:left="0" w:right="16" w:hanging="0"/>
              <w:jc w:val="center"/>
              <w:rPr>
                <w:rFonts w:ascii="Times New Roman" w:hAnsi="Times New Roman"/>
                <w:b/>
                <w:color w:val="000000"/>
                <w:sz w:val="20"/>
              </w:rPr>
            </w:pPr>
            <w:r>
              <w:rPr>
                <w:rFonts w:ascii="Times New Roman" w:hAnsi="Times New Roman"/>
                <w:b/>
                <w:color w:val="000000"/>
                <w:sz w:val="20"/>
              </w:rPr>
              <w:t>60201</w:t>
            </w:r>
          </w:p>
        </w:tc>
      </w:tr>
      <w:tr>
        <w:trPr/>
        <w:tc>
          <w:tcPr>
            <w:tcW w:w="3122" w:type="dxa"/>
            <w:tcBorders/>
            <w:vAlign w:val="center"/>
          </w:tcPr>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352" w:type="dxa"/>
            <w:tcBorders/>
            <w:vAlign w:val="center"/>
          </w:tcPr>
          <w:p>
            <w:pPr>
              <w:pStyle w:val="TableContents"/>
              <w:bidi w:val="0"/>
              <w:spacing w:before="0" w:after="283"/>
              <w:ind w:left="0" w:right="16" w:hanging="0"/>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spacing w:before="90" w:after="283"/>
        <w:jc w:val="center"/>
        <w:rPr/>
      </w:pPr>
      <w:r>
        <w:rPr/>
        <w:t> </w:t>
      </w:r>
    </w:p>
    <w:tbl>
      <w:tblPr>
        <w:tblW w:w="8373" w:type="dxa"/>
        <w:jc w:val="left"/>
        <w:tblInd w:w="0" w:type="dxa"/>
        <w:tblLayout w:type="fixed"/>
        <w:tblCellMar>
          <w:top w:w="28" w:type="dxa"/>
          <w:left w:w="28" w:type="dxa"/>
          <w:bottom w:w="28" w:type="dxa"/>
          <w:right w:w="28" w:type="dxa"/>
        </w:tblCellMar>
      </w:tblPr>
      <w:tblGrid>
        <w:gridCol w:w="3601"/>
        <w:gridCol w:w="145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90" w:after="283"/>
        <w:jc w:val="center"/>
        <w:rPr/>
      </w:pPr>
      <w:r>
        <w:rPr/>
        <w:t> </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Securities registered pursuant to Section 12(g) of the Act: None</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Indicate by check mark if the registrant is a well-known seasoned issuer, as defined in Rule 405 of the Securities Act.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if the registrant is not required to file reports pursuant to Section 13 or 15(d) of the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82" w:type="dxa"/>
        <w:jc w:val="left"/>
        <w:tblInd w:w="0" w:type="dxa"/>
        <w:tblLayout w:type="fixed"/>
        <w:tblCellMar>
          <w:top w:w="28" w:type="dxa"/>
          <w:left w:w="28" w:type="dxa"/>
          <w:bottom w:w="28" w:type="dxa"/>
          <w:right w:w="28" w:type="dxa"/>
        </w:tblCellMar>
      </w:tblPr>
      <w:tblGrid>
        <w:gridCol w:w="1937"/>
        <w:gridCol w:w="332"/>
        <w:gridCol w:w="109"/>
        <w:gridCol w:w="2327"/>
        <w:gridCol w:w="377"/>
      </w:tblGrid>
      <w:tr>
        <w:trPr/>
        <w:tc>
          <w:tcPr>
            <w:tcW w:w="19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5082" w:type="dxa"/>
            <w:gridSpan w:val="5"/>
            <w:tcBorders/>
            <w:vAlign w:val="center"/>
          </w:tcPr>
          <w:p>
            <w:pPr>
              <w:pStyle w:val="TableContents"/>
              <w:bidi w:val="0"/>
              <w:spacing w:before="0" w:after="283"/>
              <w:jc w:val="left"/>
              <w:rPr/>
            </w:pPr>
            <w:r>
              <w:rPr/>
              <w:t> </w:t>
            </w:r>
          </w:p>
        </w:tc>
      </w:tr>
      <w:tr>
        <w:trPr/>
        <w:tc>
          <w:tcPr>
            <w:tcW w:w="193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Large accelerated filer</w:t>
            </w:r>
          </w:p>
        </w:tc>
        <w:tc>
          <w:tcPr>
            <w:tcW w:w="332" w:type="dxa"/>
            <w:tcBorders/>
            <w:vAlign w:val="center"/>
          </w:tcPr>
          <w:p>
            <w:pPr>
              <w:pStyle w:val="TableContents"/>
              <w:bidi w:val="0"/>
              <w:spacing w:before="0" w:after="283"/>
              <w:ind w:left="0" w:right="16" w:hanging="0"/>
              <w:jc w:val="center"/>
              <w:rPr>
                <w:color w:val="000000"/>
              </w:rPr>
            </w:pPr>
            <w:r>
              <w:rPr>
                <w:color w:val="00000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32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Accelerated filer</w:t>
            </w:r>
          </w:p>
        </w:tc>
        <w:tc>
          <w:tcPr>
            <w:tcW w:w="377" w:type="dxa"/>
            <w:tcBorders/>
            <w:vAlign w:val="center"/>
          </w:tcPr>
          <w:p>
            <w:pPr>
              <w:pStyle w:val="TableContents"/>
              <w:bidi w:val="0"/>
              <w:spacing w:before="0" w:after="283"/>
              <w:ind w:left="0" w:right="16" w:hanging="0"/>
              <w:jc w:val="center"/>
              <w:rPr>
                <w:color w:val="000000"/>
              </w:rPr>
            </w:pPr>
            <w:r>
              <w:rPr>
                <w:color w:val="000000"/>
              </w:rPr>
              <w:t>☐</w:t>
            </w:r>
          </w:p>
        </w:tc>
      </w:tr>
      <w:tr>
        <w:trPr/>
        <w:tc>
          <w:tcPr>
            <w:tcW w:w="1937"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2436" w:type="dxa"/>
            <w:gridSpan w:val="2"/>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r>
      <w:tr>
        <w:trPr/>
        <w:tc>
          <w:tcPr>
            <w:tcW w:w="193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Non-accelerated filer</w:t>
            </w:r>
          </w:p>
        </w:tc>
        <w:tc>
          <w:tcPr>
            <w:tcW w:w="332" w:type="dxa"/>
            <w:tcBorders/>
            <w:vAlign w:val="center"/>
          </w:tcPr>
          <w:p>
            <w:pPr>
              <w:pStyle w:val="TableContents"/>
              <w:bidi w:val="0"/>
              <w:spacing w:before="0" w:after="283"/>
              <w:ind w:left="0" w:right="16" w:hanging="0"/>
              <w:jc w:val="center"/>
              <w:rPr>
                <w:color w:val="000000"/>
              </w:rPr>
            </w:pPr>
            <w:r>
              <w:rPr>
                <w:color w:val="00000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2327"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Smaller reporting company</w:t>
            </w:r>
          </w:p>
        </w:tc>
        <w:tc>
          <w:tcPr>
            <w:tcW w:w="377" w:type="dxa"/>
            <w:tcBorders/>
            <w:vAlign w:val="center"/>
          </w:tcPr>
          <w:p>
            <w:pPr>
              <w:pStyle w:val="TableContents"/>
              <w:bidi w:val="0"/>
              <w:spacing w:before="0" w:after="283"/>
              <w:ind w:left="0" w:right="16" w:hanging="0"/>
              <w:jc w:val="center"/>
              <w:rPr>
                <w:color w:val="000000"/>
              </w:rPr>
            </w:pPr>
            <w:r>
              <w:rPr>
                <w:color w:val="000000"/>
              </w:rPr>
              <w:t>☐</w:t>
            </w:r>
          </w:p>
        </w:tc>
      </w:tr>
      <w:tr>
        <w:trPr/>
        <w:tc>
          <w:tcPr>
            <w:tcW w:w="5082" w:type="dxa"/>
            <w:gridSpan w:val="5"/>
            <w:tcBorders/>
            <w:vAlign w:val="center"/>
          </w:tcPr>
          <w:p>
            <w:pPr>
              <w:pStyle w:val="TableContents"/>
              <w:bidi w:val="0"/>
              <w:spacing w:before="0" w:after="283"/>
              <w:ind w:left="0" w:right="16" w:hanging="0"/>
              <w:jc w:val="left"/>
              <w:rPr/>
            </w:pPr>
            <w:r>
              <w:rPr/>
              <w:t> </w:t>
            </w:r>
          </w:p>
        </w:tc>
      </w:tr>
      <w:tr>
        <w:trPr/>
        <w:tc>
          <w:tcPr>
            <w:tcW w:w="2378" w:type="dxa"/>
            <w:gridSpan w:val="3"/>
            <w:tcBorders/>
            <w:vAlign w:val="center"/>
          </w:tcPr>
          <w:p>
            <w:pPr>
              <w:pStyle w:val="TableContents"/>
              <w:bidi w:val="0"/>
              <w:spacing w:before="0" w:after="283"/>
              <w:ind w:left="0" w:right="16" w:hanging="0"/>
              <w:jc w:val="left"/>
              <w:rPr/>
            </w:pPr>
            <w:r>
              <w:rPr/>
              <w:t> </w:t>
            </w:r>
          </w:p>
        </w:tc>
        <w:tc>
          <w:tcPr>
            <w:tcW w:w="2327"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77" w:type="dxa"/>
            <w:tcBorders/>
            <w:vAlign w:val="center"/>
          </w:tcPr>
          <w:p>
            <w:pPr>
              <w:pStyle w:val="TableContents"/>
              <w:bidi w:val="0"/>
              <w:spacing w:before="0" w:after="283"/>
              <w:jc w:val="center"/>
              <w:rPr>
                <w:color w:val="000000"/>
              </w:rPr>
            </w:pPr>
            <w:r>
              <w:rPr>
                <w:color w:val="00000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Act). Yes ☐ No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aggregate market value of common stock held by non-affiliates of the registrant on June 30, 2023 based on the closing price on that date of $19.60 on the NASDAQ Global Select Market was $488,386,214. For the purpose of calculating this amount only, all directors and executive officers of the registrant have been treated as affiliates. There were 30,646,509 shares of the registrant’s common stock outstanding as of February 27, 2024.</w:t>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Portions of the registrant’s proxy statement to be filed with the U.S. Securities and Exchange Commission pursuant to Regulation 14A in connection with the registrant’s 2024 Annual Meeting of Stockholders, which will be filed subsequent to the date hereof, are incorporated by reference into Part III of this Form 10-K. Such proxy statement will be filed with the U.S. Securities and Exchange Commission not later than 120 days following the end of the registrant’s fiscal year ended December 31, 2023.</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7"/>
        <w:gridCol w:w="346"/>
        <w:gridCol w:w="7994"/>
        <w:gridCol w:w="162"/>
        <w:gridCol w:w="162"/>
        <w:gridCol w:w="392"/>
        <w:gridCol w:w="392"/>
      </w:tblGrid>
      <w:tr>
        <w:trPr/>
        <w:tc>
          <w:tcPr>
            <w:tcW w:w="7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9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346" w:type="dxa"/>
            <w:tcBorders/>
            <w:vAlign w:val="center"/>
          </w:tcPr>
          <w:p>
            <w:pPr>
              <w:pStyle w:val="TableContents"/>
              <w:bidi w:val="0"/>
              <w:spacing w:before="0" w:after="283"/>
              <w:jc w:val="both"/>
              <w:rPr/>
            </w:pPr>
            <w:r>
              <w:rPr/>
              <w:t> </w:t>
            </w:r>
          </w:p>
        </w:tc>
        <w:tc>
          <w:tcPr>
            <w:tcW w:w="7994"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pPr>
            <w:r>
              <w:rPr/>
              <w:t> </w:t>
            </w:r>
          </w:p>
        </w:tc>
      </w:tr>
      <w:tr>
        <w:trPr/>
        <w:tc>
          <w:tcPr>
            <w:tcW w:w="757" w:type="dxa"/>
            <w:tcBorders/>
            <w:vAlign w:val="center"/>
          </w:tcPr>
          <w:p>
            <w:pPr>
              <w:pStyle w:val="TableContents"/>
              <w:bidi w:val="0"/>
              <w:spacing w:before="0" w:after="283"/>
              <w:ind w:left="0" w:right="16" w:hanging="0"/>
              <w:jc w:val="left"/>
              <w:rPr>
                <w:sz w:val="4"/>
                <w:szCs w:val="4"/>
              </w:rPr>
            </w:pPr>
            <w:r>
              <w:rPr>
                <w:sz w:val="4"/>
                <w:szCs w:val="4"/>
              </w:rPr>
            </w:r>
          </w:p>
        </w:tc>
        <w:tc>
          <w:tcPr>
            <w:tcW w:w="346" w:type="dxa"/>
            <w:tcBorders/>
            <w:vAlign w:val="center"/>
          </w:tcPr>
          <w:p>
            <w:pPr>
              <w:pStyle w:val="TableContents"/>
              <w:bidi w:val="0"/>
              <w:spacing w:before="0" w:after="283"/>
              <w:ind w:left="0" w:right="16" w:hanging="0"/>
              <w:jc w:val="left"/>
              <w:rPr>
                <w:sz w:val="4"/>
                <w:szCs w:val="4"/>
              </w:rPr>
            </w:pPr>
            <w:r>
              <w:rPr>
                <w:sz w:val="4"/>
                <w:szCs w:val="4"/>
              </w:rPr>
            </w:r>
          </w:p>
        </w:tc>
        <w:tc>
          <w:tcPr>
            <w:tcW w:w="7994"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554"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36" w:hanging="0"/>
              <w:jc w:val="center"/>
              <w:rPr>
                <w:rFonts w:ascii="Times New Roman" w:hAnsi="Times New Roman"/>
                <w:b/>
                <w:color w:val="000000"/>
                <w:sz w:val="18"/>
              </w:rPr>
            </w:pPr>
            <w:r>
              <w:rPr>
                <w:rFonts w:ascii="Times New Roman" w:hAnsi="Times New Roman"/>
                <w:b/>
                <w:color w:val="000000"/>
                <w:sz w:val="18"/>
              </w:rPr>
              <w:t>Page</w:t>
            </w:r>
          </w:p>
        </w:tc>
        <w:tc>
          <w:tcPr>
            <w:tcW w:w="392" w:type="dxa"/>
            <w:tcBorders>
              <w:bottom w:val="single" w:sz="6" w:space="0" w:color="000000"/>
            </w:tcBorders>
            <w:tcMar>
              <w:top w:w="0" w:type="dxa"/>
              <w:left w:w="0" w:type="dxa"/>
              <w:right w:w="0" w:type="dxa"/>
            </w:tcMar>
            <w:vAlign w:val="center"/>
          </w:tcPr>
          <w:p>
            <w:pPr>
              <w:pStyle w:val="TableContents"/>
              <w:bidi w:val="0"/>
              <w:spacing w:before="0" w:after="283"/>
              <w:ind w:left="0" w:right="16" w:hanging="0"/>
              <w:jc w:val="left"/>
              <w:rPr>
                <w:sz w:val="4"/>
                <w:szCs w:val="4"/>
              </w:rPr>
            </w:pPr>
            <w:r>
              <w:rPr>
                <w:sz w:val="4"/>
                <w:szCs w:val="4"/>
              </w:rPr>
            </w:r>
          </w:p>
        </w:tc>
      </w:tr>
      <w:tr>
        <w:trPr/>
        <w:tc>
          <w:tcPr>
            <w:tcW w:w="9813" w:type="dxa"/>
            <w:gridSpan w:val="6"/>
            <w:tcBorders/>
            <w:vAlign w:val="center"/>
          </w:tcPr>
          <w:p>
            <w:pPr>
              <w:pStyle w:val="TableContents"/>
              <w:bidi w:val="0"/>
              <w:spacing w:before="0" w:after="283"/>
              <w:ind w:left="0" w:right="116" w:hanging="0"/>
              <w:jc w:val="center"/>
              <w:rPr>
                <w:rFonts w:ascii="Times New Roman" w:hAnsi="Times New Roman"/>
                <w:b/>
                <w:color w:val="000000"/>
                <w:sz w:val="18"/>
              </w:rPr>
            </w:pPr>
            <w:r>
              <w:rPr>
                <w:rFonts w:ascii="Times New Roman" w:hAnsi="Times New Roman"/>
                <w:b/>
                <w:color w:val="000000"/>
                <w:sz w:val="18"/>
              </w:rPr>
              <w:t>PART I</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
              <w:r>
                <w:rPr>
                  <w:rStyle w:val="InternetLink"/>
                  <w:rFonts w:ascii="Times New Roman" w:hAnsi="Times New Roman"/>
                  <w:color w:val="000080"/>
                  <w:sz w:val="18"/>
                  <w:u w:val="single"/>
                </w:rPr>
                <w:t>Business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6</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a">
              <w:r>
                <w:rPr>
                  <w:rStyle w:val="InternetLink"/>
                  <w:rFonts w:ascii="Times New Roman" w:hAnsi="Times New Roman"/>
                  <w:color w:val="000080"/>
                  <w:sz w:val="18"/>
                  <w:u w:val="single"/>
                </w:rPr>
                <w:t>Risk Factors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29</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1B.</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b">
              <w:r>
                <w:rPr>
                  <w:rStyle w:val="InternetLink"/>
                  <w:rFonts w:ascii="Times New Roman" w:hAnsi="Times New Roman"/>
                  <w:color w:val="000080"/>
                  <w:sz w:val="18"/>
                  <w:u w:val="single"/>
                </w:rPr>
                <w:t>Unresolved Staff Comments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56</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1C.</w:t>
            </w:r>
          </w:p>
        </w:tc>
        <w:tc>
          <w:tcPr>
            <w:tcW w:w="346" w:type="dxa"/>
            <w:tcBorders/>
            <w:vAlign w:val="center"/>
          </w:tcPr>
          <w:p>
            <w:pPr>
              <w:pStyle w:val="TableContents"/>
              <w:bidi w:val="0"/>
              <w:spacing w:before="0" w:after="283"/>
              <w:ind w:left="0" w:right="0" w:firstLine="200"/>
              <w:jc w:val="both"/>
              <w:rPr/>
            </w:pPr>
            <w:r>
              <w:rPr/>
              <w:t> </w:t>
            </w:r>
          </w:p>
        </w:tc>
        <w:tc>
          <w:tcPr>
            <w:tcW w:w="7994" w:type="dxa"/>
            <w:tcBorders/>
            <w:vAlign w:val="center"/>
          </w:tcPr>
          <w:p>
            <w:pPr>
              <w:pStyle w:val="TableContents"/>
              <w:pBdr/>
              <w:bidi w:val="0"/>
              <w:spacing w:before="0" w:after="283"/>
              <w:ind w:left="0" w:right="16" w:hanging="200"/>
              <w:jc w:val="both"/>
              <w:rPr/>
            </w:pPr>
            <w:hyperlink w:anchor="item_1c">
              <w:r>
                <w:rPr>
                  <w:rStyle w:val="InternetLink"/>
                  <w:rFonts w:ascii="Times New Roman" w:hAnsi="Times New Roman"/>
                  <w:color w:val="000000"/>
                  <w:sz w:val="18"/>
                  <w:u w:val="single"/>
                </w:rPr>
                <w:t>Cybersecurity</w:t>
              </w:r>
            </w:hyperlink>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56</w:t>
            </w:r>
          </w:p>
        </w:tc>
        <w:tc>
          <w:tcPr>
            <w:tcW w:w="392" w:type="dxa"/>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pPr>
            <w:r>
              <w:rPr/>
              <w:t> </w:t>
            </w:r>
          </w:p>
        </w:tc>
        <w:tc>
          <w:tcPr>
            <w:tcW w:w="346" w:type="dxa"/>
            <w:tcBorders/>
            <w:vAlign w:val="center"/>
          </w:tcPr>
          <w:p>
            <w:pPr>
              <w:pStyle w:val="TableContents"/>
              <w:bidi w:val="0"/>
              <w:spacing w:before="0" w:after="283"/>
              <w:ind w:left="0" w:right="0" w:firstLine="200"/>
              <w:jc w:val="both"/>
              <w:rPr/>
            </w:pPr>
            <w:r>
              <w:rPr/>
              <w:t> </w:t>
            </w:r>
          </w:p>
        </w:tc>
        <w:tc>
          <w:tcPr>
            <w:tcW w:w="7994" w:type="dxa"/>
            <w:tcBorders/>
            <w:vAlign w:val="center"/>
          </w:tcPr>
          <w:p>
            <w:pPr>
              <w:pStyle w:val="TableContents"/>
              <w:pBdr/>
              <w:bidi w:val="0"/>
              <w:spacing w:before="0" w:after="283"/>
              <w:ind w:left="0" w:right="16" w:hanging="20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2.</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2">
              <w:r>
                <w:rPr>
                  <w:rStyle w:val="InternetLink"/>
                  <w:rFonts w:ascii="Times New Roman" w:hAnsi="Times New Roman"/>
                  <w:color w:val="000080"/>
                  <w:sz w:val="18"/>
                  <w:u w:val="single"/>
                </w:rPr>
                <w:t>Properties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56</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3.</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3">
              <w:r>
                <w:rPr>
                  <w:rStyle w:val="InternetLink"/>
                  <w:rFonts w:ascii="Times New Roman" w:hAnsi="Times New Roman"/>
                  <w:color w:val="000080"/>
                  <w:sz w:val="18"/>
                  <w:u w:val="single"/>
                </w:rPr>
                <w:t>Legal Proceedings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57</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4.</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4">
              <w:r>
                <w:rPr>
                  <w:rStyle w:val="InternetLink"/>
                  <w:rFonts w:ascii="Times New Roman" w:hAnsi="Times New Roman"/>
                  <w:color w:val="000000"/>
                  <w:sz w:val="18"/>
                  <w:u w:val="single"/>
                </w:rPr>
                <w:t>Mine Safety Disclosures.</w:t>
              </w:r>
            </w:hyperlink>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57</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10205" w:type="dxa"/>
            <w:gridSpan w:val="7"/>
            <w:tcBorders/>
            <w:vAlign w:val="center"/>
          </w:tcPr>
          <w:p>
            <w:pPr>
              <w:pStyle w:val="TableContents"/>
              <w:bidi w:val="0"/>
              <w:spacing w:before="0" w:after="283"/>
              <w:jc w:val="both"/>
              <w:rPr/>
            </w:pPr>
            <w:r>
              <w:rPr/>
              <w:t> </w:t>
            </w:r>
          </w:p>
        </w:tc>
      </w:tr>
      <w:tr>
        <w:trPr/>
        <w:tc>
          <w:tcPr>
            <w:tcW w:w="9813" w:type="dxa"/>
            <w:gridSpan w:val="6"/>
            <w:tcBorders/>
            <w:vAlign w:val="center"/>
          </w:tcPr>
          <w:p>
            <w:pPr>
              <w:pStyle w:val="TableContents"/>
              <w:bidi w:val="0"/>
              <w:spacing w:before="0" w:after="283"/>
              <w:ind w:left="0" w:right="116" w:hanging="0"/>
              <w:jc w:val="center"/>
              <w:rPr>
                <w:rFonts w:ascii="Times New Roman" w:hAnsi="Times New Roman"/>
                <w:b/>
                <w:color w:val="000000"/>
                <w:sz w:val="18"/>
              </w:rPr>
            </w:pPr>
            <w:r>
              <w:rPr>
                <w:rFonts w:ascii="Times New Roman" w:hAnsi="Times New Roman"/>
                <w:b/>
                <w:color w:val="000000"/>
                <w:sz w:val="18"/>
              </w:rPr>
              <w:t>PART II</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5.</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5">
              <w:r>
                <w:rPr>
                  <w:rStyle w:val="InternetLink"/>
                  <w:rFonts w:ascii="Times New Roman" w:hAnsi="Times New Roman"/>
                  <w:color w:val="000080"/>
                  <w:sz w:val="18"/>
                  <w:u w:val="single"/>
                </w:rPr>
                <w:t>Market for Registrant’s Common Equity, Related Stockholder Matters and Issuer Purchases of Equity Securities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58</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6.</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6">
              <w:r>
                <w:rPr>
                  <w:rStyle w:val="InternetLink"/>
                  <w:rFonts w:ascii="Times New Roman" w:hAnsi="Times New Roman"/>
                  <w:color w:val="000000"/>
                  <w:sz w:val="18"/>
                  <w:u w:val="single"/>
                </w:rPr>
                <w:t>Reserved.</w:t>
              </w:r>
            </w:hyperlink>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62</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7.</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7">
              <w:r>
                <w:rPr>
                  <w:rStyle w:val="InternetLink"/>
                  <w:rFonts w:ascii="Times New Roman" w:hAnsi="Times New Roman"/>
                  <w:color w:val="000080"/>
                  <w:sz w:val="18"/>
                  <w:u w:val="single"/>
                </w:rPr>
                <w:t>Management’s Discussion and Analysis of Financial Condition and Results of Operations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63</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7A.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7a">
              <w:r>
                <w:rPr>
                  <w:rStyle w:val="InternetLink"/>
                  <w:rFonts w:ascii="Times New Roman" w:hAnsi="Times New Roman"/>
                  <w:color w:val="000080"/>
                  <w:sz w:val="18"/>
                  <w:u w:val="single"/>
                </w:rPr>
                <w:t>Quantitative and Qualitative Disclosure about Market Risk</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80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8.</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8">
              <w:r>
                <w:rPr>
                  <w:rStyle w:val="InternetLink"/>
                  <w:rFonts w:ascii="Times New Roman" w:hAnsi="Times New Roman"/>
                  <w:color w:val="000080"/>
                  <w:sz w:val="18"/>
                  <w:u w:val="single"/>
                </w:rPr>
                <w:t>Consolidated Financial Statements and Supplementary Data</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82</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9.</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9">
              <w:r>
                <w:rPr>
                  <w:rStyle w:val="InternetLink"/>
                  <w:rFonts w:ascii="Times New Roman" w:hAnsi="Times New Roman"/>
                  <w:color w:val="000080"/>
                  <w:sz w:val="18"/>
                  <w:u w:val="single"/>
                </w:rPr>
                <w:t>Changes in and Disagreements with Accountants on Accounting and Financial Disclosure</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129</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9A.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9a">
              <w:r>
                <w:rPr>
                  <w:rStyle w:val="InternetLink"/>
                  <w:rFonts w:ascii="Times New Roman" w:hAnsi="Times New Roman"/>
                  <w:color w:val="000080"/>
                  <w:sz w:val="18"/>
                  <w:u w:val="single"/>
                </w:rPr>
                <w:t>Controls and Procedures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129</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9B.</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9b">
              <w:r>
                <w:rPr>
                  <w:rStyle w:val="InternetLink"/>
                  <w:rFonts w:ascii="Times New Roman" w:hAnsi="Times New Roman"/>
                  <w:color w:val="000080"/>
                  <w:sz w:val="18"/>
                  <w:u w:val="single"/>
                </w:rPr>
                <w:t>Other Information</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129</w:t>
            </w:r>
          </w:p>
        </w:tc>
        <w:tc>
          <w:tcPr>
            <w:tcW w:w="392"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757" w:type="dxa"/>
            <w:tcBorders/>
            <w:vAlign w:val="center"/>
          </w:tcPr>
          <w:p>
            <w:pPr>
              <w:pStyle w:val="TableContents"/>
              <w:pBdr/>
              <w:bidi w:val="0"/>
              <w:spacing w:before="0" w:after="283"/>
              <w:ind w:left="0" w:right="16" w:hanging="200"/>
              <w:jc w:val="both"/>
              <w:rPr/>
            </w:pPr>
            <w:r>
              <w:rPr/>
              <w:t> </w:t>
            </w:r>
          </w:p>
        </w:tc>
        <w:tc>
          <w:tcPr>
            <w:tcW w:w="346" w:type="dxa"/>
            <w:tcBorders/>
            <w:vAlign w:val="center"/>
          </w:tcPr>
          <w:p>
            <w:pPr>
              <w:pStyle w:val="TableContents"/>
              <w:bidi w:val="0"/>
              <w:spacing w:before="0" w:after="283"/>
              <w:ind w:left="0" w:right="0" w:firstLine="200"/>
              <w:jc w:val="both"/>
              <w:rPr/>
            </w:pPr>
            <w:r>
              <w:rPr/>
              <w:t> </w:t>
            </w:r>
          </w:p>
        </w:tc>
        <w:tc>
          <w:tcPr>
            <w:tcW w:w="7994" w:type="dxa"/>
            <w:tcBorders/>
            <w:vAlign w:val="center"/>
          </w:tcPr>
          <w:p>
            <w:pPr>
              <w:pStyle w:val="TableContents"/>
              <w:pBdr/>
              <w:bidi w:val="0"/>
              <w:spacing w:before="0" w:after="283"/>
              <w:ind w:left="0" w:right="16" w:hanging="20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16" w:hanging="0"/>
              <w:jc w:val="right"/>
              <w:rPr/>
            </w:pPr>
            <w:r>
              <w:rPr/>
              <w:t> </w:t>
            </w:r>
          </w:p>
        </w:tc>
        <w:tc>
          <w:tcPr>
            <w:tcW w:w="392" w:type="dxa"/>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9C.</w:t>
            </w:r>
          </w:p>
        </w:tc>
        <w:tc>
          <w:tcPr>
            <w:tcW w:w="346" w:type="dxa"/>
            <w:tcBorders/>
            <w:vAlign w:val="center"/>
          </w:tcPr>
          <w:p>
            <w:pPr>
              <w:pStyle w:val="TableContents"/>
              <w:bidi w:val="0"/>
              <w:spacing w:before="0" w:after="283"/>
              <w:ind w:left="0" w:right="0" w:firstLine="200"/>
              <w:jc w:val="both"/>
              <w:rPr/>
            </w:pPr>
            <w:r>
              <w:rPr/>
              <w:t> </w:t>
            </w:r>
          </w:p>
        </w:tc>
        <w:tc>
          <w:tcPr>
            <w:tcW w:w="7994" w:type="dxa"/>
            <w:tcBorders/>
            <w:vAlign w:val="center"/>
          </w:tcPr>
          <w:p>
            <w:pPr>
              <w:pStyle w:val="TableContents"/>
              <w:pBdr/>
              <w:bidi w:val="0"/>
              <w:spacing w:before="0" w:after="283"/>
              <w:ind w:left="0" w:right="16" w:hanging="200"/>
              <w:jc w:val="both"/>
              <w:rPr/>
            </w:pPr>
            <w:hyperlink w:anchor="item_9c">
              <w:r>
                <w:rPr>
                  <w:rStyle w:val="InternetLink"/>
                  <w:rFonts w:ascii="Times New Roman" w:hAnsi="Times New Roman"/>
                  <w:color w:val="000000"/>
                  <w:sz w:val="18"/>
                  <w:u w:val="single"/>
                </w:rPr>
                <w:t>Disclosure Regarding Foreign Jurisdictions that Prevent Inspections</w:t>
              </w:r>
            </w:hyperlink>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129</w:t>
            </w:r>
          </w:p>
        </w:tc>
        <w:tc>
          <w:tcPr>
            <w:tcW w:w="392" w:type="dxa"/>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pPr>
            <w:r>
              <w:rPr/>
              <w:t> </w:t>
            </w:r>
          </w:p>
        </w:tc>
        <w:tc>
          <w:tcPr>
            <w:tcW w:w="346" w:type="dxa"/>
            <w:tcBorders/>
            <w:vAlign w:val="center"/>
          </w:tcPr>
          <w:p>
            <w:pPr>
              <w:pStyle w:val="TableContents"/>
              <w:bidi w:val="0"/>
              <w:spacing w:before="0" w:after="283"/>
              <w:ind w:left="0" w:right="0" w:firstLine="200"/>
              <w:jc w:val="both"/>
              <w:rPr/>
            </w:pPr>
            <w:r>
              <w:rPr/>
              <w:t> </w:t>
            </w:r>
          </w:p>
        </w:tc>
        <w:tc>
          <w:tcPr>
            <w:tcW w:w="7994" w:type="dxa"/>
            <w:tcBorders/>
            <w:vAlign w:val="center"/>
          </w:tcPr>
          <w:p>
            <w:pPr>
              <w:pStyle w:val="TableContents"/>
              <w:pBdr/>
              <w:bidi w:val="0"/>
              <w:spacing w:before="0" w:after="283"/>
              <w:ind w:left="0" w:right="16" w:hanging="20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392" w:type="dxa"/>
            <w:tcBorders/>
            <w:vAlign w:val="center"/>
          </w:tcPr>
          <w:p>
            <w:pPr>
              <w:pStyle w:val="TableContents"/>
              <w:bidi w:val="0"/>
              <w:spacing w:before="0" w:after="283"/>
              <w:ind w:left="0" w:right="16" w:hanging="0"/>
              <w:jc w:val="right"/>
              <w:rPr/>
            </w:pPr>
            <w:r>
              <w:rPr/>
              <w:t> </w:t>
            </w:r>
          </w:p>
        </w:tc>
        <w:tc>
          <w:tcPr>
            <w:tcW w:w="392" w:type="dxa"/>
            <w:tcBorders/>
            <w:vAlign w:val="center"/>
          </w:tcPr>
          <w:p>
            <w:pPr>
              <w:pStyle w:val="TableContents"/>
              <w:bidi w:val="0"/>
              <w:spacing w:before="0" w:after="283"/>
              <w:ind w:left="0" w:right="16" w:hanging="0"/>
              <w:jc w:val="both"/>
              <w:rPr/>
            </w:pPr>
            <w:r>
              <w:rPr/>
              <w:t> </w:t>
            </w:r>
          </w:p>
        </w:tc>
      </w:tr>
      <w:tr>
        <w:trPr/>
        <w:tc>
          <w:tcPr>
            <w:tcW w:w="10205" w:type="dxa"/>
            <w:gridSpan w:val="7"/>
            <w:tcBorders/>
            <w:vAlign w:val="center"/>
          </w:tcPr>
          <w:p>
            <w:pPr>
              <w:pStyle w:val="TableContents"/>
              <w:bidi w:val="0"/>
              <w:spacing w:before="0" w:after="283"/>
              <w:jc w:val="both"/>
              <w:rPr/>
            </w:pPr>
            <w:r>
              <w:rPr/>
              <w:t> </w:t>
            </w:r>
          </w:p>
        </w:tc>
      </w:tr>
      <w:tr>
        <w:trPr/>
        <w:tc>
          <w:tcPr>
            <w:tcW w:w="9813" w:type="dxa"/>
            <w:gridSpan w:val="6"/>
            <w:tcBorders/>
            <w:vAlign w:val="center"/>
          </w:tcPr>
          <w:p>
            <w:pPr>
              <w:pStyle w:val="TableContents"/>
              <w:bidi w:val="0"/>
              <w:spacing w:before="0" w:after="283"/>
              <w:ind w:left="0" w:right="116" w:hanging="0"/>
              <w:jc w:val="center"/>
              <w:rPr>
                <w:rFonts w:ascii="Times New Roman" w:hAnsi="Times New Roman"/>
                <w:b/>
                <w:color w:val="000000"/>
                <w:sz w:val="18"/>
              </w:rPr>
            </w:pPr>
            <w:r>
              <w:rPr>
                <w:rFonts w:ascii="Times New Roman" w:hAnsi="Times New Roman"/>
                <w:b/>
                <w:color w:val="000000"/>
                <w:sz w:val="18"/>
              </w:rPr>
              <w:t>PART III</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10.</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0">
              <w:r>
                <w:rPr>
                  <w:rStyle w:val="InternetLink"/>
                  <w:rFonts w:ascii="Times New Roman" w:hAnsi="Times New Roman"/>
                  <w:color w:val="000080"/>
                  <w:sz w:val="18"/>
                  <w:u w:val="single"/>
                </w:rPr>
                <w:t>Directors, Executive Officers and Corporate Governance</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11.</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1">
              <w:r>
                <w:rPr>
                  <w:rStyle w:val="InternetLink"/>
                  <w:rFonts w:ascii="Times New Roman" w:hAnsi="Times New Roman"/>
                  <w:color w:val="000080"/>
                  <w:sz w:val="18"/>
                  <w:u w:val="single"/>
                </w:rPr>
                <w:t>Executive Compensation</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12.</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2">
              <w:r>
                <w:rPr>
                  <w:rStyle w:val="InternetLink"/>
                  <w:rFonts w:ascii="Times New Roman" w:hAnsi="Times New Roman"/>
                  <w:color w:val="000080"/>
                  <w:sz w:val="18"/>
                  <w:u w:val="single"/>
                </w:rPr>
                <w:t>Security Ownership of Certain Beneficial Owners and Management and Related Stockholder Matters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13.</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3">
              <w:r>
                <w:rPr>
                  <w:rStyle w:val="InternetLink"/>
                  <w:rFonts w:ascii="Times New Roman" w:hAnsi="Times New Roman"/>
                  <w:color w:val="000080"/>
                  <w:sz w:val="18"/>
                  <w:u w:val="single"/>
                </w:rPr>
                <w:t>Certain Relationships and Related Transactions, and Director Independence</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14.</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4">
              <w:r>
                <w:rPr>
                  <w:rStyle w:val="InternetLink"/>
                  <w:rFonts w:ascii="Times New Roman" w:hAnsi="Times New Roman"/>
                  <w:color w:val="000080"/>
                  <w:sz w:val="18"/>
                  <w:u w:val="single"/>
                </w:rPr>
                <w:t>Principal Accountant Fees and Services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130</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10205" w:type="dxa"/>
            <w:gridSpan w:val="7"/>
            <w:tcBorders/>
            <w:vAlign w:val="center"/>
          </w:tcPr>
          <w:p>
            <w:pPr>
              <w:pStyle w:val="TableContents"/>
              <w:bidi w:val="0"/>
              <w:spacing w:before="0" w:after="283"/>
              <w:jc w:val="both"/>
              <w:rPr/>
            </w:pPr>
            <w:r>
              <w:rPr/>
              <w:t> </w:t>
            </w:r>
          </w:p>
        </w:tc>
      </w:tr>
      <w:tr>
        <w:trPr/>
        <w:tc>
          <w:tcPr>
            <w:tcW w:w="9813" w:type="dxa"/>
            <w:gridSpan w:val="6"/>
            <w:tcBorders/>
            <w:vAlign w:val="center"/>
          </w:tcPr>
          <w:p>
            <w:pPr>
              <w:pStyle w:val="TableContents"/>
              <w:bidi w:val="0"/>
              <w:spacing w:before="0" w:after="283"/>
              <w:ind w:left="0" w:right="116" w:hanging="0"/>
              <w:jc w:val="center"/>
              <w:rPr>
                <w:rFonts w:ascii="Times New Roman" w:hAnsi="Times New Roman"/>
                <w:b/>
                <w:color w:val="000000"/>
                <w:sz w:val="18"/>
              </w:rPr>
            </w:pPr>
            <w:r>
              <w:rPr>
                <w:rFonts w:ascii="Times New Roman" w:hAnsi="Times New Roman"/>
                <w:b/>
                <w:color w:val="000000"/>
                <w:sz w:val="18"/>
              </w:rPr>
              <w:t>PART IV</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ind w:left="0" w:right="0" w:firstLine="200"/>
              <w:jc w:val="both"/>
              <w:rPr/>
            </w:pPr>
            <w:r>
              <w:rPr/>
              <w:t> </w:t>
            </w:r>
          </w:p>
        </w:tc>
      </w:tr>
      <w:tr>
        <w:trPr/>
        <w:tc>
          <w:tcPr>
            <w:tcW w:w="757" w:type="dxa"/>
            <w:tcBorders/>
            <w:vAlign w:val="center"/>
          </w:tcPr>
          <w:p>
            <w:pPr>
              <w:pStyle w:val="TableContents"/>
              <w:pBdr/>
              <w:bidi w:val="0"/>
              <w:spacing w:before="0" w:after="283"/>
              <w:ind w:left="0" w:right="16" w:hanging="200"/>
              <w:jc w:val="both"/>
              <w:rPr>
                <w:rFonts w:ascii="Times New Roman" w:hAnsi="Times New Roman"/>
                <w:color w:val="000000"/>
                <w:sz w:val="18"/>
              </w:rPr>
            </w:pPr>
            <w:r>
              <w:rPr>
                <w:rFonts w:ascii="Times New Roman" w:hAnsi="Times New Roman"/>
                <w:color w:val="000000"/>
                <w:sz w:val="18"/>
              </w:rPr>
              <w:t>Item 15.</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item_15">
              <w:r>
                <w:rPr>
                  <w:rStyle w:val="InternetLink"/>
                  <w:rFonts w:ascii="Times New Roman" w:hAnsi="Times New Roman"/>
                  <w:color w:val="000080"/>
                  <w:sz w:val="18"/>
                  <w:u w:val="single"/>
                </w:rPr>
                <w:t>Exhibit and Financial Statement Schedules</w:t>
              </w:r>
            </w:hyperlink>
            <w:r>
              <w:rPr>
                <w:rFonts w:ascii="Times New Roman" w:hAnsi="Times New Roman"/>
                <w:color w:val="000000"/>
                <w:sz w:val="18"/>
                <w:u w:val="single"/>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131</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r>
        <w:trPr/>
        <w:tc>
          <w:tcPr>
            <w:tcW w:w="757" w:type="dxa"/>
            <w:tcBorders/>
            <w:vAlign w:val="center"/>
          </w:tcPr>
          <w:p>
            <w:pPr>
              <w:pStyle w:val="TableContents"/>
              <w:bidi w:val="0"/>
              <w:spacing w:before="0" w:after="283"/>
              <w:jc w:val="both"/>
              <w:rPr/>
            </w:pPr>
            <w:r>
              <w:rPr/>
              <w:t> </w:t>
            </w:r>
          </w:p>
        </w:tc>
        <w:tc>
          <w:tcPr>
            <w:tcW w:w="8340" w:type="dxa"/>
            <w:gridSpan w:val="2"/>
            <w:tcBorders/>
            <w:vAlign w:val="center"/>
          </w:tcPr>
          <w:p>
            <w:pPr>
              <w:pStyle w:val="TableContents"/>
              <w:bidi w:val="0"/>
              <w:spacing w:before="0" w:after="283"/>
              <w:jc w:val="both"/>
              <w:rPr/>
            </w:pPr>
            <w:r>
              <w:rPr/>
              <w:t> </w:t>
            </w:r>
          </w:p>
        </w:tc>
        <w:tc>
          <w:tcPr>
            <w:tcW w:w="1108" w:type="dxa"/>
            <w:gridSpan w:val="4"/>
            <w:tcBorders/>
            <w:vAlign w:val="center"/>
          </w:tcPr>
          <w:p>
            <w:pPr>
              <w:pStyle w:val="TableContents"/>
              <w:bidi w:val="0"/>
              <w:spacing w:before="0" w:after="283"/>
              <w:jc w:val="both"/>
              <w:rPr/>
            </w:pPr>
            <w:r>
              <w:rPr/>
              <w:t> </w:t>
            </w:r>
          </w:p>
        </w:tc>
      </w:tr>
      <w:tr>
        <w:trPr/>
        <w:tc>
          <w:tcPr>
            <w:tcW w:w="757" w:type="dxa"/>
            <w:tcBorders/>
            <w:vAlign w:val="center"/>
          </w:tcPr>
          <w:p>
            <w:pPr>
              <w:pStyle w:val="TableContents"/>
              <w:bidi w:val="0"/>
              <w:spacing w:before="0" w:after="283"/>
              <w:jc w:val="both"/>
              <w:rPr/>
            </w:pPr>
            <w:r>
              <w:rPr/>
              <w:t> </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7994" w:type="dxa"/>
            <w:tcBorders/>
            <w:vAlign w:val="center"/>
          </w:tcPr>
          <w:p>
            <w:pPr>
              <w:pStyle w:val="TableContents"/>
              <w:pBdr/>
              <w:bidi w:val="0"/>
              <w:spacing w:before="0" w:after="283"/>
              <w:ind w:left="0" w:right="16" w:hanging="200"/>
              <w:jc w:val="both"/>
              <w:rPr/>
            </w:pPr>
            <w:hyperlink w:anchor="signatures">
              <w:r>
                <w:rPr>
                  <w:rStyle w:val="InternetLink"/>
                  <w:rFonts w:ascii="Times New Roman" w:hAnsi="Times New Roman"/>
                  <w:color w:val="000000"/>
                  <w:sz w:val="18"/>
                  <w:u w:val="single"/>
                </w:rPr>
                <w:t>SIGNATURES</w:t>
              </w:r>
            </w:hyperlink>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right"/>
              <w:rPr>
                <w:rFonts w:ascii="Times New Roman" w:hAnsi="Times New Roman"/>
                <w:color w:val="000000"/>
                <w:sz w:val="18"/>
              </w:rPr>
            </w:pPr>
            <w:r>
              <w:rPr>
                <w:rFonts w:ascii="Times New Roman" w:hAnsi="Times New Roman"/>
                <w:color w:val="000000"/>
                <w:sz w:val="18"/>
              </w:rPr>
              <w:t>133</w:t>
            </w:r>
          </w:p>
        </w:tc>
        <w:tc>
          <w:tcPr>
            <w:tcW w:w="392" w:type="dxa"/>
            <w:tcBorders/>
            <w:vAlign w:val="center"/>
          </w:tcPr>
          <w:p>
            <w:pPr>
              <w:pStyle w:val="TableContents"/>
              <w:bidi w:val="0"/>
              <w:spacing w:before="0" w:after="283"/>
              <w:ind w:left="0" w:right="16" w:hanging="0"/>
              <w:jc w:val="left"/>
              <w:rPr>
                <w:sz w:val="4"/>
                <w:szCs w:val="4"/>
              </w:rPr>
            </w:pPr>
            <w:r>
              <w:rPr>
                <w:sz w:val="4"/>
                <w:szCs w:val="4"/>
              </w:rPr>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 LOOKING STATEMENTS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This Annual Report on Form 10-K (“Annual Report”)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Annual Report on Form 10-K involve risks and uncertainties, including statements as to: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future operating results;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changes in the financial and lending markets;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business prospects and the prospects of our portfolio companies, including our and their ability to achieve our respective objectives;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impact of investments that we expect to make;</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contractual arrangements and relationships with third parties;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dependence of our future success on the general economy and its impact on the industries in which we invest;</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an economic downturn and its impacts on the ability of our portfolio companies to operate and the investment opportunities available to us;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impact of geopolitical conditions, including the ongoing conflict between Ukraine and Russia, ongoing conflict in the Middle East, and U.S. and China relations, and its impact on financial market volatility, global economic markets, and various sectors, industries and markets for commodities globally;</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ability of our portfolio companies to achieve their objectives;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expected financing and investments;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adequacy of our cash resources and working capital;</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timing of cash flows, if any, from the operations of our portfolio companies;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ability of the Investment Advisor to locate suitable investments for us and to monitor and administer our investments;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ability of our Investment Advisor to attract and retain highly talented professionals;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regulatory structure and tax treatment;</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operate as a BDC and a RIC and each of the Funds to operate as an SBIC;</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timing, form and amount of any dividend distributions;</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impact of interest rate volatility, including the replacement of LIBOR with alternate rates, rising interest rates, and the elevated level of inflation on our business and portfolio companies;</w:t>
        <w:br/>
      </w: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valuation of any investments in portfolio companies, particularly those having no liquid trading market; and</w:t>
        <w:br/>
      </w:r>
      <w:r>
        <w:rPr>
          <w:color w:val="000000"/>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rate volatility, including rising interest rates, could adversely affect our results, particularly because we use leverage as part of our investment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alternative reference rates that have replaced LIBOR may not yield the same or similar economic results as LIBOR over the life of such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2023 and in our other filings with the SEC.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Annual Report should not be regarded as a representation by us that our plans and objectives will be achieved. These risks and uncertainties include those described or identified in Item 1A entitled “Risk Factors” in Part I and elsewhere in this Annual Report. You should not place undue reliance on these forward-looking statements as a prediction of actual results, which apply only as of the date of this Annual Report.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 Some of the statements in this Annual Report constitute forward-looking statements, which apply to us and relate to future events, future performance or financial conditions. The forward-looking statements involve risks and uncertainties for us and our portfolio companies and actual results could differ materially from those projected in the forward-looking statements for any reason, including those factors discussed in Item 1A. “Risk Factors” and elsewhere in this Annual Report.</w:t>
      </w:r>
    </w:p>
    <w:p>
      <w:pPr>
        <w:pStyle w:val="TextBody"/>
        <w:bidi w:val="0"/>
        <w:spacing w:before="270" w:after="283"/>
        <w:jc w:val="both"/>
        <w:rPr>
          <w:rFonts w:ascii="Times New Roman" w:hAnsi="Times New Roman"/>
          <w:b/>
          <w:color w:val="000000"/>
          <w:sz w:val="20"/>
        </w:rPr>
      </w:pPr>
      <w:bookmarkStart w:id="2" w:name="item_1"/>
      <w:bookmarkEnd w:id="2"/>
      <w:r>
        <w:rPr>
          <w:rFonts w:ascii="Times New Roman" w:hAnsi="Times New Roman"/>
          <w:b/>
          <w:color w:val="000000"/>
          <w:sz w:val="20"/>
        </w:rPr>
        <w:t>Item 1. Business.</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90" w:after="180"/>
        <w:jc w:val="both"/>
        <w:rPr>
          <w:rFonts w:ascii="Times New Roman" w:hAnsi="Times New Roman"/>
          <w:color w:val="000000"/>
          <w:sz w:val="20"/>
        </w:rPr>
      </w:pPr>
      <w:r>
        <w:rPr>
          <w:rFonts w:ascii="Times New Roman" w:hAnsi="Times New Roman"/>
          <w:color w:val="000000"/>
          <w:sz w:val="20"/>
        </w:rPr>
        <w:t>Fidus Investment Corporation, a Maryland Corporation, operates as an externally managed business development company (“BDC”) under the Investment Company Act of 1940, as amended (“1940 Act”). FIC completed its initial public offering, or IPO, in June 2011. In addition, FIC has elected, and intends to qualify annually, to be treated as a regulated investment company (“RIC”) for U.S. federal income tax purposes under Subchapter M of the Internal Revenue Code of 1986, as amended (the “Code”). As of December 31, 2023, our shares were listed on the NASDAQ Global Select Market under the symbol “FDUS.”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The Funds are licensed by the U.S. Small Business Administration (the “SBA”) to operate as small business investment companies (“SBICs”). The Funds utilize the proceeds of the issuance of SBA-guaranteed debentures to enhance returns to our stockholders. As of September 9, 2019, Fidus Mezzanine Capital, L.P. (“Fund I”) completed a wind-down plan, relinquished its SBIC license, and can no longer issue additional SBA-guaranteed debentures. 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during the investment period until the Funds reach their borrowing limit under the program. For two or more SBICs under common control, the maximum amount of outstanding SBA debentures cannot exceed $350.0 million.</w:t>
      </w:r>
    </w:p>
    <w:p>
      <w:pPr>
        <w:pStyle w:val="TextBody"/>
        <w:bidi w:val="0"/>
        <w:spacing w:before="0" w:after="9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Although we are classified as a non-diversified investment company within the meaning of the 1940 Act, we maintain the flexibility to operate as a diversified investment company and have done so for an extended period of time. We seek to maintain a diversified portfolio of investments in order to help mitigate the potential effects of adverse economic events related to particular companies, regions or industries.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invest in companies that possess some or all of the following attributes: predictable revenues; positive cash flows; defensible and/or leading market positions; diversified customer and supplier bases; and proven 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December 31, 2023, we had debt and equity investments in 82 portfolio companies with an aggregate fair value of $957.9 million. The weighted average yield on our debt investments as of December 31, 2023 was 14.2%. The weighted average yield of our debt investments is not the same as a return on investment for our stockholders but, rather, relates to a portion of our investment portfolio and is calculated before the payment of all of our fees and expenses. The weighted average yield was computed using the effective interest rates for debt investments at cost as of December 31, 2023, including accretion of original issue discount (“OID”) and loan origination fees, but excluding investments on non-accrual status, if any. There can be no assurance that the weighted average yield will remain at its current level. For the year ended December 31, 2023, our total return based on net asset value (“NAV”) per share was 15.1% and our total return based on market value was 17.8%. For the year ended December 31, 2022, our total return based on NAV was 7.3% and our total return based on market value was 17.7%. Total return based on NAV per share equals the change in NAV per share during the period, plus dividends paid per share during the period, less other non-operating changes during the period, and divided by beginning NAV per share for the period. Non-operating changes include any items that affect NAV per share other than increase from investment operations, such as the effects of share issuances and repurchases and other miscellaneous items. Total return based on market value equals the change in the market value of our common stock per share during the period divided by the market value per share at the beginning of the period, and assumes reinvestment of dividends at prices obtained by our dividend reinvestment plan during the period. While these two figures reflect fund expenses, they do not reflect any sales load that may be paid by investors.</w:t>
      </w:r>
    </w:p>
    <w:p>
      <w:pPr>
        <w:pStyle w:val="TextBody"/>
        <w:bidi w:val="0"/>
        <w:spacing w:before="0" w:after="9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Our headquarters are in Evanston, Illinois, and our website is </w:t>
      </w:r>
      <w:r>
        <w:rPr>
          <w:rFonts w:ascii="Times New Roman" w:hAnsi="Times New Roman"/>
          <w:i/>
          <w:color w:val="000000"/>
          <w:sz w:val="20"/>
        </w:rPr>
        <w:t>www.fdus.com</w:t>
      </w:r>
      <w:r>
        <w:rPr>
          <w:rFonts w:ascii="Times New Roman" w:hAnsi="Times New Roman"/>
          <w:color w:val="000000"/>
          <w:sz w:val="20"/>
        </w:rPr>
        <w:t xml:space="preserve">. We are not including the information contained on our website as a part of, or incorporating it by reference into, this Annual Report. We make available free of charge through our website our proxy statement, annual reports on Form 10-K, quarterly reports on Form 10-Q, current reports on Form 8-K and amendments to those reports, as soon as reasonably practicable after we electronically file such material with, or furnish such material to, the U.S. Securities and Exchange Commission (the “SEC”). The SEC maintains a website at </w:t>
      </w:r>
      <w:r>
        <w:rPr>
          <w:rFonts w:ascii="Times New Roman" w:hAnsi="Times New Roman"/>
          <w:i/>
          <w:color w:val="000000"/>
          <w:sz w:val="20"/>
        </w:rPr>
        <w:t>www.sec.gov</w:t>
      </w:r>
      <w:r>
        <w:rPr>
          <w:rFonts w:ascii="Times New Roman" w:hAnsi="Times New Roman"/>
          <w:color w:val="000000"/>
          <w:sz w:val="20"/>
        </w:rPr>
        <w:t xml:space="preserve"> that contains reports, proxy and information statements, and other information regarding issuers, like us, that file electronically with the SEC. Copies of this Annual Report and other reports are also available without charge by contacting us in writing at 1603 Orrington Avenue, Suite 1005, Evanston, Illinois 60201, Attention: Investor Relations.</w:t>
      </w:r>
    </w:p>
    <w:p>
      <w:pPr>
        <w:pStyle w:val="TextBody"/>
        <w:bidi w:val="0"/>
        <w:spacing w:before="0" w:after="90"/>
        <w:jc w:val="both"/>
        <w:rPr>
          <w:rFonts w:ascii="Times New Roman" w:hAnsi="Times New Roman"/>
          <w:b/>
          <w:color w:val="000000"/>
          <w:sz w:val="20"/>
        </w:rPr>
      </w:pPr>
      <w:r>
        <w:rPr>
          <w:rFonts w:ascii="Times New Roman" w:hAnsi="Times New Roman"/>
          <w:b/>
          <w:color w:val="000000"/>
          <w:sz w:val="20"/>
        </w:rPr>
        <w:t>Our Advisor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Our investment activities are managed by Fidus Investment Advisors, LLC, our investment advisor, and supervised by our board of directors, a majority of whom are not “interested persons” of FIC as defined in section 2(a)(19) of the 1940 Act, and who we refer to hereafter as the Independent Directors. Pursuant to the terms of the investment advisory and management agreement, which we refer to as the Investment Advisory Agreement, between us and our investment advisor, our investment advisor is responsible for determining the composition of our portfolio, including sourcing potential investments, conducting research and diligence on potential investments and equity sponsors, analyzing investment opportunities, structuring our investments and monitoring our investments and portfolio companies on an ongoing basis. Our investment advisor’s investment professionals seek to capitalize on their significant deal origination and sourcing, underwriting, due diligence, investment structuring, execution, portfolio management and monitoring experience. These professionals have developed a broad network of contacts within the investment community, have gained extensive experience investing in assets that constitute our primary focus and have expertise in investing across all levels of the capital structure of lower middle-market companies.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relationship with our investment advisor is governed by and dependent on the Investment Advisory Agreement and may be subject to conflicts of interest. We pay our investment advisor a fee for its services under the Investment Advisory Agreement consisting of two components—a base management fee and an incentive fee. The base management fee is calculated at an annual rate of 1.75% of the average value of our total assets (other than cash or cash equivalents but including assets purchased with borrowed amounts). The incentive fee consists of two parts. The first part is calculated and payable quarterly in arrears and equals 20.0% of our “pre-incentive fee net investment income” for the immediately preceding quarter, subject to a 2.0% preferred return, or “hurdle,” and a “catch up” feature. The second part is determined and payable in arrears as of the end of each fiscal year in an amount equal to 20.0% of our realized capital gains, if any, on a cumulative basis from inception through the end of each fiscal year, computed net of all realized capital losses and unrealized capital depreciation on a cumulative basis, less the aggregate amount of any capital gain incentive fees paid in prior years. We accrue, but do not pay, a capital gains incentive fee in connection with any unrealized capital appreciation, as appropriate. For more information about how we compensate our investment advisor, see “Management and Other Agreements—Investment Advisory Agreement.”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Among other things, our board of directors is charged with protecting our interests by monitoring how our investment advisor addresses conflicts of interest associated with its management services and compensation.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Renewal of our Investment Advisory Agreement must be approved each year by our board of directors, including a majority of our Independent Directors.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Fidus Investment Advisors, LLC is a Delaware limited liability company that is registered as an investment advisor under the Investment Advisers Act of 1940, as amended, or the Advisers Act. In addition, Fidus Investment Advisors, LLC serves as our administrator and provides us with office space, equipment and clerical, book-keeping and record-keeping services pursuant to an administration agreement, which we refer to as the Administration Agreement.</w:t>
      </w:r>
    </w:p>
    <w:p>
      <w:pPr>
        <w:pStyle w:val="TextBody"/>
        <w:bidi w:val="0"/>
        <w:spacing w:before="0" w:after="90"/>
        <w:jc w:val="both"/>
        <w:rPr>
          <w:rFonts w:ascii="Times New Roman" w:hAnsi="Times New Roman"/>
          <w:b/>
          <w:color w:val="000000"/>
          <w:sz w:val="20"/>
        </w:rPr>
      </w:pPr>
      <w:r>
        <w:rPr>
          <w:rFonts w:ascii="Times New Roman" w:hAnsi="Times New Roman"/>
          <w:b/>
          <w:color w:val="000000"/>
          <w:sz w:val="20"/>
        </w:rPr>
        <w:t>Business Strategy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intend to accomplish our goal of becoming one of the premier providers of capital to and value-added partner of lower middle-market companies by:</w:t>
      </w:r>
    </w:p>
    <w:p>
      <w:pPr>
        <w:pStyle w:val="TextBody"/>
        <w:bidi w:val="0"/>
        <w:spacing w:before="0" w:after="180"/>
        <w:jc w:val="both"/>
        <w:rPr>
          <w:rFonts w:ascii="Times New Roman" w:hAnsi="Times New Roman"/>
          <w:sz w:val="20"/>
        </w:rPr>
      </w:pPr>
      <w:r>
        <w:rPr>
          <w:rFonts w:ascii="Times New Roman" w:hAnsi="Times New Roman"/>
          <w:i/>
          <w:color w:val="000000"/>
          <w:sz w:val="20"/>
        </w:rPr>
        <w:t>Leveraging the Experience of Our Investment Advisor</w:t>
      </w:r>
      <w:r>
        <w:rPr>
          <w:rFonts w:ascii="Times New Roman" w:hAnsi="Times New Roman"/>
          <w:color w:val="000000"/>
          <w:sz w:val="20"/>
        </w:rPr>
        <w:t>. Our investment advisor’s investment professionals have significant experience investing in, lending to and advising companies across multiple industries and changing market cycles. These professionals have diverse backgrounds with prior experience in senior management positions at investment banks, specialty finance companies, commercial banks and privately and publicly held companies and have extensive experience investing across all levels of the capital structure of lower middle-market companies. We believe these professionals possess an in-depth understanding of the strategic, financial and operational challenges and opportunities of lower middle-market companies, enabling our investment advisor to effectively identify, assess, structure and monitor our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Capitalizing on Our Strong Transaction Sourcing Network</w:t>
      </w:r>
      <w:r>
        <w:rPr>
          <w:rFonts w:ascii="Times New Roman" w:hAnsi="Times New Roman"/>
          <w:color w:val="000000"/>
          <w:sz w:val="20"/>
        </w:rPr>
        <w:t>. Our investment advisor’s investment professionals possess an extensive network of long-standing relationships with private equity firms, middle-market senior lenders, junior capital partners, financial intermediaries and management teams of privately owned businesses. We believe that the combination of our investment advisor’s relationships and our reputation as a reliable, responsive and value-added financing partner helps us generate a steady stream of new investment opportunities and proprietary deal flow.</w:t>
      </w:r>
    </w:p>
    <w:p>
      <w:pPr>
        <w:pStyle w:val="TextBody"/>
        <w:bidi w:val="0"/>
        <w:spacing w:before="0" w:after="180"/>
        <w:jc w:val="both"/>
        <w:rPr>
          <w:rFonts w:ascii="Times New Roman" w:hAnsi="Times New Roman"/>
          <w:sz w:val="20"/>
        </w:rPr>
      </w:pPr>
      <w:r>
        <w:rPr>
          <w:rFonts w:ascii="Times New Roman" w:hAnsi="Times New Roman"/>
          <w:i/>
          <w:color w:val="000000"/>
          <w:sz w:val="20"/>
        </w:rPr>
        <w:t>Serving as a Value-Added Partner with Customized Financing Solutions</w:t>
      </w:r>
      <w:r>
        <w:rPr>
          <w:rFonts w:ascii="Times New Roman" w:hAnsi="Times New Roman"/>
          <w:color w:val="000000"/>
          <w:sz w:val="20"/>
        </w:rPr>
        <w:t>. We follow a partnership-oriented investment approach and focus on opportunities where we believe we can add value to a portfolio company. We primarily concentrate on industries or market niches in which the investment professionals of our investment advisor have prior experience. These professionals also have expertise in structuring securities at all levels of the capital structure, which we believe positions us well to meet the unique financing needs of our portfolio companies. We invest primarily in unitranche or first lien senior secured loans, typically coupled with an equity interest; however, on a selective basis we may invest in second lien and subordinated debt securities. Further, as a publicly-traded BDC, we have a longer investment horizon without the capital return requirements of traditional private investment vehicles. We believe this flexibility enables us to generate attractive risk-adjusted returns on invested capital and enables us to be a better long-term partner for our portfolio companies. We believe that by leveraging the industry and structuring expertise of our investment advisor coupled with our long-term investment horizon, we are well positioned to be a value-added partner for our portfolio companies.</w:t>
      </w:r>
    </w:p>
    <w:p>
      <w:pPr>
        <w:pStyle w:val="TextBody"/>
        <w:bidi w:val="0"/>
        <w:spacing w:before="0" w:after="180"/>
        <w:jc w:val="both"/>
        <w:rPr>
          <w:rFonts w:ascii="Times New Roman" w:hAnsi="Times New Roman"/>
          <w:sz w:val="20"/>
        </w:rPr>
      </w:pPr>
      <w:r>
        <w:rPr>
          <w:rFonts w:ascii="Times New Roman" w:hAnsi="Times New Roman"/>
          <w:i/>
          <w:color w:val="000000"/>
          <w:sz w:val="20"/>
        </w:rPr>
        <w:t>Employing Rigorous Due Diligence and Underwriting Processes Focused on Capital Preservation</w:t>
      </w:r>
      <w:r>
        <w:rPr>
          <w:rFonts w:ascii="Times New Roman" w:hAnsi="Times New Roman"/>
          <w:color w:val="000000"/>
          <w:sz w:val="20"/>
        </w:rPr>
        <w:t xml:space="preserve">. Our investment advisor follows a disciplined and credit-oriented approach to evaluating and investing in companies. We focus on companies with proven business models, significant free cash flow, defensible market positions and significant enterprise value cushion for our debt investments. In making investment decisions, we seek to minimize the risk of capital loss without foregoing the opportunity for capital appreciation. Our investment advisor’s investment professionals have developed extensive due diligence and underwriting processes designed to better assess a portfolio company’s prospects and to determine the appropriate investment structure. Our investment advisor thoroughly analyzes each potential portfolio company’s competitive position, financial performance, management team, growth potential and industry attractiveness. As part of this process, our investment advisor also participates in meetings with management, tours of facilities, discussions with industry professionals and third-party reviews. We believe this approach enables us to build and maintain an attractive investment portfolio that meets our return and value criteria over the long term. </w:t>
      </w:r>
    </w:p>
    <w:p>
      <w:pPr>
        <w:pStyle w:val="TextBody"/>
        <w:bidi w:val="0"/>
        <w:spacing w:before="0" w:after="180"/>
        <w:jc w:val="both"/>
        <w:rPr>
          <w:rFonts w:ascii="Times New Roman" w:hAnsi="Times New Roman"/>
          <w:sz w:val="20"/>
        </w:rPr>
      </w:pPr>
      <w:r>
        <w:rPr>
          <w:rFonts w:ascii="Times New Roman" w:hAnsi="Times New Roman"/>
          <w:i/>
          <w:color w:val="000000"/>
          <w:sz w:val="20"/>
        </w:rPr>
        <w:t>Actively Managing our Portfolio</w:t>
      </w:r>
      <w:r>
        <w:rPr>
          <w:rFonts w:ascii="Times New Roman" w:hAnsi="Times New Roman"/>
          <w:color w:val="000000"/>
          <w:sz w:val="20"/>
        </w:rPr>
        <w:t>. We believe that our investment advisor’s initial and ongoing portfolio review process allows us to effectively monitor the performance and prospects of our portfolio companies. We seek to obtain board observation rights or board seats with respect to our portfolio companies, and we conduct monthly financial reviews and have regular discussions with portfolio company management. We structure our investments with a comprehensive set of financial maintenance covenants, including affirmative and negative covenants. We believe that active monitoring of our portfolio companies’ compliance with covenants provides us with an early warning of any financial difficulty and enhances our ability to protect our invested capital.</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sz w:val="20"/>
        </w:rPr>
      </w:pPr>
      <w:r>
        <w:rPr>
          <w:rFonts w:ascii="Times New Roman" w:hAnsi="Times New Roman"/>
          <w:i/>
          <w:color w:val="000000"/>
          <w:sz w:val="20"/>
        </w:rPr>
        <w:t>Maintaining Portfolio Diversification</w:t>
      </w:r>
      <w:r>
        <w:rPr>
          <w:rFonts w:ascii="Times New Roman" w:hAnsi="Times New Roman"/>
          <w:color w:val="000000"/>
          <w:sz w:val="20"/>
        </w:rPr>
        <w:t>. We seek to maintain a portfolio of investments that is appropriately diversified among companies, industries, geographic regions and end markets. We have made investments in portfolio companies in the following industries: business services, industrial products and services, value-added distribution, healthcare products and services, consumer products and services (including retail, food and beverage), energy services, aerospace, and defense manufacturing, transportation services, information technology services and niche manufacturing. We believe that investing across various industries helps mitigate the potential effects of negative economic events for particular companies, regions and industries.</w:t>
      </w:r>
    </w:p>
    <w:p>
      <w:pPr>
        <w:pStyle w:val="TextBody"/>
        <w:bidi w:val="0"/>
        <w:spacing w:before="0" w:after="180"/>
        <w:jc w:val="both"/>
        <w:rPr>
          <w:rFonts w:ascii="Times New Roman" w:hAnsi="Times New Roman"/>
          <w:sz w:val="20"/>
        </w:rPr>
      </w:pPr>
      <w:r>
        <w:rPr>
          <w:rFonts w:ascii="Times New Roman" w:hAnsi="Times New Roman"/>
          <w:i/>
          <w:color w:val="000000"/>
          <w:sz w:val="20"/>
        </w:rPr>
        <w:t>Benefiting from Lower Cost of Capital</w:t>
      </w:r>
      <w:r>
        <w:rPr>
          <w:rFonts w:ascii="Times New Roman" w:hAnsi="Times New Roman"/>
          <w:color w:val="000000"/>
          <w:sz w:val="20"/>
        </w:rPr>
        <w:t>. The Funds’ SBIC licenses allow us to issue SBA-guaranteed debentures. These SBA debentures carry long-term fixed rates that are generally lower than rates on comparable bank and public debt. Because lower-cost SBA leverage is a significant part of our funding strategy, our relative cost of debt capital should be lower than many of our competitors. For two or more SBICs under common control, the maximum amount of outstanding SBA debentures cannot exceed $350.0 million.</w:t>
      </w:r>
    </w:p>
    <w:p>
      <w:pPr>
        <w:pStyle w:val="TextBody"/>
        <w:bidi w:val="0"/>
        <w:spacing w:before="0" w:after="90"/>
        <w:jc w:val="both"/>
        <w:rPr>
          <w:rFonts w:ascii="Times New Roman" w:hAnsi="Times New Roman"/>
          <w:b/>
          <w:color w:val="000000"/>
          <w:sz w:val="20"/>
        </w:rPr>
      </w:pPr>
      <w:r>
        <w:rPr>
          <w:rFonts w:ascii="Times New Roman" w:hAnsi="Times New Roman"/>
          <w:b/>
          <w:color w:val="000000"/>
          <w:sz w:val="20"/>
        </w:rPr>
        <w:t>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securities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Our Consolidated Portfolio</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We generally seek to invest in companies from the broad range of industries in which our investment advisor has direct experience. The following is a representative list of the broad industry segments in which we have invested; however, we may invest in other industries if we are presented with attractive opportunities. </w:t>
      </w:r>
    </w:p>
    <w:tbl>
      <w:tblPr>
        <w:tblW w:w="6965" w:type="dxa"/>
        <w:jc w:val="left"/>
        <w:tblInd w:w="0" w:type="dxa"/>
        <w:tblLayout w:type="fixed"/>
        <w:tblCellMar>
          <w:top w:w="28" w:type="dxa"/>
          <w:left w:w="28" w:type="dxa"/>
          <w:bottom w:w="28" w:type="dxa"/>
          <w:right w:w="28" w:type="dxa"/>
        </w:tblCellMar>
      </w:tblPr>
      <w:tblGrid>
        <w:gridCol w:w="2747"/>
        <w:gridCol w:w="946"/>
        <w:gridCol w:w="3272"/>
      </w:tblGrid>
      <w:tr>
        <w:trPr/>
        <w:tc>
          <w:tcPr>
            <w:tcW w:w="274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2747"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aerospace &amp; defense;</w:t>
            </w:r>
          </w:p>
        </w:tc>
        <w:tc>
          <w:tcPr>
            <w:tcW w:w="946" w:type="dxa"/>
            <w:tcBorders/>
            <w:vAlign w:val="center"/>
          </w:tcPr>
          <w:p>
            <w:pPr>
              <w:pStyle w:val="TableContents"/>
              <w:bidi w:val="0"/>
              <w:spacing w:before="0" w:after="283"/>
              <w:ind w:left="0" w:right="0" w:firstLine="800"/>
              <w:jc w:val="left"/>
              <w:rPr>
                <w:sz w:val="4"/>
                <w:szCs w:val="4"/>
              </w:rPr>
            </w:pPr>
            <w:r>
              <w:rPr>
                <w:sz w:val="4"/>
                <w:szCs w:val="4"/>
              </w:rPr>
            </w:r>
          </w:p>
        </w:tc>
        <w:tc>
          <w:tcPr>
            <w:tcW w:w="3272"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infrastructure;</w:t>
            </w:r>
          </w:p>
        </w:tc>
      </w:tr>
      <w:tr>
        <w:trPr/>
        <w:tc>
          <w:tcPr>
            <w:tcW w:w="2747" w:type="dxa"/>
            <w:tcBorders/>
            <w:vAlign w:val="center"/>
          </w:tcPr>
          <w:p>
            <w:pPr>
              <w:pStyle w:val="TableContents"/>
              <w:bidi w:val="0"/>
              <w:spacing w:before="0" w:after="283"/>
              <w:jc w:val="left"/>
              <w:rPr/>
            </w:pPr>
            <w:r>
              <w:rPr/>
              <w:t> </w:t>
            </w:r>
          </w:p>
        </w:tc>
        <w:tc>
          <w:tcPr>
            <w:tcW w:w="4218" w:type="dxa"/>
            <w:gridSpan w:val="2"/>
            <w:tcBorders/>
            <w:vAlign w:val="center"/>
          </w:tcPr>
          <w:p>
            <w:pPr>
              <w:pStyle w:val="TableContents"/>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business services;</w:t>
            </w:r>
          </w:p>
        </w:tc>
        <w:tc>
          <w:tcPr>
            <w:tcW w:w="946" w:type="dxa"/>
            <w:tcBorders/>
            <w:vAlign w:val="center"/>
          </w:tcPr>
          <w:p>
            <w:pPr>
              <w:pStyle w:val="TableContents"/>
              <w:bidi w:val="0"/>
              <w:spacing w:before="0" w:after="283"/>
              <w:ind w:left="0" w:right="0" w:firstLine="800"/>
              <w:jc w:val="left"/>
              <w:rPr>
                <w:sz w:val="4"/>
                <w:szCs w:val="4"/>
              </w:rPr>
            </w:pPr>
            <w:r>
              <w:rPr>
                <w:sz w:val="4"/>
                <w:szCs w:val="4"/>
              </w:rPr>
            </w:r>
          </w:p>
        </w:tc>
        <w:tc>
          <w:tcPr>
            <w:tcW w:w="3272"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logistics &amp; transportation;</w:t>
            </w:r>
          </w:p>
        </w:tc>
      </w:tr>
      <w:tr>
        <w:trPr/>
        <w:tc>
          <w:tcPr>
            <w:tcW w:w="2747" w:type="dxa"/>
            <w:tcBorders/>
            <w:vAlign w:val="center"/>
          </w:tcPr>
          <w:p>
            <w:pPr>
              <w:pStyle w:val="TableContents"/>
              <w:bidi w:val="0"/>
              <w:spacing w:before="0" w:after="283"/>
              <w:jc w:val="left"/>
              <w:rPr/>
            </w:pPr>
            <w:r>
              <w:rPr/>
              <w:t> </w:t>
            </w:r>
          </w:p>
        </w:tc>
        <w:tc>
          <w:tcPr>
            <w:tcW w:w="4218" w:type="dxa"/>
            <w:gridSpan w:val="2"/>
            <w:tcBorders/>
            <w:vAlign w:val="center"/>
          </w:tcPr>
          <w:p>
            <w:pPr>
              <w:pStyle w:val="TableContents"/>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consumer products / multi-unit;</w:t>
            </w:r>
          </w:p>
        </w:tc>
        <w:tc>
          <w:tcPr>
            <w:tcW w:w="946" w:type="dxa"/>
            <w:tcBorders/>
            <w:vAlign w:val="center"/>
          </w:tcPr>
          <w:p>
            <w:pPr>
              <w:pStyle w:val="TableContents"/>
              <w:bidi w:val="0"/>
              <w:spacing w:before="0" w:after="283"/>
              <w:ind w:left="0" w:right="0" w:firstLine="800"/>
              <w:jc w:val="left"/>
              <w:rPr>
                <w:sz w:val="4"/>
                <w:szCs w:val="4"/>
              </w:rPr>
            </w:pPr>
            <w:r>
              <w:rPr>
                <w:sz w:val="4"/>
                <w:szCs w:val="4"/>
              </w:rPr>
            </w:r>
          </w:p>
        </w:tc>
        <w:tc>
          <w:tcPr>
            <w:tcW w:w="3272"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niche manufacturing;</w:t>
            </w:r>
          </w:p>
        </w:tc>
      </w:tr>
      <w:tr>
        <w:trPr/>
        <w:tc>
          <w:tcPr>
            <w:tcW w:w="2747" w:type="dxa"/>
            <w:tcBorders/>
            <w:vAlign w:val="center"/>
          </w:tcPr>
          <w:p>
            <w:pPr>
              <w:pStyle w:val="TableContents"/>
              <w:bidi w:val="0"/>
              <w:spacing w:before="0" w:after="283"/>
              <w:jc w:val="left"/>
              <w:rPr/>
            </w:pPr>
            <w:r>
              <w:rPr/>
              <w:t> </w:t>
            </w:r>
          </w:p>
        </w:tc>
        <w:tc>
          <w:tcPr>
            <w:tcW w:w="4218" w:type="dxa"/>
            <w:gridSpan w:val="2"/>
            <w:tcBorders/>
            <w:vAlign w:val="center"/>
          </w:tcPr>
          <w:p>
            <w:pPr>
              <w:pStyle w:val="TableContents"/>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consumer services;</w:t>
            </w:r>
          </w:p>
        </w:tc>
        <w:tc>
          <w:tcPr>
            <w:tcW w:w="946" w:type="dxa"/>
            <w:tcBorders/>
            <w:vAlign w:val="center"/>
          </w:tcPr>
          <w:p>
            <w:pPr>
              <w:pStyle w:val="TableContents"/>
              <w:bidi w:val="0"/>
              <w:spacing w:before="0" w:after="283"/>
              <w:ind w:left="0" w:right="0" w:firstLine="800"/>
              <w:jc w:val="left"/>
              <w:rPr>
                <w:sz w:val="4"/>
                <w:szCs w:val="4"/>
              </w:rPr>
            </w:pPr>
            <w:r>
              <w:rPr>
                <w:sz w:val="4"/>
                <w:szCs w:val="4"/>
              </w:rPr>
            </w:r>
          </w:p>
        </w:tc>
        <w:tc>
          <w:tcPr>
            <w:tcW w:w="3272"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software &amp; tech-enabled services; and</w:t>
            </w:r>
          </w:p>
        </w:tc>
      </w:tr>
      <w:tr>
        <w:trPr/>
        <w:tc>
          <w:tcPr>
            <w:tcW w:w="2747" w:type="dxa"/>
            <w:tcBorders/>
            <w:vAlign w:val="center"/>
          </w:tcPr>
          <w:p>
            <w:pPr>
              <w:pStyle w:val="TableContents"/>
              <w:bidi w:val="0"/>
              <w:spacing w:before="0" w:after="283"/>
              <w:jc w:val="left"/>
              <w:rPr/>
            </w:pPr>
            <w:r>
              <w:rPr/>
              <w:t> </w:t>
            </w:r>
          </w:p>
        </w:tc>
        <w:tc>
          <w:tcPr>
            <w:tcW w:w="4218" w:type="dxa"/>
            <w:gridSpan w:val="2"/>
            <w:tcBorders/>
            <w:vAlign w:val="center"/>
          </w:tcPr>
          <w:p>
            <w:pPr>
              <w:pStyle w:val="TableContents"/>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healthcare products;</w:t>
            </w:r>
          </w:p>
        </w:tc>
        <w:tc>
          <w:tcPr>
            <w:tcW w:w="946" w:type="dxa"/>
            <w:tcBorders/>
            <w:vAlign w:val="center"/>
          </w:tcPr>
          <w:p>
            <w:pPr>
              <w:pStyle w:val="TableContents"/>
              <w:bidi w:val="0"/>
              <w:spacing w:before="0" w:after="283"/>
              <w:ind w:left="0" w:right="0" w:firstLine="800"/>
              <w:jc w:val="left"/>
              <w:rPr/>
            </w:pPr>
            <w:r>
              <w:rPr/>
              <w:t> </w:t>
            </w:r>
          </w:p>
        </w:tc>
        <w:tc>
          <w:tcPr>
            <w:tcW w:w="3272" w:type="dxa"/>
            <w:tcBorders/>
            <w:vAlign w:val="center"/>
          </w:tcPr>
          <w:p>
            <w:pPr>
              <w:pStyle w:val="TableContents"/>
              <w:pBdr/>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 value-added distribution.</w:t>
            </w:r>
          </w:p>
        </w:tc>
      </w:tr>
      <w:tr>
        <w:trPr/>
        <w:tc>
          <w:tcPr>
            <w:tcW w:w="2747" w:type="dxa"/>
            <w:tcBorders/>
            <w:vAlign w:val="center"/>
          </w:tcPr>
          <w:p>
            <w:pPr>
              <w:pStyle w:val="TableContents"/>
              <w:pBdr/>
              <w:bidi w:val="0"/>
              <w:spacing w:before="0" w:after="283"/>
              <w:ind w:left="500" w:right="14" w:hanging="300"/>
              <w:jc w:val="left"/>
              <w:rPr/>
            </w:pPr>
            <w:r>
              <w:rPr/>
              <w:t> </w:t>
            </w:r>
          </w:p>
        </w:tc>
        <w:tc>
          <w:tcPr>
            <w:tcW w:w="946" w:type="dxa"/>
            <w:tcBorders/>
            <w:vAlign w:val="center"/>
          </w:tcPr>
          <w:p>
            <w:pPr>
              <w:pStyle w:val="TableContents"/>
              <w:bidi w:val="0"/>
              <w:spacing w:before="0" w:after="283"/>
              <w:ind w:left="0" w:right="0" w:firstLine="800"/>
              <w:jc w:val="left"/>
              <w:rPr/>
            </w:pPr>
            <w:r>
              <w:rPr/>
              <w:t> </w:t>
            </w:r>
          </w:p>
        </w:tc>
        <w:tc>
          <w:tcPr>
            <w:tcW w:w="3272" w:type="dxa"/>
            <w:tcBorders/>
            <w:vAlign w:val="center"/>
          </w:tcPr>
          <w:p>
            <w:pPr>
              <w:pStyle w:val="TableContents"/>
              <w:pBdr/>
              <w:bidi w:val="0"/>
              <w:spacing w:before="0" w:after="283"/>
              <w:ind w:left="0" w:right="0" w:firstLine="800"/>
              <w:jc w:val="left"/>
              <w:rPr/>
            </w:pPr>
            <w:r>
              <w:rPr/>
              <w:t> </w:t>
            </w:r>
          </w:p>
        </w:tc>
      </w:tr>
      <w:tr>
        <w:trPr/>
        <w:tc>
          <w:tcPr>
            <w:tcW w:w="2747" w:type="dxa"/>
            <w:tcBorders/>
            <w:vAlign w:val="center"/>
          </w:tcPr>
          <w:p>
            <w:pPr>
              <w:pStyle w:val="TableContents"/>
              <w:pBdr/>
              <w:bidi w:val="0"/>
              <w:spacing w:before="0" w:after="283"/>
              <w:ind w:left="500" w:right="16" w:hanging="300"/>
              <w:jc w:val="left"/>
              <w:rPr>
                <w:rFonts w:ascii="Times New Roman" w:hAnsi="Times New Roman"/>
                <w:color w:val="000000"/>
                <w:sz w:val="20"/>
              </w:rPr>
            </w:pPr>
            <w:r>
              <w:rPr>
                <w:rFonts w:ascii="Times New Roman" w:hAnsi="Times New Roman"/>
                <w:color w:val="000000"/>
                <w:sz w:val="20"/>
              </w:rPr>
              <w:t> industrial;</w:t>
            </w:r>
          </w:p>
        </w:tc>
        <w:tc>
          <w:tcPr>
            <w:tcW w:w="946" w:type="dxa"/>
            <w:tcBorders/>
            <w:vAlign w:val="center"/>
          </w:tcPr>
          <w:p>
            <w:pPr>
              <w:pStyle w:val="TableContents"/>
              <w:bidi w:val="0"/>
              <w:spacing w:before="0" w:after="283"/>
              <w:ind w:left="0" w:right="0" w:firstLine="800"/>
              <w:jc w:val="left"/>
              <w:rPr/>
            </w:pPr>
            <w:r>
              <w:rPr/>
              <w:t> </w:t>
            </w:r>
          </w:p>
        </w:tc>
        <w:tc>
          <w:tcPr>
            <w:tcW w:w="3272" w:type="dxa"/>
            <w:tcBorders/>
            <w:vAlign w:val="center"/>
          </w:tcPr>
          <w:p>
            <w:pPr>
              <w:pStyle w:val="TableContents"/>
              <w:pBdr/>
              <w:bidi w:val="0"/>
              <w:spacing w:before="0" w:after="283"/>
              <w:ind w:left="500" w:right="16" w:hanging="300"/>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we had investments in 82 portfolio companies with an aggregate fair value of $957.9 million. As of December 31, 2022, we had investments in 78 portfolio companies with an aggregate fair value of $860.3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10622" w:type="dxa"/>
        <w:jc w:val="left"/>
        <w:tblInd w:w="0" w:type="dxa"/>
        <w:tblLayout w:type="fixed"/>
        <w:tblCellMar>
          <w:top w:w="28" w:type="dxa"/>
          <w:left w:w="28" w:type="dxa"/>
          <w:bottom w:w="28" w:type="dxa"/>
          <w:right w:w="28" w:type="dxa"/>
        </w:tblCellMar>
      </w:tblPr>
      <w:tblGrid>
        <w:gridCol w:w="1061"/>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291"/>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Midwest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Southeast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Southwest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detailed industry segment composition of our portfolio at fair value and cost as a percentage of total investments.</w:t>
      </w:r>
    </w:p>
    <w:tbl>
      <w:tblPr>
        <w:tblW w:w="10205" w:type="dxa"/>
        <w:jc w:val="left"/>
        <w:tblInd w:w="0" w:type="dxa"/>
        <w:tblLayout w:type="fixed"/>
        <w:tblCellMar>
          <w:top w:w="28" w:type="dxa"/>
          <w:left w:w="28" w:type="dxa"/>
          <w:bottom w:w="28" w:type="dxa"/>
          <w:right w:w="28" w:type="dxa"/>
        </w:tblCellMar>
      </w:tblPr>
      <w:tblGrid>
        <w:gridCol w:w="3077"/>
        <w:gridCol w:w="146"/>
        <w:gridCol w:w="254"/>
        <w:gridCol w:w="1001"/>
        <w:gridCol w:w="271"/>
        <w:gridCol w:w="270"/>
        <w:gridCol w:w="254"/>
        <w:gridCol w:w="1001"/>
        <w:gridCol w:w="271"/>
        <w:gridCol w:w="270"/>
        <w:gridCol w:w="254"/>
        <w:gridCol w:w="1001"/>
        <w:gridCol w:w="271"/>
        <w:gridCol w:w="146"/>
        <w:gridCol w:w="254"/>
        <w:gridCol w:w="1001"/>
        <w:gridCol w:w="271"/>
        <w:gridCol w:w="192"/>
      </w:tblGrid>
      <w:tr>
        <w:trPr/>
        <w:tc>
          <w:tcPr>
            <w:tcW w:w="3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29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Products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Manufacturing</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Products Manufacturing</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color w:val="000000"/>
              </w:rPr>
            </w:pPr>
            <w:r>
              <w:rPr>
                <w:color w:val="000000"/>
              </w:rPr>
              <w:t>—</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color w:val="000000"/>
              </w:rPr>
            </w:pPr>
            <w:r>
              <w:rPr>
                <w:color w:val="000000"/>
              </w:rPr>
              <w:t>—</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Aerospace &amp; Defense Manufacturing</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Promotional Products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Distribution</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Industries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Products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&amp; Gas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Cleaning &amp; Coatings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CEE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Percentage is less than 0.1% of respective total.</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Investment Criteria/Guidelines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use the following criteria and guidelines in evaluating investment opportunities and constructing our portfolio. However, not all of these criteria and guidelines have been, or will be, met in connection with each of our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Value Orientation / Positive Cash Flow.</w:t>
      </w:r>
      <w:r>
        <w:rPr>
          <w:rFonts w:ascii="Times New Roman" w:hAnsi="Times New Roman"/>
          <w:color w:val="000000"/>
          <w:sz w:val="20"/>
        </w:rPr>
        <w:t xml:space="preserve"> Our investment advisor places a premium on analysis of business fundamentals from an investor’s perspective and has a distinct value orientation. We focus on companies with proven business models in which we can invest at relatively low multiples of operating cash flow. We also typically invest in portfolio companies with a history of profitability and minimum trailing twelve month EBITDA of $5.0 million. We do not invest in start-up companies, “turn-around” situations or companies that we believe have unproven business plans.</w:t>
      </w:r>
    </w:p>
    <w:p>
      <w:pPr>
        <w:pStyle w:val="TextBody"/>
        <w:bidi w:val="0"/>
        <w:spacing w:before="180" w:after="283"/>
        <w:jc w:val="both"/>
        <w:rPr>
          <w:rFonts w:ascii="Times New Roman" w:hAnsi="Times New Roman"/>
          <w:sz w:val="20"/>
        </w:rPr>
      </w:pPr>
      <w:r>
        <w:rPr>
          <w:rFonts w:ascii="Times New Roman" w:hAnsi="Times New Roman"/>
          <w:i/>
          <w:color w:val="000000"/>
          <w:sz w:val="20"/>
        </w:rPr>
        <w:t>Experienced Management Teams with Meaningful Equity Ownership</w:t>
      </w:r>
      <w:r>
        <w:rPr>
          <w:rFonts w:ascii="Times New Roman" w:hAnsi="Times New Roman"/>
          <w:color w:val="000000"/>
          <w:sz w:val="20"/>
        </w:rPr>
        <w:t>. We target portfolio companies that have management teams with significant experience and/or relevant industry experience coupled with meaningful equity ownership. We believe management teams with these attributes are more likely to manage the companies in a manner that protects our debt investment and enhances the value of our equity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Niche Market Leaders with Defensible Market Positions</w:t>
      </w:r>
      <w:r>
        <w:rPr>
          <w:rFonts w:ascii="Times New Roman" w:hAnsi="Times New Roman"/>
          <w:color w:val="000000"/>
          <w:sz w:val="20"/>
        </w:rPr>
        <w:t>. We seek to invest in portfolio companies that have developed defensible and/or leading positions within their respective markets or market niches and are well-positioned to capitalize on growth opportunities. We favor companies that demonstrate significant competitive advantages, which we believe helps to protect their market position and profitability.</w:t>
      </w:r>
    </w:p>
    <w:p>
      <w:pPr>
        <w:pStyle w:val="TextBody"/>
        <w:bidi w:val="0"/>
        <w:spacing w:before="180" w:after="283"/>
        <w:jc w:val="both"/>
        <w:rPr>
          <w:rFonts w:ascii="Times New Roman" w:hAnsi="Times New Roman"/>
          <w:sz w:val="20"/>
        </w:rPr>
      </w:pPr>
      <w:r>
        <w:rPr>
          <w:rFonts w:ascii="Times New Roman" w:hAnsi="Times New Roman"/>
          <w:i/>
          <w:color w:val="000000"/>
          <w:sz w:val="20"/>
        </w:rPr>
        <w:t>Diversified Customer and Supplier Base.</w:t>
      </w:r>
      <w:r>
        <w:rPr>
          <w:rFonts w:ascii="Times New Roman" w:hAnsi="Times New Roman"/>
          <w:color w:val="000000"/>
          <w:sz w:val="20"/>
        </w:rPr>
        <w:t xml:space="preserve"> We prefer to invest in portfolio companies that have a diversified customer and supplier base. Companies with a diversified customer and supplier base are generally better able to endure economic downturns, industry consolidation and shifting customer preferences.</w:t>
      </w:r>
    </w:p>
    <w:p>
      <w:pPr>
        <w:pStyle w:val="TextBody"/>
        <w:bidi w:val="0"/>
        <w:spacing w:before="180" w:after="283"/>
        <w:jc w:val="both"/>
        <w:rPr>
          <w:rFonts w:ascii="Times New Roman" w:hAnsi="Times New Roman"/>
          <w:sz w:val="20"/>
        </w:rPr>
      </w:pPr>
      <w:r>
        <w:rPr>
          <w:rFonts w:ascii="Times New Roman" w:hAnsi="Times New Roman"/>
          <w:i/>
          <w:color w:val="000000"/>
          <w:sz w:val="20"/>
        </w:rPr>
        <w:t>Significant Equity Value</w:t>
      </w:r>
      <w:r>
        <w:rPr>
          <w:rFonts w:ascii="Times New Roman" w:hAnsi="Times New Roman"/>
          <w:color w:val="000000"/>
          <w:sz w:val="20"/>
        </w:rPr>
        <w:t>. We believe the existence of significant underlying equity value provides important support to our debt investments. With respect to our debt investments, we look for portfolio companies where management/sponsors have provided significant equity funding and where we believe aggregate enterprise value significantly exceeds aggregate indebtedness, after consideration of our investment.</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Viable Exit Strategy.</w:t>
      </w:r>
      <w:r>
        <w:rPr>
          <w:rFonts w:ascii="Times New Roman" w:hAnsi="Times New Roman"/>
          <w:color w:val="000000"/>
          <w:sz w:val="20"/>
        </w:rPr>
        <w:t xml:space="preserve"> We invest in portfolio companies that we believe will provide steady cash flows to service our debt, ultimately repay our loans and provide working capital for their respective businesses. In addition, we seek to invest in portfolio companies whose business models and expected future cash flows offer attractive exit possibilities for our portfolio equity investments. We expect to exit our investments typically through one of three scenarios: (a) the sale of the portfolio company resulting in repayment of all outstanding debt and monetization of equity; (b) the recapitalization of the portfolio company through which our investments are replaced with debt or equity from a third party or parties; or (c) the repayment of the initial or remaining principal amount of our debt investment from cash flow generated by the portfolio company. In some investments, there may be scheduled amortization of some portion of our debt investment that would result in a partial exit of our investment prior to the maturity of the debt investment.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Investment Committee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investment advisor has formed an investment committee to evaluate and approve all of our investments. The investment committee process is intended to bring the diverse experience and perspectives of the committee’s members to the analysis and consideration of each investment. The investment committee also serves to provide investment consistency and adherence to our investment advisor’s core investment philosophy and policies. The investment committee also determines appropriate investment sizing and suggests ongoing monitoring requirements.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members of the investment committee that evaluate and approve all of our investments are Edward H. Ross, Thomas C. Lauer, John H. Grigg, Robert G. Lesley, Jr., Michael J. Miller, John J. Ross, II, and W. Andrew Worth.</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Investment Process Overview</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investment advisor has developed the following investment process based on the experience of its investment professionals to identify investment opportunities and to structure investments quickly and effectively. Furthermore, our investment advisor seeks to identify those companies exhibiting superior fundamental risk-reward profiles and strong defensible business franchises while focusing on the relative value of the security in the portfolio company’s capital structure. The investment process consists of five distinct phases:</w:t>
      </w:r>
    </w:p>
    <w:tbl>
      <w:tblPr>
        <w:tblW w:w="3432" w:type="dxa"/>
        <w:jc w:val="left"/>
        <w:tblInd w:w="0" w:type="dxa"/>
        <w:tblLayout w:type="fixed"/>
        <w:tblCellMar>
          <w:top w:w="28" w:type="dxa"/>
          <w:left w:w="28" w:type="dxa"/>
          <w:bottom w:w="28" w:type="dxa"/>
          <w:right w:w="28" w:type="dxa"/>
        </w:tblCellMar>
      </w:tblPr>
      <w:tblGrid>
        <w:gridCol w:w="124"/>
        <w:gridCol w:w="122"/>
        <w:gridCol w:w="109"/>
        <w:gridCol w:w="3077"/>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0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Generation/Origination;</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0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Initial Evaluation;</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0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Due Diligence and Underwriting;</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0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Documentation and Closing;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30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Active Portfolio Management.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phases is described in more detail below.</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Generation/Origination.</w:t>
      </w:r>
      <w:r>
        <w:rPr>
          <w:rFonts w:ascii="Times New Roman" w:hAnsi="Times New Roman"/>
          <w:color w:val="000000"/>
          <w:sz w:val="20"/>
        </w:rPr>
        <w:t xml:space="preserve"> Our investment origination efforts are focused on leveraging our investment advisor’s extensive network of long-standing relationships with private equity firms, middle-market senior lenders, junior-capital partners, financial intermediaries, service providers and management teams of privately owned businesses. We believe that our investment advisor’s investment professionals have reputations as reliable, responsive and value-added partners for lower middle-market companies. Our investment advisor’s focus and reputation as a value-added partner generates a balanced mix of proprietary deal flow and a steady stream of new deal opportunities.</w:t>
      </w:r>
    </w:p>
    <w:p>
      <w:pPr>
        <w:pStyle w:val="TextBody"/>
        <w:bidi w:val="0"/>
        <w:spacing w:before="180" w:after="283"/>
        <w:jc w:val="both"/>
        <w:rPr>
          <w:rFonts w:ascii="Times New Roman" w:hAnsi="Times New Roman"/>
          <w:sz w:val="20"/>
        </w:rPr>
      </w:pPr>
      <w:r>
        <w:rPr>
          <w:rFonts w:ascii="Times New Roman" w:hAnsi="Times New Roman"/>
          <w:i/>
          <w:color w:val="000000"/>
          <w:sz w:val="20"/>
        </w:rPr>
        <w:t>Initial Evaluation.</w:t>
      </w:r>
      <w:r>
        <w:rPr>
          <w:rFonts w:ascii="Times New Roman" w:hAnsi="Times New Roman"/>
          <w:color w:val="000000"/>
          <w:sz w:val="20"/>
        </w:rPr>
        <w:t xml:space="preserve"> After a potential transaction is received by our investment advisor, it will conduct an initial review of the transaction materials to determine whether it meets our investment criteria and complies with SBA regulations (with respect to investments by the Funds) and other regulatory requirements.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the potential transaction initially meets our investment criteria, at least two members of the investment committee, referred to as the deal team, will conduct a preliminary due diligence review, taking into consideration some or all of the following factors:</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 comprehensive financial model based on quantitative analysis of historical financial performance, projections and pro forma adjustments to determine a range of estimated internal rates of return.</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 initial call or meeting with the portfolio company management team, owner, private equity sponsor or other deal partner.</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 brief industry and market analysis, leveraging direct industry expertise from other investment professionals of our investment advisor.</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Preliminary qualitative analysis of the portfolio company management team’s competencies and backgrounds.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Potential investment structures and pricing terms.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Upon successful completion of the screening process, the deal team prepares a screening memorandum and makes a recommendation to the investment committee. At this time, the investment committee will also consider whether the investment would be made by FIC or through the Funds. If the investment committee supports the deal team’s recommendation, the deal team issues a non-binding term sheet to the potential portfolio company. Such a term sheet will typically include the key economic terms based on our analysis conducted during the screening process. Upon agreement on a term sheet with the potential portfolio company, our investment advisor will begin a formal diligence and underwriting process.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Due Diligence and Underwriting.</w:t>
      </w:r>
      <w:r>
        <w:rPr>
          <w:rFonts w:ascii="Times New Roman" w:hAnsi="Times New Roman"/>
          <w:color w:val="000000"/>
          <w:sz w:val="20"/>
        </w:rPr>
        <w:t xml:space="preserve"> Our investment advisor has developed a rigorous and disciplined due diligence process that includes a comprehensive understanding of a borrower’s industry, market, operational, financial, organizational and legal positions and prospects. The due diligence review will take into account information that the deal team deems necessary to make an informed decision about the creditworthiness of the borrower and the risks of the investment, which includes some or all of the following:</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Initial or additional site visits and facility tours with management and key personnel.</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Review of the business history, operations and strategy.</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 depth review of industry and competition.</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Analysis of key customers and suppliers, including review of any concentrations and key contracts.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Detailed review of historical and projected financial statements, including a review of at least three years of performance (annual and monthly), key financial ratios, revenue, expenses and profitability drivers and sensitivities to management’s financial projections.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Detailed evaluation of company management, including background checks.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Third party reviews of accounting, environmental, legal, insurance, material contracts, competition, industry and market studies and interviews with customers and suppliers, (each as appropriate).</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Financial sponsor diligence, if applicable, including portfolio company and other reference checks.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due diligence process, significant attention is given to sensitivity analyses and how the portfolio company might be expected to perform given various scenarios, including downside, “base case” and upside. Upon satisfactory completion of the due diligence review process, the deal team will present their findings and a recommendation to the investment committee. If the investment committee supports the deal team’s recommendation, the deal team will proceed with negotiating and documenting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Documentation and Closing.</w:t>
      </w:r>
      <w:r>
        <w:rPr>
          <w:rFonts w:ascii="Times New Roman" w:hAnsi="Times New Roman"/>
          <w:color w:val="000000"/>
          <w:sz w:val="20"/>
        </w:rPr>
        <w:t xml:space="preserve"> Our investment advisor works with the management of a potential portfolio company and its other capital providers, including, as applicable, senior, junior and equity capital providers to structure an investment. Our investment advisor structures each investment with an acute focus on capital preservation and will tailor the terms of each investment to the facts and circumstances of the transaction and the prospective portfolio company. We seek to limit the downside of our investments by:</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Targeting an optimal total return on our investments (including a combination of current and deferred interest, prepayment penalties and equity participation) that compensates us for credit risk.</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Negotiating covenants in connection with our investments that afford our portfolio companies as much flexibility in managing their businesses as possible, yet consistent with preservation of our capital. Such restrictions may include affirmative and negative covenants, default penalties, lien protection, change of control provisions and board rights, including either board observation or rights to a seat on the board under some circumstances.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Structuring financial covenants and terms in our debt investments that require a portfolio company to reduce leverage over time, thereby mitigating the risk of loss and increasing the likelihood of achieving targeted returns on investment. These methods may include, among others: leverage covenants requiring a decreasing ratio of debt to cash flow; cash flow covenants requiring an increasing ratio of cash flow to interest expense and possibly other cash expenses such as capital expenditures, cash taxes and mandatory principal payments; and debt incurrence prohibitions, or limiting a company’s ability to relever its balance sheet. In addition, limitations on asset sales and capital expenditures prevent a company from changing the nature of its business or capitalization without our consent.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expect to hold most of our investments to maturity or repayment, but may exit our investments earlier if a liquidity event takes place, such as a sale or recapitalization of a portfolio company, or if we determine that a sale of one or more of our investments is in our best interest.</w:t>
      </w:r>
    </w:p>
    <w:p>
      <w:pPr>
        <w:pStyle w:val="TextBody"/>
        <w:bidi w:val="0"/>
        <w:spacing w:before="180" w:after="283"/>
        <w:jc w:val="both"/>
        <w:rPr>
          <w:rFonts w:ascii="Times New Roman" w:hAnsi="Times New Roman"/>
          <w:sz w:val="20"/>
        </w:rPr>
      </w:pPr>
      <w:r>
        <w:rPr>
          <w:rFonts w:ascii="Times New Roman" w:hAnsi="Times New Roman"/>
          <w:i/>
          <w:color w:val="000000"/>
          <w:sz w:val="20"/>
        </w:rPr>
        <w:t>Active Portfolio Management</w:t>
      </w:r>
      <w:r>
        <w:rPr>
          <w:rFonts w:ascii="Times New Roman" w:hAnsi="Times New Roman"/>
          <w:color w:val="000000"/>
          <w:sz w:val="20"/>
        </w:rPr>
        <w:t>. Active portfolio monitoring is a vital part of our investment process and we continuously monitor the status and progress of the portfolio companies. The same deal team that was involved in the investment process will continue its involvement in the portfolio company post-investment. This provides for continuity of knowledge and allows the deal team to maintain a strong business relationship with key management of its portfolio companies for post-investment assistance and monitoring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part of the monitoring process, the deal team conducts a comprehensive review of the financial and operating results of each portfolio company that includes a review of the monthly/quarterly financials relative to the prior year and budget, a review of the financial projections including cash flow and liquidity needs, meeting with management, attending board meetings and reviewing compliance certificates and covenants. We maintain an ongoing dialogue with the management and any controlling equity holders of a portfolio company that will include discussions about the company’s business plans and growth opportunities and any changes in industry and competitive dynamics. While we maintain limited involvement in the ordinary course operations of our portfolio companies, we may maintain a higher level of involvement in non-ordinary course financing or strategic activities and any non-performing scenarios. Our investment advisor’s portfolio management will also include quarterly portfolio reviews with all investment professionals and investment committee members.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Investment Rating System</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 addition to various risk management and monitoring tools, our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137"/>
        <w:gridCol w:w="109"/>
        <w:gridCol w:w="9959"/>
      </w:tblGrid>
      <w:tr>
        <w:trPr/>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9"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risks factors are neutral or favorable. Each new portfolio investment enters our portfolio with Investment Rating 2.</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4 is used for investments performing materially below our expectations and the risk has increased materially since origination. The investment has the potential for some loss of investment return, but we expect no loss of principal.</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December 31, 2023 and 2022 (dollars in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91"/>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70" w:after="283"/>
        <w:jc w:val="both"/>
        <w:rPr>
          <w:rFonts w:ascii="Times New Roman" w:hAnsi="Times New Roman"/>
          <w:color w:val="000000"/>
          <w:sz w:val="20"/>
        </w:rPr>
      </w:pPr>
      <w:r>
        <w:rPr>
          <w:rFonts w:ascii="Times New Roman" w:hAnsi="Times New Roman"/>
          <w:color w:val="000000"/>
          <w:sz w:val="20"/>
        </w:rPr>
        <w:t xml:space="preserve">Based on our investment rating system, the weighted average rating of our portfolio as of December 31, 2023 and 2022 was 2.0 and 2.0, respectively, on a fair value basis and 2.2 and 2.2, respectively, on a cost basis.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Determination of Net Asset Value and Valuation Process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determine the net asset value per share of our common stock on at least a quarterly basis, and more frequently if we are required to do so in connection with the issuance of shares of our common stock or pursuant to applicable federal laws and regulations. The net asset value per share of common stock is equal to the carrying value of our total assets minus liabilities and any preferred stock outstanding divided by the total number of shares of common stock outstanding. Our business plan calls for us to invest primarily in illiquid securities issued by private companies. These portfolio investments may be subject to restrictions on resale and will generally have no established trading market. Because there is not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in accordance with authoritative accounting guidelines. See “Management’s Discussion and Analysis of Financial Condition and Results of Operations – Critical Accounting Policies and Use of Estimates – Valuation of Portfolio Investments.”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primary competitors in providing financing to lower middle-market companies include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RIC tax treatment.</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use the expertise of the investment professionals of our investment advisor to assess investment risks and determine appropriate pricing for our investments in portfolio companies. In addition, the relationships of the investment professionals of our investment advisor enable us to learn about, and compete effectively for, financing opportunities with attractive lower middle-market companies in the industries in which we seek to invest. For additional information concerning the competitive risks we face, see “Risk Factors — Risks Relating to Our Business and Structure — We operate in a highly competitive market for investment opportunities, which could reduce returns and result in losses.”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Employees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do not have any direct employees, and our day-to-day investment operations are managed by our investment advisor, which is also acting as our administrator. We have a chief executive officer, president, chief financial officer and chief compliance officer and, to the extent necessary, our board of directors may elect to hire additional personnel going forward. Our officers are employees of, and are compensated by, our investment advisor, and our allocable portion of the cost of our chief financial officer and chief compliance officer and their respective staffs are paid by us pursuant to the Administration Agreement. Some of our executive officers are also officers of our investment advisor. See “Management and Other Agreements — Administration Agreement.”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MANAGEMENT AND OTHER AGREEMENTS</w:t>
      </w:r>
    </w:p>
    <w:p>
      <w:pPr>
        <w:pStyle w:val="TextBody"/>
        <w:bidi w:val="0"/>
        <w:spacing w:before="90" w:after="283"/>
        <w:jc w:val="both"/>
        <w:rPr>
          <w:rFonts w:ascii="Times New Roman" w:hAnsi="Times New Roman"/>
          <w:sz w:val="20"/>
        </w:rPr>
      </w:pPr>
      <w:r>
        <w:rPr>
          <w:rFonts w:ascii="Times New Roman" w:hAnsi="Times New Roman"/>
          <w:color w:val="000000"/>
          <w:sz w:val="20"/>
        </w:rPr>
        <w:t>Our investment advisor is located at 1603 Orrington Avenue, Suite 1005, Evanston, Illinois 60201. Our investment advisor also maintains additional office space at 4201 Congress Street, Suite 250, Charlotte, North Carolina 28209, and 1140 Avenue of the Americas, 21</w:t>
      </w:r>
      <w:r>
        <w:rPr>
          <w:rFonts w:ascii="Times New Roman" w:hAnsi="Times New Roman"/>
          <w:color w:val="000000"/>
          <w:sz w:val="13"/>
        </w:rPr>
        <w:t>st</w:t>
      </w:r>
      <w:r>
        <w:rPr>
          <w:rFonts w:ascii="Times New Roman" w:hAnsi="Times New Roman"/>
          <w:color w:val="000000"/>
          <w:sz w:val="20"/>
        </w:rPr>
        <w:t xml:space="preserve"> Floor, New York, New York 10036. Our investment advisor is registered as an investment adviser under the Advisers Act. Subject to the overall supervision of our board of directors and in accordance with the 1940 Act, our investment advisor manages our day-to-day operations and provides investment advisory services to us. Under the terms of the Investment Advisory Agreement, our investment advisor:</w:t>
      </w:r>
    </w:p>
    <w:tbl>
      <w:tblPr>
        <w:tblW w:w="10205" w:type="dxa"/>
        <w:jc w:val="left"/>
        <w:tblInd w:w="0" w:type="dxa"/>
        <w:tblLayout w:type="fixed"/>
        <w:tblCellMar>
          <w:top w:w="28" w:type="dxa"/>
          <w:left w:w="28" w:type="dxa"/>
          <w:bottom w:w="28" w:type="dxa"/>
          <w:right w:w="28" w:type="dxa"/>
        </w:tblCellMar>
      </w:tblPr>
      <w:tblGrid>
        <w:gridCol w:w="137"/>
        <w:gridCol w:w="109"/>
        <w:gridCol w:w="9959"/>
      </w:tblGrid>
      <w:tr>
        <w:trPr/>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9" w:type="dxa"/>
            <w:tcBorders/>
            <w:vAlign w:val="center"/>
          </w:tcPr>
          <w:p>
            <w:pPr>
              <w:pStyle w:val="TableContents"/>
              <w:bidi w:val="0"/>
              <w:spacing w:before="0" w:after="283"/>
              <w:jc w:val="left"/>
              <w:rPr>
                <w:sz w:val="4"/>
                <w:szCs w:val="4"/>
              </w:rPr>
            </w:pPr>
            <w:r>
              <w:rPr>
                <w:sz w:val="4"/>
                <w:szCs w:val="4"/>
              </w:rPr>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determines the composition of our portfolio, the nature and timing of the changes to our portfolio and the manner of implementing such changes;</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assists us in determining what securities we purchase, retain or sell;</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identifies, evaluates and negotiates the structure of the investments we make (including performing due diligence on our prospective portfolio companies); and</w:t>
            </w:r>
          </w:p>
        </w:tc>
      </w:tr>
      <w:tr>
        <w:trPr/>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95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executes, closes, services and monitors the investments we make.</w:t>
            </w:r>
          </w:p>
        </w:tc>
      </w:tr>
    </w:tbl>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Investment Advisory Agreement</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Management Fee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Pursuant to the Investment Advisory Agreement, we pay our investment advisor a fee for investment advisory and management services consisting of two components — a base management fee and an incentive fee.</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our total assets (other than cash or cash equivalents but including assets purchased with borrowed amounts) at the end of the two most recently completed calendar quarters, and appropriately adjusted for any share issuances or repurchases during the current calendar quarter. Base management fees for any partial quarter are appropriately prorated. The base management fee is payable quarterly in arrears.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our pre-incentive fee net investment income for the quarter. Pre-incentive fee net investment income means interest income, dividend income and any other income (including any other fees such as commitment, origination, structuring, diligence and consulting fees or other fees that we receive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we have not yet received in cash. The Investment Advisor is not under any obligation to reimburse us for any part of the incentive fee it receives that was based on accrued interest that we never collect.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unrealized capital appreciation or depreciation or realized losses on extinguishment of debt. Because of the structure of the incentive fee, it is possible that we may pay an incentive fee in a quarter where we incur a loss. For example, if we generate pre-incentive fee net investment income in excess of the hurdle rate (as defined below) for a quarter, we will pay the applicable incentive fee even if we have incurred a loss in that quarter due to a net loss on investments or realized losses on extinguishment of debt.</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our weighted average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we may be able to invest our funds in debt instruments that provide for a higher return, which would increase our pre-incentive fee net investment income and make it easier for our investment advisor to surpass the fixed hurdle rate and receive an incentive fee based on such net investment income.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our investment advisor an incentive fee with respect to our pre-incentive fee net investment income earned in each calendar quarter as follows:</w:t>
      </w:r>
    </w:p>
    <w:tbl>
      <w:tblPr>
        <w:tblW w:w="10205" w:type="dxa"/>
        <w:jc w:val="left"/>
        <w:tblInd w:w="0" w:type="dxa"/>
        <w:tblLayout w:type="fixed"/>
        <w:tblCellMar>
          <w:top w:w="28" w:type="dxa"/>
          <w:left w:w="28" w:type="dxa"/>
          <w:bottom w:w="28" w:type="dxa"/>
          <w:right w:w="28" w:type="dxa"/>
        </w:tblCellMar>
      </w:tblPr>
      <w:tblGrid>
        <w:gridCol w:w="177"/>
        <w:gridCol w:w="122"/>
        <w:gridCol w:w="109"/>
        <w:gridCol w:w="9797"/>
      </w:tblGrid>
      <w:tr>
        <w:trPr/>
        <w:tc>
          <w:tcPr>
            <w:tcW w:w="1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7" w:type="dxa"/>
            <w:tcBorders/>
            <w:vAlign w:val="center"/>
          </w:tcPr>
          <w:p>
            <w:pPr>
              <w:pStyle w:val="TableContents"/>
              <w:bidi w:val="0"/>
              <w:spacing w:before="0" w:after="283"/>
              <w:jc w:val="left"/>
              <w:rPr>
                <w:sz w:val="4"/>
                <w:szCs w:val="4"/>
              </w:rPr>
            </w:pPr>
            <w:r>
              <w:rPr>
                <w:sz w:val="4"/>
                <w:szCs w:val="4"/>
              </w:rPr>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no incentive fee in any calendar quarter in which the pre-incentive fee net investment income does not exceed the hurdle rate of 2.0%;</w:t>
            </w:r>
          </w:p>
        </w:tc>
      </w:tr>
      <w:tr>
        <w:trPr/>
        <w:tc>
          <w:tcPr>
            <w:tcW w:w="177" w:type="dxa"/>
            <w:tcBorders/>
            <w:vAlign w:val="center"/>
          </w:tcPr>
          <w:p>
            <w:pPr>
              <w:pStyle w:val="TableContents"/>
              <w:bidi w:val="0"/>
              <w:spacing w:before="0" w:after="283"/>
              <w:ind w:left="0" w:right="16" w:hanging="0"/>
              <w:jc w:val="both"/>
              <w:rPr/>
            </w:pPr>
            <w:r>
              <w:rPr/>
              <w:t> </w:t>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100% of our pre-incentive fee net investment income with respect to that portion of such pre-incentive fee net investment income, if any, that exceeds the hurdle rate but is less than 2.5% in any calendar quarter. We refer to this portion of our pre-incentive fee net investment income (that exceeds the hurdle rate but is less than 2.5%) as the “catch-up” provision. The catch-up is meant to provide our investment advisor with 20.0% of the pre-incentive fee net investment income as if a hurdle rate did not apply if net investment income exceeds 2.5% in any calendar quarter; and</w:t>
            </w:r>
          </w:p>
        </w:tc>
      </w:tr>
      <w:tr>
        <w:trPr/>
        <w:tc>
          <w:tcPr>
            <w:tcW w:w="177" w:type="dxa"/>
            <w:tcBorders/>
            <w:vAlign w:val="center"/>
          </w:tcPr>
          <w:p>
            <w:pPr>
              <w:pStyle w:val="TableContents"/>
              <w:bidi w:val="0"/>
              <w:spacing w:before="0" w:after="283"/>
              <w:ind w:left="0" w:right="16" w:hanging="0"/>
              <w:jc w:val="both"/>
              <w:rPr/>
            </w:pPr>
            <w:r>
              <w:rPr/>
              <w:t> </w:t>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20.0% of the amount of our pre-incentive fee net investment income, if any, that exceeds 2.5% in any calendar quarter.</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These calculations are appropriately prorated for any period of less than three months and adjusted for any share issuances or repurchases during the current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is a graphical representation of the calculation of the quarterly income-related portion of the incentive fee:</w:t>
      </w:r>
    </w:p>
    <w:p>
      <w:pPr>
        <w:pStyle w:val="TextBody"/>
        <w:bidi w:val="0"/>
        <w:spacing w:before="360" w:after="283"/>
        <w:jc w:val="both"/>
        <w:rPr>
          <w:rFonts w:ascii="Times New Roman" w:hAnsi="Times New Roman"/>
          <w:b/>
          <w:color w:val="000000"/>
          <w:sz w:val="20"/>
          <w:u w:val="single"/>
        </w:rPr>
      </w:pPr>
      <w:r>
        <w:rPr>
          <w:rFonts w:ascii="Times New Roman" w:hAnsi="Times New Roman"/>
          <w:b/>
          <w:color w:val="000000"/>
          <w:sz w:val="20"/>
          <w:u w:val="single"/>
        </w:rPr>
        <w:t>Quarterly Incentive Fee Based on Pre-Incentive Fee Net Investment Income</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Pre-incentive fee net investment income</w:t>
      </w:r>
    </w:p>
    <w:p>
      <w:pPr>
        <w:pStyle w:val="TextBody"/>
        <w:bidi w:val="0"/>
        <w:jc w:val="both"/>
        <w:rPr>
          <w:rFonts w:ascii="Times New Roman" w:hAnsi="Times New Roman"/>
          <w:b/>
          <w:color w:val="000000"/>
          <w:sz w:val="20"/>
        </w:rPr>
      </w:pPr>
      <w:r>
        <w:rPr>
          <w:rFonts w:ascii="Times New Roman" w:hAnsi="Times New Roman"/>
          <w:b/>
          <w:color w:val="000000"/>
          <w:sz w:val="20"/>
        </w:rPr>
        <w:t>(expressed as a percentage of the value of net assets)</w:t>
      </w:r>
    </w:p>
    <w:p>
      <w:pPr>
        <w:pStyle w:val="TextBody"/>
        <w:bidi w:val="0"/>
        <w:jc w:val="both"/>
        <w:rPr/>
      </w:pPr>
      <w:r>
        <w:rPr/>
        <w:t> </w:t>
      </w:r>
    </w:p>
    <w:p>
      <w:pPr>
        <w:pStyle w:val="TextBody"/>
        <w:bidi w:val="0"/>
        <w:spacing w:before="180" w:after="283"/>
        <w:jc w:val="both"/>
        <w:rPr/>
      </w:pPr>
      <w:r>
        <w:rPr/>
        <w:drawing>
          <wp:inline distT="0" distB="0" distL="0" distR="0">
            <wp:extent cx="27527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2725" cy="704850"/>
                    </a:xfrm>
                    <a:prstGeom prst="rect">
                      <a:avLst/>
                    </a:prstGeom>
                  </pic:spPr>
                </pic:pic>
              </a:graphicData>
            </a:graphic>
          </wp:inline>
        </w:drawing>
      </w: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Percentage of pre-incentive fee net investment income</w:t>
      </w:r>
    </w:p>
    <w:p>
      <w:pPr>
        <w:pStyle w:val="TextBody"/>
        <w:bidi w:val="0"/>
        <w:jc w:val="both"/>
        <w:rPr>
          <w:rFonts w:ascii="Times New Roman" w:hAnsi="Times New Roman"/>
          <w:b/>
          <w:color w:val="000000"/>
          <w:sz w:val="20"/>
        </w:rPr>
      </w:pPr>
      <w:r>
        <w:rPr>
          <w:rFonts w:ascii="Times New Roman" w:hAnsi="Times New Roman"/>
          <w:b/>
          <w:color w:val="000000"/>
          <w:sz w:val="20"/>
        </w:rPr>
        <w:t>allocated to income-related portion of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IPO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We accrue, but do not pay, a capital gains incentive fee in connection with any unrealized capital appreciation, as appropriate.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Examples of Quarterly Incentive Fee Calculation</w:t>
      </w:r>
    </w:p>
    <w:p>
      <w:pPr>
        <w:pStyle w:val="TextBody"/>
        <w:bidi w:val="0"/>
        <w:spacing w:before="90" w:after="283"/>
        <w:jc w:val="both"/>
        <w:rPr>
          <w:rFonts w:ascii="Times New Roman" w:hAnsi="Times New Roman"/>
          <w:b/>
          <w:color w:val="000000"/>
          <w:sz w:val="20"/>
        </w:rPr>
      </w:pPr>
      <w:r>
        <w:rPr>
          <w:rFonts w:ascii="Times New Roman" w:hAnsi="Times New Roman"/>
          <w:b/>
          <w:color w:val="000000"/>
          <w:sz w:val="20"/>
        </w:rPr>
        <w:t>Example 1: Income Related Portion of Incentive Fee</w:t>
      </w:r>
    </w:p>
    <w:p>
      <w:pPr>
        <w:pStyle w:val="TextBody"/>
        <w:bidi w:val="0"/>
        <w:spacing w:before="90" w:after="283"/>
        <w:jc w:val="both"/>
        <w:rPr>
          <w:rFonts w:ascii="Times New Roman" w:hAnsi="Times New Roman"/>
          <w:b/>
          <w:i/>
          <w:color w:val="000000"/>
          <w:sz w:val="20"/>
        </w:rPr>
      </w:pPr>
      <w:r>
        <w:rPr>
          <w:rFonts w:ascii="Times New Roman" w:hAnsi="Times New Roman"/>
          <w:b/>
          <w:i/>
          <w:color w:val="000000"/>
          <w:sz w:val="20"/>
        </w:rPr>
        <w:t>Alternative 1</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Assumptions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Investment income (including interest, dividends, fees, etc.) = 1.25%</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Hurdle rate </w:t>
      </w:r>
      <w:r>
        <w:rPr>
          <w:rFonts w:ascii="Times New Roman" w:hAnsi="Times New Roman"/>
          <w:color w:val="000000"/>
          <w:sz w:val="12"/>
        </w:rPr>
        <w:t>(1)</w:t>
      </w:r>
      <w:r>
        <w:rPr>
          <w:rFonts w:ascii="Times New Roman" w:hAnsi="Times New Roman"/>
          <w:color w:val="000000"/>
          <w:sz w:val="20"/>
        </w:rPr>
        <w:t xml:space="preserve"> = 2.0%</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Management fee </w:t>
      </w:r>
      <w:r>
        <w:rPr>
          <w:rFonts w:ascii="Times New Roman" w:hAnsi="Times New Roman"/>
          <w:color w:val="000000"/>
          <w:sz w:val="12"/>
        </w:rPr>
        <w:t>(2)</w:t>
      </w:r>
      <w:r>
        <w:rPr>
          <w:rFonts w:ascii="Times New Roman" w:hAnsi="Times New Roman"/>
          <w:color w:val="000000"/>
          <w:sz w:val="20"/>
        </w:rPr>
        <w:t xml:space="preserve"> = 0.4375%</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Other expenses (administrative service expenses, legal, accounting, custodian, transfer agent, etc.) </w:t>
      </w:r>
      <w:r>
        <w:rPr>
          <w:rFonts w:ascii="Times New Roman" w:hAnsi="Times New Roman"/>
          <w:color w:val="000000"/>
          <w:sz w:val="12"/>
        </w:rPr>
        <w:t>(3)</w:t>
      </w:r>
      <w:r>
        <w:rPr>
          <w:rFonts w:ascii="Times New Roman" w:hAnsi="Times New Roman"/>
          <w:color w:val="000000"/>
          <w:sz w:val="20"/>
        </w:rPr>
        <w:t xml:space="preserve"> = 0.2%</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bidi w:val="0"/>
        <w:jc w:val="both"/>
        <w:rPr>
          <w:rFonts w:ascii="Times New Roman" w:hAnsi="Times New Roman"/>
          <w:color w:val="000000"/>
          <w:sz w:val="20"/>
        </w:rPr>
      </w:pPr>
      <w:r>
        <w:rPr>
          <w:rFonts w:ascii="Times New Roman" w:hAnsi="Times New Roman"/>
          <w:color w:val="000000"/>
          <w:sz w:val="20"/>
        </w:rPr>
        <w:t>(investment income – (management fee + other expenses)) = 0.6125%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exceed hurdle rate, therefore there is no income-related incentive fee.</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Alternative 2</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Assumptions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Investment income (including interest, dividends, fees, etc.) = 2.9%</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Hurdle rate </w:t>
      </w:r>
      <w:r>
        <w:rPr>
          <w:rFonts w:ascii="Times New Roman" w:hAnsi="Times New Roman"/>
          <w:color w:val="000000"/>
          <w:sz w:val="12"/>
        </w:rPr>
        <w:t>(1)</w:t>
      </w:r>
      <w:r>
        <w:rPr>
          <w:rFonts w:ascii="Times New Roman" w:hAnsi="Times New Roman"/>
          <w:color w:val="000000"/>
          <w:sz w:val="20"/>
        </w:rPr>
        <w:t xml:space="preserve"> = 2.0%</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Management fee </w:t>
      </w:r>
      <w:r>
        <w:rPr>
          <w:rFonts w:ascii="Times New Roman" w:hAnsi="Times New Roman"/>
          <w:color w:val="000000"/>
          <w:sz w:val="12"/>
        </w:rPr>
        <w:t>(2)</w:t>
      </w:r>
      <w:r>
        <w:rPr>
          <w:rFonts w:ascii="Times New Roman" w:hAnsi="Times New Roman"/>
          <w:color w:val="000000"/>
          <w:sz w:val="20"/>
        </w:rPr>
        <w:t xml:space="preserve"> = 0.4375%</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Other expenses (administrative service expenses, legal, accounting, custodian, transfer agent, etc.) </w:t>
      </w:r>
      <w:r>
        <w:rPr>
          <w:rFonts w:ascii="Times New Roman" w:hAnsi="Times New Roman"/>
          <w:color w:val="000000"/>
          <w:sz w:val="12"/>
        </w:rPr>
        <w:t>(3)</w:t>
      </w:r>
      <w:r>
        <w:rPr>
          <w:rFonts w:ascii="Times New Roman" w:hAnsi="Times New Roman"/>
          <w:color w:val="000000"/>
          <w:sz w:val="20"/>
        </w:rPr>
        <w:t xml:space="preserve"> = 0.2%</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(investment income – (management fee + other expenses)) = 2.2625%</w:t>
      </w:r>
    </w:p>
    <w:tbl>
      <w:tblPr>
        <w:tblW w:w="7665" w:type="dxa"/>
        <w:jc w:val="left"/>
        <w:tblInd w:w="0" w:type="dxa"/>
        <w:tblLayout w:type="fixed"/>
        <w:tblCellMar>
          <w:top w:w="28" w:type="dxa"/>
          <w:left w:w="28" w:type="dxa"/>
          <w:bottom w:w="28" w:type="dxa"/>
          <w:right w:w="28" w:type="dxa"/>
        </w:tblCellMar>
      </w:tblPr>
      <w:tblGrid>
        <w:gridCol w:w="1187"/>
        <w:gridCol w:w="146"/>
        <w:gridCol w:w="6332"/>
      </w:tblGrid>
      <w:tr>
        <w:trPr/>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2" w:type="dxa"/>
            <w:tcBorders/>
            <w:vAlign w:val="center"/>
          </w:tcPr>
          <w:p>
            <w:pPr>
              <w:pStyle w:val="TableContents"/>
              <w:bidi w:val="0"/>
              <w:spacing w:before="0" w:after="283"/>
              <w:jc w:val="left"/>
              <w:rPr>
                <w:sz w:val="4"/>
                <w:szCs w:val="4"/>
              </w:rPr>
            </w:pPr>
            <w:r>
              <w:rPr>
                <w:sz w:val="4"/>
                <w:szCs w:val="4"/>
              </w:rPr>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332" w:type="dxa"/>
            <w:tcBorders/>
            <w:vAlign w:val="center"/>
          </w:tcPr>
          <w:p>
            <w:pPr>
              <w:pStyle w:val="TableContents"/>
              <w:bidi w:val="0"/>
              <w:spacing w:before="0" w:after="283"/>
              <w:jc w:val="both"/>
              <w:rPr/>
            </w:pPr>
            <w:r>
              <w:rPr/>
              <w:t> </w:t>
            </w:r>
          </w:p>
        </w:tc>
      </w:tr>
      <w:tr>
        <w:trPr/>
        <w:tc>
          <w:tcPr>
            <w:tcW w:w="118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Incentive fee</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6332" w:type="dxa"/>
            <w:tcBorders/>
            <w:vAlign w:val="center"/>
          </w:tcPr>
          <w:p>
            <w:pPr>
              <w:pStyle w:val="TableContents"/>
              <w:bidi w:val="0"/>
              <w:spacing w:before="0" w:after="283"/>
              <w:ind w:left="0" w:right="16" w:hanging="0"/>
              <w:jc w:val="both"/>
              <w:rPr>
                <w:rFonts w:ascii="Times New Roman" w:hAnsi="Times New Roman"/>
                <w:sz w:val="20"/>
              </w:rPr>
            </w:pPr>
            <w:r>
              <w:rPr>
                <w:rFonts w:ascii="Times New Roman" w:hAnsi="Times New Roman"/>
                <w:color w:val="000000"/>
                <w:sz w:val="20"/>
              </w:rPr>
              <w:t xml:space="preserve">= 100% × pre-incentive fee net investment income (subject to “catch-up”) </w:t>
            </w:r>
            <w:r>
              <w:rPr>
                <w:rFonts w:ascii="Times New Roman" w:hAnsi="Times New Roman"/>
                <w:color w:val="000000"/>
                <w:sz w:val="12"/>
              </w:rPr>
              <w:t>(4)</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633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100% × (2.2625% – 2.0%)</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633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0.2625%</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exceeds the hurdle rate, but does not fully satisfy the “catch-up” provision, therefore the income related portion of the incentive fee is 0.2625%.</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Alternative 3</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Assumptions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Investment income (including interest, dividends, fees, etc.) = 3.5%</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Hurdle rate </w:t>
      </w:r>
      <w:r>
        <w:rPr>
          <w:rFonts w:ascii="Times New Roman" w:hAnsi="Times New Roman"/>
          <w:color w:val="000000"/>
          <w:sz w:val="12"/>
        </w:rPr>
        <w:t>(1)</w:t>
      </w:r>
      <w:r>
        <w:rPr>
          <w:rFonts w:ascii="Times New Roman" w:hAnsi="Times New Roman"/>
          <w:color w:val="000000"/>
          <w:sz w:val="20"/>
        </w:rPr>
        <w:t xml:space="preserve"> = 2.0%</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Management fee </w:t>
      </w:r>
      <w:r>
        <w:rPr>
          <w:rFonts w:ascii="Times New Roman" w:hAnsi="Times New Roman"/>
          <w:color w:val="000000"/>
          <w:sz w:val="12"/>
        </w:rPr>
        <w:t>(2)</w:t>
      </w:r>
      <w:r>
        <w:rPr>
          <w:rFonts w:ascii="Times New Roman" w:hAnsi="Times New Roman"/>
          <w:color w:val="000000"/>
          <w:sz w:val="20"/>
        </w:rPr>
        <w:t xml:space="preserve"> = 0.4375%</w:t>
      </w:r>
    </w:p>
    <w:p>
      <w:pPr>
        <w:pStyle w:val="TextBody"/>
        <w:bidi w:val="0"/>
        <w:spacing w:before="90" w:after="283"/>
        <w:jc w:val="both"/>
        <w:rPr>
          <w:rFonts w:ascii="Times New Roman" w:hAnsi="Times New Roman"/>
          <w:sz w:val="20"/>
        </w:rPr>
      </w:pPr>
      <w:r>
        <w:rPr>
          <w:rFonts w:ascii="Times New Roman" w:hAnsi="Times New Roman"/>
          <w:color w:val="000000"/>
          <w:sz w:val="20"/>
        </w:rPr>
        <w:t xml:space="preserve">Other expenses (administrative service expenses, legal, accounting, custodian, transfer agent, etc.) </w:t>
      </w:r>
      <w:r>
        <w:rPr>
          <w:rFonts w:ascii="Times New Roman" w:hAnsi="Times New Roman"/>
          <w:color w:val="000000"/>
          <w:sz w:val="12"/>
        </w:rPr>
        <w:t>(3)</w:t>
      </w:r>
      <w:r>
        <w:rPr>
          <w:rFonts w:ascii="Times New Roman" w:hAnsi="Times New Roman"/>
          <w:color w:val="000000"/>
          <w:sz w:val="20"/>
        </w:rPr>
        <w:t xml:space="preserve"> = 0.2%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bidi w:val="0"/>
        <w:jc w:val="both"/>
        <w:rPr>
          <w:rFonts w:ascii="Times New Roman" w:hAnsi="Times New Roman"/>
          <w:color w:val="000000"/>
          <w:sz w:val="20"/>
        </w:rPr>
      </w:pPr>
      <w:r>
        <w:rPr>
          <w:rFonts w:ascii="Times New Roman" w:hAnsi="Times New Roman"/>
          <w:color w:val="000000"/>
          <w:sz w:val="20"/>
        </w:rPr>
        <w:t>(investment income – (management fee + other expenses)) = 2.8625%</w:t>
      </w:r>
    </w:p>
    <w:p>
      <w:pPr>
        <w:pStyle w:val="TextBody"/>
        <w:bidi w:val="0"/>
        <w:jc w:val="both"/>
        <w:rPr>
          <w:rFonts w:ascii="Times New Roman" w:hAnsi="Times New Roman"/>
          <w:sz w:val="20"/>
        </w:rPr>
      </w:pPr>
      <w:r>
        <w:rPr>
          <w:rFonts w:ascii="Times New Roman" w:hAnsi="Times New Roman"/>
          <w:color w:val="000000"/>
          <w:sz w:val="20"/>
        </w:rPr>
        <w:t xml:space="preserve">Incentive fee = 100% × pre-incentive fee net investment income (subject to “catch-up”) </w:t>
      </w:r>
      <w:r>
        <w:rPr>
          <w:rFonts w:ascii="Times New Roman" w:hAnsi="Times New Roman"/>
          <w:color w:val="000000"/>
          <w:sz w:val="8"/>
        </w:rPr>
        <w:t>(4)</w:t>
      </w:r>
    </w:p>
    <w:p>
      <w:pPr>
        <w:pStyle w:val="TextBody"/>
        <w:bidi w:val="0"/>
        <w:jc w:val="both"/>
        <w:rPr>
          <w:rFonts w:ascii="Times New Roman" w:hAnsi="Times New Roman"/>
          <w:color w:val="000000"/>
          <w:sz w:val="20"/>
        </w:rPr>
      </w:pPr>
      <w:r>
        <w:rPr>
          <w:rFonts w:ascii="Times New Roman" w:hAnsi="Times New Roman"/>
          <w:color w:val="000000"/>
          <w:sz w:val="20"/>
        </w:rPr>
        <w:t>Incentive fee = 100% × “catch-up” + (20.0% × (pre-incentive fee net investment income – 2.5%))</w:t>
      </w:r>
    </w:p>
    <w:tbl>
      <w:tblPr>
        <w:tblW w:w="5370" w:type="dxa"/>
        <w:jc w:val="left"/>
        <w:tblInd w:w="0" w:type="dxa"/>
        <w:tblLayout w:type="fixed"/>
        <w:tblCellMar>
          <w:top w:w="28" w:type="dxa"/>
          <w:left w:w="28" w:type="dxa"/>
          <w:bottom w:w="28" w:type="dxa"/>
          <w:right w:w="28" w:type="dxa"/>
        </w:tblCellMar>
      </w:tblPr>
      <w:tblGrid>
        <w:gridCol w:w="1187"/>
        <w:gridCol w:w="146"/>
        <w:gridCol w:w="4037"/>
      </w:tblGrid>
      <w:tr>
        <w:trPr/>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037" w:type="dxa"/>
            <w:tcBorders/>
            <w:vAlign w:val="center"/>
          </w:tcPr>
          <w:p>
            <w:pPr>
              <w:pStyle w:val="TableContents"/>
              <w:bidi w:val="0"/>
              <w:spacing w:before="0" w:after="283"/>
              <w:jc w:val="both"/>
              <w:rPr/>
            </w:pPr>
            <w:r>
              <w:rPr/>
              <w:t> </w:t>
            </w:r>
          </w:p>
        </w:tc>
      </w:tr>
      <w:tr>
        <w:trPr/>
        <w:tc>
          <w:tcPr>
            <w:tcW w:w="1187" w:type="dxa"/>
            <w:tcBorders/>
            <w:vAlign w:val="center"/>
          </w:tcPr>
          <w:p>
            <w:pPr>
              <w:pStyle w:val="TableContents"/>
              <w:bidi w:val="0"/>
              <w:spacing w:before="0" w:after="283"/>
              <w:ind w:left="0" w:right="16" w:hanging="0"/>
              <w:jc w:val="both"/>
              <w:rPr>
                <w:color w:val="000000"/>
              </w:rPr>
            </w:pPr>
            <w:r>
              <w:rPr>
                <w:color w:val="000000"/>
              </w:rPr>
              <w:t>“</w:t>
            </w:r>
            <w:r>
              <w:rPr>
                <w:rFonts w:ascii="Times New Roman" w:hAnsi="Times New Roman"/>
                <w:color w:val="000000"/>
                <w:sz w:val="20"/>
              </w:rPr>
              <w:t>Catch-up”</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2.5% – 2.0%</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0.5%</w:t>
            </w:r>
          </w:p>
        </w:tc>
      </w:tr>
      <w:tr>
        <w:trPr/>
        <w:tc>
          <w:tcPr>
            <w:tcW w:w="1187" w:type="dxa"/>
            <w:tcBorders/>
            <w:vAlign w:val="center"/>
          </w:tcPr>
          <w:p>
            <w:pPr>
              <w:pStyle w:val="TableContents"/>
              <w:bidi w:val="0"/>
              <w:spacing w:before="0" w:after="283"/>
              <w:jc w:val="both"/>
              <w:rPr/>
            </w:pPr>
            <w:r>
              <w:rPr/>
              <w:t> </w:t>
            </w:r>
          </w:p>
        </w:tc>
        <w:tc>
          <w:tcPr>
            <w:tcW w:w="4183" w:type="dxa"/>
            <w:gridSpan w:val="2"/>
            <w:tcBorders/>
            <w:vAlign w:val="center"/>
          </w:tcPr>
          <w:p>
            <w:pPr>
              <w:pStyle w:val="TableContents"/>
              <w:bidi w:val="0"/>
              <w:spacing w:before="0" w:after="283"/>
              <w:jc w:val="both"/>
              <w:rPr/>
            </w:pPr>
            <w:r>
              <w:rPr/>
              <w:t> </w:t>
            </w:r>
          </w:p>
        </w:tc>
      </w:tr>
      <w:tr>
        <w:trPr/>
        <w:tc>
          <w:tcPr>
            <w:tcW w:w="118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Incentive fee</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(100% × 0.5%) + (20.0% × (2.8625% – 2.5%))</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0.5% + (20.0% × 0.3625%)</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0.5% + 0.0725%</w:t>
            </w:r>
          </w:p>
        </w:tc>
      </w:tr>
      <w:tr>
        <w:trPr/>
        <w:tc>
          <w:tcPr>
            <w:tcW w:w="1187"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5" w:hanging="0"/>
              <w:jc w:val="left"/>
              <w:rPr>
                <w:sz w:val="4"/>
                <w:szCs w:val="4"/>
              </w:rPr>
            </w:pPr>
            <w:r>
              <w:rPr>
                <w:sz w:val="4"/>
                <w:szCs w:val="4"/>
              </w:rPr>
            </w:r>
          </w:p>
        </w:tc>
        <w:tc>
          <w:tcPr>
            <w:tcW w:w="40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0.5725%</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exceeds the hurdle rate and fully satisfies the “catch-up” provision, therefore the income related portion of the incentive fee is 0.5725%.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8"/>
        <w:gridCol w:w="9877"/>
      </w:tblGrid>
      <w:tr>
        <w:trPr/>
        <w:tc>
          <w:tcPr>
            <w:tcW w:w="328" w:type="dxa"/>
            <w:tcBorders/>
            <w:vAlign w:val="center"/>
          </w:tcPr>
          <w:p>
            <w:pPr>
              <w:pStyle w:val="TableContents"/>
              <w:bidi w:val="0"/>
              <w:spacing w:before="0" w:after="283"/>
              <w:jc w:val="left"/>
              <w:rPr>
                <w:sz w:val="4"/>
                <w:szCs w:val="4"/>
              </w:rPr>
            </w:pPr>
            <w:r>
              <w:rPr>
                <w:sz w:val="4"/>
                <w:szCs w:val="4"/>
              </w:rPr>
            </w:r>
          </w:p>
        </w:tc>
        <w:tc>
          <w:tcPr>
            <w:tcW w:w="9877" w:type="dxa"/>
            <w:tcBorders/>
            <w:vAlign w:val="center"/>
          </w:tcPr>
          <w:p>
            <w:pPr>
              <w:pStyle w:val="TableContents"/>
              <w:bidi w:val="0"/>
              <w:spacing w:before="0" w:after="283"/>
              <w:jc w:val="left"/>
              <w:rPr>
                <w:sz w:val="4"/>
                <w:szCs w:val="4"/>
              </w:rPr>
            </w:pPr>
            <w:r>
              <w:rPr>
                <w:sz w:val="4"/>
                <w:szCs w:val="4"/>
              </w:rPr>
            </w:r>
          </w:p>
        </w:tc>
      </w:tr>
      <w:tr>
        <w:trPr/>
        <w:tc>
          <w:tcPr>
            <w:tcW w:w="328"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w:t>
            </w:r>
          </w:p>
        </w:tc>
        <w:tc>
          <w:tcPr>
            <w:tcW w:w="98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Represents 8.0% annualized hurdle rate.</w:t>
            </w:r>
          </w:p>
        </w:tc>
      </w:tr>
      <w:tr>
        <w:trPr/>
        <w:tc>
          <w:tcPr>
            <w:tcW w:w="328"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w:t>
            </w:r>
          </w:p>
        </w:tc>
        <w:tc>
          <w:tcPr>
            <w:tcW w:w="98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Represents 1.75% annualized base management fee.</w:t>
            </w:r>
          </w:p>
        </w:tc>
      </w:tr>
      <w:tr>
        <w:trPr/>
        <w:tc>
          <w:tcPr>
            <w:tcW w:w="328"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(3)</w:t>
            </w:r>
          </w:p>
        </w:tc>
        <w:tc>
          <w:tcPr>
            <w:tcW w:w="98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Excludes organizational and offering expenses.</w:t>
            </w:r>
          </w:p>
        </w:tc>
      </w:tr>
      <w:tr>
        <w:trPr/>
        <w:tc>
          <w:tcPr>
            <w:tcW w:w="328"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(4)</w:t>
            </w:r>
          </w:p>
        </w:tc>
        <w:tc>
          <w:tcPr>
            <w:tcW w:w="987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“catch-up” provision is intended to provide our investment advisor with an incentive fee of 20.0% on all pre-incentive fee net investment income as if a hurdle rate did not apply when our net investment income exceeds 2.5% in any fiscal quarter.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70" w:after="283"/>
        <w:jc w:val="both"/>
        <w:rPr>
          <w:rFonts w:ascii="Times New Roman" w:hAnsi="Times New Roman"/>
          <w:sz w:val="20"/>
        </w:rPr>
      </w:pPr>
      <w:r>
        <w:rPr>
          <w:rFonts w:ascii="Times New Roman" w:hAnsi="Times New Roman"/>
          <w:b/>
          <w:color w:val="000000"/>
          <w:sz w:val="20"/>
        </w:rPr>
        <w:t xml:space="preserve">Example 2: Capital Gains Portion of Incentive Fee </w:t>
      </w:r>
      <w:r>
        <w:rPr>
          <w:rFonts w:ascii="Times New Roman" w:hAnsi="Times New Roman"/>
          <w:b/>
          <w:color w:val="000000"/>
          <w:sz w:val="13"/>
        </w:rPr>
        <w:t>(*)</w:t>
      </w:r>
      <w:r>
        <w:rPr>
          <w:rFonts w:ascii="Times New Roman" w:hAnsi="Times New Roman"/>
          <w:b/>
          <w:color w:val="000000"/>
          <w:sz w:val="20"/>
        </w:rPr>
        <w:t>:</w:t>
      </w:r>
    </w:p>
    <w:p>
      <w:pPr>
        <w:pStyle w:val="TextBody"/>
        <w:bidi w:val="0"/>
        <w:spacing w:before="90" w:after="283"/>
        <w:jc w:val="both"/>
        <w:rPr>
          <w:rFonts w:ascii="Times New Roman" w:hAnsi="Times New Roman"/>
          <w:b/>
          <w:i/>
          <w:color w:val="000000"/>
          <w:sz w:val="20"/>
        </w:rPr>
      </w:pPr>
      <w:r>
        <w:rPr>
          <w:rFonts w:ascii="Times New Roman" w:hAnsi="Times New Roman"/>
          <w:b/>
          <w:i/>
          <w:color w:val="000000"/>
          <w:sz w:val="20"/>
        </w:rPr>
        <w:t>Alternative 1</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Assumptions</w:t>
      </w:r>
    </w:p>
    <w:p>
      <w:pPr>
        <w:pStyle w:val="TextBody"/>
        <w:bidi w:val="0"/>
        <w:spacing w:before="90" w:after="283"/>
        <w:jc w:val="both"/>
        <w:rPr>
          <w:rFonts w:ascii="Times New Roman" w:hAnsi="Times New Roman"/>
          <w:sz w:val="20"/>
        </w:rPr>
      </w:pPr>
      <w:r>
        <w:rPr>
          <w:rFonts w:ascii="Times New Roman" w:hAnsi="Times New Roman"/>
          <w:i/>
          <w:color w:val="000000"/>
          <w:sz w:val="20"/>
        </w:rPr>
        <w:t>Year 1</w:t>
      </w:r>
      <w:r>
        <w:rPr>
          <w:rFonts w:ascii="Times New Roman" w:hAnsi="Times New Roman"/>
          <w:color w:val="000000"/>
          <w:sz w:val="20"/>
        </w:rPr>
        <w:t xml:space="preserve"> : $5.0 million investment made in Company A (“Investment A”), and $7.5 million investment made in Company B (“Investment B”)</w:t>
      </w:r>
    </w:p>
    <w:p>
      <w:pPr>
        <w:pStyle w:val="TextBody"/>
        <w:bidi w:val="0"/>
        <w:spacing w:before="90" w:after="283"/>
        <w:jc w:val="both"/>
        <w:rPr>
          <w:rFonts w:ascii="Times New Roman" w:hAnsi="Times New Roman"/>
          <w:sz w:val="20"/>
        </w:rPr>
      </w:pPr>
      <w:r>
        <w:rPr>
          <w:rFonts w:ascii="Times New Roman" w:hAnsi="Times New Roman"/>
          <w:i/>
          <w:color w:val="000000"/>
          <w:sz w:val="20"/>
        </w:rPr>
        <w:t>Year 2</w:t>
      </w:r>
      <w:r>
        <w:rPr>
          <w:rFonts w:ascii="Times New Roman" w:hAnsi="Times New Roman"/>
          <w:color w:val="000000"/>
          <w:sz w:val="20"/>
        </w:rPr>
        <w:t xml:space="preserve"> : Investment A sold for $12.5 million and fair market value (“FMV”) of Investment B determined to be $8.0 million</w:t>
      </w:r>
    </w:p>
    <w:p>
      <w:pPr>
        <w:pStyle w:val="TextBody"/>
        <w:bidi w:val="0"/>
        <w:spacing w:before="90" w:after="283"/>
        <w:jc w:val="both"/>
        <w:rPr>
          <w:rFonts w:ascii="Times New Roman" w:hAnsi="Times New Roman"/>
          <w:sz w:val="20"/>
        </w:rPr>
      </w:pPr>
      <w:r>
        <w:rPr>
          <w:rFonts w:ascii="Times New Roman" w:hAnsi="Times New Roman"/>
          <w:i/>
          <w:color w:val="000000"/>
          <w:sz w:val="20"/>
        </w:rPr>
        <w:t>Year 3</w:t>
      </w:r>
      <w:r>
        <w:rPr>
          <w:rFonts w:ascii="Times New Roman" w:hAnsi="Times New Roman"/>
          <w:color w:val="000000"/>
          <w:sz w:val="20"/>
        </w:rPr>
        <w:t xml:space="preserve"> : FMV of Investment B determined to be $6.25 million</w:t>
      </w:r>
    </w:p>
    <w:p>
      <w:pPr>
        <w:pStyle w:val="TextBody"/>
        <w:bidi w:val="0"/>
        <w:spacing w:before="90" w:after="283"/>
        <w:jc w:val="both"/>
        <w:rPr>
          <w:rFonts w:ascii="Times New Roman" w:hAnsi="Times New Roman"/>
          <w:sz w:val="20"/>
        </w:rPr>
      </w:pPr>
      <w:r>
        <w:rPr>
          <w:rFonts w:ascii="Times New Roman" w:hAnsi="Times New Roman"/>
          <w:i/>
          <w:color w:val="000000"/>
          <w:sz w:val="20"/>
        </w:rPr>
        <w:t>Year 4</w:t>
      </w:r>
      <w:r>
        <w:rPr>
          <w:rFonts w:ascii="Times New Roman" w:hAnsi="Times New Roman"/>
          <w:color w:val="000000"/>
          <w:sz w:val="20"/>
        </w:rPr>
        <w:t xml:space="preserve"> : Investment B sold for $7.75 million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capital gains portion of the incentive fee would be:</w:t>
      </w:r>
    </w:p>
    <w:p>
      <w:pPr>
        <w:pStyle w:val="TextBody"/>
        <w:bidi w:val="0"/>
        <w:spacing w:before="90" w:after="283"/>
        <w:jc w:val="both"/>
        <w:rPr>
          <w:rFonts w:ascii="Times New Roman" w:hAnsi="Times New Roman"/>
          <w:sz w:val="20"/>
        </w:rPr>
      </w:pPr>
      <w:r>
        <w:rPr>
          <w:rFonts w:ascii="Times New Roman" w:hAnsi="Times New Roman"/>
          <w:i/>
          <w:color w:val="000000"/>
          <w:sz w:val="20"/>
        </w:rPr>
        <w:t>Year 1</w:t>
      </w:r>
      <w:r>
        <w:rPr>
          <w:rFonts w:ascii="Times New Roman" w:hAnsi="Times New Roman"/>
          <w:color w:val="000000"/>
          <w:sz w:val="20"/>
        </w:rPr>
        <w:t xml:space="preserve"> : None</w:t>
      </w:r>
    </w:p>
    <w:p>
      <w:pPr>
        <w:pStyle w:val="TextBody"/>
        <w:bidi w:val="0"/>
        <w:spacing w:before="90" w:after="283"/>
        <w:jc w:val="both"/>
        <w:rPr>
          <w:rFonts w:ascii="Times New Roman" w:hAnsi="Times New Roman"/>
          <w:sz w:val="20"/>
        </w:rPr>
      </w:pPr>
      <w:r>
        <w:rPr>
          <w:rFonts w:ascii="Times New Roman" w:hAnsi="Times New Roman"/>
          <w:i/>
          <w:color w:val="000000"/>
          <w:sz w:val="20"/>
        </w:rPr>
        <w:t>Year 2</w:t>
      </w:r>
      <w:r>
        <w:rPr>
          <w:rFonts w:ascii="Times New Roman" w:hAnsi="Times New Roman"/>
          <w:color w:val="000000"/>
          <w:sz w:val="20"/>
        </w:rPr>
        <w:t xml:space="preserve"> : Capital gains incentive fee of $1.5 million — ($7.5 million realized capital gains on sale of Investment A multiplied by 20.0%)</w:t>
      </w:r>
    </w:p>
    <w:p>
      <w:pPr>
        <w:pStyle w:val="TextBody"/>
        <w:bidi w:val="0"/>
        <w:spacing w:before="90" w:after="283"/>
        <w:jc w:val="both"/>
        <w:rPr>
          <w:rFonts w:ascii="Times New Roman" w:hAnsi="Times New Roman"/>
          <w:sz w:val="20"/>
        </w:rPr>
      </w:pPr>
      <w:r>
        <w:rPr>
          <w:rFonts w:ascii="Times New Roman" w:hAnsi="Times New Roman"/>
          <w:i/>
          <w:color w:val="000000"/>
          <w:sz w:val="20"/>
        </w:rPr>
        <w:t>Year 3</w:t>
      </w:r>
      <w:r>
        <w:rPr>
          <w:rFonts w:ascii="Times New Roman" w:hAnsi="Times New Roman"/>
          <w:color w:val="000000"/>
          <w:sz w:val="20"/>
        </w:rPr>
        <w:t xml:space="preserve"> : None — $1.25 million (20.0% multiplied by ($7.5 million cumulative capital gains less $1.25 million cumulative capital depreciation)) less $1.5 million (previous capital gains fee paid in Year 2)</w:t>
      </w:r>
    </w:p>
    <w:p>
      <w:pPr>
        <w:pStyle w:val="TextBody"/>
        <w:bidi w:val="0"/>
        <w:spacing w:before="90" w:after="283"/>
        <w:jc w:val="both"/>
        <w:rPr>
          <w:rFonts w:ascii="Times New Roman" w:hAnsi="Times New Roman"/>
          <w:sz w:val="20"/>
        </w:rPr>
      </w:pPr>
      <w:r>
        <w:rPr>
          <w:rFonts w:ascii="Times New Roman" w:hAnsi="Times New Roman"/>
          <w:i/>
          <w:color w:val="000000"/>
          <w:sz w:val="20"/>
        </w:rPr>
        <w:t>Year 4</w:t>
      </w:r>
      <w:r>
        <w:rPr>
          <w:rFonts w:ascii="Times New Roman" w:hAnsi="Times New Roman"/>
          <w:color w:val="000000"/>
          <w:sz w:val="20"/>
        </w:rPr>
        <w:t xml:space="preserve"> : Capital gains incentive fee of $50,000 — $1.55 million ($7.75 million cumulative realized capital gains multiplied by 20.0%) less $1.5 million (capital gains incentive fee taken in Year 2)</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Alternative 2</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Assumptions</w:t>
      </w:r>
    </w:p>
    <w:p>
      <w:pPr>
        <w:pStyle w:val="TextBody"/>
        <w:bidi w:val="0"/>
        <w:spacing w:before="90" w:after="283"/>
        <w:jc w:val="both"/>
        <w:rPr>
          <w:rFonts w:ascii="Times New Roman" w:hAnsi="Times New Roman"/>
          <w:sz w:val="20"/>
        </w:rPr>
      </w:pPr>
      <w:r>
        <w:rPr>
          <w:rFonts w:ascii="Times New Roman" w:hAnsi="Times New Roman"/>
          <w:i/>
          <w:color w:val="000000"/>
          <w:sz w:val="20"/>
        </w:rPr>
        <w:t>Year 1</w:t>
      </w:r>
      <w:r>
        <w:rPr>
          <w:rFonts w:ascii="Times New Roman" w:hAnsi="Times New Roman"/>
          <w:color w:val="000000"/>
          <w:sz w:val="20"/>
        </w:rPr>
        <w:t xml:space="preserve"> : $4.0 million investment made in Company A (“Investment A”), $7.5 million investment made in Company B (“Investment B”) and $6.25 million investment made in Company C (“Investment C”)</w:t>
      </w:r>
    </w:p>
    <w:p>
      <w:pPr>
        <w:pStyle w:val="TextBody"/>
        <w:bidi w:val="0"/>
        <w:spacing w:before="90" w:after="283"/>
        <w:jc w:val="both"/>
        <w:rPr>
          <w:rFonts w:ascii="Times New Roman" w:hAnsi="Times New Roman"/>
          <w:sz w:val="20"/>
        </w:rPr>
      </w:pPr>
      <w:r>
        <w:rPr>
          <w:rFonts w:ascii="Times New Roman" w:hAnsi="Times New Roman"/>
          <w:i/>
          <w:color w:val="000000"/>
          <w:sz w:val="20"/>
        </w:rPr>
        <w:t>Year 2</w:t>
      </w:r>
      <w:r>
        <w:rPr>
          <w:rFonts w:ascii="Times New Roman" w:hAnsi="Times New Roman"/>
          <w:color w:val="000000"/>
          <w:sz w:val="20"/>
        </w:rPr>
        <w:t xml:space="preserve"> : Investment A sold for $12.5 million, FMV of Investment B determined to be $6.25 million and FMV of Investment C determined to be $6.25 million</w:t>
      </w:r>
    </w:p>
    <w:p>
      <w:pPr>
        <w:pStyle w:val="TextBody"/>
        <w:bidi w:val="0"/>
        <w:spacing w:before="90" w:after="283"/>
        <w:jc w:val="both"/>
        <w:rPr>
          <w:rFonts w:ascii="Times New Roman" w:hAnsi="Times New Roman"/>
          <w:sz w:val="20"/>
        </w:rPr>
      </w:pPr>
      <w:r>
        <w:rPr>
          <w:rFonts w:ascii="Times New Roman" w:hAnsi="Times New Roman"/>
          <w:i/>
          <w:color w:val="000000"/>
          <w:sz w:val="20"/>
        </w:rPr>
        <w:t>Year 3</w:t>
      </w:r>
      <w:r>
        <w:rPr>
          <w:rFonts w:ascii="Times New Roman" w:hAnsi="Times New Roman"/>
          <w:color w:val="000000"/>
          <w:sz w:val="20"/>
        </w:rPr>
        <w:t xml:space="preserve"> : FMV of Investment B determined to be $6.75 million and Investment C sold for $7.5 million</w:t>
      </w:r>
    </w:p>
    <w:p>
      <w:pPr>
        <w:pStyle w:val="TextBody"/>
        <w:bidi w:val="0"/>
        <w:spacing w:before="90" w:after="283"/>
        <w:jc w:val="both"/>
        <w:rPr>
          <w:rFonts w:ascii="Times New Roman" w:hAnsi="Times New Roman"/>
          <w:sz w:val="20"/>
        </w:rPr>
      </w:pPr>
      <w:r>
        <w:rPr>
          <w:rFonts w:ascii="Times New Roman" w:hAnsi="Times New Roman"/>
          <w:i/>
          <w:color w:val="000000"/>
          <w:sz w:val="20"/>
        </w:rPr>
        <w:t>Year 4</w:t>
      </w:r>
      <w:r>
        <w:rPr>
          <w:rFonts w:ascii="Times New Roman" w:hAnsi="Times New Roman"/>
          <w:color w:val="000000"/>
          <w:sz w:val="20"/>
        </w:rPr>
        <w:t xml:space="preserve"> : FMV of Investment B determined to be $8.75 million</w:t>
      </w:r>
    </w:p>
    <w:p>
      <w:pPr>
        <w:pStyle w:val="TextBody"/>
        <w:bidi w:val="0"/>
        <w:spacing w:before="90" w:after="283"/>
        <w:jc w:val="both"/>
        <w:rPr>
          <w:rFonts w:ascii="Times New Roman" w:hAnsi="Times New Roman"/>
          <w:sz w:val="20"/>
        </w:rPr>
      </w:pPr>
      <w:r>
        <w:rPr>
          <w:rFonts w:ascii="Times New Roman" w:hAnsi="Times New Roman"/>
          <w:i/>
          <w:color w:val="000000"/>
          <w:sz w:val="20"/>
        </w:rPr>
        <w:t>Year 5</w:t>
      </w:r>
      <w:r>
        <w:rPr>
          <w:rFonts w:ascii="Times New Roman" w:hAnsi="Times New Roman"/>
          <w:color w:val="000000"/>
          <w:sz w:val="20"/>
        </w:rPr>
        <w:t xml:space="preserve"> : Investment B sold for $5.0 million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capital gains incentive fee, if any, would be:</w:t>
      </w:r>
    </w:p>
    <w:p>
      <w:pPr>
        <w:pStyle w:val="TextBody"/>
        <w:bidi w:val="0"/>
        <w:spacing w:before="90" w:after="283"/>
        <w:jc w:val="both"/>
        <w:rPr>
          <w:rFonts w:ascii="Times New Roman" w:hAnsi="Times New Roman"/>
          <w:sz w:val="20"/>
        </w:rPr>
      </w:pPr>
      <w:r>
        <w:rPr>
          <w:rFonts w:ascii="Times New Roman" w:hAnsi="Times New Roman"/>
          <w:i/>
          <w:color w:val="000000"/>
          <w:sz w:val="20"/>
        </w:rPr>
        <w:t>Year 1</w:t>
      </w:r>
      <w:r>
        <w:rPr>
          <w:rFonts w:ascii="Times New Roman" w:hAnsi="Times New Roman"/>
          <w:color w:val="000000"/>
          <w:sz w:val="20"/>
        </w:rPr>
        <w:t xml:space="preserve"> : None</w:t>
      </w:r>
    </w:p>
    <w:p>
      <w:pPr>
        <w:pStyle w:val="TextBody"/>
        <w:bidi w:val="0"/>
        <w:spacing w:before="90" w:after="283"/>
        <w:jc w:val="both"/>
        <w:rPr>
          <w:rFonts w:ascii="Times New Roman" w:hAnsi="Times New Roman"/>
          <w:sz w:val="20"/>
        </w:rPr>
      </w:pPr>
      <w:r>
        <w:rPr>
          <w:rFonts w:ascii="Times New Roman" w:hAnsi="Times New Roman"/>
          <w:i/>
          <w:color w:val="000000"/>
          <w:sz w:val="20"/>
        </w:rPr>
        <w:t>Year 2</w:t>
      </w:r>
      <w:r>
        <w:rPr>
          <w:rFonts w:ascii="Times New Roman" w:hAnsi="Times New Roman"/>
          <w:color w:val="000000"/>
          <w:sz w:val="20"/>
        </w:rPr>
        <w:t xml:space="preserve"> : $1.45 million capital gains incentive fee — 20.0% multiplied by $7.25 million ($8.5 million realized capital gains on Investment A less $1.25 million unrealized capital depreciation on Investment B)</w:t>
      </w:r>
    </w:p>
    <w:p>
      <w:pPr>
        <w:pStyle w:val="TextBody"/>
        <w:bidi w:val="0"/>
        <w:spacing w:before="90" w:after="283"/>
        <w:jc w:val="both"/>
        <w:rPr>
          <w:rFonts w:ascii="Times New Roman" w:hAnsi="Times New Roman"/>
          <w:sz w:val="20"/>
        </w:rPr>
      </w:pPr>
      <w:r>
        <w:rPr>
          <w:rFonts w:ascii="Times New Roman" w:hAnsi="Times New Roman"/>
          <w:i/>
          <w:color w:val="000000"/>
          <w:sz w:val="20"/>
        </w:rPr>
        <w:t>Year 3</w:t>
      </w:r>
      <w:r>
        <w:rPr>
          <w:rFonts w:ascii="Times New Roman" w:hAnsi="Times New Roman"/>
          <w:color w:val="000000"/>
          <w:sz w:val="20"/>
        </w:rPr>
        <w:t xml:space="preserve"> : $0.35 million capital gains incentive fee </w:t>
      </w:r>
      <w:r>
        <w:rPr>
          <w:rFonts w:ascii="Times New Roman" w:hAnsi="Times New Roman"/>
          <w:color w:val="000000"/>
          <w:sz w:val="12"/>
        </w:rPr>
        <w:t>(1)</w:t>
      </w:r>
      <w:r>
        <w:rPr>
          <w:rFonts w:ascii="Times New Roman" w:hAnsi="Times New Roman"/>
          <w:color w:val="000000"/>
          <w:sz w:val="20"/>
        </w:rPr>
        <w:t xml:space="preserve"> — $1.8 million (20.0% multiplied by $9.0 million ($9.75 million cumulative realized capital gains less $0.75 million unrealized capital depreciation)) less $1.45 million capital gains incentive fee received in Year 2</w:t>
      </w:r>
    </w:p>
    <w:p>
      <w:pPr>
        <w:pStyle w:val="TextBody"/>
        <w:bidi w:val="0"/>
        <w:spacing w:before="90" w:after="283"/>
        <w:jc w:val="both"/>
        <w:rPr>
          <w:rFonts w:ascii="Times New Roman" w:hAnsi="Times New Roman"/>
          <w:sz w:val="20"/>
        </w:rPr>
      </w:pPr>
      <w:r>
        <w:rPr>
          <w:rFonts w:ascii="Times New Roman" w:hAnsi="Times New Roman"/>
          <w:i/>
          <w:color w:val="000000"/>
          <w:sz w:val="20"/>
        </w:rPr>
        <w:t>Year 4</w:t>
      </w:r>
      <w:r>
        <w:rPr>
          <w:rFonts w:ascii="Times New Roman" w:hAnsi="Times New Roman"/>
          <w:color w:val="000000"/>
          <w:sz w:val="20"/>
        </w:rPr>
        <w:t xml:space="preserve"> : None</w:t>
      </w:r>
    </w:p>
    <w:p>
      <w:pPr>
        <w:pStyle w:val="TextBody"/>
        <w:bidi w:val="0"/>
        <w:spacing w:before="180" w:after="283"/>
        <w:jc w:val="both"/>
        <w:rPr>
          <w:rFonts w:ascii="Times New Roman" w:hAnsi="Times New Roman"/>
          <w:sz w:val="20"/>
        </w:rPr>
      </w:pPr>
      <w:r>
        <w:rPr>
          <w:rFonts w:ascii="Times New Roman" w:hAnsi="Times New Roman"/>
          <w:i/>
          <w:color w:val="000000"/>
          <w:sz w:val="20"/>
        </w:rPr>
        <w:t>Year 5</w:t>
      </w:r>
      <w:r>
        <w:rPr>
          <w:rFonts w:ascii="Times New Roman" w:hAnsi="Times New Roman"/>
          <w:color w:val="000000"/>
          <w:sz w:val="20"/>
        </w:rPr>
        <w:t xml:space="preserve"> : None — $1.45 million (20.0% multiplied by $7.25 million (cumulative realized capital gains of $9.75 million less realized capital losses of $2.5 million)) is less than $1.8 million cumulative capital gains incentive fee paid in Year 2 and Year 3 </w:t>
      </w:r>
      <w:r>
        <w:rPr>
          <w:rFonts w:ascii="Times New Roman" w:hAnsi="Times New Roman"/>
          <w:color w:val="000000"/>
          <w:sz w:val="12"/>
        </w:rPr>
        <w:t>(2)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5"/>
        <w:gridCol w:w="9890"/>
      </w:tblGrid>
      <w:tr>
        <w:trPr/>
        <w:tc>
          <w:tcPr>
            <w:tcW w:w="315" w:type="dxa"/>
            <w:tcBorders/>
            <w:vAlign w:val="center"/>
          </w:tcPr>
          <w:p>
            <w:pPr>
              <w:pStyle w:val="TableContents"/>
              <w:bidi w:val="0"/>
              <w:spacing w:before="0" w:after="283"/>
              <w:jc w:val="left"/>
              <w:rPr>
                <w:sz w:val="4"/>
                <w:szCs w:val="4"/>
              </w:rPr>
            </w:pPr>
            <w:r>
              <w:rPr>
                <w:sz w:val="4"/>
                <w:szCs w:val="4"/>
              </w:rPr>
            </w:r>
          </w:p>
        </w:tc>
        <w:tc>
          <w:tcPr>
            <w:tcW w:w="9890" w:type="dxa"/>
            <w:tcBorders/>
            <w:vAlign w:val="center"/>
          </w:tcPr>
          <w:p>
            <w:pPr>
              <w:pStyle w:val="TableContents"/>
              <w:bidi w:val="0"/>
              <w:spacing w:before="0" w:after="283"/>
              <w:jc w:val="left"/>
              <w:rPr>
                <w:sz w:val="4"/>
                <w:szCs w:val="4"/>
              </w:rPr>
            </w:pPr>
            <w:r>
              <w:rPr>
                <w:sz w:val="4"/>
                <w:szCs w:val="4"/>
              </w:rPr>
            </w:r>
          </w:p>
        </w:tc>
      </w:tr>
      <w:tr>
        <w:trPr/>
        <w:tc>
          <w:tcPr>
            <w:tcW w:w="31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989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hypothetical amounts of returns shown are based on a percentage of our total net assets and assume no leverage. There is no guarantee that positive returns will be realized and actual returns may vary from those shown in this example. The examples shown pertain to the capital gains portion of the incentive fee payable at the end of the fiscal year. We accrue, but do not pay, a capital gains incentive fee in connection with any unrealized capital appreciation, as appropriate.</w:t>
            </w:r>
          </w:p>
        </w:tc>
      </w:tr>
      <w:tr>
        <w:trPr/>
        <w:tc>
          <w:tcPr>
            <w:tcW w:w="31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w:t>
            </w:r>
          </w:p>
        </w:tc>
        <w:tc>
          <w:tcPr>
            <w:tcW w:w="989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As illustrated in Year 3 of Alternative 2 above, if we were to be dissolved on a date other than our fiscal year end of any year, we may have paid aggregate capital gains incentive fees that are more than the amount of such fees that would be payable if we had been dissolved on our fiscal year end of such year.</w:t>
            </w:r>
          </w:p>
        </w:tc>
      </w:tr>
      <w:tr>
        <w:trPr/>
        <w:tc>
          <w:tcPr>
            <w:tcW w:w="31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w:t>
            </w:r>
          </w:p>
        </w:tc>
        <w:tc>
          <w:tcPr>
            <w:tcW w:w="989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As noted above, it is possible that the cumulative aggregate capital gains fee received by our investment advisor ($1.8 million) is effectively greater than $1.45 million (20.0% of cumulative aggregate realized capital gains less net realized capital losses or net unrealized depreciation ($7.25 million)).</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70" w:after="283"/>
        <w:jc w:val="both"/>
        <w:rPr>
          <w:rFonts w:ascii="Times New Roman" w:hAnsi="Times New Roman"/>
          <w:b/>
          <w:i/>
          <w:color w:val="000000"/>
          <w:sz w:val="20"/>
        </w:rPr>
      </w:pPr>
      <w:r>
        <w:rPr>
          <w:rFonts w:ascii="Times New Roman" w:hAnsi="Times New Roman"/>
          <w:b/>
          <w:i/>
          <w:color w:val="000000"/>
          <w:sz w:val="20"/>
        </w:rPr>
        <w:t>Payment of Our Expenses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All investment professionals of our investment advisor and/or its affiliates, when and to the extent engaged in providing investment advisory and management services to us, and the compensation and routine overhead expenses of personnel allocable to these services to us, are provided and paid for by our investment advisor and not by us. We bear all other out-of-pocket costs and expenses of our operations and transactions. See “Management’s Discussion and Analysis of Financial Condition and Results of Operations – Overview – Expenses.”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Duration and Termination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a meeting of our board of directors on June 8, 2023, our board of directors, including a majority of the Independent Directors, unanimously voted to approve the continuation of the Investment Advisory Agreement to June 20, 2024. Unless terminated earlier, the Investment Advisory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the Independent Directors.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reaching a decision to approve the current Investment Advisory Agreement, our board of directors reviewed information comparing our investment performance to other externally managed BDCs with similar investment objectives and to appropriate market indices. The board also reviewed other information and considered, among other things:</w:t>
      </w:r>
    </w:p>
    <w:tbl>
      <w:tblPr>
        <w:tblW w:w="10205" w:type="dxa"/>
        <w:jc w:val="left"/>
        <w:tblInd w:w="0" w:type="dxa"/>
        <w:tblLayout w:type="fixed"/>
        <w:tblCellMar>
          <w:top w:w="28" w:type="dxa"/>
          <w:left w:w="28" w:type="dxa"/>
          <w:bottom w:w="28" w:type="dxa"/>
          <w:right w:w="28" w:type="dxa"/>
        </w:tblCellMar>
      </w:tblPr>
      <w:tblGrid>
        <w:gridCol w:w="124"/>
        <w:gridCol w:w="122"/>
        <w:gridCol w:w="162"/>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9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both"/>
              <w:rPr/>
            </w:pPr>
            <w:r>
              <w:rPr/>
              <w:t> </w:t>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the nature, extent and quality of the advisory and other services (including administrative services provided under the Administrative Agreement as discussed below) provided to us by our investment advisor;</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the fee structure of comparative externally managed BDCs with similar investment objectives;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our projected operating expenses and expense ratio compared to BDCs with similar investment objectives;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our investment advisor’s pro forma profitability with respect to managing us and providing administrative services under the Administrative Agreement;</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the limited potential for our investment advisor and its affiliates to derive additional “fall-out” benefits as a result of our relationship with our investment advisor;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97" w:type="dxa"/>
            <w:tcBorders/>
            <w:vAlign w:val="center"/>
          </w:tcPr>
          <w:p>
            <w:pPr>
              <w:pStyle w:val="TableContents"/>
              <w:bidi w:val="0"/>
              <w:spacing w:before="0" w:after="120"/>
              <w:ind w:left="0" w:right="16" w:hanging="0"/>
              <w:jc w:val="both"/>
              <w:rPr>
                <w:rFonts w:ascii="Times New Roman" w:hAnsi="Times New Roman"/>
                <w:color w:val="000000"/>
                <w:sz w:val="20"/>
              </w:rPr>
            </w:pPr>
            <w:r>
              <w:rPr>
                <w:rFonts w:ascii="Times New Roman" w:hAnsi="Times New Roman"/>
                <w:color w:val="000000"/>
                <w:sz w:val="20"/>
              </w:rPr>
              <w:t>various other matters.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of directors did not rank or otherwise assign relative weights to the specific factors it considered in connection with its evaluation of the Investment Advisory Agreement, nor did it undertake to make any specific determination as to whether any particular factor, or any aspect of any particular factor, was favorable or unfavorable to the ultimate decision made by our board of directors. Rather, our board of directors based its approval of the Investment Advisory Agreement on the totality of information presented to it. In considering the factors discussed above, individual directors may have given different weights to different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the information reviewed and the factors discussed above, our board of directors (including the Independent Directors) concluded that the terms of the Investment Advisory Agreement, including the fee rates thereunder, are fair and reasonable in relation to the services provided and approved the continuation of the Investment Advisory Agreement as being in the best interests of FIC and our stockholders.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Conflicts of interest may arise if our investment advisor seeks to change the terms of the Investment Advisory Agreement, including, for example, the amount of the base management fee, the incentive fee or other compensation terms. In general, material amendments to the Investment Advisory Agreement must be approved by the affirmative vote of the holders of a majority of our outstanding voting securities (as that term is defined in the 1940 Act) and by a majority of our Independent Directors.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“Item 1A. Risk Factors – Risks Relating to our Business and Structure – 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Investment Advisory Agreement provides that, absent willful misconduct, bad faith or gross negligence in the performance of its duties under the Investment Advisory Agreement or by reason of the reckless disregard of its duties and obligations under the Investment Advisory Agreement, our investment advisor and its affiliates, and their respective officers, directors, members, managers, partners, stockholders and employees, are entitled to indemnification from us from and against any claims or liabilities, including reasonable legal fees and other expenses reasonably incurred, arising out of or in connection with our investment advisor’s performance of its duties and obligations under the Investment Advisory Agreement or otherwise as our investment advisor.</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Administration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Administration Agreement, Fidus Investment Advisors, LLC acts as our administrator and furnishes us with office facilities and equipment and clerical, book-keeping and record-keeping services at such facilities.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and we reimburse our Investment Advisor for fees and expenses incurred with providing such services. In addition, we reimburse our Investment Advisor for fees and expenses incurred while performing due diligence on our prospective portfolio companies, including “dead deal” costs for potential investments which are ultimately not pursued. Payments under the Administration Agreement are equal to an amount based upon our allocable portion of our investment advisor’s overhead in performing its obligations under the Administration Agreement, including rent and our allocable portion of the cost of our officers, including our chief financial officer and chief compliance officer and their respective staffs. To the extent that our investment advisor outsources any of its functions, we will pay the fees associated with such functions on a direct basis without profit to our investment advisor.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At a meeting of our board of directors on June 8, 2023, our board of directors, including a majority of the Independent Directors, unanimously voted to approve the continuation of the Administration Agreement to June 20, 2024. Unless terminated earlier, the Administration Agreement will automatically renew for successive annual periods if approved annually by our board of directors or by the affirmative vote of the holders of a majority of our outstanding voting securities (as that term is defined in the 1940 Act), including, in either case, approval by a majority of our Independent Directors. In making the decision to approve the continuation of the Administration Agreement, our board of directors took into account, to the extent relevant, certain information set forth above under “Investment Advisory Agreement – Duration and Termination” with respect to its consideration of the Investment Advisory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Administration Agreement may be terminated by either party without penalty upon 60 days’ written notice to the other party. The holders of a majority of our outstanding voting securities (as that term is defined in the 1940 Act) may also terminate the Administration Agreement without penalty.</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Administration Agreement provides that, absent willful misconduct, bad faith or gross negligence in the performance of its duties under the Administration Agreement or by reason of the reckless disregard of its duties and obligations under the Administration Agreement, our investment advisor and its affiliates, and their respective officers, directors, members, managers, stockholders and employees, are entitled to indemnification from us from and against any claims or liabilities, including reasonable legal fees and other expenses reasonably incurred, arising out of or in connection with our investment advisor’s performance of its duties or obligations under the Administration Agreement or otherwise as our administrator.</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License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entered into a license agreement with Fidus Partners, LLC under which Fidus Partners, LLC has agreed to grant us a non-exclusive (provided that there is not a change in control of Fidus Partners, LLC), royalty-free license to use the name “Fidus.” Under this agreement, we have a right to use the “Fidus” name for so long as our investment advisor remains our investment advisor. Other than with respect to this limited license, we have no legal right to the “Fidus” name. This license agreement will remain in effect for so long as the Investment Advisory Agreement with our investment advisor remains in effect.</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REGULATION</w:t>
      </w:r>
    </w:p>
    <w:p>
      <w:pPr>
        <w:pStyle w:val="TextBody"/>
        <w:bidi w:val="0"/>
        <w:spacing w:before="27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and Fund I have elected to be regulated as BDCs under the 1940 Act and we have elected, and intend to qualify annually, to be treated as a RIC under Subchapter M of the Code. The 1940 Act contains prohibitions and restrictions relating to transactions between BDCs and their affiliates (including any investment advisors), principal underwriters and affiliates of those affiliates or principal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that term is defined in the 1940 Act.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any publicly-traded securities that may from time-to-time be held by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also do not intend to acquire securities issued by any investment company (including Section 3(c)(1) and Section 3(c)(7) funds for this purpose), except for registered money market funds, that exceed the limits imposed by the 1940 Act. Under these limits, we generally cannot acquire more than 3% of the total outstanding voting stock of any investment company, invest more than 5% of the value of our total assets in securities issued by one investment company or invest more than 10% of the value of our total assets in securities issued by investment companies on an aggregate basis. With regard to that portion of our portfolio invested in securities issued by investment companies, it should be noted that such investments might subject our stockholders to additional expenses. These policies are not fundamental and, as a result, each may be changed by the vote of a majority of our board of directors without stockholder approval.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Qualifying Assets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tbl>
      <w:tblPr>
        <w:tblW w:w="10205" w:type="dxa"/>
        <w:jc w:val="left"/>
        <w:tblInd w:w="0" w:type="dxa"/>
        <w:tblLayout w:type="fixed"/>
        <w:tblCellMar>
          <w:top w:w="28" w:type="dxa"/>
          <w:left w:w="28" w:type="dxa"/>
          <w:bottom w:w="28" w:type="dxa"/>
          <w:right w:w="28" w:type="dxa"/>
        </w:tblCellMar>
      </w:tblPr>
      <w:tblGrid>
        <w:gridCol w:w="124"/>
        <w:gridCol w:w="299"/>
        <w:gridCol w:w="123"/>
        <w:gridCol w:w="137"/>
        <w:gridCol w:w="123"/>
        <w:gridCol w:w="123"/>
        <w:gridCol w:w="137"/>
        <w:gridCol w:w="123"/>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that:</w:t>
            </w:r>
          </w:p>
        </w:tc>
      </w:tr>
      <w:tr>
        <w:trPr/>
        <w:tc>
          <w:tcPr>
            <w:tcW w:w="546" w:type="dxa"/>
            <w:gridSpan w:val="3"/>
            <w:tcBorders/>
            <w:vAlign w:val="center"/>
          </w:tcPr>
          <w:p>
            <w:pPr>
              <w:pStyle w:val="TableContents"/>
              <w:bidi w:val="0"/>
              <w:spacing w:before="0" w:after="283"/>
              <w:ind w:left="0" w:right="16" w:hanging="0"/>
              <w:jc w:val="left"/>
              <w:rPr>
                <w:sz w:val="4"/>
                <w:szCs w:val="4"/>
              </w:rPr>
            </w:pPr>
            <w:r>
              <w:rPr>
                <w:sz w:val="4"/>
                <w:szCs w:val="4"/>
              </w:rPr>
            </w:r>
          </w:p>
        </w:tc>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23" w:type="dxa"/>
            <w:tcBorders/>
            <w:vAlign w:val="center"/>
          </w:tcPr>
          <w:p>
            <w:pPr>
              <w:pStyle w:val="TableContents"/>
              <w:bidi w:val="0"/>
              <w:spacing w:before="0" w:after="283"/>
              <w:ind w:left="0" w:right="16" w:hanging="0"/>
              <w:jc w:val="left"/>
              <w:rPr>
                <w:sz w:val="4"/>
                <w:szCs w:val="4"/>
              </w:rPr>
            </w:pPr>
            <w:r>
              <w:rPr>
                <w:sz w:val="4"/>
                <w:szCs w:val="4"/>
              </w:rPr>
            </w:r>
          </w:p>
        </w:tc>
        <w:tc>
          <w:tcPr>
            <w:tcW w:w="9399"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is organized under the laws of, and has its principal place of business in, the U.S.;</w:t>
            </w:r>
          </w:p>
        </w:tc>
      </w:tr>
      <w:tr>
        <w:trPr/>
        <w:tc>
          <w:tcPr>
            <w:tcW w:w="546" w:type="dxa"/>
            <w:gridSpan w:val="3"/>
            <w:tcBorders/>
            <w:vAlign w:val="center"/>
          </w:tcPr>
          <w:p>
            <w:pPr>
              <w:pStyle w:val="TableContents"/>
              <w:bidi w:val="0"/>
              <w:spacing w:before="0" w:after="283"/>
              <w:ind w:left="0" w:right="16" w:hanging="0"/>
              <w:jc w:val="left"/>
              <w:rPr>
                <w:sz w:val="4"/>
                <w:szCs w:val="4"/>
              </w:rPr>
            </w:pPr>
            <w:r>
              <w:rPr>
                <w:sz w:val="4"/>
                <w:szCs w:val="4"/>
              </w:rPr>
            </w:r>
          </w:p>
        </w:tc>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23" w:type="dxa"/>
            <w:tcBorders/>
            <w:vAlign w:val="center"/>
          </w:tcPr>
          <w:p>
            <w:pPr>
              <w:pStyle w:val="TableContents"/>
              <w:bidi w:val="0"/>
              <w:spacing w:before="0" w:after="283"/>
              <w:ind w:left="0" w:right="16" w:hanging="0"/>
              <w:jc w:val="left"/>
              <w:rPr>
                <w:sz w:val="4"/>
                <w:szCs w:val="4"/>
              </w:rPr>
            </w:pPr>
            <w:r>
              <w:rPr>
                <w:sz w:val="4"/>
                <w:szCs w:val="4"/>
              </w:rPr>
            </w:r>
          </w:p>
        </w:tc>
        <w:tc>
          <w:tcPr>
            <w:tcW w:w="9399"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is not an investment company (other than a small business investment company wholly-owned by the BDC) or a company that would be an investment company but for certain exclusions under the 1940 Act; and</w:t>
            </w:r>
          </w:p>
        </w:tc>
      </w:tr>
      <w:tr>
        <w:trPr/>
        <w:tc>
          <w:tcPr>
            <w:tcW w:w="546" w:type="dxa"/>
            <w:gridSpan w:val="3"/>
            <w:tcBorders/>
            <w:vAlign w:val="center"/>
          </w:tcPr>
          <w:p>
            <w:pPr>
              <w:pStyle w:val="TableContents"/>
              <w:bidi w:val="0"/>
              <w:spacing w:before="0" w:after="283"/>
              <w:ind w:left="0" w:right="16" w:hanging="0"/>
              <w:jc w:val="left"/>
              <w:rPr>
                <w:sz w:val="4"/>
                <w:szCs w:val="4"/>
              </w:rPr>
            </w:pPr>
            <w:r>
              <w:rPr>
                <w:sz w:val="4"/>
                <w:szCs w:val="4"/>
              </w:rPr>
            </w:r>
          </w:p>
        </w:tc>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23" w:type="dxa"/>
            <w:tcBorders/>
            <w:vAlign w:val="center"/>
          </w:tcPr>
          <w:p>
            <w:pPr>
              <w:pStyle w:val="TableContents"/>
              <w:bidi w:val="0"/>
              <w:spacing w:before="0" w:after="283"/>
              <w:ind w:left="0" w:right="16" w:hanging="0"/>
              <w:jc w:val="left"/>
              <w:rPr>
                <w:sz w:val="4"/>
                <w:szCs w:val="4"/>
              </w:rPr>
            </w:pPr>
            <w:r>
              <w:rPr>
                <w:sz w:val="4"/>
                <w:szCs w:val="4"/>
              </w:rPr>
            </w:r>
          </w:p>
        </w:tc>
        <w:tc>
          <w:tcPr>
            <w:tcW w:w="9399"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satisfies either of the following:</w:t>
            </w:r>
          </w:p>
        </w:tc>
      </w:tr>
      <w:tr>
        <w:trPr/>
        <w:tc>
          <w:tcPr>
            <w:tcW w:w="929" w:type="dxa"/>
            <w:gridSpan w:val="6"/>
            <w:tcBorders/>
            <w:vAlign w:val="center"/>
          </w:tcPr>
          <w:p>
            <w:pPr>
              <w:pStyle w:val="TableContents"/>
              <w:bidi w:val="0"/>
              <w:spacing w:before="0" w:after="283"/>
              <w:ind w:left="0" w:right="16" w:hanging="0"/>
              <w:jc w:val="left"/>
              <w:rPr>
                <w:sz w:val="4"/>
                <w:szCs w:val="4"/>
              </w:rPr>
            </w:pPr>
            <w:r>
              <w:rPr>
                <w:sz w:val="4"/>
                <w:szCs w:val="4"/>
              </w:rPr>
            </w:r>
          </w:p>
        </w:tc>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23" w:type="dxa"/>
            <w:tcBorders/>
            <w:vAlign w:val="center"/>
          </w:tcPr>
          <w:p>
            <w:pPr>
              <w:pStyle w:val="TableContents"/>
              <w:bidi w:val="0"/>
              <w:spacing w:before="0" w:after="283"/>
              <w:ind w:left="0" w:right="16" w:hanging="0"/>
              <w:jc w:val="left"/>
              <w:rPr>
                <w:sz w:val="4"/>
                <w:szCs w:val="4"/>
              </w:rPr>
            </w:pPr>
            <w:r>
              <w:rPr>
                <w:sz w:val="4"/>
                <w:szCs w:val="4"/>
              </w:rPr>
            </w:r>
          </w:p>
        </w:tc>
        <w:tc>
          <w:tcPr>
            <w:tcW w:w="901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does not have any class of securities listed on a national securities exchange or has any class of securities listed on a national securities exchange subject to a $250.0 million market capitalization maximum; or</w:t>
            </w:r>
          </w:p>
        </w:tc>
      </w:tr>
      <w:tr>
        <w:trPr/>
        <w:tc>
          <w:tcPr>
            <w:tcW w:w="929" w:type="dxa"/>
            <w:gridSpan w:val="6"/>
            <w:tcBorders/>
            <w:vAlign w:val="center"/>
          </w:tcPr>
          <w:p>
            <w:pPr>
              <w:pStyle w:val="TableContents"/>
              <w:bidi w:val="0"/>
              <w:spacing w:before="0" w:after="283"/>
              <w:ind w:left="0" w:right="16" w:hanging="0"/>
              <w:jc w:val="left"/>
              <w:rPr>
                <w:sz w:val="4"/>
                <w:szCs w:val="4"/>
              </w:rPr>
            </w:pPr>
            <w:r>
              <w:rPr>
                <w:sz w:val="4"/>
                <w:szCs w:val="4"/>
              </w:rPr>
            </w:r>
          </w:p>
        </w:tc>
        <w:tc>
          <w:tcPr>
            <w:tcW w:w="13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23" w:type="dxa"/>
            <w:tcBorders/>
            <w:vAlign w:val="center"/>
          </w:tcPr>
          <w:p>
            <w:pPr>
              <w:pStyle w:val="TableContents"/>
              <w:bidi w:val="0"/>
              <w:spacing w:before="0" w:after="283"/>
              <w:ind w:left="0" w:right="16" w:hanging="0"/>
              <w:jc w:val="left"/>
              <w:rPr>
                <w:sz w:val="4"/>
                <w:szCs w:val="4"/>
              </w:rPr>
            </w:pPr>
            <w:r>
              <w:rPr>
                <w:sz w:val="4"/>
                <w:szCs w:val="4"/>
              </w:rPr>
            </w:r>
          </w:p>
        </w:tc>
        <w:tc>
          <w:tcPr>
            <w:tcW w:w="901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is controlled by a BDC or a group of companies including a BDC, the BDC actually exercises a controlling influence over the management or policies of the eligible portfolio company, and, as a result, the BDC has an affiliated person who is a director of the eligible portfolio company.</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Securities of any eligible portfolio company which we control.</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Securities purchased in a private transaction from a U.S. issuer that is not an investment company or from an affiliated person of the issuer, or in transactions incident to such a private transaction, if the issuer is in bankruptcy and subject to reorganization or if the issuer, immediately prior to the purchase of its securities, was unable to meet its obligations as they came due without material assistance other than conventional lending or financing arrangements.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Securities of an eligible portfolio company purchased from any person in a private transaction if there is no ready market for such securities and we already own 60% of the outstanding equity of the eligible portfolio company.</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Securities received in exchange for or distributed on or with respect to securities described above, or pursuant to the exercise of warrants or rights relating to such securities.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299"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w:t>
            </w:r>
          </w:p>
        </w:tc>
        <w:tc>
          <w:tcPr>
            <w:tcW w:w="9782" w:type="dxa"/>
            <w:gridSpan w:val="7"/>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Cash, cash equivalents, U.S. government securities or high-quality debt securities that mature in one year or less from the date of investment.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regulations defining qualifying assets may change over time. We may adjust our investment focus as needed to comply with and/or take advantage of any regulatory, legislative, administrative or judicial actions in this area.</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Managerial Assistance to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BDC must be organized and have its principal place of business in the United States and must be operated for the purpose of making investments in the types of securities described in (a), (b) or (c) above. However, in order to count portfolio securities as qualifying assets for the purpose of the 70% requirement, the BDC must either control the issuer of the securities or must offer to make available to the issuer of the securities significant managerial assistance; except that, when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Our investment advisor, in its capacity as our administrator, has agreed to provide such managerial assistance on our behalf to portfolio companies that request this assistance. We may receive fees for these services and will reimburse our investment advisor, in its capacity as our administrator, for its allocated costs in providing such assistance.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Temporary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Pending investment in other types of qualifying assets, as described above, our investments may consist of cash, cash equivalents, U.S. government securities, repurchase agreements and high-quality debt investments that mature in one year or less from the date of investment, which we refer to, collectively, as temporary investments, so that 70% of our assets are invested in qualifying assets or temporary investments. We may from time to time invest in U.S. Treasury bills or in repurchase agreements, so long as the agreements are fully collateralized by cash or securities issued by the U.S. government, including securities issued by certain U.S. government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(other than repurchase agreements fully collateralized by U.S. government securities), we would not satisfy the asset diversification requirements for tax treatment as a RIC for U.S. federal income tax purposes. Accordingly, we do not intend to enter into any such repurchase agreements that would cause us to fail such asset diversification requirements. Our investment advisor monitors the creditworthiness of the counterparties with which we enter into repurchase agreement transactions.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permitted, under specified conditions, to issue multiple classes of indebtedness and one class of stock senior to our common stock if our asset coverage, as defined in the 1940 Act, is at least equal to 150% immediately after each such issuance (exclusive of the SBA debentures pursuant to our SEC exemptive relief).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 — Risks Relating to Our Business and Structure — Regulations governing our operation as a BDC affect our ability to raise, and the way in which we raise, additional capital that may have a negative effect on our growth.”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Rule 18f-4 under the 1940 Act, the Company may use total return swaps for hedging purposes, subject to certain conditions, notwithstanding the restrictions on the issuance of senior securities and the use of leverage imposed by Sections 18 and 61 of the 1940 Act. The requirements of Rule 18f-4 would apply unless the BDC qualifies as a “limited derivatives user,” as defined in Rule 18f-4. A BDC that enters into reverse repurchase agreements or similar financing transactions would need to aggregate the amount of indebtedness associated with the reverse repurchase agreements or similar financing transactions with the aggregate amount of any other senior securities representing indebtedness when calculating the BDC’s asset coverage ratio.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unfunded commitments as a derivatives transaction subject to the requirements of the rule.</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Codes of Ethics</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We, Fund I and our investment advisor have adopted a joint code of ethics pursuant to Rule 17j-1 under the 1940 Act that establishes procedures for personal investments and restricts certain personal securities transactions. Additionally, our investment advisor has adopted a code of ethics pursuant to Rule 204A-1 under the Advisers Act and in accordance with Rule 17j-1(c). Personnel subject to the code of ethics may invest in securities for their personal investment accounts, including securities that may be purchased or held by us, so long as such investments are made in accordance with the code’s requirements. You may read and copy these codes at the SEC’s website at www.sec.gov. The joint code of ethics is also available on our website at </w:t>
      </w:r>
      <w:r>
        <w:rPr>
          <w:rFonts w:ascii="Times New Roman" w:hAnsi="Times New Roman"/>
          <w:i/>
          <w:sz w:val="20"/>
        </w:rPr>
        <w:t>www.fdus.com</w:t>
      </w:r>
      <w:r>
        <w:rPr>
          <w:rFonts w:ascii="Times New Roman" w:hAnsi="Times New Roman"/>
          <w:color w:val="000000"/>
          <w:sz w:val="20"/>
        </w:rPr>
        <w:t>. We have also adopted a code of business conduct that is applicable to all officers, directors and employees of Fidus and our investment advisor that is available on our website</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Proxy Voting Policies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light of the types of investments held in our portfolio, it is unlikely that we will be called upon to vote our shares very often. In the event that we receive a proxy statement related to one of our portfolio companies, however, we have delegated our proxy voting responsibility to our investment advisor. The proxy voting policies and procedures of our investment advisor are set out below. The guidelines are reviewed periodically by our investment advisor and our Independent Directors, and, accordingly, are subject to change. For purposes of these proxy voting policies and procedures described below, “we,” “our” and “us” refer to our investment advisor.</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Introduction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an investment adviser registered under the Advisers Act, our investment advisor has a fiduciary duty to act solely in our best interests. As part of this duty, our investment advisor recognizes that it must vote our securities in a timely manner free of conflicts of interest and in our best interests.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 advisor’s policies and procedures for voting proxies for its investment advisory clients are intended to comply with Section 206 of, and Rule 206(4)-6 under, the Advisers Act.</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Proxy Policies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 advisor will vote proxies relating to our portfolio securities in what it perceives to be the best interest of our stockholders. Our investment advisor reviews on a case-by-case basis each proposal submitted to a stockholder vote to determine its effect on the portfolio securities we hold. In most cases our investment advisor will vote in favor of proposals that it believes are likely to increase the value of the portfolio securities we hold. Although our investment advisor will generally vote against proposals that may have a negative effect on our portfolio securities, our investment advisor may vote for such a proposal if there exist compelling long-term reasons to do so.</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Proxy voting decisions are made by our investment advisor’s senior investment professionals who are responsible for monitoring each of our portfolio investments. To ensure that our investment advisor’s vote is not the product of a conflict of interest, our investment advisor requires that (a) anyone involved in the decision-making process disclose to our chief compliance officer any potential conflict that he or she is aware of and any contact that he or she has had with any interested party regarding a proxy vote; and (b) employees involved in the decision-making process or vote administration are prohibited from revealing how our investment advisor intends to vote on a proposal in order to reduce any attempted influence from interested parties. Where conflicts of interest may be present, our investment advisor will disclose such conflicts to us, including our Independent Directors, and may request guidance from us on how to vote such proxies.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Proxy Voting Records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You may obtain information about how our investment advisor voted proxies for us by making a written request for proxy voting information to: Fidus Investment Corporation, 1603 Orrington Avenue, Suite 1005, Evanston, Illinois 60201, Attention: Investor Relations, or by calling Fidus Investment Corporation collect at (847) 859-3940.</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Compliance Policies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Fund I and our investment advisor have each adopted and implemented written policies and procedures reasonably designed to prevent violation of U.S. federal securities laws and are required to review these compliance policies and procedures annually for their adequacy and the effectiveness of their implementation. Our chief compliance officer is responsible for administering these policies and procedures.</w:t>
      </w:r>
    </w:p>
    <w:p>
      <w:pPr>
        <w:pStyle w:val="TextBody"/>
        <w:bidi w:val="0"/>
        <w:spacing w:before="180" w:after="283"/>
        <w:jc w:val="both"/>
        <w:rPr>
          <w:rFonts w:ascii="Times New Roman" w:hAnsi="Times New Roman"/>
          <w:sz w:val="20"/>
        </w:rPr>
      </w:pPr>
      <w:r>
        <w:rPr>
          <w:rFonts w:ascii="Times New Roman" w:hAnsi="Times New Roman"/>
          <w:b/>
          <w:color w:val="000000"/>
          <w:sz w:val="20"/>
        </w:rPr>
        <w:t>Privacy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1940 Act,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be prohibited under the 1940 Act from knowingly participating in certain transactions with our affiliates without the prior approval of our Independent Directors and, in some cases, prior approval by the SEC. On June 30, 2014, we received an exemptive order from the SEC to permit us to exclude the senior securities issued by any SBIC subsidiary of the Company, including the Funds, from the definition of senior securities in the 150% asset coverage requirement applicable to the Company under the 1940 Act.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Small Business Administration Regulations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Funds are licensed by the SBA to operate as SBICs under Section 301(c) of the Small Business Investment Act of 1958. Fund II and Fund III received their SBIC licenses on May 28, 2013, and March 21, 2019, respectively. We may issue SBA debentures to fund additional investments through the Funds.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SBICs are designed to stimulate the flow of private equity capital to eligible "small businesses" as defined by the SBA. Under SBA regulations, SBICs can provide financing in the form of debt and/or equity securities and provide consulting and advisory services to “eligible” small businesses. The Funds have typically invested in senior subordinated debt, acquired warrants and/or made other equity investments in qualifying small businesses.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current SBA regulations, eligible small businesses generally include businesses that (together with their affiliates) have a tangible net worth not exceeding $24.0 million and have average annual net income after U.S. federal income taxes not exceeding $8.0 million (average net income to be computed without benefit of any carryover loss) for the two most recent fiscal years. In addition, an SBIC must devote 25% of its investment capital to “smaller enterprises” as defined by the SBA. A smaller enterprise generally includes businesses (including their affiliates) that have a tangible net worth not exceeding $6.0 million and have average annual net income after U.S. federal income taxes not exceeding $2.0 million (average net income to be computed without benefit of any net carryover loss) for the two most recent fiscal years. SBA regulations also provide alternative size standard criteria to determine eligibility for designation as an eligible small business or smaller enterprises, which criteria depend on the industry in which the business (including its affiliates) is engaged and are based on the number of employees and gross revenue. However, once an SBIC has invested in a portfolio company, it may continue to make follow-on investments in the portfolio company, regardless of the size of the portfolio company at the time of the follow-on investment, up to the time of the portfolio company’s initial public offering.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SBA prohibits an SBIC from providing funds to small businesses for certain purposes, such as relending and investments in businesses with the majority of their employees located outside of the U.S. and in businesses engaged in certain prohibited industries, such as project finance, real estate, or certain “passive” (non-operating) companies. In addition, under SBA regulations, without prior SBA approval, an SBIC may not invest more than 30% of its regulatory capital in any one portfolio company or its affiliates (assuming the SBIC intends to draw leverage equal to twice its regulatory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SBA places certain limitations on the financing terms of investments by SBICs in portfolio companies (such as limiting the permissible interest rate on debt securities held by an SBIC in a portfolio company). SBA regulations allow an SBIC to exercise control over a small business for a period of seven years from the date on which the SBIC initially acquires its control position. This control period may be extended for an additional period of time with the SBA’s prior written approval.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SBA restricts the ability of an SBIC to lend money to any of its officers, directors and employees or to invest in affiliates thereof. The SBA also prohibits, without prior SBA approval, a “change of control” of an SBIC or transfers that would result in any person (or a group of persons acting in concert) owning 10% or more of a class of capital stock of a licensed SBIC. A “change of control” is any event that would result in the transfer of the power, direct or indirect, to direct the management and policies of an SBIC, whether through ownership, contractual arrangements or otherwise.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SBIC (or group of SBICs under common control) may generally have outstanding debentures guaranteed by the SBA in amounts up to two times the amount of the regulatory capital of the SBIC(s). Debentures guaranteed by the SBA have a maturity of ten years, require semi-annual payments of interest, and do not require any principal payments prior to maturity. The amount of SBA-guaranteed debentures that affiliated SBIC funds can have outstanding is limited to $350.0 million, subject to SBA approval.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SBICs must invest idle funds that are not being used to make loans in investments permitted under SBA regulations in the following limited types of securities: (i) direct obligations of, or obligations guaranteed as to principal and interest by, the U.S. government, which mature within 15 months from the date of the investment; (ii) repurchase agreements with federally insured institutions with a maturity of seven days or less (and the securities underlying the repurchase obligations must be direct obligations of or guaranteed by the federal government); (iii) certificates of deposit with a maturity of one year or less, issued by a federally insured institution; (iv) a deposit account in a federally insured institution that is subject to a withdrawal restriction of one year or less; (v) a checking account in a federally insured institution; or (vi) a reasonable petty cash fund.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SBICs are periodically examined and audited by the SBA’s staff to determine their compliance with SBA regulations and are periodically required to file certain forms with the SBA.</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Neither the SBA nor the U.S. government or any of its agencies or officers has approved any ownership interest to be issued by us or any obligation that we or any of our subsidiaries may incur.</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Sarbanes-Oxley Act of 2002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Sarbanes-Oxley Act of 2002, or the Sarbanes-Oxley Act, imposes a wide variety of regulatory requirements on publicly held companies and their insiders. Many of these requirements affect us. For example:</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pursuant to Rule 13a-14 under the Securities Exchange Act of 1934, as amended, or the Exchange Act, our principal executive officer and principal financial officer must certify the accuracy of the financial statements contained in our periodic reports;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pursuant to Item 307 under Regulation S-K, our periodic reports must disclose our conclusions about the effectiveness of our disclosure controls and procedures;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pursuant to Rule 13a-15 under the Exchange Act, our management must prepare an annual report regarding its assessment of our internal control over financial reporting;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pursuant to Item 308 of Regulation S-K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Sarbanes-Oxley Act requires us to review our current policies and procedures to determine whether we comply with the Sarbanes-Oxley Act and the regulations promulgated under such act. We will continue to monitor our compliance with all regulations that are adopted under the Sarbanes-Oxley Act and will take actions necessary to ensure that we comply with that act.</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The NASDAQ Global Select Market Corporate Governance Regulations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NASDAQ Global Select Market has adopted corporate governance regulations with which listed companies must comply. We are in compliance with such corporate governance listing standards applicable to BDCs.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Election to Be Taxed as a RIC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elected to be treated as a RIC under Subchapter M of the Code. To maintain our tax status as a RIC, we must, among other things, meet certain source-of-income and asset diversification requirements (as described below). In addition, in order to maintain our status as a RIC, we generally must timely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 nondeductible U.S. federal excise tax on such income. In such case, we generally must distribute any such carryover taxable income through a distribution declared prior to filing the final tax return for the year in which we generated such taxable income. Even if we maintain our status as a RIC, we generally will be subject to U.S. federal income tax at corporate rates on our undistributed taxable income and could be subject to U.S. federal excise, state, local and foreign taxes.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Taxation as a RIC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will be subject to a 4% nondeductible U.S. federal excise tax on certain undistributed income unless we distribute in a timely manner an amount at least equal to the sum of (1) 98% of our ordinary income for each calendar year, (2) 98.2% of our capital gain net income for the one-year period ending October 31 in that calendar year (or, if we so elect, for that calendar year) and (3) any income and capital gain net income that we recognized in preceding years, but were not distributed during such years, and on which we paid no U.S. federal income tax.</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order to maintain our status as a RIC for U.S. federal income tax purposes, we must, among other things:</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continue to qualify as a BDC or be registered as a management investment company under the 1940 Act at all times during each taxable year;</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 xml:space="preserve">derive in each taxable year at least 90% of our gross income from dividends, interest, payments with respect to certain securities loans, gains from the sale or other disposition of stock or other securities or foreign currencies, other income </w:t>
            </w:r>
          </w:p>
        </w:tc>
      </w:tr>
    </w:tbl>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
        <w:gridCol w:w="146"/>
        <w:gridCol w:w="162"/>
        <w:gridCol w:w="109"/>
        <w:gridCol w:w="122"/>
        <w:gridCol w:w="109"/>
        <w:gridCol w:w="9380"/>
      </w:tblGrid>
      <w:tr>
        <w:trPr/>
        <w:tc>
          <w:tcPr>
            <w:tcW w:w="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0" w:type="dxa"/>
            <w:tcBorders/>
            <w:vAlign w:val="center"/>
          </w:tcPr>
          <w:p>
            <w:pPr>
              <w:pStyle w:val="TableContents"/>
              <w:bidi w:val="0"/>
              <w:spacing w:before="0" w:after="283"/>
              <w:jc w:val="left"/>
              <w:rPr>
                <w:sz w:val="4"/>
                <w:szCs w:val="4"/>
              </w:rPr>
            </w:pPr>
            <w:r>
              <w:rPr>
                <w:sz w:val="4"/>
                <w:szCs w:val="4"/>
              </w:rPr>
            </w:r>
          </w:p>
        </w:tc>
      </w:tr>
      <w:tr>
        <w:trPr/>
        <w:tc>
          <w:tcPr>
            <w:tcW w:w="1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9720"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derived with respect to our business of investing in such stock, securities or currencies and net income derived from an interest in a “qualified publicly traded partnership” (as defined in Subchapter M of the Code), or the 90% Income Test;</w:t>
            </w:r>
          </w:p>
        </w:tc>
      </w:tr>
      <w:tr>
        <w:trPr/>
        <w:tc>
          <w:tcPr>
            <w:tcW w:w="177" w:type="dxa"/>
            <w:tcBorders/>
            <w:vAlign w:val="center"/>
          </w:tcPr>
          <w:p>
            <w:pPr>
              <w:pStyle w:val="TableContents"/>
              <w:bidi w:val="0"/>
              <w:spacing w:before="0" w:after="283"/>
              <w:ind w:left="0" w:right="16" w:hanging="0"/>
              <w:jc w:val="both"/>
              <w:rPr/>
            </w:pPr>
            <w:r>
              <w:rPr/>
              <w:t> </w:t>
            </w:r>
          </w:p>
        </w:tc>
        <w:tc>
          <w:tcPr>
            <w:tcW w:w="1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both"/>
              <w:rPr/>
            </w:pPr>
            <w:r>
              <w:rPr/>
              <w:t> </w:t>
            </w:r>
          </w:p>
        </w:tc>
        <w:tc>
          <w:tcPr>
            <w:tcW w:w="9720"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satisfy the Annual Distribution Requirement; and</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20" w:type="dxa"/>
            <w:gridSpan w:val="4"/>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diversify our holdings so that at the end of each quarter of the taxable year:</w:t>
            </w:r>
          </w:p>
        </w:tc>
      </w:tr>
      <w:tr>
        <w:trPr/>
        <w:tc>
          <w:tcPr>
            <w:tcW w:w="594" w:type="dxa"/>
            <w:gridSpan w:val="4"/>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38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tc>
      </w:tr>
      <w:tr>
        <w:trPr/>
        <w:tc>
          <w:tcPr>
            <w:tcW w:w="594" w:type="dxa"/>
            <w:gridSpan w:val="4"/>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38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order to meet the 90% Income Test, we have established several special purpose corporations, and in the future may establish additional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the 4% U.S. federal excise tax may be limited by (1) the illiquid nature of our portfolio and (2) other requirements relating to our status as a RIC, including the Diversification Tests. If we dispose of assets in order to meet the Annual Distribution Requirement or the 4% U.S. federal excise tax, we may make such dispositions at times that, from an investment standpoint, are not advantageous.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 term capital loss arising on the first day of the following year. However, future transactions in which we may engage could cause our ability to use any capital loss carryforwards, and unrealized losses once realized, to be limited under Section 382 of the Code.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Subchapter M of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then the consequences of an investment in the partnership will depend upon the amount and type of income and assets of the partnership allocable to us. The income derived from such investments may not be qualifying income for purposes of the 90% Income Test and, therefore, could adversely affect our tax treatment as a RIC. We intend to monitor our investments in equity securities of entities that are treated as partnerships for U.S. federal income tax purposes to prevent our disqualification as a RIC.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may invest in preferred securities or other securities the U.S. federal income tax treatment of which may not be clear or may be subject to recharacterization by the Internal Revenue Service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Subchapter M of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shareholders electing to receive cash (with the balance of the distribution paid in stock). If we qualify as a publicly offered RIC and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decide to retain some or all of our long-term capital gains in excess of the amount required to satisfy the Annual Distribution Requirement, but designate the retained amount as a “deemed distribution.” In that case, among other consequences, we will pay tax on the retained amount on behalf of the stockholders. Each U.S. stockholder will be required to include his, her or its share of the deemed distribution in income as if it had been actually distributed to the U.S. stockholder, and the stockholder will be entitled to claim a credit equal to his, her or its allocable share of the tax paid thereon by us. Since non-U.S. stockholders generally would not have U.S. tax liability with respect to the deemed capital gain distribution, they would not be entitled to credit the tax paid by us for U.S. tax purposes. Whether non-U.S. stockholders could claim a credit with respect to their non-U.S. tax liability will depend on the foreign tax credit rules of the country in which they are a resident.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Failure to Obtain RIC Tax Treatment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we fail to satisfy the 90% Income Test or the Diversification Tests for any taxable year, we may nevertheless continue to qualify as a RIC for such year if certain cure provisions are applicable (which may, among other things, require us to pay certain U.S. federal taxes or to dispose of certain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If we were unable to maintain our tax treatment as a RIC, we would be subject to U.S. federal income tax on all of our taxable income imposed at corporate rates. We would not be able to deduct distributions to stockholders, nor would distributions be compulsory. Distributions would generally be taxable to our stockholders as dividend income to the extent of our current and accumulated earnings and profits. Subject to certain holding period and other limitations under Subchapter M of the Code, any such distributions to non-corporate shareholders may qualify as "qualified dividends" that are subject to U.S. federal income tax at a rate of 20%, and corporate distributees may be eligible for the dividends-received deduction. Distributions in excess of our current and accumulated earnings and profits would be treated first as a return of capital to the extent of the stockholder’s adjusted tax basis, and any remaining distributions would be treated as a capital gain.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requalify as a RIC for U.S. federal income tax purposes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appreciation on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color w:val="000000"/>
          <w:sz w:val="20"/>
        </w:rPr>
      </w:pPr>
      <w:bookmarkStart w:id="3" w:name="item_1a"/>
      <w:bookmarkEnd w:id="3"/>
      <w:r>
        <w:rPr>
          <w:rFonts w:ascii="Times New Roman" w:hAnsi="Times New Roman"/>
          <w:b/>
          <w:color w:val="000000"/>
          <w:sz w:val="20"/>
        </w:rPr>
        <w:t>Item 1A. Risk Factors.</w:t>
      </w:r>
    </w:p>
    <w:p>
      <w:pPr>
        <w:pStyle w:val="TextBody"/>
        <w:bidi w:val="0"/>
        <w:spacing w:before="180" w:after="283"/>
        <w:jc w:val="both"/>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RISK FACTORS</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Investing in our securities involves a number of significant risks. You should carefully consider these risk factors, together with all of the other information included in this Annual Report and other reports and documents filed by us with the SEC.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common stock could decline, and you may lose all or part of your investment.</w:t>
      </w:r>
    </w:p>
    <w:p>
      <w:pPr>
        <w:pStyle w:val="TextBody"/>
        <w:bidi w:val="0"/>
        <w:jc w:val="both"/>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the principal risks that you should carefully consider before investing in our securities. These and other risk factors are described more fully in this “Item 1A. Risk Factors.”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Relating to Our Business and Structure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operate in a highly competitive market for investment opportunities, which could reduce returns and result in losses.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have potential conflicts of interest related to obligations that our investment advisor may have to other clients.</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have conflicts related to other arrangements with our investment advisor.</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Funds are licensed by the SBA, and, therefore, are subject to SBA regulations.</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SBA regulations limit the amount of SBA-guaranteed debt that may be borrowed by an SBIC.</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alterative reference rates that have replaced LIBOR in our credit arrangements and other financial instruments may not yield the same or similar economic results as LIBOR over the life of such transactions. </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Global economic, political and market conditions may adversely affect our business, results of operations and financial condition, including our revenue growth and profitability.</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currently operating in a period of capital markets disruption and economic uncertainty.</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be able to pay you distributions, our distributions may not grow over time, a portion of distributions paid to you may be a return of capital, and investors in our debt securities may not receive all of the interest income to which they are entitled.</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choose to pay dividends in our own stock, in which case you may be required to pay tax in excess of the cash you receive.</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Due to current market conditions, we may reduce or defer our dividends and choose to incur U.S. federal excise tax in order preserve cash and maintain flexibility.</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Internal and external cyber threats, as well as other disasters, could impair our ability to conduct business effectively.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Public health threats may impact the businesses in which we invest and affect our business, operating results and financial condition.</w:t>
        <w:br/>
        <w:br/>
        <w:t> </w:t>
      </w:r>
    </w:p>
    <w:p>
      <w:pPr>
        <w:pStyle w:val="TextBody"/>
        <w:bidi w:val="0"/>
        <w:jc w:val="both"/>
        <w:rPr>
          <w:rFonts w:ascii="Times New Roman" w:hAnsi="Times New Roman"/>
          <w:b/>
          <w:color w:val="000000"/>
          <w:sz w:val="20"/>
        </w:rPr>
      </w:pPr>
      <w:r>
        <w:rPr>
          <w:rFonts w:ascii="Times New Roman" w:hAnsi="Times New Roman"/>
          <w:b/>
          <w:color w:val="000000"/>
          <w:sz w:val="20"/>
        </w:rPr>
        <w:t>Risks Relating to Our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Economic recessions or downturns could impair our portfolio companies and harm our operating results.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investments in portfolio companies may be risky, and we could lose all or part of our investment.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lack of liquidity in our investments may adversely affect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not have the funds to make additional investments in our portfolio companies that could impair the value of our portfolio.</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Defaults by our portfolio companies will harm our operating results.</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a non-diversified investment company within the meaning of the 1940 Act; therefore we are not limited with respect to the proportion of our assets that may be invested in securities of a single issuer.</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Risks Relating to Our Common Stock</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Shares of closed-end investment companies, including business development companies, frequently trade at a discount to their net asset value.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in the future, we sell common stock at a discount to our net asset value per share, stockholders who do not participate in such sale will experience immediate dilution in an amount that may be material.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net asset value may have changed significantly since our last valuation.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market price of our securities may fluctuate significantly.</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Sales of substantial amounts of our common stock may have an adverse effect on the market price of our common stock.</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Risks Relating to Our Business and Structure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are dependent upon our investment advisor’s managing members and our executive officers for our future success. If our investment advisor was to lose any of its managing members or we lose any of our executive officers, our ability to achieve our investment objective could be significantly harmed.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We depend on the investment expertise, skill and network of business contacts of the managing members of our investment advisor, who evaluate, negotiate, structure, execute and monitor our investments. Our future success will depend to a significant extent on the continued service and coordination of the investment professionals of our investment advisor and executive officers. Certain investment professionals and executives may not devote all of their business time to our operations and may have other demands on their time as a result of other activities. The departure of any of these individuals could have a material adverse effect on our ability to achieve our investment objective.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business model depends, to a significant extent, upon strong referral relationships with financial institutions, sponsors and investment professionals. Any inability of our investment advisor to maintain or develop these relationships, or the failure of these relationships to generate investment opportunities, could adversely affect our business.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depend upon the investment professionals of our investment advisor to maintain their relationships with financial institutions, sponsors and other investment professionals, and we intend to rely to a significant extent upon these relationships to provide us with potential investment opportunities. If the investment professionals of our investment advisor fail to maintain such relationships, or to develop new relationships with other sources of investment opportunities, we will not be able to grow our investment portfolio. In addition, individuals with whom the investment professionals of our investment advisor have relationships are not obligated to provide us with investment opportunities, and, therefore, we can offer no assurance that these relationships will generate investment opportunities for us in the future.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Any failure to manage our business and our future growth effectively could have a material adverse effect on our business, financial condition and results of operations.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Our ability to achieve our investment objective and grow depends on our ability to manage our business and deploy our capital effectively. This depends, in turn, on our investment advisor’s ability to identify, evaluate and monitor companies that meet our investment criteria. Accomplishing our investment objectives on a cost-effective basis depends upon our investment advisor’s execution of our investment process, its ability to provide competent, attentive and efficient services to us and, to a lesser extent, our ability to access financing on acceptable terms. Our investment advisor has substantial responsibilities under the Investment Advisory Agreement. In addition, our investment advisor’s investment professionals may be called upon to provide managerial assistance to our portfolio companies. These activities may distract them or slow our rate of investment.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suffer credit losses and our investments could be rated below investment grade.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Private debt in the form of second lien, subordinated, and first lien loans (senior secured or unitranche loans) to corporate and asset-based borrowers is highly speculative and involves a high degree of risk of credit loss, and therefore an investment in our shares of common stock may not be suitable for someone with a low tolerance for risk. These risks are likely to increase during an economic downturn or recession.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In addition, investments in our portfolio typically are not rated by any rating agency. We believe that if such investments were rated, the vast majority would be rated below investment grade (which is sometimes referred to as “junk”) due to speculative characteristics of the issuer’s capacity to pay interest and repay principal. Our investments may result in an amount of risk, volatility or potential loss of principal that is greater than that of alternative investments.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Because we borrow money and may in the future issue additional senior securities, including preferred stock and debt securities, the potential for gain or loss on amounts invested in us is magnified and may increase the risk of investing in us.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Borrowings, also known as leverage, magnify the potential for gain or loss on amounts invested and, therefore, increase the risks associated with investing in us. The Funds borrow from and issue debt securities to the SBA, and we may borrow from banks and other lenders in the future. The SBA has fixed dollar claims on the Funds’ assets that are superior to the claims of our stockholders. We may also borrow from banks and other lenders or issue additional senior securities including preferred stock and debt securities in the future. If the value of our assets increases, then leveraging would cause the net asset value attributable to our common stock to increase more sharply than it would have had we not used leverage.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stockholders. Leverage is generally considered a speculative investment technique.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ability to achieve our investment objectives may depend in part on our ability to achieve additional leverage on favorable terms by borrowing from the SBA, banks or other lenders, and there can be no assurance that such additional leverage can in fact be achieved.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a BDC, we are generally required to meet a coverage ratio at least equal to 150% of total assets to total borrowings and other senior securities, which include all of our borrowings (other than the Funds’ SBA leverage under the terms of SEC exemptive relief) and any preferred stock we may issue in the future. If this ratio declines below 150%, we may not be able to incur additional debt and may need to sell a portion of our investments to repay some debt when it is disadvantageous to do so, and we may not be able to make distributions to our stockholders.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following table illustrates the effect of leverage on returns from an investment in our common stock assuming various annual returns, net of expenses. The calculations in the table below are hypothetical and actual returns may be higher or lower than those appearing in the table below. </w:t>
      </w:r>
    </w:p>
    <w:tbl>
      <w:tblPr>
        <w:tblW w:w="9532" w:type="dxa"/>
        <w:jc w:val="left"/>
        <w:tblInd w:w="0" w:type="dxa"/>
        <w:tblLayout w:type="fixed"/>
        <w:tblCellMar>
          <w:top w:w="28" w:type="dxa"/>
          <w:left w:w="28" w:type="dxa"/>
          <w:bottom w:w="28" w:type="dxa"/>
          <w:right w:w="28" w:type="dxa"/>
        </w:tblCellMar>
      </w:tblPr>
      <w:tblGrid>
        <w:gridCol w:w="3556"/>
        <w:gridCol w:w="146"/>
        <w:gridCol w:w="146"/>
        <w:gridCol w:w="481"/>
        <w:gridCol w:w="166"/>
        <w:gridCol w:w="286"/>
        <w:gridCol w:w="146"/>
        <w:gridCol w:w="146"/>
        <w:gridCol w:w="481"/>
        <w:gridCol w:w="166"/>
        <w:gridCol w:w="286"/>
        <w:gridCol w:w="146"/>
        <w:gridCol w:w="146"/>
        <w:gridCol w:w="391"/>
        <w:gridCol w:w="166"/>
        <w:gridCol w:w="286"/>
        <w:gridCol w:w="146"/>
        <w:gridCol w:w="146"/>
        <w:gridCol w:w="331"/>
        <w:gridCol w:w="146"/>
        <w:gridCol w:w="286"/>
        <w:gridCol w:w="146"/>
        <w:gridCol w:w="146"/>
        <w:gridCol w:w="421"/>
        <w:gridCol w:w="146"/>
        <w:gridCol w:w="28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32" w:type="dxa"/>
            <w:gridSpan w:val="27"/>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Assumed Return on Our Portfolio</w:t>
            </w:r>
          </w:p>
        </w:tc>
      </w:tr>
      <w:tr>
        <w:trPr/>
        <w:tc>
          <w:tcPr>
            <w:tcW w:w="9532" w:type="dxa"/>
            <w:gridSpan w:val="27"/>
            <w:tcBorders/>
            <w:shd w:fill="CCEE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of Expenses)</w:t>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Corresponding return to common stockholder </w:t>
            </w:r>
            <w:r>
              <w:rPr>
                <w:rFonts w:ascii="Times New Roman" w:hAnsi="Times New Roman"/>
                <w:color w:val="000000"/>
                <w:sz w:val="12"/>
              </w:rPr>
              <w:t>(1)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6"/>
        <w:gridCol w:w="9909"/>
      </w:tblGrid>
      <w:tr>
        <w:trPr/>
        <w:tc>
          <w:tcPr>
            <w:tcW w:w="296" w:type="dxa"/>
            <w:tcBorders/>
            <w:vAlign w:val="center"/>
          </w:tcPr>
          <w:p>
            <w:pPr>
              <w:pStyle w:val="TableContents"/>
              <w:bidi w:val="0"/>
              <w:spacing w:before="0" w:after="283"/>
              <w:jc w:val="left"/>
              <w:rPr>
                <w:sz w:val="4"/>
                <w:szCs w:val="4"/>
              </w:rPr>
            </w:pPr>
            <w:r>
              <w:rPr>
                <w:sz w:val="4"/>
                <w:szCs w:val="4"/>
              </w:rPr>
            </w:r>
          </w:p>
        </w:tc>
        <w:tc>
          <w:tcPr>
            <w:tcW w:w="9909" w:type="dxa"/>
            <w:tcBorders/>
            <w:vAlign w:val="center"/>
          </w:tcPr>
          <w:p>
            <w:pPr>
              <w:pStyle w:val="TableContents"/>
              <w:bidi w:val="0"/>
              <w:spacing w:before="0" w:after="283"/>
              <w:jc w:val="left"/>
              <w:rPr>
                <w:sz w:val="4"/>
                <w:szCs w:val="4"/>
              </w:rPr>
            </w:pPr>
            <w:r>
              <w:rPr>
                <w:sz w:val="4"/>
                <w:szCs w:val="4"/>
              </w:rPr>
            </w:r>
          </w:p>
        </w:tc>
      </w:tr>
      <w:tr>
        <w:trPr/>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Assumes $1,090,898 in total assets, $210,000 in outstanding SBA debentures, no borrowings under the Credit Facility (as defined below), $15,880 in Secured Borrowings, $250,000 outstanding of our unsecured notes, $589,474 in net assets as of December 31, 2023, and an average cost of funds of 4.346%.</w:t>
            </w:r>
          </w:p>
        </w:tc>
      </w:tr>
    </w:tbl>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Effective April 29, 2020, our asset coverage requirement was reduced from 200% to 150%, which could increase the risk of investing in the Company.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1940 Act generally prohibits the Company from incurring indebtedness unless immediately after such borrowing we have an asset coverage for total borrowings of at least 200% (i.e., the amount of debt may not exceed 50% of the value of our assets) or 150% if certain requirements under the 1940 Act are met. On April 29, 2019, our Board, including a majority of the independent directors, approved a minimum asset coverage ratio of 150% as set forth in Section 61(a)(2) of the 1940 Act. As a result, we are subject to the 150% asset coverage ratio, effective as of April 29, 2020. We are required to make certain disclosures on our website and in SEC filings regarding, among other things, the receipt of approval to increase our leverage, our leverage capacity and usage, and risks related to leverage.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All of our portfolio investments are recorded at fair value as determined in good faith by our board of directors, and, as a result, there is uncertainty as to the value of our portfolio investments and the valuation process for certain of our portfolio holdings creates a conflict of interest.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All of our portfolio investments take the form of debt and equity securities that are not publicly-traded. The debt and equity securities in which we invest for which market quotations are not readily available are valued at fair value as determined in good faith by our board of directors. As part of the valuation process, we may take into account the following types of factors, if relevant, in determining the fair value of our investments:</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 comparison of the portfolio company’s securities to comparable publicly-traded securities;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enterprise value of a portfolio company;</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nature and realizable value of any collateral;</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portfolio company’s ability to make payments and its earnings and discounted cash flow;</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markets in which the portfolio company does business;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changes in the interest rate environment and the credit markets generally that may affect the price at which similar investments may be made in the future and other relevant factors.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fair value of each investment in our portfolio is determined quarterly by our board of directors. Any changes in fair value of portfolio securities from the prior period are recorded in our consolidated statement of operations as net change in unrealized appreciation or depreciation.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connection with that determination, investment professionals from our investment advisor prepare portfolio company valuations based upon the most recent portfolio company financial statements available and projected financial results of each portfolio company. In addition, certain members of our board of directors have a pecuniary interest in our investment advisor. The participation of our investment advisor’s investment professionals in our valuation process, and the pecuniary interest in our investment advisor by certain members of our board of directors, may result in a conflict of interest as the management fees that we pay our investment advisor are based on our total assets (other than cash and cash equivalents but including assets purchased with borrowed amounts).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board of directors engages one or more independent third-party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Our board of directors consulted with the independent valuation firm(s) in arriving at our determination of fair value for 18 and 16 of our portfolio company investments representing 29.9% and 29.5% of the total portfolio investments at fair value (exclusive of new portfolio company investments made during the three months ended December 31, 2023 and 2022, respectively) as of December 31, 2023 and 2022, respectively.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differences could be material. Declines in prices and liquidity in the corporate debt markets may also result in significant net unrealized depreciation in our debt portfolio. Our net asset value could be adversely affected if our determinations regarding the fair value of our investments were materially higher than the values that we ultimately realize upon the disposal of such investments.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operate in a highly competitive market for investment opportunities, which could reduce returns and result in losses.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 number of entities compete with us to make the types of investments that we make. We compete with public and private funds, other BDCs, SBICs, commercial and investment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of our competitors may have access to funding sources that are not available to us. In addition, some of our competitors may have higher risk tolerances or different risk assessments. These characteristics could allow our competitors to consider a wider variety of investments, establish more relationships and offer better pricing and more flexible structuring than we offer. We may lose investment opportunities if we do not match our competitors’ pricing, terms and structure. If we match our competitors’ pricing, terms and structure, we may experience a decrease in net investment income or an increase in risk of capital loss. A significant part of our competitive advantage stems from the fact that the lower middle-market is underserved by traditional commercial and investment banks, and generally has less access to capital. A significant increase in the number and/or the size of our competitors in this target market could force us to accept less attractive investment terms.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many of our competitors are not subject to the regulatory restrictions that the 1940 Act imposes on us as a BDC or the source-of-income, asset diversification and distribution requirements we must satisfy to maintain our RIC tax treatment. The competitive pressures we face may have a material adverse effect on our business, financial condition and results of operations. As a result of this existing and potentially increasing competition, we may not be able to take advantage of attractive investment opportunities from time to time, and we may not be able to identify and make investments that are consistent with our investment objective. </w:t>
      </w:r>
    </w:p>
    <w:p>
      <w:pPr>
        <w:pStyle w:val="TextBody"/>
        <w:bidi w:val="0"/>
        <w:spacing w:before="240" w:after="180"/>
        <w:jc w:val="both"/>
        <w:rPr>
          <w:rFonts w:ascii="Times New Roman" w:hAnsi="Times New Roman"/>
          <w:b/>
          <w:i/>
          <w:color w:val="000000"/>
          <w:sz w:val="20"/>
        </w:rPr>
      </w:pPr>
      <w:r>
        <w:rPr>
          <w:rFonts w:ascii="Times New Roman" w:hAnsi="Times New Roman"/>
          <w:b/>
          <w:i/>
          <w:color w:val="000000"/>
          <w:sz w:val="20"/>
        </w:rPr>
        <w:t>Our management and incentive fee structure may create incentives for our investment advisor that are not fully aligned with the interests of our stockholders and may encourage our investment advisor to make speculative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management and incentive fees paid to our investment advisor are based on our total assets (other than cash or cash equivalents but including assets purchased with borrowed amounts), and our investor advisor may therefore benefit when we incur debt or use leverage. This fee structure may encourage our investment advisor to cause us to borrow money to finance additional investments. Under certain circumstances, the use of borrowed money may increase the likelihood of default, which would disfavor our stockholders. Our board of directors is charged with protecting our interests by monitoring how our investment advisor addresses these and other conflicts of interests. Our board of directors is not expected to review or approve each borrowing or incurrence of leverage. However, our board of directors periodically reviews our investment advisor’s portfolio management decisions and portfolio performance. In addition, our board of directors at least annually reviews the services provided by and fees paid to our investment advisor. In connection with these reviews, our board of directors, including a majority of our Independent Directors, considers whether the fees and expenses (including those related to leverage) that we pay to our investment advisor are fair and reasonable in relation to the services provided and must approve renewal of our Advisory Agreement.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part of the incentive fee payable to our investment advisor that relates to our net investment income is computed and paid on income that includes interest income that has been accrued but not yet received in cash. This fee structure may encourage our investment advisor to favor debt financings that provide for deferred interest (PIK interest), rather than current cash payments of interest. Our investment advisor may have an incentive to invest in deferred interest securities in circumstances where it would not have done so but for the opportunity to continue to earn the incentive fee even when the issuers of the deferred interest securities would not be able to make actual cash payments to us on such securities. This risk could be increased because our investment advisor is not obligated to reimburse us for any incentive fees received even if we subsequently incur losses or never receive in cash the deferred interest that was previously accrued.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incentive fee is based, in part, upon net capital gains realized on our investments. Unlike the portion of the incentive fee based on income, there is no hurdle rate applicable to the portion of the incentive fee based on net capital gains. As a result, our investment advisor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be obligated to pay our investment advisor incentive compensation even if we incur a loss and may pay more than 20% of our net capital gains because we cannot recover payments made in previous years.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investment advisor will be entitled to incentive compensation for each fiscal quarter in an amount equal to a percentage of the excess of our pre-incentive fee net investment income for that quarter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advisor incentive compensation for a fiscal quarter even if there is a decline in the value of our portfolio or we incur a net loss for that quarter. Further, if we pay an incentive fee of 20% of our realized capital gains (net of all realized capital losses and unrealized capital depreciation on a cumulative basis) and thereafter experience additional realized capital losses or unrealized capital depreciation, we will not be able to recover any portion of the incentive fee previously paid.</w:t>
      </w:r>
    </w:p>
    <w:p>
      <w:pPr>
        <w:pStyle w:val="TextBody"/>
        <w:bidi w:val="0"/>
        <w:jc w:val="both"/>
        <w:rPr>
          <w:rFonts w:ascii="Times New Roman" w:hAnsi="Times New Roman"/>
          <w:b/>
          <w:i/>
          <w:color w:val="000000"/>
          <w:sz w:val="20"/>
        </w:rPr>
      </w:pPr>
      <w:r>
        <w:rPr>
          <w:rFonts w:ascii="Times New Roman" w:hAnsi="Times New Roman"/>
          <w:b/>
          <w:i/>
          <w:color w:val="000000"/>
          <w:sz w:val="20"/>
        </w:rPr>
        <w:t>A general increase in interest rates will likely have the effect of making it easier for the investment advisor to receive incentive fees, without necessarily resulting in an increase in our net earnings.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currently in a rising interest rate environment. Given the structure of the Investment Advisory Agreement, any general increase in interest rates can be expected to lead to higher interest rates applicable to our debt investments and will likely have the effect of making it easier for the investment advisor to meet the quarterly hurdle rate for payment of income incentive fees under the Investment Advisory Agreement without any additional increase in relative performance on the part of the investment advisor. This may occur without a corresponding increase in distributions to our stockholders. In addition, in view of the catch-up provision applicable to income incentive fees under the Investment Advisory Agreement, the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the investment advisor’s income incentive fee resulting from such a general increase in interest rates.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have potential conflicts of interest related to obligations that our investment advisor may have to other clients.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Currently, the Company, the Funds, Fidus Credit Opportunities, L.P., Fidus Equity Opportunities Fund, L.P., and Fidus Equity Fund I, L.P. are the only investment vehicles managed by our investment advisor. The Investment Advisory Agreement does not limit our investment advisor’s ability to act as an investment advisor to other funds, including other BDCs, or other investment advisory clients. To the extent our investment advisor acts as an investment advisor to other funds or clients, including Fidus Credit Opportunities, L.P., Fidus Equity Opportunities Fund, L.P., and Fidus Equity Fund I, L.P., we may have conflicts of interest with our investment advisor or its other clients that elect to invest in similar types of securities as those in which we invest. Members of our investment advisor’s investment committee serve or may serve as officers, directors or principals of entities that operate in the same or a related line of business as we do, or of investment funds or other investment vehicles managed by our investment advisor. In serving in these multiple capacities, they may have obligations to other clients or investors in those entities, the fulfillment of which may not be in the best interests of us or our stockholders. Our investment advisor will seek to allocate investment opportunities among eligible accounts in a manner that is fair and equitable over time and consistent with an allocation policy approved by our board of directors.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To the extent our investment advisor forms affiliates, including Fidus Credit Opportunities, L.P., Fidus Equity Opportunities Fund, L.P., and Fidus Equity Fund I, L.P., we may co-invest on a concurrent basis with such affiliates, subject to compliance with applicable regulations and regulatory guidance and our allocation procedures. While we may co-invest with investment entities managed by our investment advisor or its affiliates, to the extent permitted by the 1940 Act and the rules and regulations thereunder, the 1940 Act imposes significant limits on co-investment. On January 4, 2017, the SEC granted us an exemptive order that expands our ability to co-invest in portfolio companies with certain of our affiliates managed by our investment advisor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our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We intend to co-invest, subject to the conditions included in the Order. However, neither we nor our affiliated funds are obligated to invest or co-invest when investment opportunities are referred to us or them.</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 advisor or its investment committee may, from time to time, possess material non-public information, limiting our investment discretion.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investment professionals of our investment advisor may serve as directors of, or in a similar capacity with, companies in which we invest, the securities of which are purchased or sold on our behalf.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have conflicts related to other arrangements with our investment advisor.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entered into a license agreement with Fidus Partners, LLC under which Fidus Partners, LLC granted us a non-exclusive (provided that there is not a change in control of Fidus Partners, LLC), royalty-free license to use the name “Fidus.” Some of the members of our investment advisor’s investment committee and the senior origination professionals of our investment advisor are members of Fidus Partners, LLC. See Item 1. “Business — Management and Other Agreements — License Agreement.” In addition, we rent office space from our investment advisor and pay to our investment advisor our allocable portion of overhead and other expenses incurred in performing its obligations under the Administration Agreement, such as our allocable portion of the cost of our chief financial officer and chief compliance officer. This creates conflicts of interest that our board of directors must monitor.</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Funds are licensed by the SBA, and, therefore, are subject to SBA regulations.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Funds are licensed to operate as SBICs and are regulated by the SBA. Under current SBA regulations, a licensed SBIC can provide capital to eligible "small businesses" that have a tangible net worth not exceeding $24.0 million and an average annual net income after U.S. federal income taxes not exceeding $8.0 million for the two most recent fiscal years. In addition, a licensed SBIC must devote 25% of its investment capital to "smaller enterprises"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either the number of employees or the gross sales of the business.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certain prohibited industries. Further, the SBA regulations require that a licensed SBIC be periodically examined and audited by the SBA staff to determine its compliance with the relevant SBA regulations. Compliance with these SBA requirements may cause the Funds to forego attractive investment opportunities that are not permitted under the SBA regulations, and may cause the Funds to make investments they otherwise would not make in order to remain in compliance with these regulations.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Failure to comply with the SBA regulations could result in the loss of the SBIC licenses and the resulting inability to participate in the SBA debenture program. The SBA prohibits, without prior SBA approval, a “change of control” of an SBIC or transfers that would result in any person (or a group of persons acting in concert) owning 10% or more of a class of capital stock of a licensed SBIC. Current SBA regulations provide the SBA with certain rights and remedies if an SBIC violates their terms. A key regulatory metric for SBA is the extent of “Capital Impairment,” which is the extent of realized (and, in certain circumstances, net unrealized) losses compared with the SBIC’s private capital commitments. Interest payments, management fees, organization and other expenses are included in determining “realized losses.” SBA regulations preclude the full amount of “unrealized appreciation” from portfolio companies from being considered when calculating Capital Impairment in certain circumstances. Remedies for regulatory violations are graduated in severity depending on the seriousness of Capital Impairment or other regulatory violations. For minor regulatory infractions, the SBA issues a warning. For more serious infractions, the use of SBA debentures may be limited or prohibited, outstanding debentures can be declared to be immediately due and payable, restrictions on distributions and making new investments may be imposed and management fees may be required to be reduced. In severe cases, the SBA may require the removal of a general partner of an SBIC or its officers, directors, managers or partners, or the SBA may obtain appointment of a receiver for the SBIC.</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SBA regulations limit the amount of SBA-guaranteed debt that may be borrowed by an SBIC.</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If the Funds borrow the maximum amount from the SBA and thereafter require additional capital, our cost of capital may increase, and there is no assurance that we will be able to obtain additional financing on acceptable terms.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Moreover, the Funds’ current status as SBICs does not automatically assure that they will continue to receive funding through the SBA debenture program. Receipt of SBA debenture funding is dependent upon the Funds’ continuing compliance with SBA regulations and policies and there being funding available. The amount of SBA debenture funding available to SBICs is dependent upon annual Congressional authorizations and in the future may be subject to annual Congressional appropriations. There can be no assurance that there will be sufficient SBA debenture funding available at the times desired by the Funds.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debentures issued by the Funds and guaranteed by the SBA have a maturity of ten years and bear interest semi-annually at fixed rates. Certain of the Funds’ SBA debentures begin to mature in 2026 and will require repayment on or before the respective maturity dates. The Funds will need to generate sufficient cash flow to make required debt payments on such debentures. If the Funds are unable to generate such cash flow, the SBA, as guarantor of the debentures, will have a superior claim to our assets over our stockholders in the event the Funds liquidate or the SBA exercises its remedies under such debentures as the result of a default by the Funds.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Funds, as SBICs, are limited in their ability to make distributions to us, which could result in us being unable to meet the minimum distribution requirements to maintain our status as a RIC.</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order to maintain our tax treatment as a RIC, we are required to timely distribute to our stockholders on an annual basis 90% of our net ordinary income and net short-term capital gains in excess of net long-term capital losses. For this purpose, our taxable income will include the income of the Funds (and any other entities that are disregarded as separate from us for U.S. federal income tax purposes). The Funds’ ability to make distributions to us may be limited by the Small Business Investment Act of 1958. As a result, in order to maintain our tax treatment as a RIC, we may be required to make distributions attributable to the Funds’ income without receiving any corresponding cash distributions with respect to such income. We can make no assurances that the Funds will be able to make, or not be limited in making, distributions to us. If we are unable to satisfy the annual distribution requirements, we may fail to maintain our tax treatment as a RIC, which would result in the imposition of corporate-level U.S. federal income tax on our entire taxable income without regard to any distributions made by us. See “We will be subject to U.S. federal income tax at corporate rates if we are unable to maintain our tax treatment as a RIC under Subchapter M of the Code.”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Changes in interest rates will affect our cost of capital and net investment income.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response to market indicators showing a rise in inflation, since March 2022, the Federal Reserve has been rapidly increasing interest rates and has indicated that it may consider additional rate hikes in response to ongoing inflation concerns. Some of our debt investments bear interest at fixed rates and the value of these investments could be negatively affected by increases in market interest rates. In addition, to the extent that we borrow additional funds to make investments, an increase in interest rates would make it more expensive for us to use debt to finance our investments and adversely affect our performance if such increases cause our borrowing costs to rise at a rate in excess of the rate that our investments yield. As a result, a significant increase in market interest rates could both reduce the value of our portfolio investments and increase our cost of capital, which would reduce our net investment income. Rising borrowing costs may contribute to the difficulty of companies in servicing their debt obligations and may lead to increases in default rates. Certain changes in interest rates could have a material adverse effect on the Company and its investments. Moreover, changes in interest rates could have a material negative impact on the financial condition of borrowers, the valuations for loans, the unanticipated repayments of loans, and pressure to renegotiate terms on existing loans. Also, an increase in interest rates available to investors could make an investment in shares of our common stock less attractive if we are not able to increase our distribution rate, which could reduce the value of our common stock. It is possible that the Federal Reserve’s tightening cycle also could result in a recession in the United States. Conversely, a decrease in interest rates may have an adverse impact on our returns by requiring us to seek lower yields on our debt investments and by increasing the risk that our portfolio companies will prepay the debt investments, resulting in the need to redeploy capital at potentially lower rates.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Inflation may adversely affect the business, results of operations and financial condition of our portfolio companies, which may, in turn, impact the valuation of such portfolio companies.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Certain of our portfolio companies may be impacted by inflation, which may, in turn, impact the valuation of such portfolio companies. If such portfolio companies are unable to pass any increases in their costs along to their customers, it could adversely affect their results and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pStyle w:val="TextBody"/>
        <w:bidi w:val="0"/>
        <w:jc w:val="both"/>
        <w:rPr>
          <w:rFonts w:ascii="Times New Roman" w:hAnsi="Times New Roman"/>
          <w:b/>
          <w:i/>
          <w:color w:val="000000"/>
          <w:sz w:val="20"/>
        </w:rPr>
      </w:pPr>
      <w:r>
        <w:rPr>
          <w:rFonts w:ascii="Times New Roman" w:hAnsi="Times New Roman"/>
          <w:b/>
          <w:i/>
          <w:color w:val="000000"/>
          <w:sz w:val="20"/>
        </w:rPr>
        <w:t>The alternative reference rates that have replaced LIBOR in our credit arrangements and other financial instruments may not yield the same or similar economic results as LIBOR over the life of such transaction.</w:t>
      </w:r>
    </w:p>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London Interbank Offered Rate (“LIBOR”) is an index rate that historically was widely used in lending transactions and was a common reference rate for setting the floating interest rate on private loans. LIBOR was typically the reference rate used in floating-rate loans extended to our portfolio companies.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ICE Benchmark Administration (“IBA”) (the entity that is responsible for calculating LIBOR) ceased providing overnight, one, three, six and twelve months USD LIBOR tenors on June 30, 2023. In addition, the United Kingdom’s Financial Conduct Authority (“FCA”), which oversees the IBA, now prohibits entities supervised by the FCA from using LIBORs, including USD LIBOR, except in very limited circumstances.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the United States, the Secured Overnight Financing Rate (“SOFR”) is the preferred alternative rate for LIBOR. SOFR is a measure of the cost of borrowing cash overnight, collateralized by U.S. Treasury securities, and is based on directly observable U.S. Treasury-backed repurchase transactions. SOFR is published by the Federal Reserve Bank of New York each U.S. Government Securities Business Day, for transactions made on the immediately preceding U.S. Government Securities Business Day. Alternative reference rates that may replace LIBOR, including SOFR for USD transactions, may not yield the same or similar economic results as LIBOR over the lives of such transactions.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the filing date of this Annual Report, substantially all of our loans that referenced LIBOR have been amended to reference the forward-looking term rate published by CME Group Benchmark Administration Limited based on SOFR (“CME Term SOFR”) or CME Term SOFR plus a fixed spread adjustment. CME Term SOFR rates are forward-looking rates that are derived by compounding projected overnight SOFR rates over one, three, and six months taking into account the values of multiple consecutive, executed, one-month and three-month CME Group traded SOFR futures contracts and, in some cases, over-the-counter SOFR Overnight Indexed Swaps as an indicator of CME Term SOFR reference rate values. CME Term SOFR and the inputs on which it is based are derived from SOFR. Since CME Term SOFR is a relatively new market rate, there will likely be no established trading market for credit agreements or other financial instruments when they are issued, and an established market may never develop or may not be liquid. Market terms for instruments referencing CME Term SOFR rates may be lower than those of later-issued CME Term SOFR indexed instruments. Similarly, if CME Term SOFR does not prove to be widely used, the trading price of instruments referencing CME Term SOFR may be lower than those of instruments indexed to indices that are more widely used. Further, the composition and characteristics of SOFR and CME Term SOFR are not the same as those of LIBOR. Even with the application of a fixed spread adjustment, LIBOR and CME Term SOFR will not have the same composition and characteristics, and there can be no assurance that the replacement rate, as so adjusted, will be a direct substitute for LIBOR.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There can be no guarantee that SOFR will not be discontinued or fundamentally altered in a manner that is materially adverse to the interests of investors in loans referencing SOFR. If the manner in which SOFR or CME Term SOFR is calculated is changed, that change may result in a reduction of the amount of interest payable on such loans and the trading prices of the SOFR Loans. In addition, there can be no guarantee that loans referencing SOFR or CME Term SOFR will continue to reference those rates until maturity or that, in the future, our loans will reference benchmark rates other than CME Term SOFR. Should any of these events occur, our loans, and the yield generated thereby, could be affected. Specifically, the anticipated yield on our loans may not be fully realized and our loans may be subject to increased pricing volatility and market risk.</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ability to enter into transactions involving derivatives and unfunded commitment transactions may be limited.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In 2020, the SEC adopted Rule 18f-4 under the 1940 Act, which relates to the use of derivatives and other transactions that create future payment or delivery obligations by BDCs (and other funds that are registered investment companies). Under Rule 18f-4, for which compliance was required beginning in August 2022, BDCs that use derivatives are subject to a value-at-risk leverage limit, certain derivatives risk management program and testing requirements, and requirements related to board reporting. These requirements apply unless the BDC qualifies as a “limited derivatives user,” as defined in Rule 18f-4. A BDC that enters into reverse repurchase agreements or similar financing transactions could either (i) comply with the asset coverage requirements of Section 18, as modified by Section 61 of the 1940 Act, when engaging in reverse repurchase agreements or (ii) choose to treat such agreements as derivative transactions under Rule 18f-4. In addition, under Rule 18f-4,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requirement, it is required to treat the unfunded commitment as a derivatives transaction subject to the aforementioned requirements of Rule 18f-4. Collectively, these requirements may limit our ability to use derivatives and/or enter into certain other financial contracts. We qualify as a “limited derivatives user,” and as a result the requirements applicable to us under Rule 18f-4 may limit our ability to use derivatives and enter into certain other financial contracts. However, if we fail to qualify as a limited derivatives user and become subject to the additional requirements under Rule 18f-4, compliance with such requirements may increase cost of doing business, which could have a material adverse effect on our business, financial condition, results of operations and cash flow.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Global economic, political and market conditions may adversely affect our business, results of operations and financial condition, including our revenue growth and profitability.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Actual and proposed changes to the complex system of laws and regulations governing the banking industry further pose risks to the success of our operations, cash flows or financial conditions. Increases to the asset threshold for designating financial institutions as “systemically important financial institutions,” as well as proposed changes to the Volcker Rule, are just two examples; the effect of these change and any further rules or regulations are and could be complex and far-reaching, and the changes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Until we know what policy changes are made and how those changes impact business and the business of our competitors over the long term, we will not know if, overall, it will benefit from them or be negatively affected by them.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On January 31, 2020, the United Kingdom ended its membership in the European Union, referred to as Brexit. Following the termination of a transition period, the United Kingdom and the European Union entered into a trade and cooperation agreement to govern the future relationship between the parties, which was provisionally applied as of January 1, 2021 and entered into force on May 1, 2021 following ratification by the European Union. With respect to financial services, the agreement leaves decisions on equivalence and adequacy to be determined by each of the United Kingdom and the European Union unilaterally in due course. Such agreement is untested and could lead to ongoing political and economic uncertainty and periods of exacerbated volatility in both the United Kingdom and in wider European and global markets for some time. In addition, on December 24, 2020, the European Union and United Kingdom governments signed a trade deal that became provisionally effective on January 1, 2021 and that now governs the relationship between the United Kingdom and the European Union (the “Trade Agreement”). The Trade Agreement implements significant regulation around trade, transport of goods and travel restrictions between the United Kingdom and the European Union.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Notwithstanding the foregoing, the longer-term economic, legal, political and social implications of Brexit are unclear at this stage and are likely to continue to lead to ongoing political and economic uncertainty and periods of increased volatility in both the United Kingdom and in wider European markets for some time. In particular, Brexit could lead to calls for similar referenda in other European Union jurisdictions, which could cause increased economic volatility in the European and global markets. This mid- to long-term uncertainty could have adverse effects on the economy generally and on our ability to earn attractive returns. This volatility and uncertainty may have an adverse effect on the economy generally and on our ability—and the ability of our portfolio companies—to execute our respective strategies and to receive attractive returns. In particular, currency volatility could mean that our returns are adversely affected by market movements and could make it more difficult, or more expensive, for us to execute prudent currency hedging policies. Potential declines in the value of the British Pound and/or the euro against other currencies, along with the potential downgrading of the United Kingdom’s sovereign credit rating, may also have an impact on the performance of any of our portfolio companies located in the United Kingdom or European Union.</w:t>
      </w:r>
    </w:p>
    <w:p>
      <w:pPr>
        <w:pStyle w:val="TextBody"/>
        <w:bidi w:val="0"/>
        <w:jc w:val="both"/>
        <w:rPr>
          <w:rFonts w:ascii="Times New Roman" w:hAnsi="Times New Roman"/>
          <w:sz w:val="20"/>
        </w:rPr>
      </w:pPr>
      <w:r>
        <w:rPr>
          <w:rFonts w:ascii="Times New Roman" w:hAnsi="Times New Roman"/>
          <w:b/>
          <w:i/>
          <w:color w:val="000000"/>
          <w:sz w:val="20"/>
        </w:rPr>
        <w:t>We are currently operating in a period of significant capital markets disruption and economic uncertainty, which may have a negative impact on our business, financial condition and operations.</w:t>
      </w:r>
      <w:r>
        <w:rPr>
          <w:rFonts w:ascii="Times New Roman" w:hAnsi="Times New Roman"/>
          <w:color w:val="000000"/>
          <w:sz w:val="20"/>
        </w:rPr>
        <w:t xml:space="preserve">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From time to time, capital markets may experience periods of disruption and instability. The U.S. capital markets have experienced extreme volatility and disruption following the global outbreak of COVID-19 that began in December 2019, the conflict between Russia and Ukraine that began in late February 2022, and the ongoing war in the Middle East. Even after the COVID-19 pandemic subsided, the U.S. economy, as well as most other major economies, have continued to experience unpredictable economic conditions, and we anticipate our businesses would be materially and adversely affected by any prolonged economic downturn or recession in the United States and other major markets. In addition, disruptions in the capital markets have increased the spread between the yields realized on risk-free and higher risk securities, resulting in illiquidity in parts of the capital markets.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The current economic conditions have resulted in an adverse impact on the ability of lenders to originate loans, the volume and type of loans originated, the ability of borrowers to make payments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The U.S. credit markets (in particular for middle-market loans), have experienced the following among other things: (i) increased draws by borrowers on revolving lines of credit and other financing instruments; (ii) increased requests by borrowers for amendments and waivers of their credit agreements to avoid default, increased defaults by such borrowers and/or increased difficulty in obtaining refinancing at the maturity dates of their loans and increased uses of PIK features; and (iii) greater volatility in pricing and spreads and difficulty in valuing loans during periods of increased volatility, and liquidity issues.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These conditions and future market disruptions and/or illiquidity could have an adverse effect on our (and our portfolio companies') business, financial condition, results of operations and cash flows. Ongoing unfavorable economic conditions may increase our funding costs, limit our access to the capital markets or result in a decision by lenders not to extend credit to our portfolio companies and/or us. These events have limited and could continue to limit our investment originations, limit our ability to grow and have a material negative impact on our operating results and the fair values of our debt and equity investments. We may have to access, if available, alternative markets for debt and equity capital, and a severe disruption in the global financial markets, deterioration in credit and financing conditions, continued increase in interest rates or uncertainty regarding U.S. government spending and deficit levels or other global economic conditions could have a material adverse effect on our business, financial condition and results of operations.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While we intend to continue to source and invest in new loan transactions to U.S. middle market companies, we cannot be certain that we will be able to do so successfully or consistently. A lack of suitable investment opportunities may impair our ability to make new investments, and may negatively impact our earnings in decreased dividends to our shareholders.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If economic conditions caused by the current economic conditions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 We continue to observe supply chain interruptions, labor difficulties, commodity inflation and elements of economic and financial market instability both globally and in the United States. We will need to raise additional capital in the future in order to continue to make investments in accordance with our business and investing strategy and to pursue new business opportunities. Ongoing disruptive conditions in the financial industry and the impact of new legislation in response to those conditions could restrict our business operations and could adversely impact our results of operations and financial condition.</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In addition, we are required to distribute at least 90% of our net ordinary income and net short-term capital gains in excess of net long-term capital losses, if any, to our shareholders to qualify for the tax benefits available to RICs. As a result, these earnings will not be available to fund new investments. An inability to access the capital markets successfully could limit our ability to grow our business and execute our business strategy fully and could decrease our earnings, if any, which may have a material adverse effect on our business, results of operations and financial performance.</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 xml:space="preserve">We cannot be certain as to the duration or magnitude of the ongoing economic condition in the markets in which we and our portfolio companies operate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of our portfolio companies may suffer declines in earnings and could experience financial distress, which could cause them to default on their financial obligations to us and their other lenders. In consideration of these and related factors, we have downgraded our internal ratings with respect to certain companies and may make additional downgrades with respect to other portfolio companies in the future as conditions warrant and new information becomes available. </w:t>
      </w:r>
    </w:p>
    <w:p>
      <w:pPr>
        <w:pStyle w:val="TextBody"/>
        <w:bidi w:val="0"/>
        <w:jc w:val="both"/>
        <w:rPr>
          <w:rFonts w:ascii="Times New Roman" w:hAnsi="Times New Roman"/>
          <w:sz w:val="20"/>
        </w:rPr>
      </w:pPr>
      <w:r>
        <w:rPr>
          <w:rFonts w:ascii="Times New Roman" w:hAnsi="Times New Roman"/>
          <w:b/>
          <w:i/>
          <w:color w:val="000000"/>
          <w:sz w:val="20"/>
        </w:rPr>
        <w:t>Our business is dependent on bank relationships and recent strain on the banking system may adversely impact us.</w:t>
      </w:r>
      <w:r>
        <w:rPr>
          <w:rFonts w:ascii="Times New Roman" w:hAnsi="Times New Roman"/>
          <w:color w:val="000000"/>
          <w:sz w:val="20"/>
        </w:rPr>
        <w:t xml:space="preserve"> </w:t>
      </w:r>
    </w:p>
    <w:p>
      <w:pPr>
        <w:pStyle w:val="TextBody"/>
        <w:bidi w:val="0"/>
        <w:jc w:val="both"/>
        <w:rPr/>
      </w:pPr>
      <w:r>
        <w:rPr/>
        <w:t> </w:t>
      </w:r>
    </w:p>
    <w:p>
      <w:pPr>
        <w:pStyle w:val="TextBody"/>
        <w:bidi w:val="0"/>
        <w:spacing w:before="120" w:after="180"/>
        <w:jc w:val="both"/>
        <w:rPr>
          <w:rFonts w:ascii="Times New Roman" w:hAnsi="Times New Roman"/>
          <w:color w:val="000000"/>
          <w:sz w:val="20"/>
        </w:rPr>
      </w:pPr>
      <w:r>
        <w:rPr>
          <w:rFonts w:ascii="Times New Roman" w:hAnsi="Times New Roman"/>
          <w:color w:val="000000"/>
          <w:sz w:val="20"/>
        </w:rPr>
        <w:t>The financial markets recently have encountered volatility associated with concerns about the balance sheets of banks, especially small and regional banks that may have significant losses associated with investments that make it difficult to fund demands to withdraw deposits and other liquidity needs. Although the federal government has announced measures to assist these banks and protect depositors, some banks have already been impacted and others may be materially and adversely impacted.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Continued strain on the banking system may adversely impact our business, financial condition and results of operations.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experience fluctuations in our quarterly operating results.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could experience fluctuations in our quarterly operating results due to a number of factors, including our ability or inability to make investments in companies that meet our investment criteria,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will be subject to U.S. federal income tax at corporate rates if we are unable to maintain our tax treatment as a RIC under Subchapter M of the Code.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We have elected to be treated and intend to qualify annually as a RIC under Subchapter M of the Code; however, no assurance can be given that we will be able to maintain our RIC tax treatment. To maintain our tax treatment as a RIC under Subchapter M of the Code and to avoid the imposition of U.S. federal income tax on income and gains distributed to our stockholders, we must meet certain requirements, including source-of-income, asset diversification and annual distribution requirements. While we are not subject to U.S. federal income tax on the income and gains we timely distribute to our shareholders, our stockholders will be required to include the amounts of such distributions in income and may be subject to U.S. federal income tax on such amounts. The source-of-income requirement will be satisfied if we derive at least 90% of our gross income for each year from dividends, interest, gains from sale of securities or similar sources. To maintain our tax treatment as a RIC, we must also meet certain asset diversification requirements at the end of each calendar quarter. Failure to meet these requirements may result in our losing our RIC tax treatment or our having to dispose of certain investments in order to prevent the loss of RIC tax treatment. Because most of our investments will be in private or thinly traded public companies, any such dispositions could be made at disadvantageous prices and may result in substantial losses. The annual distribution requirement applicable to RICs generally will be satisfied if we timely distribute at least 90% of our net ordinary income and net short-term capital gains in excess of net long-term capital losses, if any, to our stockholders on an annual basis. In addition, we will be subject to a 4% nondeductible U.S. federal excise tax to the extent that we do not satisfy certain additional minimum distribution requirements on a calendar-year basis. We will be subject, to the extent we use debt financing, to certain asset coverage ratio requirements under the 1940 Act and financial covenants under loan and credit agreements that could, under certain circumstances, restrict us from making annual distributions necessary to maintain our tax treatment as a RIC. If we are unable to obtain cash from other sources, we may fail to maintain our tax treatment as a RIC and, thus, may be subject to U.S. federal income tax on our entire taxable income without regard to any distributions made by us. If we fail to maintain our tax treatment as a RIC for any reason and become subject to U.S. federal income tax at corporate rates, the resulting tax liability could substantially reduce our net assets, the amount of income available for distributions to stockholders and the amount of our distributions and the amount of funds available for new investments. Such a failure could have a material adverse effect on us and our stockholders.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not be able to pay you distributions, our distributions may not grow over time, a portion of distributions paid to you may be a return of capital, and investors in our debt securities may not receive all of the interest income to which they are entitled.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of the risk factors described in this Annual Report on Form 10-K, including current market conditions described herein. If we violate certain covenants under our existing or future credit facilities or other leverage, we may be limited in our ability to make distributions. All distributions will be made at the discretion of our board of directors and will depend on our earnings, our financial condition, maintenance of RIC tax treatment, compliance with applicable BDC regulations, SBA regulations, state corporate laws affecting the distribution of corporate assets and such other factors as our board of directors may deem relevant from time to time. We cannot assure you that we will make distributions to our stockholders in the future.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above-referenced restrictions on distributions may also inhibit our ability to make required interest payments to holders of our debt securities, which may cause a default under the terms of our then-existing debt agreements. Such a default could materially increase our cost of raising capital, as well as cause us to incur penalties under the terms of our then-existing debt agreements.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When we make quarterly distributions, we will be required to determine the extent to which such distributions are paid out of current and accumulated earnings and profits, recognized capital gain or capital. To the extent there is a return of capital, an investor receives his or her own invested capital, but reduced by the amount of the Company’s expenses and any sales load he or she may have paid. In addition, investors will be required to reduce their adjusted tax basis in our stock for U.S. federal income tax purposes.</w:t>
      </w:r>
    </w:p>
    <w:p>
      <w:pPr>
        <w:pStyle w:val="TextBody"/>
        <w:bidi w:val="0"/>
        <w:jc w:val="both"/>
        <w:rPr>
          <w:rFonts w:ascii="Times New Roman" w:hAnsi="Times New Roman"/>
          <w:sz w:val="20"/>
        </w:rPr>
      </w:pPr>
      <w:r>
        <w:rPr>
          <w:rFonts w:ascii="Times New Roman" w:hAnsi="Times New Roman"/>
          <w:b/>
          <w:i/>
          <w:color w:val="000000"/>
          <w:sz w:val="20"/>
        </w:rPr>
        <w:t>We may choose to pay dividends in our own stock, in which case you may be required to pay tax in excess of the cash you receive.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qualify as a publicly offered RIC and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The value of the shares received by a stockholder is treated as income for U.S. federal income tax purposes. A U.S. stockholder may have income from such dividend in excess of any cash received, and thus may be required to obtain cash from other sources to pay any applicable U.S. federal income tax. If a U.S. stockholder sells the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it received as a dividend in order to pay this tax, the sales proceeds may be less than the amount included in income with respect to the dividend, depending on the market price of our stock at the time of the sale. </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 </w:t>
      </w:r>
    </w:p>
    <w:p>
      <w:pPr>
        <w:pStyle w:val="TextBody"/>
        <w:bidi w:val="0"/>
        <w:spacing w:before="0" w:after="180"/>
        <w:jc w:val="both"/>
        <w:rPr>
          <w:rFonts w:ascii="Times New Roman" w:hAnsi="Times New Roman"/>
          <w:sz w:val="20"/>
        </w:rPr>
      </w:pPr>
      <w:r>
        <w:rPr>
          <w:rFonts w:ascii="Times New Roman" w:hAnsi="Times New Roman"/>
          <w:b/>
          <w:i/>
          <w:color w:val="000000"/>
          <w:sz w:val="20"/>
        </w:rPr>
        <w:t>Due to current market conditions, we may reduce or defer our dividends and choose to incur US federal excise tax in order preserve cash and maintain flexibility.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 a BDC, we are not required to make any distributions to shareholders other than in connection with our election to be treated for U.S. federal income tax purposes as a RIC under subchapter M of the Code. In order to maintain our tax treatment as a RIC, we generally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referred to as "spillover dividends", the dividend will be treated for all U.S. federal income tax purposes as if it were paid on December 31 of the current year. In addition, under the Code, we may pay dividends, referred to as “spillback dividends,” that are paid during the following taxable year that will allow us to maintain our qualification for taxation as a RIC and eliminate our liability for U.S. federal income tax at corporate rates. Under these spillover dividend procedures, we may defer distribution of income earned during the current year until December of the following year. For example, we may defer distributions of income earned during 2023 until as late as December 31, 2024. If we choose to pay a spillover dividend, we will incur the 4% U.S. federal excise tax on some or all of the distribution.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Due to current market conditions (as described herein), it is possible that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have difficulty paying our required distributions if we recognize income before, or without, receiving cash representing such income.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U.S. federal income tax purposes, we are required to include in our income certain amounts that we have not yet received in cash, such as OID, which may arise if we receive warrants in connection with the making of a loan or in other circumstances, and contractual PIK interest, which represents contractual interest added to the loan balance and due at the end of the loan term. Such OID, or increases in loan balances as a result of contracted PIK arrangements, will be included in our income before we receive any corresponding cash payments. We also may be required to include in our income certain other amounts that we will not receive in cash.</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Since in certain cases we may be required to recognize income before or without receiving cash representing such income, we may have difficulty meeting the requirement to distribute on an annual basis at least 90% of our net ordinary income and net short-term capital gains in excess of net long-term capital losses, if any, to maintain our tax treatment as a RIC. In such a case, we may have to sell some of our investments at times and/or at prices we would not consider advantageous, raise additional debt or equity capital or forgo new investment opportunities to satisfy the annual distribution requirements. In such circumstances, if we are unable to obtain such cash from other sources, we may fail to maintain our tax treatment as a RIC and thus be subject to U.S. federal income tax at corporate rates. See “We will be subject to U.S. federal income tax at corporate rates if we are unable to maintain our tax treatment as a RIC under Subchapter M of the Code.”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 it received that was based on accrued income that we never receive as a result of a default by an entity on the obligation that resulted in the accrual of such income. That part of the incentive fee payable by us that relates to our net investment income will be computed and paid on income that may include interest that has been accrued but not yet received in cash, such as market discount, debt instruments with PIK interest, preferred stock with PIK dividends and zero coupon securities.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To the extent we invest in OID instruments, including PIK loans, zero coupon bonds, and debt securities with attached warrants, investors will be exposed to the risks associated with the inclusion of such non-cash income in taxable and accounting income prior to receipt of cash, including the following risks: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interest payments deferred on a PIK loan are subject to the risk that the borrower may default when the deferred payments are due in cash at the maturity of the loan;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interest rates on PIK loans are higher to reflect the time-value of money on deferred interest payments and the higher credit risk of borrowers who may need to defer interest payments;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PIK instruments may have unreliable valuations because the accruals require judgments about ultimate collectability of the deferred payments and the value of the associated collateral;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an election to defer PIK interest payments by adding them to principal increases our gross assets and, thus, increases future base management fees to the investment advisor and, because interest payments will then be payable on a larger principal amount, the PIK election also increases the investment advisor’s future income incentive fees at a compounding rate;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market prices of OID instruments are more volatile because they are affected to a greater extent by interest rate changes than instruments that pay interest periodically in cash; </w:t>
            </w:r>
          </w:p>
        </w:tc>
      </w:tr>
    </w:tbl>
    <w:tbl>
      <w:tblPr>
        <w:tblW w:w="9703" w:type="dxa"/>
        <w:jc w:val="left"/>
        <w:tblInd w:w="0" w:type="dxa"/>
        <w:tblLayout w:type="fixed"/>
        <w:tblCellMar>
          <w:top w:w="28" w:type="dxa"/>
          <w:left w:w="28" w:type="dxa"/>
          <w:bottom w:w="28" w:type="dxa"/>
          <w:right w:w="28" w:type="dxa"/>
        </w:tblCellMar>
      </w:tblPr>
      <w:tblGrid>
        <w:gridCol w:w="124"/>
        <w:gridCol w:w="109"/>
        <w:gridCol w:w="109"/>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the deferral of interest on a PIK loan increases its loan-to-value ratio, which is a measure of the riskiness of a loan;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OID creates the risk of non-refundable cash payments to the investment advisor based on non-cash accruals that may never be realized;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for U.S. federal income tax purposes, we will be required to make distributions of OID income to shareholders without receiving any cash and such distributions have to be paid from offering proceeds or the sale of assets without investors being given any notice of this fact; and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required recognition of OID, including PIK, interest for U.S. federal income tax purposes may have a negative impact on liquidity, because it represents a non-cash component of the our taxable income that must, nevertheless, be distributed in cash to investors to avoid it being subject to U.S. federal income tax.</w:t>
            </w:r>
          </w:p>
        </w:tc>
      </w:tr>
    </w:tbl>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You may have a current tax liability on distributions you elect to reinvest in our common stock but would not receive cash to pay such tax liability.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you participate in our dividend reinvestment plan, you will be deemed to have received, and for U.S. federal income tax purposes will be taxed on, the amount reinvested in our common stock to the extent the amount reinvested was not a tax-free return of capital. As a result, unless you are a tax-exempt entity, you may have to use funds from other sources to pay your tax liability on the value of our common stock received as a result of the distribution.</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Because we expect to distribute substantially all of our net investment income and net realized capital gains to our stockholders, we will need additional capital to finance our growth, and such capital may not be available on favorable terms or at all.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elected to be treated for U.S. federal income tax purposes as a RIC under Subchapter M of the Code. If we continue to meet certain requirements, including source-of-income, asset diversification and distribution requirements, and if we continue to be regulated as a BDC, we will continue to qualify to be taxed as a RIC and therefore will not have to pay U.S. federal income tax at corporate rates on income that we timely distribute to our stockholders, allowing us to substantially reduce or eliminate our U.S. federal income tax liability. As a BDC, we are generally required to meet a coverage ratio of total assets to total senior securities, which includes all of our borrowings (other than the SBA guaranteed debentures) and any preferred stock we may issue in the future, of at least 150% at the time we issue any debt or preferred stock. This requirement limits the amount of our leverage. Because we will continue to need capital to grow our investment portfolio, this limitation may prevent us from incurring debt or issuing preferred stock and require us to raise additional equity at a time when it may be disadvantageous to do so.</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While we expect to be able to borrow and to issue additional debt and equity securities, we cannot assure you that debt and equity financing will be available to us on favorable terms, or at all. If additional funds are not available to us, we could be forced to curtail or cease new investment activities, and our net asset value could decline. In addition, as a BDC, we generally are not permitted to issue equity securities priced below net asset value without stockholder approval. At our 2023 Annual Stockholders Meeting on June 8, 2023, our stockholders voted to allow us to issue common stock at a price below net asset value per share for a period of one year ending on the earlier of June 8, 2024 or the date of our 2024 Annual Meeting of Stockholders. We expect to present to our stockholders a similar proposal at our 2024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issue shares of our common stock below net asset value unless our board of directors determines that it would be in our stockholders’ best interests to do so. The level of net asset value dilution that could result from such an offering is not limited.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board of directors may change our investment objective, operating policies and strategies without prior notice or stockholder approval, the effects of which may be adverse.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Our board of directors has the authority, except as otherwise provided by the 1940 Act, to modify or waive certain of our operating policies and strategies without prior notice and without stockholder approval. Under Maryland law, we also cannot be dissolved without prior stockholder approval except by judicial action. In addition, upon approval of a majority of our stockholders, we may elect to withdraw our status as a BDC. If we, or Fund I, decide to withdraw our election, or if we otherwise fail to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 We cannot predict the effect any changes to our current operating policies and strategies would have on our business, operating results or the value of our common stock. Nevertheless, any such changes could adversely affect our business and impair our ability to make distributions.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Regulations governing our operation as a BDC affect our ability to raise, and the way in which we raise, additional capital that may have a negative effect on our growth.</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business will require capital to operate and grow. We may acquire such additional capital from the following sources:</w:t>
      </w:r>
    </w:p>
    <w:p>
      <w:pPr>
        <w:pStyle w:val="TextBody"/>
        <w:bidi w:val="0"/>
        <w:spacing w:before="0" w:after="180"/>
        <w:jc w:val="both"/>
        <w:rPr>
          <w:rFonts w:ascii="Times New Roman" w:hAnsi="Times New Roman"/>
          <w:sz w:val="20"/>
        </w:rPr>
      </w:pPr>
      <w:r>
        <w:rPr>
          <w:rFonts w:ascii="Times New Roman" w:hAnsi="Times New Roman"/>
          <w:i/>
          <w:color w:val="000000"/>
          <w:sz w:val="20"/>
        </w:rPr>
        <w:t>Senior Securities.</w:t>
      </w:r>
      <w:r>
        <w:rPr>
          <w:rFonts w:ascii="Times New Roman" w:hAnsi="Times New Roman"/>
          <w:color w:val="000000"/>
          <w:sz w:val="20"/>
        </w:rPr>
        <w:t xml:space="preserve"> Currently we, through the Funds, issue debentures guaranteed by the SBA and have access to funds under a revolving credit facility. In the future, we may issue debt securities or preferred stock and/or borrow money from banks or other financial institutions, which we refer to collectively as senior securities. As a result of issuing senior securities, we will be exposed to additional risks,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Under the provisions of the 1940 Act, we are permitted, as a BDC, to issue senior securities only in amounts such that our asset coverage, as defined in the 1940 Act, equals at least 150%. If the value of our assets declines, we may be unable to satisfy this requirement. If that happens, we may sell a portion of our investments and, depending on the nature of our leverage, repay a portion of our debt at a time when such sales and/or repayments may be disadvantageous. Further, we will not be permitted to declare or make any distribution to stockholders or repurchase shares until such time as we satisfy this test.</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Any amounts that we use to service our debt or make payments on preferred stock will not be available for distributions to our common stockholders.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We and, indirectly, our stockholders will bear the cost of issuing and servicing such securities and other indebtedness.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Preferred stock or any convertible or exchangeable securities that we issue in the future may have rights, preferences and privileges more favorable than those of our common stock, including separate voting rights and could delay or prevent a transaction or a change in control to the detriment of the holders of our common stock.</w:t>
            </w:r>
          </w:p>
        </w:tc>
      </w:tr>
    </w:tbl>
    <w:p>
      <w:pPr>
        <w:pStyle w:val="TextBody"/>
        <w:bidi w:val="0"/>
        <w:spacing w:before="180" w:after="180"/>
        <w:jc w:val="both"/>
        <w:rPr>
          <w:rFonts w:ascii="Times New Roman" w:hAnsi="Times New Roman"/>
          <w:sz w:val="20"/>
        </w:rPr>
      </w:pPr>
      <w:r>
        <w:rPr>
          <w:rFonts w:ascii="Times New Roman" w:hAnsi="Times New Roman"/>
          <w:i/>
          <w:color w:val="000000"/>
          <w:sz w:val="20"/>
        </w:rPr>
        <w:t>Additional Common Stock.</w:t>
      </w:r>
      <w:r>
        <w:rPr>
          <w:rFonts w:ascii="Times New Roman" w:hAnsi="Times New Roman"/>
          <w:color w:val="000000"/>
          <w:sz w:val="20"/>
        </w:rPr>
        <w:t xml:space="preserve"> Under the provisions of the 1940 Act, we are not generally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the best interests of our stockholders, and our stockholders approve such sale. At our 2023 Annual Stockholders Meeting on June 8, 2023, our stockholders voted to allow us to issue common stock at a price below net asset value per share for a period of one year ending on the earlier of June 8, 2024 or the date of our 2024 Annual Meeting of Stockholders. We expect to present to our stockholders a similar proposal at our 2024 Annual Meeting of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 In any such case, however, the price at which our common stock is to be issued and sold may not be less than a price that,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and the regulations and staff interpretations thereunder.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pStyle w:val="TextBody"/>
        <w:bidi w:val="0"/>
        <w:jc w:val="both"/>
        <w:rPr>
          <w:rFonts w:ascii="Times New Roman" w:hAnsi="Times New Roman"/>
          <w:sz w:val="20"/>
        </w:rPr>
      </w:pPr>
      <w:r>
        <w:rPr>
          <w:rFonts w:ascii="Times New Roman" w:hAnsi="Times New Roman"/>
          <w:b/>
          <w:i/>
          <w:color w:val="000000"/>
          <w:sz w:val="20"/>
        </w:rPr>
        <w:t>There is uncertainty surrounding potential legal, regulatory and policy changes by the current presidential administration and Congress in the United States that may directly affect financial institutions and the global economy.</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personnel or policy changes may adversely affect our operating environment and therefore our business, financial condition, results of operations and growth prospects.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Changes in laws or regulations governing our operations may adversely affect our business or cause us to alter our business strategy.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 In addition, any change to the SBA’s current debenture program could have a significant impact on our ability to obtain low-cost leverage and, therefore, our competitive advantage over other funds.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Legal, tax and regulatory changes could occur that may adversely affect us. For example, from time to time the market for private equity transactions has been (and is currently being) adversely affected by a decrease in the availability of senior and subordinated financings for transactions, in part in response to credit market disruptions and/or regulatory pressures on providers of financing to reduce or eliminate their exposure to the risks involved in such transactions.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Additionally, any changes to the laws and regulations governing our operations related to permitted investments may cause us to alter our investment strategy in order to meet our investment objectives. Such changes could result in material differences to the strategies and plans set forth in this Annual Report and may shift our investment focus from the areas of expertise of our investment advisor to other types of investments in which our investment advisor may have little or no expertise or experience. Any such changes, if they occur, could have a material adverse effect on our results of operations and the value of your investment.</w:t>
      </w:r>
    </w:p>
    <w:p>
      <w:pPr>
        <w:pStyle w:val="TextBody"/>
        <w:bidi w:val="0"/>
        <w:spacing w:before="90" w:after="180"/>
        <w:jc w:val="both"/>
        <w:rPr>
          <w:rFonts w:ascii="Times New Roman" w:hAnsi="Times New Roman"/>
          <w:b/>
          <w:i/>
          <w:color w:val="000000"/>
          <w:sz w:val="20"/>
        </w:rPr>
      </w:pPr>
      <w:r>
        <w:rPr>
          <w:rFonts w:ascii="Times New Roman" w:hAnsi="Times New Roman"/>
          <w:b/>
          <w:i/>
          <w:color w:val="000000"/>
          <w:sz w:val="20"/>
        </w:rPr>
        <w:t>We cannot predict how new tax legislation will affect us, our investments, or our stockholders, and any such legislation could adversely affect our business.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shares.</w:t>
      </w:r>
    </w:p>
    <w:p>
      <w:pPr>
        <w:pStyle w:val="TextBody"/>
        <w:bidi w:val="0"/>
        <w:spacing w:before="0" w:after="180"/>
        <w:jc w:val="both"/>
        <w:rPr>
          <w:rFonts w:ascii="Times New Roman" w:hAnsi="Times New Roman"/>
          <w:sz w:val="20"/>
        </w:rPr>
      </w:pPr>
      <w:r>
        <w:rPr>
          <w:rFonts w:ascii="Times New Roman" w:hAnsi="Times New Roman"/>
          <w:b/>
          <w:i/>
          <w:color w:val="000000"/>
          <w:sz w:val="20"/>
        </w:rPr>
        <w:t>Changes to U.S. tariff and import/export regulations may have a negative effect on our portfolio companies and, in turn, harm us.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and have a material adverse effect on their business, financial condition and results of operations, which in turn would negatively impact us.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ability to enter into and exit investment transactions with our affiliates will be restricted.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Except in those instances where we have received prior exemptive relief from the SEC, we will be prohibited under the 1940 Act from knowingly participating in certain transactions with our affiliates without the prior approval of our Independent Directors. We, our investment advisor, the Funds, and Fidus Credit Opportunities, L.P. received exemptive relief from the SEC under the 1940 Act, which permits us to co-invest with other funds managed by our investment advisor or its affiliates in a manner consistent with our investment objective, positions, policies, strategies and restrictions as well as regulatory requirements and other pertinent factors. In addition, any person that owns, directly or indirectly, 5% or more of our outstanding voting securities is deemed our affiliate for purposes of the 1940 Act and we are generally prohibited from buying or selling any security from or to such affiliate, absent the prior approval of our Independent Directors. The 1940 Act also prohibits “joint” transactions with an affiliate, which could include investments in the same portfolio company (whether at the same or different times), without prior approval of our Independent Directors. If a person acquires more than 25% of our voting securities, we will be prohibited from buying or selling any security from or to such person, or entering into joint transactions with such person, absent the prior approval of the SEC. These restrictions could limit or prohibit us from making certain attractive investments that we might otherwise make absent such restrictions.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 advisor can resign on 60 days’ notice, and we may not be able to find a suitable replacement within that time, resulting in a disruption in our operations that could adversely affect our financial condition, business and results of operations.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investment advisor has the right, under the Investment Advisory Agreement, to resign at any time upon not less than 60 days’ written notice, whether we have found a replacement or not. If our investment advisor resigns, we may not be able to find a new investment advisor and administrator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investment activities are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 advisor can resign from its role as our administrator under the Administration Agreement, and we may not be able to find a suitable replacement, resulting in a disruption in our operations that could adversely affect our financial condition, business and results of operations.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investment advisor also has the right to resign under the Administration Agreement, whether we have found a replacement or not. If our investment advisor resigns as our administrator, we may not be able to find a new administrator or hire internal management with similar expertise and ability to provide the same or equivalent services on acceptable terms,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administrative activities are likely to suffer if we are unable to identify and reach an agreement with a service provider or individuals with the expertise possessed by our investment advisor. Even if we are able to retain a comparable service provider or individuals to perform such services, whether internal or external, their integration into our business and lack of familiarity with our investment objective may result in additional costs and time delays that may adversely affect our financial condition, business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The failure of cybersecurity protection systems, as well as the occurrence of events unanticipated in our disaster recovery systems and management continuity planning, could impair our ability to conduct business effectively.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and others in our industry, are the targets of malicious cyber activity. A successful cyber-attack, whether perpetrated by criminal or state-sponsored actors, against us or our service providers, or an accidental disclosure of non-public information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 especially personal and other confidential information.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depend heavily upon computer systems to perform necessary business functions. Despite our implementation of a variety of security measures, our computer systems, networks, and data, like those of other companies, could be subject to unauthorized access, acquisition, use, alteration, or destruction, such as from the insertion of malware (including ransomware), physical and electronic break-ins or unauthorized tampering, or system failures and disruptions of our computer systems, networks and data. If one or more of these events occurs, it could potentially jeopardize the confidential, proprietary, personal and other information processed, stored in, and transmitted through our computer systems and networks. Such an attack could cause, among other adverse effects, interruptions or malfunctions in our operations, misstated or unreliable financial data, misappropriation of assets, loss of personal information, liability for stolen information, any of which could result in financial losses, litigation, regulatory enforcement action and penalties, client dissatisfaction or loss, reputational damage, and increased costs associated with mitigation of damages and remediation. We may have to make a significant investment to fix or replace any inoperable or compromised systems or to modify or enhance its cybersecurity controls, procedures and measures. Similarly, the public perception that we or our affiliates may have been the target of a cybersecurity threat, whether successful or not, also could have a material adverse effect on our reputation and lead to financial losses from loss of business, depending on the nature and severity of the threat.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Third parties with which we do business (including vendors that provide us with services) are sources of cybersecurity or other technological risks. We outsource certain functions and these relationships allow for the storage and processing of our information, as well as counterparty, employee, and borrower information. Cybersecurity failures or breaches to our investment adviser and other service providers (including, but not limited to, accountants, custodians, transfer agents and administrators), and the issuers of securities in which we invest, also have the ability to cause disruptions and impact business operations, potentially resulting in financial losses, interference with our ability to calculate its NAV, impediments to trading, the inability of our stockholders to transact business, violations of applicable privacy and other laws, regulatory fines, penalties, reputation damages, reimbursement of other compensation costs, or additional compliance costs. While we engage in actions to reduce our exposure resulting from outsourcing, ongoing threats may result in unauthorized access, acquisition, use, alteration or destruction of data, or other cybersecurity incidents that affects our data, resulting in increased costs and other consequences, as described above. The Company does not control the cybersecurity measures put in place by such third parties, and such third parties could have limited indemnification obligations to the Company and its affiliates. If such a third party fails to adopt or adhere to adequate cybersecurity procedures, or if despite such procedures its networks or systems are breached, information relating to investor transactions and/or personal information of investors may be lost or improperly accessed, used or disclosed. The Company, the Adviser and its affiliates have implemented processes, procedures and internal controls to mitigate cybersecurity risks and cyber intrusions, including in its vendors, but these measures, as well as the Company’s increased awareness of the nature and extent of a risk of a cyber-incident, may be ineffective and do not guarantee that a cyber-incident will not occur or that the Company’s financial results, operations or confidential information will not be negatively impacted by a cybersecurity or cyber intrusion incident. Substantial costs may be incurred in order to prevent any cyber incidents in the future.</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 xml:space="preserve">Privacy and information security laws and regulatory changes (including regulations to report material cybersecurity incidents to the SEC), and compliance with those changes, may result in cost increases due to system changes and the development of new administrative processes. In addition, we may be required to expend significant additional resources to modify our protective measures and to investigate and remediate vulnerabilities or other exposures arising from operational and security risks. </w:t>
      </w:r>
    </w:p>
    <w:p>
      <w:pPr>
        <w:pStyle w:val="TextBody"/>
        <w:bidi w:val="0"/>
        <w:spacing w:before="0" w:after="180"/>
        <w:jc w:val="both"/>
        <w:rPr>
          <w:rFonts w:ascii="Times New Roman" w:hAnsi="Times New Roman"/>
          <w:sz w:val="20"/>
        </w:rPr>
      </w:pPr>
      <w:r>
        <w:rPr>
          <w:rFonts w:ascii="Times New Roman" w:hAnsi="Times New Roman"/>
          <w:b/>
          <w:i/>
          <w:color w:val="000000"/>
          <w:sz w:val="20"/>
        </w:rPr>
        <w:t>Environmental, social and governance factors may adversely affect our business or cause us to alter our business strategy.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effect of global climate change may impact the operations of our portfolio companies, which may, in turn, impact the valuation of such portfolio companies.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Climate change creates physical and financial risk and certain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which may, in turn, impact the valuation of such portfolio companies. Extreme weather conditions in general require more system backup, adding to costs, and can contribute to increased system stresses, including service interruptions.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December 2015, the United Nations adopted a climate accord (the “Paris Agreement”), which the United States rejoined in 2021, with the long-term goal of limiting global warming and the short-term goal of significantly reducing greenhouse gas emissions. Additionally, the Inflation Reduction Act of 2022 included several measures designed to combat climate change, including restrictions on methane emissions. As a result, some of our portfolio companies may become subject to new or strengthened regulations or legislation, which could increase their operating costs and/or decrease their revenues, which may, in turn, impact their ability to make payments on our investments and, in turn, the valuation of such portfolio companies.</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Risks Relating to Our Investments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Economic recessions or downturns could impair our portfolio companies and harm our operating results.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portfolio companies are susceptible to economic slowdowns or recessions (including industry specific downturns), elevated levels of inflation, and a rising interest rate environment, and may be unable to repay our debt investments during these periods. 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portfolio companies may be susceptible to economic downturns or recessions. During these periods, the value of our portfolio may decrease if we are required to write down the values of our investments, and we may have non-performing assets or non-performing assets may increase, and the value of our portfolio is likely to decrease during these periods. Adverse economic conditions also may decrease the value of any collateral securing our loans and decrease the value of our equity investments. A severe recession may further decrease the value of such collateral and result in losses of value in our portfolio and a decrease in revenues, net income and assets. Unfavorable economic conditions also could increase our funding costs, limit our access to the capital markets or result in a decision by lenders not to extend credit to us on terms we deem acceptable. In addition, a prolonged economic downturn or recession could extend our investment time horizon by limiting our ability to achieve timely liquidity events, such as a sale, merger or IPO, or the refinancing of our debt investments, and could ultimately impact our ability to realize anticipated investment returns. These events could prevent us from increasing our investments and adversely impact our operating results.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occurrence of recessionary conditions and/or negative developments in the domestic and international credit markets may significantly affect the markets in which we do business, the value of our investments, and our ongoing operations, costs and profitability. Any such unfavorable economic conditions, including rising interest rates, also may increase our funding costs, limit our access to capital markets or negatively impact our ability to obtain financing, particularly from the debt markets. In addition, any future financial market uncertainty could lead to financial market disruptions and could further impact our ability to obtain financing. These events could limit our investment originations, limit our ability to grow and negatively impact our operating results and financial condition.</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Terrorist attacks, acts of war, or natural disasters may affect any market for our common stock, impact the businesses in which we invest and harm our business, operating results and financial condition.</w:t>
      </w:r>
    </w:p>
    <w:p>
      <w:pPr>
        <w:pStyle w:val="TextBody"/>
        <w:bidi w:val="0"/>
        <w:spacing w:before="0" w:after="180"/>
        <w:jc w:val="both"/>
        <w:rPr>
          <w:rFonts w:ascii="Times New Roman" w:hAnsi="Times New Roman"/>
          <w:sz w:val="20"/>
        </w:rPr>
      </w:pPr>
      <w:r>
        <w:rPr>
          <w:rFonts w:ascii="Times New Roman" w:hAnsi="Times New Roman"/>
          <w:color w:val="000000"/>
          <w:sz w:val="20"/>
        </w:rPr>
        <w:t xml:space="preserve">Portfolio investments may be affected by force majeure events </w:t>
      </w:r>
      <w:r>
        <w:rPr>
          <w:rFonts w:ascii="Times New Roman" w:hAnsi="Times New Roman"/>
          <w:i/>
          <w:color w:val="000000"/>
          <w:sz w:val="20"/>
        </w:rPr>
        <w:t xml:space="preserve">(i.e., </w:t>
      </w:r>
      <w:r>
        <w:rPr>
          <w:rFonts w:ascii="Times New Roman" w:hAnsi="Times New Roman"/>
          <w:color w:val="000000"/>
          <w:sz w:val="20"/>
        </w:rPr>
        <w:t>events beyond the control of the party claiming that the event has occurred, including, without limitation, acts of God, fire, flood, earthquakes, war, terrorism and labor strikes). Some force majeure events may adversely affect the ability of a party (including a portfolio company or a counterparty to us or a portfolio company) to perform its obligations until it is able to remedy the force majeure event. In addition, the cost to a portfolio company of repairing or replacing damaged assets resulting from such force majeure events could be considerable. Additionally, a major governmental intervention into industry, including the nationalization of an industry or the assertion of control over one or more companies or its assets, could result in a loss to us, including if its investment in such issuer is cancelled, unwound or acquired (which could be without what we consider to be adequate compensation). To the extent we are exposed to investments in portfolio companies that as a group are exposed to such force majeure events, the risks and potential losses to us are enhanced.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continued threat of global terrorism and the impact of military and other action will likely continue to cause volatility in the economies of certain countries, contribute to increased market volatility and economic uncertainties or deterioration in the United States and worldwide and various aspects thereof, including in prices of commodities. Our portfolio investments may involve significant strategic assets having a national or regional profile. The nature of these assets could expose them to a greater risk of being the subject of a terrorist attack than other assets or businesses. Acts of war could similarly lead to such volatility. For example, in response to the ongoing conflict between Russia and Ukraine, the United States and other countries have imposed sanctions or other restrictive actions against Russia. In addition, the recent outbreak of hostilities in the Middle East and escalating tensions in the region may create volatility and disruption of global markets.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ramifications of the hostilities and sanctions, however, may not be limited to Russia and the Middle East and Russian and Middle Eastern companies, respectively, but may spill over to and negatively impact other regional and global economic markets (including Europe and the United States), companies in other countries (particularly those that have done business with Russia) and on various sectors, industries and markets for securities and commodities globally, such as oil and natural gas. Any of the above factors, including sanctions, export controls, tariffs, trade wars and other governmental actions, could have a material adverse effect on our business, financial condition, cash flows, and results of operations, and could cause the market value of our common stock to decline. In addition, these market and economic disruptions could negatively impact the operating results of our portfolio companies, which may, in turn, impact the valuation of such portfolio companies, and impact our business, operating resulting and financial condition.</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investments in certain industry sectors, such as the energy sector, may be subject to significant political, economic and capacity risks that may increase the possibility that we lose all or a part of our investment.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revenues and profitability of certain portfolio companies may be significantly affected by the future prices of and the demand for oil, natural gas liquids and natural gas, which are inherently uncertain. Investments in energy companies may have significant shortfalls in projected cash flow if prices decline from levels projected at the time the investment is made. Various factors beyond our control could affect energy prices, including worldwide supplies, political instability or armed conflicts in oil, natural gas liquids and natural gas producing regions, the price of foreign imports, the level of consumer demand, the price and availability of alternative fuels, capacity constraints and changes in existing government regulation, taxation and price controls. Energy prices have fluctuated greatly during the past, and energy markets may continue to be volatile.</w:t>
      </w:r>
    </w:p>
    <w:p>
      <w:pPr>
        <w:pStyle w:val="TextBody"/>
        <w:bidi w:val="0"/>
        <w:spacing w:before="0" w:after="180"/>
        <w:jc w:val="both"/>
        <w:rPr>
          <w:rFonts w:ascii="Times New Roman" w:hAnsi="Times New Roman"/>
          <w:b/>
          <w:i/>
          <w:color w:val="231F20"/>
          <w:sz w:val="20"/>
        </w:rPr>
      </w:pPr>
      <w:r>
        <w:rPr>
          <w:rFonts w:ascii="Times New Roman" w:hAnsi="Times New Roman"/>
          <w:b/>
          <w:i/>
          <w:color w:val="231F20"/>
          <w:sz w:val="20"/>
        </w:rPr>
        <w:t>Changes in healthcare laws and other regulations applicable to some of our portfolio companies’ businesses may constrain their ability to offer their products and services.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231F20"/>
          <w:sz w:val="20"/>
        </w:rPr>
      </w:pPr>
      <w:r>
        <w:rPr>
          <w:rFonts w:ascii="Times New Roman" w:hAnsi="Times New Roman"/>
          <w:color w:val="231F20"/>
          <w:sz w:val="20"/>
        </w:rPr>
        <w:t>Changes in healthcare or other laws and regulations applicable to the businesses of some of our portfolio companies may occur that could increase their compliance and other costs of doing business, require significant systems enhancements, or render their products or services less profitable or obsolete, any of which could have a material adverse effect on their results of operations. There has also been an increased political and regulatory focus on healthcare laws in recent years, and new legislation could have a material effect on the business and operations of some of our portfolio companies.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 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Cybersecurity risks and cyber incidents may adversely affect our business or the business of our portfolio companies by causing a disruption to our operations or the operations of our portfolio companies, a compromise or corruption of our confidential information or the confidential information of our portfolio companies and/or damage to our business relationships or the business relationships of our portfolio companies, all of which could negatively impact the business, financial condition and operating results of us or our portfolio companies.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 cyber incident is considered to be any adverse event that threatens the confidentiality, integrity or availability of the information resources of us or our portfolio companies. These incidents may be an intentional attack or an unintentional event and could involve gaining unauthorized access to our information systems or those of our portfolio companies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costs, litigation and damage to business relationships. As our and our portfolio companies’ reliance on technology has increased, so have the risks posed to our information systems, both internal and those provided by third-party service providers, and the information systems of our portfolio companies. We have implemented processes, procedures and internal controls to help mitigate cybersecurity risks and cyber intrusions, but these measures, as well as our increased awareness of the nature and extent of a risk of a cyber-incident, do not guarantee that a cyber-incident will not occur and/or that our financial results, operations or confidential information will not be negatively impacted by such an incident.</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investments in portfolio companies may be risky, and we could lose all or part of our investment.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Investing in lower middle-market companies involves a number of significant risks. Among other things, these companies:</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portfolio companies that we may have obtained in connection with our investment;</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may have shorter operating histories, narrower product lines and smaller market shares, which tend to render them more vulnerable to competitors’ actions and market conditions, as well as general economic downturns, than larger businesses;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are more likely to depend on the management talents and efforts of a small group of persons; therefore, the death, disability, resignation or termination of one or more of these persons could have a material adverse impact on our portfolio company and, in turn, on us;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generally have less publicly available information about their businesses, operations and financial condition. If we are unable to uncover all material information about these companies, we may not make a fully informed investment decision, and may lose all or part of our investment.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addition, in the course of providing significant managerial assistance to certain portfolio companies, certain of our management and directors may serve as directors on the boards of such companies. To the extent that litigation arises out of investments in these portfolio companies, our management and directors may be named as defendants in such litigation, which could result in an expenditure of funds (through our indemnification of such officers and directors) and the diversion of management time and resources.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lack of liquidity in our investments may adversely affect our business.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All of our assets may be invested in illiquid securities, and a substantial portion of our investments in leveraged companies will be subject to legal and other restrictions on resale or will otherwise be less liquid than more broadly traded public securities. The illiquidity of these investments may make it difficult for us to sell such investments when desired. In addition, if we are required to liquidate all or a portion of our portfolio quickly, we may realize significantly less than the value at which we have previously recorded these investments. As a result, we do not expect to achieve liquidity in our investments in the near-term. However, to maintain the elections to be regulated as a BDC and as a RIC, we may have to dispose of investments if they do not satisfy one or more of the applicable criteria under the respective regulatory frameworks. We may also face other restrictions on our ability to liquidate an investment in a portfolio company to the extent that we or our investment advisor have material nonpublic information regarding such portfolio company.</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not have the funds to make additional investments in our portfolio companies that could impair the value of our portfolio.</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yield on the investment. Even if we have sufficient capital to make a desired follow-on investment, we may elect not to make a follow-on investment because we may not want to increase our level of risk, because we prefer other opportunities or because we are inhibited by compliance with BDC requirements, SBA regulations or the desire to maintain our RIC tax treatment. Our ability to make follow-on investments may also be limited by our investment advisor’s allocation policy.</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Portfolio companies may incur debt that ranks equally with, or senior to, our investments in such companies.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will invest in second lien and subordinated debt as well as equity issued by lower middle-market companies. The portfolio companies generally have, or may be permitted to incur, other debt that ranks equally with, or senior to, the debt in which we invest. By their terms, such senior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There may be circumstances where our debt investments could be subordinated to claims of other creditors or could be subject to lender liability claims.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Even though we may have structured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Certain loans we make to portfolio companies are and will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rights we may have with respect to the collateral securing the loans we make to portfolio companies with senior debt outstanding may also be limited pursuant to the terms of one or more intercreditor agreements entered into with the holders of senior debt. Under an intercreditor agreement, at any time that obligations having the benefit of the first priority liens are outstanding, any of the following actions that may be taken in respect to the collateral will be at the direction of the holders of the obligations secured by the first priority liens:</w:t>
      </w:r>
    </w:p>
    <w:tbl>
      <w:tblPr>
        <w:tblW w:w="7782" w:type="dxa"/>
        <w:jc w:val="left"/>
        <w:tblInd w:w="0" w:type="dxa"/>
        <w:tblLayout w:type="fixed"/>
        <w:tblCellMar>
          <w:top w:w="28" w:type="dxa"/>
          <w:left w:w="28" w:type="dxa"/>
          <w:bottom w:w="28" w:type="dxa"/>
          <w:right w:w="28" w:type="dxa"/>
        </w:tblCellMar>
      </w:tblPr>
      <w:tblGrid>
        <w:gridCol w:w="124"/>
        <w:gridCol w:w="122"/>
        <w:gridCol w:w="109"/>
        <w:gridCol w:w="7427"/>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42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ability to cause the commencement of enforcement proceedings against the collateral;</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42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ability to control the conduct of such proceedings;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42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approval of amendments to collateral documents;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42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releases of liens on the collateral;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742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waivers of past defaults under collateral documents.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may not have the ability to control or direct such actions, even if our rights are adversely affected.</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hold the debt securities of leveraged companies that may, due to the significant volatility of such companies, enter into bankruptcy proceedings.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Leveraged companies may experience bankruptcy or similar financial distress. The bankruptcy process has a number of significant inherent risks. Many events in a bankruptcy proceeding are the product of contested matters and adversary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in connection with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Any unrealized depreciation we experience on our investment portfolio may be an indication of future realized losses, which could reduce our income available for distribution.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 a BDC, we are required to carry our investments at fair value as determined in good faith by our board of directors. Decreases in the fair values of our investments will be recorded as unrealized depreciation. Any unrealized depreciation in our investment portfolio could be an indication of a portfolio company's inability to meet its repayment obligations to us with respect to the affected investments. This could result in realized losses in the future and ultimately in reductions of our income available for distribution in future periods.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Defaults by our portfolio companies will harm our operating results.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 portfolio company’s failure to satisfy financial or operating covenants imposed by us or other lenders could lead to defaults and, potentially, termination of its loans and foreclosure on its assets. This could trigger cross-defaults under other agreements and jeopardize the portfolio company’s ability to meet its obligations under the debt or equity securities that we hold. We may incur expenses to the extent necessary to seek recovery upon default or to negotiate new terms, which may include the waiver of certain financial covenants, reduced interest and/or loss of principal, with a defaulting portfolio company.</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To the extent OID and PIK-interest constitute a portion of our income, we will be exposed to typical risks associated with such income being required to be included in taxable and accounting income prior to receipt of cash representing such income.</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investments may include original-issue-discount instruments and contractual PIK-interest arrangements. To the extent OID or PIK-interest constitutes a portion of our income, we are exposed to typical risks associated with such income being required to be included in taxable and accounting income prior to receipt of cash, including the following:</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higher interest rates of OID and PIK instruments reflect the payment deferral, which results in a higher principal amount at the maturity of the instrument as compared to the original principal amount of the instrument, and increased credit risk associated with these instruments, and OID and PIK instruments generally represent a significantly higher credit risk than coupon loans.</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Even if the accounting conditions for income accrual are met, the borrower could still default when our actual collection is supposed to occur at the maturity of the obligation.</w:t>
            </w:r>
          </w:p>
        </w:tc>
      </w:tr>
    </w:tbl>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OID and PIK instruments may have unreliable valuations because their continuing accruals require continuing judgments about the collectability of the deferred payments and the value of any associated collateral. OID and PIK-income may also create uncertainty about the source of our cash distributions.</w:t>
            </w:r>
          </w:p>
        </w:tc>
      </w:tr>
    </w:tbl>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tc>
      </w:tr>
    </w:tbl>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accounting purposes, any cash distributions to stockholders representing OID and PIK-income are not treated as coming from paid-in capital, even though the cash to pay them comes from the offering proceeds. As a result, despite the fact that a distribution representing OID and PIK-income could be paid out of amounts invested by our stockholders, the 1940 Act does not require that stockholders be given notice of this fact by reporting it as a return of capital.</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316" w:type="dxa"/>
            <w:tcBorders/>
            <w:vAlign w:val="center"/>
          </w:tcPr>
          <w:p>
            <w:pPr>
              <w:pStyle w:val="TableContents"/>
              <w:bidi w:val="0"/>
              <w:spacing w:before="0" w:after="283"/>
              <w:jc w:val="both"/>
              <w:rPr>
                <w:color w:val="000000"/>
              </w:rPr>
            </w:pPr>
            <w:r>
              <w:rPr>
                <w:color w:val="000000"/>
              </w:rPr>
              <w:t></w:t>
            </w:r>
          </w:p>
        </w:tc>
        <w:tc>
          <w:tcPr>
            <w:tcW w:w="9728" w:type="dxa"/>
            <w:tcBorders/>
            <w:vAlign w:val="center"/>
          </w:tcPr>
          <w:p>
            <w:pPr>
              <w:pStyle w:val="TableContents"/>
              <w:bidi w:val="0"/>
              <w:spacing w:before="0" w:after="180"/>
              <w:jc w:val="both"/>
              <w:rPr>
                <w:rFonts w:ascii="Times New Roman" w:hAnsi="Times New Roman"/>
                <w:color w:val="000000"/>
                <w:sz w:val="20"/>
              </w:rPr>
            </w:pPr>
            <w:r>
              <w:rPr>
                <w:rFonts w:ascii="Times New Roman" w:hAnsi="Times New Roman"/>
                <w:color w:val="000000"/>
                <w:sz w:val="20"/>
              </w:rPr>
              <w:t>In certain cases, we may recognize taxable income before or without receiving corresponding cash payments and, as a result, we may have difficulty meeting the annual distribution requirement necessary to maintain our tax treatment as a RIC.</w:t>
            </w:r>
          </w:p>
        </w:tc>
      </w:tr>
    </w:tbl>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We do not expect to control many of our portfolio companies.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do not expect to control many of our portfolio companies, even though we may have board representation or board observation rights, and the debt agreements may contain certain restrictive covenants. As a result, we are subject to the risk that a portfolio company in which we invest may make business decisions with which we disagree and the management of such company, as representatives of the holders of the company’s common equity, may take risks or otherwise act in ways that do not serve our interests as debt investors. Due to the lack of liquidity for our investments in private companies in the lower middle-market, we may not be able to dispose of our interests in our portfolio companies as readily as we would like or at an appropriate valuation. As a result, a portfolio company may make decisions that could decrease the value of our portfolio holdings.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are a non-diversified investment company within the meaning of the 1940 Act; therefore, we are not limited with respect to the proportion of our assets that may be invested in securities of a single issuer.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and the aggregate returns we realize may be significantly adversely affected if a small number of investments perform poorly or if we need to write down the value of any one investment. Additionally, while we are not targeting any specific industries, our investments may be concentrated in relatively few industries. As a result, a downturn in any particular industry in which we are invested could also significantly impact the aggregate returns we realize. We may also be more susceptible to any single economic or regulatory occurrence than a diversified investment company. Beyond the asset diversification requirements applicable to RICs, we do not have fixed guidelines for diversification, and our investments could be concentrated in relatively few portfolio companies.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Prepayments of our debt investments by our portfolio companies could adversely impact our results of operations and reduce our return on equity.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We are subject to the risk that the investments we make in our portfolio companies may be repaid prior to maturity. When this occurs, we will generally reinvest these proceeds in temporary investments (cash equivalents), pending future investments in new portfolio companies. These temporary investments will typically have substantially lower yields than the debt being repaid, and we could experience significant delays in reinvesting these amounts. In addition, any future investment of such amounts in a new portfolio company may also be at lower yields than the investment that was repaid. As a result, our results of operations could be materially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adversely affected if one or more of our portfolio companies elect to prepay amounts owed to us. Additionally, prepayments could negatively impact our return on equity, which could result in a decline in the market price of our common stock.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not realize gains from our equity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Certain investments that we have made in the past and may make in the future include warrants or other equity or equity-related securities. Typically we make non-control equity investments in portfolio companies. Our goal is to realize gains upon our disposition of such equity interests. However, the equity interests we receive may not appreciate in value and, in fact, may decline in value.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We may be unable to exercise these put rights for the consideration provided in our investment documents if the issuer is in financial distress. Accordingly, we may not be able to realize gains from our equity interests, and any gains that we do realize on the disposition of any equity interests may not be sufficient to offset any other losses we experience.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If our primary investments are deemed not to be qualifying assets, we could be precluded from investing in our desired manner or deemed to be in violation of the 1940 Act.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In order to maintain our status as a BDC, we may not acquire any assets other than “qualifying assets” unless, at the time of and after giving effect to such acquisition, at least 70% of our total assets are qualifying assets. We believe that most of the investments that we may acquire in the future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violate the 1940 Act provisions applicable to BDCs and be precluded from making follow-on investments in existing portfolio companies (which could result in the dilution of our position) or required to dispose of investments at inappropriate times in order to come into compliance with the 1940 Act. If we need to dispose of such investments quickly, it could be difficult to dispose of such investments on favorable terms. We may not be able to find a buyer for such investments and, even if we do find a buyer, we may have to sell the investments at a substantial loss. Any such outcomes would have a material adverse effect on our business, financial condition, results of operations and cash flows. Furthermore, any failure to comply with the requirements imposed on BDCs by the 1940 Act could cause the SEC to bring an enforcement action against us and/or expose us to claims of private litigants.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disposition of our investments may result in contingent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 significant portion of our investments involve private securities and we expect that a significant portion of our investments will continue to involve private securities. In connection with the disposition of an investment in private securities, we may be required to make representations about the business and financial affairs of the portfolio company typical of those made in connection with the sale of a business. Additionally, customary terms of such sales agreements generally provide adjustments to the initial purchase price determined on the closing date if the portfolio company's net working capital varies from preliminary amounts utilized in determining the initial purchase price; such adjustments could subsequently result in upward or downward revisions to the initial purchase price and impact our amount of realized gain or loss on sale.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its return of distributions previously made to it.</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We may be unable to invest a significant portion of any net proceeds from an offering or from exiting an investment or other capital on acceptable terms, which could harm our financial condition and operating results.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may be unable to invest the net proceeds of any offering or from exiting an investment or other sources of capital on acceptable terms within the time period that we anticipate or at all. Delays in investing such capital may cause our performance to be worse than that of fully invested BDCs or other lenders or investors pursuing comparable investment strategies.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Depending on market conditions and the amount of the capital involved, it may take us a substantial period of time to invest substantially all the capital in securities meeting our investment objective. During this period, we will invest such capital primarily in short-term securities consistent with our BDC election and our election to be taxed as a RIC, which may produce returns that are significantly lower than the returns which we expect to achieve when our portfolio is fully invested in longer-term investments in pursuit of our investment objective. Any distributions that we pay during such period may be substantially lower than the distributions that we may be able to pay when our portfolio is fully invested. In addition, until such time as the net proceeds of any offering or from exiting an investment or other sources capital are invested in new investments meeting our investment objective, the market price for our common stock may decline.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Our investment advisor’s liability is limited under the Investment Advisory Agreement, and we have agreed to indemnify our investment advisor against certain liabilities, which may lead our investment advisor to act in a riskier manner on our behalf than it would when acting for its own account.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Under the Investment Advisory Agreement, our investment advisor does not assume any responsibility to us other than to render the services called for under that agreement, and it is not responsible for any action of our board of directors in following or declining to follow our investment advisor’s advice or recommendations. Under the terms of the Investment Advisory Agreement, our investment advisor and its officers, directors, members, managers, partners, stockholders and employees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misconduct, bad faith or reckless disregard of our investment advisor’s duties under the Investment Advisory Agreement. In addition, we have agreed to indemnify our investment advisor and its officers, directors, members, managers, partners, stockholders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misconduct, bad faith or reckless disregard of such person’s duties under the Investment Advisory Agreement. These protections may lead our investment advisor to act in a riskier manner when acting on our behalf than it would when acting for its own account.</w:t>
      </w:r>
    </w:p>
    <w:p>
      <w:pPr>
        <w:pStyle w:val="TextBody"/>
        <w:bidi w:val="0"/>
        <w:spacing w:before="0" w:after="180"/>
        <w:jc w:val="both"/>
        <w:rPr>
          <w:rFonts w:ascii="Times New Roman" w:hAnsi="Times New Roman"/>
          <w:b/>
          <w:color w:val="000000"/>
          <w:sz w:val="20"/>
        </w:rPr>
      </w:pPr>
      <w:r>
        <w:rPr>
          <w:rFonts w:ascii="Times New Roman" w:hAnsi="Times New Roman"/>
          <w:b/>
          <w:color w:val="000000"/>
          <w:sz w:val="20"/>
        </w:rPr>
        <w:t>Risks Relating to Our Common Stock</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Shares of closed-end investment companies, including business development companies, frequently trade at a discount to their net asset value.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Shares of closed-end investment companies, including BDCs, frequently trade at a discount from net asset value. This characteristic of closed-end investment companies and BDCs is separate and distinct from the risk that our net asset value per share may decline. We cannot predict whether our common stock will trade at, above or below net asset value. In addition, if our common stock trades below net asset value, we will generally not be able to issue additional common stock at the market price without first obtaining the approval of our stockholders and our Independent Directors. On June 8, 2023 our stockholders voted to allow us to sell or otherwise issue common stock at a price below net asset value per share for a period of one year ending on the earlier of June 8, 2024 or the date of our 2024 Annual Meeting of Stockholders. We expect to present to our stockholders a similar proposal at our 2024 Annual Meeting of Stockholders. Selling or otherwise issuing shares of FIC’s common stock below its then current net asset value per share would result in a dilution of FIC’s existing common stockholders. The maximum number of shares issuable below net asset value pursuant to the authority granted by our stockholders that could result in such dilution is limited to 25% of FIC’s then outstanding common stock immediately prior to each such sale. We do not intend to sell or otherwise issue shares of our common stock below net asset value unless our board of directors determines that it would be in our stockholders’ best interests to do so. The level of net asset value dilution that could result from such an offering is not limited.</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Market conditions may increase the risks associated with our business and an investment in us.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current worldwide financial market situation may contribute to increased market volatility, may have long-term effects on the U.S. and worldwide financial markets and may cause economic uncertainties or deterioration in the United States and worldwide. These conditions raised the level of many of the risks described herein and, if repeated or continued, could have an adverse effect on our portfolio companies and on their results of operations, financial conditions, access to credit and capital. The stress in the credit market and upon banks has led other creditors to tighten credit and the terms of credit. In certain cases, senior lenders to our portfolio companies can block payments by our portfolio companies in respect of our loans to such portfolio companies. In turn, these could have adverse effects on our business, financial condition, results of operations, distributions to our stockholders, access to capital, valuation of our assets and our stock price. Notwithstanding any recent gains across either the equity or debt markets, these conditions may continue for a prolonged period of time or worsen in the future.</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If, in the future, we sell common stock at a discount to our net asset value per share, stockholders who do not participate in such sale will experience immediate dilution in an amount that may be material.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June 8, 2023, our stockholders approved our ability to sell or otherwise issue shares of our common stock at a discount from net asset value per share, as long as the cumulative number of shares sold pursuant to such authority does not exceed 25% of our then outstanding common stock immediately prior to each such sale, for a period of one year ending on the earlier of June 8, 2024 or the date of our 2024 Annual Meeting of Stockholders. Our stockholders will be asked to vote on a similar proposal at our 2024 Annual Meeting of Stockholders. If we sell or otherwise issue shares of our common stock at a discount to net asset value, it will pose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issuances or sale. In addition, such issuances or sales may adversely affect the price at which our common stock trades. For additional information and hypothetical examples of these risks, see “Sales of Common Stock Below Net Asset Value,” and for actual dilution illustrations specific to an offering, see the prospectus supplement pursuant to which such sale is made.</w:t>
      </w:r>
    </w:p>
    <w:p>
      <w:pPr>
        <w:pStyle w:val="TextBody"/>
        <w:bidi w:val="0"/>
        <w:spacing w:before="0" w:after="180"/>
        <w:jc w:val="both"/>
        <w:rPr>
          <w:rFonts w:ascii="Times New Roman" w:hAnsi="Times New Roman"/>
          <w:sz w:val="20"/>
        </w:rPr>
      </w:pPr>
      <w:r>
        <w:rPr>
          <w:rFonts w:ascii="Times New Roman" w:hAnsi="Times New Roman"/>
          <w:b/>
          <w:i/>
          <w:color w:val="000000"/>
          <w:sz w:val="20"/>
        </w:rPr>
        <w:t>Our net asset value may have changed significantly since our last valuation.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Our board of directors determines the fair value of our portfolio investments on a quarterly basis based on input from our investment advisor, our audit committee and, as to certain of our investments, a third party independent valuation firm. While the board of directors will review our net asset value per share in connection with any offering, it will not always have the benefit of input from the independent valuation firm when it does so. The fair value of various individual investments in our portfolio and/or the aggregate fair value of our investments may change significantly over time. If the fair value of our investment portfolio at December 31, 2023 is less than the fair value was at the time of an offering during 2023, then we may record an unrealized loss on our investment portfolio and may report a lower net asset value per share than was reflected in the Selected Consolidated Financial Data and the financial statements included in the prospectus supplement of that offering. If the fair value of our investment portfolio at December 31, 2023 is greater than the fair value at the time of an offering during 2023, we may record an unrealized gain on our investment portfolio and may report a greater net asset value per share than so reflected in the prospectus supplement of that offering. Upon publication of this information in connection with our announcement of operating results for our fiscal year ended December 31, 2023, the market price of our common stock may fluctuate materially, and may be substantially less than the price per share you pay for our common stock in an offering. </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The market price of our securities may fluctuate significantly.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The market price and liquidity of the market for shares of our common stock may be significantly affected by numerous factors, some of which are beyond our control and may not be directly related to our operating performance. These factors include: </w:t>
      </w:r>
    </w:p>
    <w:tbl>
      <w:tblPr>
        <w:tblW w:w="10205" w:type="dxa"/>
        <w:jc w:val="left"/>
        <w:tblInd w:w="0" w:type="dxa"/>
        <w:tblLayout w:type="fixed"/>
        <w:tblCellMar>
          <w:top w:w="28" w:type="dxa"/>
          <w:left w:w="28" w:type="dxa"/>
          <w:bottom w:w="28" w:type="dxa"/>
          <w:right w:w="28" w:type="dxa"/>
        </w:tblCellMar>
      </w:tblPr>
      <w:tblGrid>
        <w:gridCol w:w="177"/>
        <w:gridCol w:w="122"/>
        <w:gridCol w:w="162"/>
        <w:gridCol w:w="9744"/>
      </w:tblGrid>
      <w:tr>
        <w:trPr/>
        <w:tc>
          <w:tcPr>
            <w:tcW w:w="1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sz w:val="4"/>
                <w:szCs w:val="4"/>
              </w:rPr>
            </w:pPr>
            <w:r>
              <w:rPr>
                <w:sz w:val="4"/>
                <w:szCs w:val="4"/>
              </w:rPr>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significant volatility in the market price and trading volume of securities of BDCs or other companies in our sector, which is not necessarily related to the operating performance of these companies;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exclusion of our common stock from certain market indices, such as the Russell 2000 Financial Services Index, could reduce the ability of certain institutional investors to own our common stock and could put short term pressure on our common stock;</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changes in regulatory policies or tax guidelines, particularly with respect to RICs, BDCs or SBICs;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failure to maintain our qualification for RIC tax treatment;</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loss of status as an SBIC for the Funds, or any other SBIC subsidiary we may form;</w:t>
            </w:r>
          </w:p>
        </w:tc>
      </w:tr>
      <w:tr>
        <w:trPr/>
        <w:tc>
          <w:tcPr>
            <w:tcW w:w="177" w:type="dxa"/>
            <w:tcBorders/>
            <w:vAlign w:val="center"/>
          </w:tcPr>
          <w:p>
            <w:pPr>
              <w:pStyle w:val="TableContents"/>
              <w:bidi w:val="0"/>
              <w:spacing w:before="0" w:after="283"/>
              <w:ind w:left="0" w:right="16" w:hanging="0"/>
              <w:jc w:val="both"/>
              <w:rPr/>
            </w:pPr>
            <w:r>
              <w:rPr/>
              <w:t> </w:t>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both"/>
              <w:rPr/>
            </w:pPr>
            <w:r>
              <w:rPr/>
              <w:t> </w:t>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distributions that exceed our net investment income and net income as reported according to U.S. GAAP;</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changes or perceived changes in earnings or variations in operating results;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changes or perceived changes in the value of our portfolio of investments;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changes in accounting guidelines governing valuation of our investments;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any shortfall in revenue or net income or any increase in losses from levels expected by investors or securities analysts;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departure of our investment advisor’s key personnel;</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operating performance of companies comparable to us;</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general economic trends and other external factors; and</w:t>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loss of a major funding source.</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If any of the above and other factors currently unknown to us were to occur, it could have a material adverse effect on the market price of our common stock.</w:t>
      </w:r>
    </w:p>
    <w:p>
      <w:pPr>
        <w:pStyle w:val="TextBody"/>
        <w:bidi w:val="0"/>
        <w:spacing w:before="180" w:after="180"/>
        <w:jc w:val="both"/>
        <w:rPr>
          <w:rFonts w:ascii="Times New Roman" w:hAnsi="Times New Roman"/>
          <w:b/>
          <w:i/>
          <w:color w:val="000000"/>
          <w:sz w:val="20"/>
        </w:rPr>
      </w:pPr>
      <w:r>
        <w:rPr>
          <w:rFonts w:ascii="Times New Roman" w:hAnsi="Times New Roman"/>
          <w:b/>
          <w:i/>
          <w:color w:val="000000"/>
          <w:sz w:val="20"/>
        </w:rPr>
        <w:t>Investing in our securities may involve an above average degree of risk.</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investments we make in accordance with our investment objective may result in a higher amount of risk than alternative investment options and a higher risk of volatility or loss of principal. Our investments in portfolio companies may be highly speculative; therefore, an investment in our securities may not be suitable for someone with lower risk tolerance.</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Sales of substantial amounts of our common stock may have an adverse effect on the market price of our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February 27, 2024, we had 30,646,509 shares of common stock outstanding. Sales of substantial amounts of our common stock, or the availability of shares for sale, could adversely affect the prevailing market price of our common stock. If this occurs and continues, it could impair our ability to raise additional capital through the sale of equity securities should we desire to do so.</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If we issue preferred stock and/or debt securities, the net asset value and market value of our common stock may become more volatile.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distribution rate on the preferred stock, or the interest rate on the debt securities, were to approach the net rate of return on our investment portfolio, the benefit of leverage to the holders of our common stock would be reduced. If the distribution rate on the preferred stock, or the interest rate on the debt securities, were to exceed the net rate of return on our portfolio, the use of leverage would result in a lower rate of return to the holders of common stock than if we had not issued the preferred stock and/or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and/or debt securities. This decline in net asset value would also tend to cause a greater decline in the market price for our common stock.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distribution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pStyle w:val="TextBody"/>
        <w:bidi w:val="0"/>
        <w:spacing w:before="0" w:after="180"/>
        <w:jc w:val="both"/>
        <w:rPr>
          <w:rFonts w:ascii="Times New Roman" w:hAnsi="Times New Roman"/>
          <w:b/>
          <w:i/>
          <w:color w:val="000000"/>
          <w:sz w:val="20"/>
        </w:rPr>
      </w:pPr>
      <w:r>
        <w:rPr>
          <w:rFonts w:ascii="Times New Roman" w:hAnsi="Times New Roman"/>
          <w:b/>
          <w:i/>
          <w:color w:val="000000"/>
          <w:sz w:val="20"/>
        </w:rPr>
        <w:t>Provisions of the Maryland General Corporation Law and our charter and bylaws could deter takeover attempts and have an adverse effect on the price of our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Maryland General Corporation Law contains provisions that may discourage, delay or make more difficult a change in control of us or the removal of our directors. In addition, our board of directors may, without stockholder action, authorize the issuance of shares of stock in one or more classes or series, including preferred stock. Our charter and bylaws contain provisions that limit liability and provide for indemnification of our directors and officers. These provisions and others also may have the effect of deterring hostile takeovers or delaying changes in control or management. We are generally prohibited from engaging in mergers and other business combinations with stockholders that beneficially own 10% or more of the voting power of our outstanding voting stock, or with their affiliates, for five years after the most recent date on which such stockholders became the beneficial owners of 10% or more of the voting power of our outstanding voting stock and thereafter unless our directors and stockholders approve the business combination in the prescribed manner. Maryland law may discourage third parties from trying to acquire control of us and increase the difficulty of consummating such an offer.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also adopted measures that may make it difficult for a third party to obtain control of us, including provisions of our charter authorizing our board of directors to classify or reclassify shares of our stock in one or more classes or series and to cause the issuance of additional shares of our stock, including preferred stock. In addition, we have adopted a classified board of directors. A classified board may render a change in control of us or removal of our incumbent management more difficult. These provisions, as well as other provisions of our charter and bylaws, may delay, defer or prevent a transaction or a change in control that might otherwise be in the best interests of our stockholders.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sz w:val="20"/>
        </w:rPr>
      </w:pPr>
      <w:r>
        <w:rPr>
          <w:rFonts w:ascii="Times New Roman" w:hAnsi="Times New Roman"/>
          <w:b/>
          <w:i/>
          <w:color w:val="000000"/>
          <w:sz w:val="20"/>
        </w:rPr>
        <w:t>Our business and operation could be negatively affected if we become subject to any securities litigation or shareholder activism, which could cause us to incur significant expense, hinder execution of investment strategy and impact our stock price.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bidi w:val="0"/>
        <w:spacing w:before="270" w:after="283"/>
        <w:jc w:val="both"/>
        <w:rPr>
          <w:rFonts w:ascii="Times New Roman" w:hAnsi="Times New Roman"/>
          <w:b/>
          <w:color w:val="000000"/>
          <w:sz w:val="20"/>
        </w:rPr>
      </w:pPr>
      <w:bookmarkStart w:id="4" w:name="item_1b"/>
      <w:bookmarkEnd w:id="4"/>
      <w:r>
        <w:rPr>
          <w:rFonts w:ascii="Times New Roman" w:hAnsi="Times New Roman"/>
          <w:b/>
          <w:color w:val="000000"/>
          <w:sz w:val="20"/>
        </w:rPr>
        <w:t>Item 1B. Unresolved Staff Comments.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5" w:name="item_1c"/>
      <w:bookmarkEnd w:id="5"/>
      <w:r>
        <w:rPr>
          <w:rFonts w:ascii="Times New Roman" w:hAnsi="Times New Roman"/>
          <w:b/>
          <w:color w:val="000000"/>
          <w:sz w:val="20"/>
        </w:rPr>
        <w:t>Item 1C. Cybersecurity.</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cybersecurity program is designed to identify, assess, and manage material risks from cybersecurity threats. The Company relies on the Investment Advisor to implement the cybersecurity program. The cyber risk management program involves risk assessments relating to the information systems of the Investment Advisor, incident response training and testing, implementation of security measures, and ongoing monitoring of systems and networks and assessment of the associated risks on an annual basis, including networks on which the Company relies on. The Investment Advisor actively monitors the current threat landscape in an effort to identify material risks arising from new and evolving cybersecurity threats. The Investment Advisor has engaged external experts, including consultants, to evaluate cybersecurity measures and risk management processes. The Company depends on and engages various third parties, including suppliers, vendors, and service providers. The compliance team of the Company and the Investment Advisor will conduct onboarding and ongoing due diligence of each third-party engaged by them, including identify and oversee risks from cybersecurity threats associated with their use of such entities.</w:t>
      </w:r>
    </w:p>
    <w:p>
      <w:pPr>
        <w:pStyle w:val="TextBody"/>
        <w:bidi w:val="0"/>
        <w:jc w:val="both"/>
        <w:rPr>
          <w:rFonts w:ascii="Times New Roman" w:hAnsi="Times New Roman"/>
          <w:b/>
          <w:i/>
          <w:color w:val="000000"/>
          <w:sz w:val="20"/>
        </w:rPr>
      </w:pPr>
      <w:r>
        <w:rPr>
          <w:rFonts w:ascii="Times New Roman" w:hAnsi="Times New Roman"/>
          <w:b/>
          <w:i/>
          <w:color w:val="000000"/>
          <w:sz w:val="20"/>
        </w:rPr>
        <w:t>Board Oversight of Cybersecurity Risks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Board has the primary responsibility for overseeing and reviewing the guidelines and policies with respect to the Company’s risk management, including risks associated with cybersecurity threats. Certain members of the Company’s management will periodically report to the Board, on at least a quarterly basis, on cybersecurity matters, such as the overall state of the Company’s cybersecurity program, information on the current threat landscape, and risks from cybersecurity threats and material cybersecurity incidents.</w:t>
      </w:r>
    </w:p>
    <w:p>
      <w:pPr>
        <w:pStyle w:val="TextBody"/>
        <w:bidi w:val="0"/>
        <w:jc w:val="both"/>
        <w:rPr>
          <w:rFonts w:ascii="Times New Roman" w:hAnsi="Times New Roman"/>
          <w:b/>
          <w:i/>
          <w:color w:val="000000"/>
          <w:sz w:val="20"/>
        </w:rPr>
      </w:pPr>
      <w:r>
        <w:rPr>
          <w:rFonts w:ascii="Times New Roman" w:hAnsi="Times New Roman"/>
          <w:b/>
          <w:i/>
          <w:color w:val="000000"/>
          <w:sz w:val="20"/>
        </w:rPr>
        <w:t>Management's Role in Cybersecurity Risk Management</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Company’s management is responsible for assessing and managing material risks from cybersecurity threats, in consultations with cybersecurity consultants engaged by the Investment Advisor. The Company’s management is informed about and monitors the prevention, detection, mitigation, and remediation of cybersecurity incidents, including through the receipt of notifications from service providers and reliance on communications with risk management, legal, and/or information technology.</w:t>
      </w:r>
    </w:p>
    <w:p>
      <w:pPr>
        <w:pStyle w:val="TextBody"/>
        <w:bidi w:val="0"/>
        <w:jc w:val="left"/>
        <w:rPr>
          <w:rFonts w:ascii="Times New Roman" w:hAnsi="Times New Roman"/>
          <w:b/>
          <w:i/>
          <w:color w:val="000000"/>
          <w:sz w:val="20"/>
        </w:rPr>
      </w:pPr>
      <w:r>
        <w:rPr>
          <w:rFonts w:ascii="Times New Roman" w:hAnsi="Times New Roman"/>
          <w:b/>
          <w:i/>
          <w:color w:val="000000"/>
          <w:sz w:val="20"/>
        </w:rPr>
        <w:t>Assessment of Cybersecurity Risk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The potential impact of risks from cybersecurity threats are assessed on an ongoing basis, and how such risks could materially affect the Company’s business strategy, operational results, and financial condition are regularly evaluated. During the reporting period, the Company has not identified any risks from cybersecurity threats, including as a result of previous cybersecurity incidents, that the Company believes has materially affected, or are reasonably likely to materially affect, the Company, including the Company’s business strategy, operational results, and financial condition. </w:t>
      </w:r>
    </w:p>
    <w:p>
      <w:pPr>
        <w:pStyle w:val="TextBody"/>
        <w:bidi w:val="0"/>
        <w:spacing w:before="270" w:after="283"/>
        <w:jc w:val="both"/>
        <w:rPr>
          <w:rFonts w:ascii="Times New Roman" w:hAnsi="Times New Roman"/>
          <w:b/>
          <w:color w:val="000000"/>
          <w:sz w:val="20"/>
        </w:rPr>
      </w:pPr>
      <w:bookmarkStart w:id="6" w:name="item_2"/>
      <w:bookmarkEnd w:id="6"/>
      <w:r>
        <w:rPr>
          <w:rFonts w:ascii="Times New Roman" w:hAnsi="Times New Roman"/>
          <w:b/>
          <w:color w:val="000000"/>
          <w:sz w:val="20"/>
        </w:rPr>
        <w:t>Item 2. Properties.</w:t>
      </w:r>
    </w:p>
    <w:p>
      <w:pPr>
        <w:pStyle w:val="TextBody"/>
        <w:bidi w:val="0"/>
        <w:spacing w:before="90" w:after="283"/>
        <w:jc w:val="both"/>
        <w:rPr>
          <w:rFonts w:ascii="Times New Roman" w:hAnsi="Times New Roman"/>
          <w:sz w:val="20"/>
        </w:rPr>
      </w:pPr>
      <w:r>
        <w:rPr>
          <w:rFonts w:ascii="Times New Roman" w:hAnsi="Times New Roman"/>
          <w:color w:val="000000"/>
          <w:sz w:val="20"/>
        </w:rPr>
        <w:t>We do not own any real estate or other physical properties materially important to our operation. Our headquarters are located at 1603 Orrington Avenue, Suite 1005, Evanston, Illinois 60201, and are provided by our investment advisor pursuant to the Administration Agreement. Our investment advisor also maintains additional office space at 4201 Congress Street, Suite 250, Charlotte, North Carolina 28209, and 1140 Avenue of the Americas, 21</w:t>
      </w:r>
      <w:r>
        <w:rPr>
          <w:rFonts w:ascii="Times New Roman" w:hAnsi="Times New Roman"/>
          <w:color w:val="000000"/>
          <w:sz w:val="13"/>
        </w:rPr>
        <w:t>st</w:t>
      </w:r>
      <w:r>
        <w:rPr>
          <w:rFonts w:ascii="Times New Roman" w:hAnsi="Times New Roman"/>
          <w:color w:val="000000"/>
          <w:sz w:val="20"/>
        </w:rPr>
        <w:t xml:space="preserve"> Floor, New York, New York 10036. We believe that our office facilities are suitable and adequate to our business as we contemplate conducting it.</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70" w:after="283"/>
        <w:jc w:val="both"/>
        <w:rPr>
          <w:rFonts w:ascii="Times New Roman" w:hAnsi="Times New Roman"/>
          <w:b/>
          <w:color w:val="000000"/>
          <w:sz w:val="20"/>
        </w:rPr>
      </w:pPr>
      <w:bookmarkStart w:id="7" w:name="item_3"/>
      <w:bookmarkEnd w:id="7"/>
      <w:r>
        <w:rPr>
          <w:rFonts w:ascii="Times New Roman" w:hAnsi="Times New Roman"/>
          <w:b/>
          <w:color w:val="000000"/>
          <w:sz w:val="20"/>
        </w:rPr>
        <w:t>Item 3. Legal Proceedings.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are not, and our investment advisor is not, currently subject to any material legal proceedings.</w:t>
      </w:r>
    </w:p>
    <w:p>
      <w:pPr>
        <w:pStyle w:val="TextBody"/>
        <w:bidi w:val="0"/>
        <w:spacing w:before="270" w:after="283"/>
        <w:jc w:val="both"/>
        <w:rPr>
          <w:rFonts w:ascii="Times New Roman" w:hAnsi="Times New Roman"/>
          <w:b/>
          <w:color w:val="000000"/>
          <w:sz w:val="20"/>
        </w:rPr>
      </w:pPr>
      <w:bookmarkStart w:id="8" w:name="item_4"/>
      <w:bookmarkEnd w:id="8"/>
      <w:r>
        <w:rPr>
          <w:rFonts w:ascii="Times New Roman" w:hAnsi="Times New Roman"/>
          <w:b/>
          <w:color w:val="000000"/>
          <w:sz w:val="20"/>
        </w:rPr>
        <w:t>Item 4. Mine Safety Disclosures.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80" w:after="283"/>
        <w:jc w:val="both"/>
        <w:rPr>
          <w:rFonts w:ascii="Times New Roman" w:hAnsi="Times New Roman"/>
          <w:b/>
          <w:color w:val="000000"/>
          <w:sz w:val="20"/>
        </w:rPr>
      </w:pPr>
      <w:bookmarkStart w:id="9" w:name="item_5"/>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 xml:space="preserve">Our common stock began trading on June 21, 2011 on the NASDAQ Global Market under the symbol “FDUS.” Effective January 3, 2012, our common stock was included in the Nasdaq Global Select Market. The last reported price for our common stock on February 27, 2024 was $19.79 per share. As of February 27, 2024, we had 20 stockholders of record.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Price Range of Common Stock</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table lists the high and low closing sale price for our common stock, and the closing sale price as a percentage of net asset value, or NAV, on our common stock for each fiscal quarter during the last two most recently completed fiscal years and each full fiscal quarter since the beginning of the current fiscal year.</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94"/>
        <w:gridCol w:w="146"/>
        <w:gridCol w:w="196"/>
        <w:gridCol w:w="146"/>
        <w:gridCol w:w="511"/>
        <w:gridCol w:w="146"/>
        <w:gridCol w:w="146"/>
        <w:gridCol w:w="265"/>
        <w:gridCol w:w="197"/>
        <w:gridCol w:w="692"/>
        <w:gridCol w:w="146"/>
        <w:gridCol w:w="146"/>
        <w:gridCol w:w="263"/>
        <w:gridCol w:w="196"/>
        <w:gridCol w:w="687"/>
        <w:gridCol w:w="146"/>
        <w:gridCol w:w="146"/>
        <w:gridCol w:w="390"/>
        <w:gridCol w:w="390"/>
        <w:gridCol w:w="1045"/>
        <w:gridCol w:w="166"/>
        <w:gridCol w:w="256"/>
        <w:gridCol w:w="343"/>
        <w:gridCol w:w="343"/>
        <w:gridCol w:w="1131"/>
        <w:gridCol w:w="166"/>
        <w:gridCol w:w="306"/>
      </w:tblGrid>
      <w:tr>
        <w:trPr/>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4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NAV</w:t>
            </w:r>
            <w:r>
              <w:rPr>
                <w:rFonts w:ascii="Times New Roman" w:hAnsi="Times New Roman"/>
                <w:b/>
                <w:color w:val="000000"/>
                <w:sz w:val="12"/>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4"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High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6"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Low Closing Sales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25"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Premium / (Discount) of High Sales Price to NAV</w:t>
            </w:r>
            <w:r>
              <w:rPr>
                <w:rFonts w:ascii="Times New Roman" w:hAnsi="Times New Roman"/>
                <w:b/>
                <w:color w:val="000000"/>
                <w:sz w:val="12"/>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817"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Premium / (Discount) of Low Sales Price to NAV</w:t>
            </w:r>
            <w:r>
              <w:rPr>
                <w:rFonts w:ascii="Times New Roman" w:hAnsi="Times New Roman"/>
                <w:b/>
                <w:color w:val="000000"/>
                <w:sz w:val="12"/>
              </w:rPr>
              <w:t>(2)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vAlign w:val="center"/>
          </w:tcPr>
          <w:p>
            <w:pPr>
              <w:pStyle w:val="TableContents"/>
              <w:bidi w:val="0"/>
              <w:spacing w:before="0" w:after="283"/>
              <w:jc w:val="center"/>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Ended December 31, 2024:</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89"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83"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435"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Quarter (through February 27, 2024)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3"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89"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8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435"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Ended December 31, 2023: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Third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Fourth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89"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8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435"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Ended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Third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Fourth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57"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889"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88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435"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right"/>
              <w:rPr/>
            </w:pPr>
            <w:r>
              <w:rPr/>
              <w:t> </w:t>
            </w:r>
          </w:p>
        </w:tc>
        <w:tc>
          <w:tcPr>
            <w:tcW w:w="166" w:type="dxa"/>
            <w:tcBorders/>
            <w:shd w:fill="CCEEFF" w:val="clear"/>
            <w:vAlign w:val="center"/>
          </w:tcPr>
          <w:p>
            <w:pPr>
              <w:pStyle w:val="TableContents"/>
              <w:bidi w:val="0"/>
              <w:spacing w:before="0" w:after="283"/>
              <w:jc w:val="right"/>
              <w:rPr/>
            </w:pPr>
            <w:r>
              <w:rPr/>
              <w:t> </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Ended December 31, 2021: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88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47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r>
        <w:trPr/>
        <w:tc>
          <w:tcPr>
            <w:tcW w:w="14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Third Quarter</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CCEEFF" w:val="clear"/>
            <w:vAlign w:val="center"/>
          </w:tcPr>
          <w:p>
            <w:pPr>
              <w:pStyle w:val="TableContents"/>
              <w:bidi w:val="0"/>
              <w:spacing w:before="0" w:after="283"/>
              <w:jc w:val="left"/>
              <w:rPr/>
            </w:pPr>
            <w:r>
              <w:rPr/>
              <w:t> </w:t>
            </w:r>
          </w:p>
        </w:tc>
      </w:tr>
      <w:tr>
        <w:trPr/>
        <w:tc>
          <w:tcPr>
            <w:tcW w:w="14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Fourth Quarter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Calculated as the difference between the respective high or low closing sales price and the quarter end net asset value divided by the quarter end net asset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regular and special, if applicable, distribution declared in the specified quarter. We have adopted an “opt out” dividend reinvestment plan for our common stockholders. As a result, if we declare a distribution, stockholders’ cash distributions will be automatically reinvested in additional shares of our common stock, unless they specifically “opt out” of the dividend reinvestment plan so as to receive cash distributions. </w:t>
      </w:r>
    </w:p>
    <w:p>
      <w:pPr>
        <w:pStyle w:val="TextBody"/>
        <w:bidi w:val="0"/>
        <w:jc w:val="left"/>
        <w:rPr>
          <w:rFonts w:ascii="Times New Roman" w:hAnsi="Times New Roman"/>
          <w:color w:val="000000"/>
          <w:sz w:val="20"/>
        </w:rPr>
      </w:pPr>
      <w:r>
        <w:rPr>
          <w:rFonts w:ascii="Times New Roman" w:hAnsi="Times New Roman"/>
          <w:color w:val="000000"/>
          <w:sz w:val="20"/>
        </w:rPr>
        <w:t>* NAV has not yet been determined.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 As of February 27, 2024, our shares of common stock traded at a premium equal to approximately 2.2% of the net assets attributable to those shares based upon our $19.37 net asset value per share as of December 31, 2023. It is not possible to predict whether the shares offered hereby will trade at, above, or below net asset value.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intend to continue to pay quarterly distributions to our stockholders. Our distributions may include returns of paid-in capital, as well as declared dividends from earnings and profits. Our quarterly distributions, if any, are determined by our board of directors. We have elected, and intend to qualify annually, to be treated as a RIC under Subchapter M of the Code. As long as we qualify for tax treatment as a RIC, we will not be taxed on our investment company taxable income or net capital gain, to the extent that such income or gain is distributed, or deemed to be distributed, to stockholders on a timely basis.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not be able to achieve operating results that will allow us to make distributions at a specific level or to increase the amount of these distributions from time to time. If we do not distribute a certain percentage of our income annually, we will suffer adverse tax consequences, including possible loss of our status as a RIC. We cannot assure stockholders that they will receive any distributions at a particular level.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adopted a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Under the terms of our dividend reinvestment plan, dividends will primarily be paid in newly issued shares of common stock. However, we reserve the right to purchase shares in the open market in connection with the implementation of the plan. This feature of the plan means that, under certain circumstances, we may issue shares of our common stock at a price below net asset value per share, which could cause our stockholders to experience dilution.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To maintain our tax treatment as a RIC, we generally must, among other things, distribute at least 90% of our net ordinary income and our net short-term capital gains in excess of our net long-term capital losses, if any. In order to avoid certain excise taxes imposed on RICs, we currently intend to distribute during each calendar year an amount at least equal to the sum of (1) 98% of our ordinary income for the calendar year, (2) 98.2% of our capital gain net income for the calendar year and (3) any net ordinary income and capital gain net income that we recognized for preceding years, but were not distributed during such years, and on which we paid no U.S. federal income tax. We may retain for investment some or all of our net capital gain (i.e., net long-term capital gains in excess of net short-term capital losses) and treat such amounts as deemed distributions to our stockholders. If we do this, you will be treated as if you received an actual distribution of the capital gain we retain and then reinvested the net after-tax proceeds in our common stock. You also may be eligible to claim a tax credit (or, in certain circumstances, a tax refund) equal to your allocable share of the tax we paid on the capital gain deemed distributed to you. Please refer to “Business — Election to be Taxed as a RIC” for further information regarding the consequences of our retention of net capital gain.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“Business — Regulation” and “Business — Election to be Taxed as a RIC.”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may make distributions that are payable in cash or shares of our common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IRS has issued a revenue procedure indicating that this rule will apply if the total amount of cash to be distributed is not less than 20% of the total distribution. Under the revenue procedure, if too many stockholders elect to receive their distributions in cash, the cash available for distribution must be allocated among the shareholders electing to receive cash (with the balance of the distribution paid in stock). If we decide to make any distributions that are payable in part in shares of our stock, U.S. stockholders receiving such distributions generally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Distributions in excess of our current and accumulated profits and earnings would be treated first as a return of capital to the extent of the stockholder’s adjusted tax basis, and any remaining distributions would be treated as a capital gain. The determination of the tax attributes of our distributions will be made annually as of the end of our fiscal year based upon our taxable income for the full year and distributions paid for the full year. Therefore, a determination made on a quarterly basis may not be representative of the actual tax attributes of our distributions for a full year. Each year, a statement on Form 1099-DIV identifying the source of the distribution will be sent to our U.S. stockholders of record. Our board of directors presently intends to declare and pay quarterly dividends. Our ability to pay dividends could be affected by future business performance, liquidity, capital needs, alternative investment opportunities and loan covenants.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tax character of distributions declared and paid in 2023 is described in Note 12 to our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This graph compares the stockholder return on our common stock from December 31, 2018 to December 31, 2023 with that of the Russell 2000 Financial Services Index and the Standard &amp; Poor’s 500 Total Return Stock Index. This graph assumes that on December 31, 2018, $100 was invested in our common stock, the Russell 2000 Financial Services Index, and the Standard &amp; Poor’s 500 Total Return Stock Index. The graph also assumes the reinvestment of all cash dividends prior to any tax effect. The graph and other information furnished under this Part II Item 5 of this Annual Report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pStyle w:val="TextBody"/>
        <w:bidi w:val="0"/>
        <w:spacing w:before="0" w:after="180"/>
        <w:jc w:val="left"/>
        <w:rPr/>
      </w:pPr>
      <w:r>
        <w:rPr/>
        <w:drawing>
          <wp:inline distT="0" distB="0" distL="0" distR="0">
            <wp:extent cx="6858000" cy="381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10000"/>
                    </a:xfrm>
                    <a:prstGeom prst="rect">
                      <a:avLst/>
                    </a:prstGeom>
                  </pic:spPr>
                </pic:pic>
              </a:graphicData>
            </a:graphic>
          </wp:inline>
        </w:drawing>
      </w: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Outstanding Securities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shows our outstanding classes of securities as of December 31, 2023: </w:t>
      </w:r>
    </w:p>
    <w:tbl>
      <w:tblPr>
        <w:tblW w:w="10205" w:type="dxa"/>
        <w:jc w:val="left"/>
        <w:tblInd w:w="0" w:type="dxa"/>
        <w:tblLayout w:type="fixed"/>
        <w:tblCellMar>
          <w:top w:w="28" w:type="dxa"/>
          <w:left w:w="28" w:type="dxa"/>
          <w:bottom w:w="28" w:type="dxa"/>
          <w:right w:w="28" w:type="dxa"/>
        </w:tblCellMar>
      </w:tblPr>
      <w:tblGrid>
        <w:gridCol w:w="1302"/>
        <w:gridCol w:w="211"/>
        <w:gridCol w:w="194"/>
        <w:gridCol w:w="1523"/>
        <w:gridCol w:w="146"/>
        <w:gridCol w:w="251"/>
        <w:gridCol w:w="431"/>
        <w:gridCol w:w="1999"/>
        <w:gridCol w:w="146"/>
        <w:gridCol w:w="211"/>
        <w:gridCol w:w="456"/>
        <w:gridCol w:w="3139"/>
        <w:gridCol w:w="196"/>
      </w:tblGrid>
      <w:tr>
        <w:trPr/>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 Title of Class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Amount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shd w:fill="FFFFFF" w:val="cle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Amount Held by us or for Our Account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3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 Amount Outstanding Exclusive of Amounts Shown Under (c)</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21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9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3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30,438,979</w:t>
            </w:r>
          </w:p>
        </w:tc>
        <w:tc>
          <w:tcPr>
            <w:tcW w:w="196" w:type="dxa"/>
            <w:tcBorders/>
            <w:shd w:fill="FFFFFF" w:val="clear"/>
            <w:vAlign w:val="center"/>
          </w:tcPr>
          <w:p>
            <w:pPr>
              <w:pStyle w:val="TableContents"/>
              <w:bidi w:val="0"/>
              <w:spacing w:before="0" w:after="283"/>
              <w:jc w:val="left"/>
              <w:rPr/>
            </w:pPr>
            <w:r>
              <w:rPr/>
              <w:t> </w:t>
            </w:r>
          </w:p>
        </w:tc>
      </w:tr>
      <w:tr>
        <w:trPr/>
        <w:tc>
          <w:tcPr>
            <w:tcW w:w="1302" w:type="dxa"/>
            <w:tcBorders/>
            <w:shd w:fill="CCEB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SBA Debentures</w:t>
            </w:r>
          </w:p>
        </w:tc>
        <w:tc>
          <w:tcPr>
            <w:tcW w:w="211" w:type="dxa"/>
            <w:tcBorders/>
            <w:shd w:fill="CCEB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7" w:type="dxa"/>
            <w:gridSpan w:val="2"/>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 million</w:t>
            </w:r>
          </w:p>
        </w:tc>
        <w:tc>
          <w:tcPr>
            <w:tcW w:w="146" w:type="dxa"/>
            <w:tcBorders/>
            <w:shd w:fill="CCEBFF" w:val="clear"/>
            <w:vAlign w:val="center"/>
          </w:tcPr>
          <w:p>
            <w:pPr>
              <w:pStyle w:val="TableContents"/>
              <w:bidi w:val="0"/>
              <w:spacing w:before="0" w:after="283"/>
              <w:jc w:val="right"/>
              <w:rPr/>
            </w:pPr>
            <w:r>
              <w:rPr/>
              <w:t> </w:t>
            </w:r>
          </w:p>
        </w:tc>
        <w:tc>
          <w:tcPr>
            <w:tcW w:w="251" w:type="dxa"/>
            <w:tcBorders/>
            <w:shd w:fill="CCEBFF" w:val="cle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30" w:type="dxa"/>
            <w:gridSpan w:val="2"/>
            <w:tcBorders/>
            <w:shd w:fill="CCEBFF" w:val="clear"/>
            <w:vAlign w:val="center"/>
          </w:tcPr>
          <w:p>
            <w:pPr>
              <w:pStyle w:val="TableContents"/>
              <w:bidi w:val="0"/>
              <w:spacing w:before="0" w:after="283"/>
              <w:jc w:val="right"/>
              <w:rPr>
                <w:color w:val="000000"/>
              </w:rPr>
            </w:pPr>
            <w:r>
              <w:rPr>
                <w:color w:val="000000"/>
              </w:rPr>
              <w:t>—</w:t>
            </w:r>
          </w:p>
        </w:tc>
        <w:tc>
          <w:tcPr>
            <w:tcW w:w="146" w:type="dxa"/>
            <w:tcBorders/>
            <w:shd w:fill="CCEBFF" w:val="clear"/>
            <w:vAlign w:val="center"/>
          </w:tcPr>
          <w:p>
            <w:pPr>
              <w:pStyle w:val="TableContents"/>
              <w:bidi w:val="0"/>
              <w:spacing w:before="0" w:after="283"/>
              <w:jc w:val="right"/>
              <w:rPr/>
            </w:pPr>
            <w:r>
              <w:rPr/>
              <w:t> </w:t>
            </w:r>
          </w:p>
        </w:tc>
        <w:tc>
          <w:tcPr>
            <w:tcW w:w="211" w:type="dxa"/>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95" w:type="dxa"/>
            <w:gridSpan w:val="2"/>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 million</w:t>
            </w:r>
          </w:p>
        </w:tc>
        <w:tc>
          <w:tcPr>
            <w:tcW w:w="196" w:type="dxa"/>
            <w:tcBorders/>
            <w:shd w:fill="CCEBFF" w:val="clear"/>
            <w:vAlign w:val="center"/>
          </w:tcPr>
          <w:p>
            <w:pPr>
              <w:pStyle w:val="TableContents"/>
              <w:bidi w:val="0"/>
              <w:spacing w:before="0" w:after="283"/>
              <w:jc w:val="right"/>
              <w:rPr/>
            </w:pPr>
            <w:r>
              <w:rPr/>
              <w:t> </w:t>
            </w:r>
          </w:p>
        </w:tc>
      </w:tr>
      <w:tr>
        <w:trPr/>
        <w:tc>
          <w:tcPr>
            <w:tcW w:w="13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Facility</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 million</w:t>
            </w:r>
          </w:p>
        </w:tc>
        <w:tc>
          <w:tcPr>
            <w:tcW w:w="146"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right"/>
              <w:rPr/>
            </w:pPr>
            <w:r>
              <w:rPr/>
              <w:t> </w:t>
            </w:r>
          </w:p>
        </w:tc>
        <w:tc>
          <w:tcPr>
            <w:tcW w:w="243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95" w:type="dxa"/>
            <w:gridSpan w:val="2"/>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right"/>
              <w:rPr/>
            </w:pPr>
            <w:r>
              <w:rPr/>
              <w:t> </w:t>
            </w:r>
          </w:p>
        </w:tc>
      </w:tr>
      <w:tr>
        <w:trPr/>
        <w:tc>
          <w:tcPr>
            <w:tcW w:w="1302" w:type="dxa"/>
            <w:tcBorders/>
            <w:shd w:fill="CCEB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w:t>
            </w:r>
          </w:p>
        </w:tc>
        <w:tc>
          <w:tcPr>
            <w:tcW w:w="211" w:type="dxa"/>
            <w:tcBorders/>
            <w:shd w:fill="CCEB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7" w:type="dxa"/>
            <w:gridSpan w:val="2"/>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 million</w:t>
            </w:r>
          </w:p>
        </w:tc>
        <w:tc>
          <w:tcPr>
            <w:tcW w:w="146" w:type="dxa"/>
            <w:tcBorders/>
            <w:shd w:fill="CCEBFF" w:val="clear"/>
            <w:vAlign w:val="center"/>
          </w:tcPr>
          <w:p>
            <w:pPr>
              <w:pStyle w:val="TableContents"/>
              <w:bidi w:val="0"/>
              <w:spacing w:before="0" w:after="283"/>
              <w:jc w:val="right"/>
              <w:rPr/>
            </w:pPr>
            <w:r>
              <w:rPr/>
              <w:t> </w:t>
            </w:r>
          </w:p>
        </w:tc>
        <w:tc>
          <w:tcPr>
            <w:tcW w:w="251" w:type="dxa"/>
            <w:tcBorders/>
            <w:shd w:fill="CCEBFF" w:val="clear"/>
            <w:vAlign w:val="center"/>
          </w:tcPr>
          <w:p>
            <w:pPr>
              <w:pStyle w:val="TableContents"/>
              <w:bidi w:val="0"/>
              <w:spacing w:before="0" w:after="283"/>
              <w:jc w:val="right"/>
              <w:rPr/>
            </w:pPr>
            <w:r>
              <w:rPr/>
              <w:t> </w:t>
            </w:r>
          </w:p>
        </w:tc>
        <w:tc>
          <w:tcPr>
            <w:tcW w:w="2430" w:type="dxa"/>
            <w:gridSpan w:val="2"/>
            <w:tcBorders/>
            <w:shd w:fill="CCEBFF" w:val="clear"/>
            <w:vAlign w:val="center"/>
          </w:tcPr>
          <w:p>
            <w:pPr>
              <w:pStyle w:val="TableContents"/>
              <w:bidi w:val="0"/>
              <w:spacing w:before="0" w:after="283"/>
              <w:jc w:val="right"/>
              <w:rPr>
                <w:color w:val="000000"/>
              </w:rPr>
            </w:pPr>
            <w:r>
              <w:rPr>
                <w:color w:val="000000"/>
              </w:rPr>
              <w:t>—</w:t>
            </w:r>
          </w:p>
        </w:tc>
        <w:tc>
          <w:tcPr>
            <w:tcW w:w="146" w:type="dxa"/>
            <w:tcBorders/>
            <w:shd w:fill="CCEBFF" w:val="clear"/>
            <w:vAlign w:val="center"/>
          </w:tcPr>
          <w:p>
            <w:pPr>
              <w:pStyle w:val="TableContents"/>
              <w:bidi w:val="0"/>
              <w:spacing w:before="0" w:after="283"/>
              <w:jc w:val="right"/>
              <w:rPr/>
            </w:pPr>
            <w:r>
              <w:rPr/>
              <w:t> </w:t>
            </w:r>
          </w:p>
        </w:tc>
        <w:tc>
          <w:tcPr>
            <w:tcW w:w="211" w:type="dxa"/>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95" w:type="dxa"/>
            <w:gridSpan w:val="2"/>
            <w:tcBorders/>
            <w:shd w:fill="CCEB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 million</w:t>
            </w:r>
          </w:p>
        </w:tc>
        <w:tc>
          <w:tcPr>
            <w:tcW w:w="196" w:type="dxa"/>
            <w:tcBorders/>
            <w:shd w:fill="CCEBFF" w:val="cle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For more information regarding our limitations as to SBA debenture issuances, see “Regulation — Small Business Administration Regulations.”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Fees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380" w:type="dxa"/>
        <w:jc w:val="left"/>
        <w:tblInd w:w="0" w:type="dxa"/>
        <w:tblLayout w:type="fixed"/>
        <w:tblCellMar>
          <w:top w:w="28" w:type="dxa"/>
          <w:left w:w="28" w:type="dxa"/>
          <w:bottom w:w="28" w:type="dxa"/>
          <w:right w:w="28" w:type="dxa"/>
        </w:tblCellMar>
      </w:tblPr>
      <w:tblGrid>
        <w:gridCol w:w="5971"/>
        <w:gridCol w:w="146"/>
        <w:gridCol w:w="511"/>
        <w:gridCol w:w="301"/>
        <w:gridCol w:w="45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CCEB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transaction expenses:</w:t>
            </w:r>
          </w:p>
        </w:tc>
        <w:tc>
          <w:tcPr>
            <w:tcW w:w="657" w:type="dxa"/>
            <w:gridSpan w:val="2"/>
            <w:tcBorders/>
            <w:shd w:fill="CCEBFF" w:val="clear"/>
            <w:vAlign w:val="center"/>
          </w:tcPr>
          <w:p>
            <w:pPr>
              <w:pStyle w:val="TableContents"/>
              <w:bidi w:val="0"/>
              <w:spacing w:before="0" w:after="283"/>
              <w:jc w:val="left"/>
              <w:rPr/>
            </w:pPr>
            <w:r>
              <w:rPr/>
              <w:t> </w:t>
            </w:r>
          </w:p>
        </w:tc>
        <w:tc>
          <w:tcPr>
            <w:tcW w:w="301" w:type="dxa"/>
            <w:tcBorders/>
            <w:shd w:fill="CCEBFF" w:val="clear"/>
            <w:vAlign w:val="center"/>
          </w:tcPr>
          <w:p>
            <w:pPr>
              <w:pStyle w:val="TableContents"/>
              <w:bidi w:val="0"/>
              <w:spacing w:before="0" w:after="283"/>
              <w:jc w:val="left"/>
              <w:rPr/>
            </w:pPr>
            <w:r>
              <w:rPr/>
              <w:t> </w:t>
            </w:r>
          </w:p>
        </w:tc>
        <w:tc>
          <w:tcPr>
            <w:tcW w:w="451" w:type="dxa"/>
            <w:tcBorders/>
            <w:shd w:fill="CCEBFF" w:val="clear"/>
            <w:vAlign w:val="center"/>
          </w:tcPr>
          <w:p>
            <w:pPr>
              <w:pStyle w:val="TableContents"/>
              <w:bidi w:val="0"/>
              <w:spacing w:before="0" w:after="283"/>
              <w:jc w:val="center"/>
              <w:rPr/>
            </w:pPr>
            <w:r>
              <w:rPr/>
              <w:t> </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load (as a percentage of offering price)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Offering Expenses born by us (as a percentage of offering price)</w:t>
            </w:r>
          </w:p>
        </w:tc>
        <w:tc>
          <w:tcPr>
            <w:tcW w:w="146" w:type="dxa"/>
            <w:tcBorders/>
            <w:shd w:fill="CCEBFF" w:val="clear"/>
            <w:vAlign w:val="center"/>
          </w:tcPr>
          <w:p>
            <w:pPr>
              <w:pStyle w:val="TableContents"/>
              <w:bidi w:val="0"/>
              <w:spacing w:before="0" w:after="283"/>
              <w:jc w:val="left"/>
              <w:rPr/>
            </w:pPr>
            <w:r>
              <w:rPr/>
              <w:t> </w:t>
            </w:r>
          </w:p>
        </w:tc>
        <w:tc>
          <w:tcPr>
            <w:tcW w:w="511" w:type="dxa"/>
            <w:tcBorders/>
            <w:shd w:fill="CCEB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shd w:fill="CCEBFF" w:val="clear"/>
            <w:vAlign w:val="center"/>
          </w:tcPr>
          <w:p>
            <w:pPr>
              <w:pStyle w:val="TableContents"/>
              <w:bidi w:val="0"/>
              <w:spacing w:before="0" w:after="283"/>
              <w:jc w:val="left"/>
              <w:rPr/>
            </w:pPr>
            <w:r>
              <w:rPr/>
              <w:t> </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reinvestment plan expenses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stockholder transaction expenses paid by us (as a percentage of offering price)</w:t>
            </w:r>
          </w:p>
        </w:tc>
        <w:tc>
          <w:tcPr>
            <w:tcW w:w="146" w:type="dxa"/>
            <w:tcBorders/>
            <w:shd w:fill="CCEBFF" w:val="clear"/>
            <w:vAlign w:val="center"/>
          </w:tcPr>
          <w:p>
            <w:pPr>
              <w:pStyle w:val="TableContents"/>
              <w:bidi w:val="0"/>
              <w:spacing w:before="0" w:after="283"/>
              <w:jc w:val="left"/>
              <w:rPr/>
            </w:pPr>
            <w:r>
              <w:rPr/>
              <w:t> </w:t>
            </w:r>
          </w:p>
        </w:tc>
        <w:tc>
          <w:tcPr>
            <w:tcW w:w="511" w:type="dxa"/>
            <w:tcBorders/>
            <w:shd w:fill="CCEB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shd w:fill="CCEBFF" w:val="clear"/>
            <w:vAlign w:val="center"/>
          </w:tcPr>
          <w:p>
            <w:pPr>
              <w:pStyle w:val="TableContents"/>
              <w:bidi w:val="0"/>
              <w:spacing w:before="0" w:after="283"/>
              <w:jc w:val="left"/>
              <w:rPr/>
            </w:pPr>
            <w:r>
              <w:rPr/>
              <w:t> </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r>
      <w:tr>
        <w:trPr/>
        <w:tc>
          <w:tcPr>
            <w:tcW w:w="597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Annual expenses (as a percentage of net assets attributable to common stock) </w:t>
            </w:r>
            <w:r>
              <w:rPr>
                <w:rFonts w:ascii="Times New Roman" w:hAnsi="Times New Roman"/>
                <w:b/>
                <w:color w:val="000000"/>
                <w:sz w:val="11"/>
              </w:rPr>
              <w:t>(5)</w:t>
            </w:r>
            <w:r>
              <w:rPr>
                <w:rFonts w:ascii="Times New Roman" w:hAnsi="Times New Roman"/>
                <w:b/>
                <w:color w:val="000000"/>
                <w:sz w:val="16"/>
              </w:rPr>
              <w:t>:</w:t>
            </w:r>
          </w:p>
        </w:tc>
        <w:tc>
          <w:tcPr>
            <w:tcW w:w="657" w:type="dxa"/>
            <w:gridSpan w:val="2"/>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center"/>
              <w:rPr/>
            </w:pPr>
            <w:r>
              <w:rPr/>
              <w:t> </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CCEBFF" w:val="clear"/>
            <w:vAlign w:val="center"/>
          </w:tcPr>
          <w:p>
            <w:pPr>
              <w:pStyle w:val="TableContents"/>
              <w:bidi w:val="0"/>
              <w:spacing w:before="0" w:after="283"/>
              <w:jc w:val="left"/>
              <w:rPr/>
            </w:pPr>
            <w:r>
              <w:rPr/>
              <w:t> </w:t>
            </w:r>
          </w:p>
        </w:tc>
        <w:tc>
          <w:tcPr>
            <w:tcW w:w="511" w:type="dxa"/>
            <w:tcBorders/>
            <w:shd w:fill="CCEB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30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 under Investment Advisory Agreement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payments on borrowed funds</w:t>
            </w:r>
          </w:p>
        </w:tc>
        <w:tc>
          <w:tcPr>
            <w:tcW w:w="146" w:type="dxa"/>
            <w:tcBorders/>
            <w:shd w:fill="CCEBFF" w:val="clear"/>
            <w:vAlign w:val="center"/>
          </w:tcPr>
          <w:p>
            <w:pPr>
              <w:pStyle w:val="TableContents"/>
              <w:bidi w:val="0"/>
              <w:spacing w:before="0" w:after="283"/>
              <w:jc w:val="left"/>
              <w:rPr/>
            </w:pPr>
            <w:r>
              <w:rPr/>
              <w:t> </w:t>
            </w:r>
          </w:p>
        </w:tc>
        <w:tc>
          <w:tcPr>
            <w:tcW w:w="511" w:type="dxa"/>
            <w:tcBorders/>
            <w:shd w:fill="CCEB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30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annual expenses, before base management fee waiver</w:t>
            </w:r>
          </w:p>
        </w:tc>
        <w:tc>
          <w:tcPr>
            <w:tcW w:w="146" w:type="dxa"/>
            <w:tcBorders/>
            <w:shd w:fill="CCEBFF" w:val="clear"/>
            <w:vAlign w:val="center"/>
          </w:tcPr>
          <w:p>
            <w:pPr>
              <w:pStyle w:val="TableContents"/>
              <w:bidi w:val="0"/>
              <w:spacing w:before="0" w:after="283"/>
              <w:jc w:val="left"/>
              <w:rPr/>
            </w:pPr>
            <w:r>
              <w:rPr/>
              <w:t> </w:t>
            </w:r>
          </w:p>
        </w:tc>
        <w:tc>
          <w:tcPr>
            <w:tcW w:w="511" w:type="dxa"/>
            <w:tcBorders/>
            <w:shd w:fill="CCEB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30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r>
      <w:tr>
        <w:trPr/>
        <w:tc>
          <w:tcPr>
            <w:tcW w:w="59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r>
      <w:tr>
        <w:trPr/>
        <w:tc>
          <w:tcPr>
            <w:tcW w:w="5971" w:type="dxa"/>
            <w:tcBorders/>
            <w:shd w:fill="CCEB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annual expenses, net of base management fee waiver</w:t>
            </w:r>
          </w:p>
        </w:tc>
        <w:tc>
          <w:tcPr>
            <w:tcW w:w="14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30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CEB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w:t>
            </w:r>
          </w:p>
        </w:tc>
      </w:tr>
    </w:tbl>
    <w:p>
      <w:pPr>
        <w:pStyle w:val="TextBody"/>
        <w:bidi w:val="0"/>
        <w:jc w:val="both"/>
        <w:rPr/>
      </w:pPr>
      <w:r>
        <w:rPr/>
        <w:t>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(1)</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In the event that securities are sold to or through underwriters, a corresponding prospectus supplement will disclose the applicable sales load.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(2)</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In the event that we conduct an offering of any of our securities, a corresponding prospectus supplement will disclose the estimated offering expenses because they will be ultimately borne by the Company (and indirectly by our stockholders).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(3)</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The expenses of administering our dividend reinvestment plan are included in other expenses.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(4)</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Total stockholder transaction expenses may include a sales load and will be disclosed in a future prospectus supplement, if any.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(5)</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Net assets attributable to common stock equals average net assets, which is calculated as the average of the net assets balances as of each quarter end during the year ended December 31, 2023 and the prior year end. </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(6)</w:t>
      </w:r>
    </w:p>
    <w:p>
      <w:pPr>
        <w:pStyle w:val="TextBody"/>
        <w:bidi w:val="0"/>
        <w:spacing w:before="0" w:after="0"/>
        <w:jc w:val="both"/>
        <w:rPr>
          <w:rFonts w:ascii="Times New Roman" w:hAnsi="Times New Roman"/>
          <w:color w:val="000000"/>
          <w:sz w:val="15"/>
        </w:rPr>
      </w:pPr>
      <w:r>
        <w:rPr>
          <w:rFonts w:ascii="Times New Roman" w:hAnsi="Times New Roman"/>
          <w:color w:val="000000"/>
          <w:sz w:val="15"/>
        </w:rPr>
        <w:t xml:space="preserve">Our base management fee is 1.75% of the average value of our total assets (other than cash and cash equivalents but including assets purchased with borrowed amounts). This item represents actual base management fees incurred for the year ended December 31, 2023. We may from time to time decide it is appropriate to change the terms of the Investment Advisory Agreement. Under the 1940 Act, any material change to our Investment Advisory Agreement must be submitted to stockholders for approval. The 3.15% reflected in the table is calculated on our net assets (rather than our total assets). See Item 1. “Business — Management and Other Agreements—Investment Advisory Agreement.”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(7)</w:t>
      </w:r>
    </w:p>
    <w:p>
      <w:pPr>
        <w:pStyle w:val="TextBody"/>
        <w:bidi w:val="0"/>
        <w:jc w:val="left"/>
        <w:rPr>
          <w:rFonts w:ascii="Times New Roman" w:hAnsi="Times New Roman"/>
          <w:color w:val="000000"/>
          <w:sz w:val="15"/>
        </w:rPr>
      </w:pPr>
      <w:r>
        <w:rPr>
          <w:rFonts w:ascii="Times New Roman" w:hAnsi="Times New Roman"/>
          <w:color w:val="000000"/>
          <w:sz w:val="15"/>
        </w:rPr>
        <w:t xml:space="preserve">This item represents actual fees incurred on pre-incentive fee net investment income (income incentive fee) and actual fees payable for the capital gains incentive fee for the year ended December 31, 2023. The capital gains incentive fee payable as of December 31, 2023 is $3.5 million. For the year ended December 31, 2023, we accrued capital gains incentive fees (reversal) of $2.4 million in accordance with U.S. GAAP, which equals 0.46% of average net assets attributable to common stock; such amount has not been included in the estimated expenses figure reflected in the table above. </w:t>
      </w:r>
    </w:p>
    <w:p>
      <w:pPr>
        <w:pStyle w:val="TextBody"/>
        <w:bidi w:val="0"/>
        <w:jc w:val="both"/>
        <w:rPr>
          <w:rFonts w:ascii="Times New Roman" w:hAnsi="Times New Roman"/>
          <w:sz w:val="20"/>
        </w:rPr>
      </w:pPr>
      <w:r>
        <w:rPr>
          <w:rFonts w:ascii="Times New Roman" w:hAnsi="Times New Roman"/>
          <w:color w:val="000000"/>
          <w:sz w:val="15"/>
        </w:rPr>
        <w:t>The incentive fee consists of two parts: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5"/>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5"/>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5"/>
        </w:rPr>
        <w:t>See Item 1. “Business — Management and Other Agreements—Investment Advisory Agreement.”</w:t>
      </w:r>
      <w:r>
        <w:rPr>
          <w:rFonts w:ascii="Times New Roman" w:hAnsi="Times New Roman"/>
          <w:color w:val="000000"/>
          <w:sz w:val="20"/>
        </w:rPr>
        <w:t xml:space="preserve">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(8)</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As of December 31, 2023, we had outstanding SBA debentures of $210.0 million; we had $250.0 million outstanding of our Notes; we had no outstanding borrowings under our senior secured revolving credit agreement with certain lenders party thereto and ING Capital, LLC, as administrative agent (the “Credit Facility”), which has a total commitment of $100.0 million. Interest payments on borrowed funds is based on estimated annual interest and fee expenses on outstanding SBA debentures and the Notes and outstanding borrowings under the Credit Facility as of December 31, 2023 with a weighted average stated interest rate of 4.346% as of that date. We also pay a commitment fee between 0.5% and 2.675%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(9)</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Other expenses represent our estimated annual operating expenses, as a percentage of net assets attributable to common shares estimated for the current year, including professional fees, directors’ fees, insurance costs, expenses of our dividend reinvestment plan and payments under the Administration Agreement based on our allocable portion of overhead and other expenses incurred by our administrator. See Item 1. “Business — Management and Other Agreements—Administration Agreement.” Other expenses exclude interest payments on borrowed funds, income tax (provision) benefit from realized gains on investment, income tax (provision) from deemed distribution of long term capital gains, and for issuances of debt securities or preferred stock, interest payments on debt securities and distributions with respect to preferred stock. “Other expenses” are based on actual other expenses for the year ended December 31, 2023.</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(10)</w:t>
      </w:r>
    </w:p>
    <w:p>
      <w:pPr>
        <w:pStyle w:val="TextBody"/>
        <w:bidi w:val="0"/>
        <w:spacing w:before="0" w:after="0"/>
        <w:jc w:val="left"/>
        <w:rPr>
          <w:color w:val="000000"/>
        </w:rPr>
      </w:pPr>
      <w:r>
        <w:rPr>
          <w:color w:val="000000"/>
        </w:rPr>
        <w:t>“</w:t>
      </w:r>
      <w:r>
        <w:rPr>
          <w:rFonts w:ascii="Times New Roman" w:hAnsi="Times New Roman"/>
          <w:color w:val="000000"/>
          <w:sz w:val="15"/>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(11)</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The Board of Directors accepted a voluntary, non-contractual, and unconditional waiver from the Investment Advisor to exclude any investments recorded as secured borrowings as defined under GAAP from the base management fee payable as of December 31, 2023. The base management fee waived as of December 31, 2023 is $0.3 million.</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(12)</w:t>
      </w:r>
    </w:p>
    <w:p>
      <w:pPr>
        <w:pStyle w:val="TextBody"/>
        <w:bidi w:val="0"/>
        <w:jc w:val="left"/>
        <w:rPr>
          <w:rFonts w:ascii="Times New Roman" w:hAnsi="Times New Roman"/>
          <w:sz w:val="16"/>
        </w:rPr>
      </w:pPr>
      <w:r>
        <w:rPr>
          <w:rFonts w:ascii="Times New Roman" w:hAnsi="Times New Roman"/>
          <w:color w:val="000000"/>
          <w:sz w:val="15"/>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6.56%</w:t>
      </w:r>
      <w:r>
        <w:rPr>
          <w:rFonts w:ascii="Times New Roman" w:hAnsi="Times New Roman"/>
          <w:color w:val="000000"/>
          <w:sz w:val="16"/>
        </w:rPr>
        <w:t xml:space="preserve"> </w:t>
      </w:r>
      <w:r>
        <w:rPr>
          <w:rFonts w:ascii="Times New Roman" w:hAnsi="Times New Roman"/>
          <w:color w:val="000000"/>
          <w:sz w:val="15"/>
        </w:rPr>
        <w:t>of average consolidated total assets.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Example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example demonstrates the projected dollar amount of total cumulative expenses over various periods with respect to a hypothetical investment in us. In calculating the following expense amounts, we have assumed we would have no additional leverage, that none of our assets are cash or cash equivalents and that our annual operating expenses would remain at the levels set forth in the table above. Transaction expenses are not included in the following example.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04"/>
        <w:gridCol w:w="620"/>
        <w:gridCol w:w="650"/>
        <w:gridCol w:w="650"/>
        <w:gridCol w:w="981"/>
      </w:tblGrid>
      <w:tr>
        <w:trPr/>
        <w:tc>
          <w:tcPr>
            <w:tcW w:w="730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73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1 year</w:t>
            </w:r>
            <w:r>
              <w:rPr>
                <w:rFonts w:ascii="Times New Roman" w:hAnsi="Times New Roman"/>
                <w:color w:val="000000"/>
                <w:sz w:val="20"/>
              </w:rPr>
              <w:t xml:space="preserve">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3 years</w:t>
            </w:r>
            <w:r>
              <w:rPr>
                <w:rFonts w:ascii="Times New Roman" w:hAnsi="Times New Roman"/>
                <w:color w:val="000000"/>
                <w:sz w:val="20"/>
              </w:rPr>
              <w:t xml:space="preserve"> </w:t>
            </w:r>
          </w:p>
        </w:tc>
        <w:tc>
          <w:tcPr>
            <w:tcW w:w="65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5 years</w:t>
            </w:r>
            <w:r>
              <w:rPr>
                <w:rFonts w:ascii="Times New Roman" w:hAnsi="Times New Roman"/>
                <w:color w:val="000000"/>
                <w:sz w:val="20"/>
              </w:rPr>
              <w:t xml:space="preserve"> </w:t>
            </w:r>
          </w:p>
        </w:tc>
        <w:tc>
          <w:tcPr>
            <w:tcW w:w="981"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sz w:val="20"/>
              </w:rPr>
            </w:pPr>
            <w:r>
              <w:rPr>
                <w:rFonts w:ascii="Times New Roman" w:hAnsi="Times New Roman"/>
                <w:b/>
                <w:color w:val="000000"/>
                <w:sz w:val="20"/>
              </w:rPr>
              <w:t>10 years</w:t>
            </w:r>
            <w:r>
              <w:rPr>
                <w:rFonts w:ascii="Times New Roman" w:hAnsi="Times New Roman"/>
                <w:color w:val="000000"/>
                <w:sz w:val="20"/>
              </w:rPr>
              <w:t xml:space="preserve"> </w:t>
            </w:r>
          </w:p>
        </w:tc>
      </w:tr>
      <w:tr>
        <w:trPr/>
        <w:tc>
          <w:tcPr>
            <w:tcW w:w="7304" w:type="dxa"/>
            <w:tcBorders/>
            <w:vAlign w:val="center"/>
          </w:tcPr>
          <w:p>
            <w:pPr>
              <w:pStyle w:val="TableContents"/>
              <w:pBdr/>
              <w:bidi w:val="0"/>
              <w:spacing w:before="0" w:after="283"/>
              <w:ind w:left="0" w:right="0" w:hanging="240"/>
              <w:jc w:val="both"/>
              <w:rPr>
                <w:rFonts w:ascii="Times New Roman" w:hAnsi="Times New Roman"/>
                <w:color w:val="000000"/>
                <w:sz w:val="20"/>
              </w:rPr>
            </w:pPr>
            <w:r>
              <w:rPr>
                <w:rFonts w:ascii="Times New Roman" w:hAnsi="Times New Roman"/>
                <w:color w:val="000000"/>
                <w:sz w:val="20"/>
              </w:rPr>
              <w:t>You would pay the following expenses on a $1,000 investment, assuming a 5% annual return</w:t>
            </w:r>
          </w:p>
        </w:tc>
        <w:tc>
          <w:tcPr>
            <w:tcW w:w="62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$ 122</w:t>
            </w:r>
          </w:p>
        </w:tc>
        <w:tc>
          <w:tcPr>
            <w:tcW w:w="65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$ 337</w:t>
            </w:r>
          </w:p>
        </w:tc>
        <w:tc>
          <w:tcPr>
            <w:tcW w:w="65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$ 522</w:t>
            </w:r>
          </w:p>
        </w:tc>
        <w:tc>
          <w:tcPr>
            <w:tcW w:w="981" w:type="dxa"/>
            <w:tcBorders/>
            <w:tcMar>
              <w:top w:w="0" w:type="dxa"/>
              <w:left w:w="0" w:type="dxa"/>
              <w:bottom w:w="0" w:type="dxa"/>
              <w:right w:w="0" w:type="dxa"/>
            </w:tcMar>
            <w:vAlign w:val="center"/>
          </w:tcPr>
          <w:p>
            <w:pPr>
              <w:pStyle w:val="TableContents"/>
              <w:bidi w:val="0"/>
              <w:spacing w:before="0" w:after="20"/>
              <w:ind w:left="0" w:right="0" w:firstLine="240"/>
              <w:jc w:val="both"/>
              <w:rPr>
                <w:rFonts w:ascii="Times New Roman" w:hAnsi="Times New Roman"/>
                <w:color w:val="000000"/>
                <w:sz w:val="20"/>
              </w:rPr>
            </w:pPr>
            <w:r>
              <w:rPr>
                <w:rFonts w:ascii="Times New Roman" w:hAnsi="Times New Roman"/>
                <w:color w:val="000000"/>
                <w:sz w:val="20"/>
              </w:rPr>
              <w:t>$ 872</w:t>
            </w:r>
          </w:p>
        </w:tc>
      </w:tr>
      <w:tr>
        <w:trPr/>
        <w:tc>
          <w:tcPr>
            <w:tcW w:w="7304" w:type="dxa"/>
            <w:tcBorders/>
            <w:vAlign w:val="center"/>
          </w:tcPr>
          <w:p>
            <w:pPr>
              <w:pStyle w:val="TableContents"/>
              <w:pBdr/>
              <w:bidi w:val="0"/>
              <w:spacing w:before="0" w:after="283"/>
              <w:ind w:left="0" w:right="0" w:hanging="240"/>
              <w:jc w:val="both"/>
              <w:rPr>
                <w:rFonts w:ascii="Times New Roman" w:hAnsi="Times New Roman"/>
                <w:color w:val="000000"/>
                <w:sz w:val="20"/>
              </w:rPr>
            </w:pPr>
            <w:r>
              <w:rPr>
                <w:rFonts w:ascii="Times New Roman" w:hAnsi="Times New Roman"/>
                <w:color w:val="000000"/>
                <w:sz w:val="20"/>
              </w:rPr>
              <w:t>You would pay the following expenses on a $1,000 investment, assuming a 5.0% annual return resulting entirely from net realized capital gains (all of which is subject to our incentive fee on capital gains)</w:t>
            </w:r>
          </w:p>
        </w:tc>
        <w:tc>
          <w:tcPr>
            <w:tcW w:w="62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$ 130</w:t>
            </w:r>
          </w:p>
        </w:tc>
        <w:tc>
          <w:tcPr>
            <w:tcW w:w="65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$ 359</w:t>
            </w:r>
          </w:p>
        </w:tc>
        <w:tc>
          <w:tcPr>
            <w:tcW w:w="650"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$ 549</w:t>
            </w:r>
          </w:p>
        </w:tc>
        <w:tc>
          <w:tcPr>
            <w:tcW w:w="981"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$ 898</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 See “Part II, Item 5” for additional information regarding our dividend reinvestment plan.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bidi w:val="0"/>
        <w:spacing w:before="180" w:after="180"/>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both"/>
        <w:rPr>
          <w:rFonts w:ascii="Times New Roman" w:hAnsi="Times New Roman"/>
          <w:color w:val="000000"/>
          <w:sz w:val="20"/>
        </w:rPr>
      </w:pPr>
      <w:r>
        <w:rPr>
          <w:rFonts w:ascii="Times New Roman" w:hAnsi="Times New Roman"/>
          <w:color w:val="000000"/>
          <w:sz w:val="20"/>
        </w:rPr>
        <w:t>We did not engage in any sales of unregistered securities during the fiscal year ended December 31, 2023.</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2023, the Board extended the Stock Repurchase Program through December 31, 2024, or until the approved dollar amount has been used to repurchase shares. The Stock Repurchase Program does not require us to repurchase any specific number of shares and the Company cannot assure that any shares will be repurchased under the Stock Repurchase Program. The Stock Repurchase Program may be suspended, extended, modified, or discontinued at any time. We did not make any repurchases of common stock during the years ended December 31, 2023, 2022, and 2021. Refer to Note 9 to our consolidated financial statements for additional information concerning stock repurchases.</w:t>
      </w:r>
    </w:p>
    <w:p>
      <w:pPr>
        <w:pStyle w:val="TextBody"/>
        <w:bidi w:val="0"/>
        <w:jc w:val="both"/>
        <w:rPr/>
      </w:pPr>
      <w:r>
        <w:rPr/>
        <w:t> </w:t>
      </w:r>
    </w:p>
    <w:p>
      <w:pPr>
        <w:pStyle w:val="TextBody"/>
        <w:bidi w:val="0"/>
        <w:jc w:val="both"/>
        <w:rPr>
          <w:rFonts w:ascii="Times New Roman" w:hAnsi="Times New Roman"/>
          <w:b/>
          <w:color w:val="000000"/>
          <w:sz w:val="20"/>
        </w:rPr>
      </w:pPr>
      <w:bookmarkStart w:id="10" w:name="item_6"/>
      <w:bookmarkEnd w:id="10"/>
      <w:r>
        <w:rPr>
          <w:rFonts w:ascii="Times New Roman" w:hAnsi="Times New Roman"/>
          <w:b/>
          <w:color w:val="000000"/>
          <w:sz w:val="20"/>
        </w:rPr>
        <w:t>Item 6. Reserved</w:t>
      </w:r>
    </w:p>
    <w:p>
      <w:pPr>
        <w:pStyle w:val="TextBody"/>
        <w:bidi w:val="0"/>
        <w:spacing w:before="9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80"/>
        <w:jc w:val="both"/>
        <w:rPr>
          <w:rFonts w:ascii="Times New Roman" w:hAnsi="Times New Roman"/>
          <w:sz w:val="20"/>
        </w:rPr>
      </w:pPr>
      <w:bookmarkStart w:id="11" w:name="item_7"/>
      <w:bookmarkEnd w:id="11"/>
      <w:r>
        <w:rPr>
          <w:rFonts w:ascii="Times New Roman" w:hAnsi="Times New Roman"/>
          <w:b/>
          <w:color w:val="000000"/>
          <w:sz w:val="20"/>
        </w:rPr>
        <w:t>Item 7.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“Selected Consolidated Financial Data,” FIC’s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elsewhere in this annual report on Form 10-K (“Annual Report”). The</w:t>
      </w:r>
      <w:r>
        <w:rPr>
          <w:rFonts w:ascii="Times New Roman" w:hAnsi="Times New Roman"/>
          <w:color w:val="000000"/>
          <w:sz w:val="20"/>
        </w:rPr>
        <w:t xml:space="preserve"> </w:t>
      </w:r>
      <w:r>
        <w:rPr>
          <w:rFonts w:ascii="Times New Roman" w:hAnsi="Times New Roman"/>
          <w:i/>
          <w:color w:val="000000"/>
          <w:sz w:val="20"/>
        </w:rPr>
        <w:t>information contained in this section contains forward-looking statements that involve risk and uncertainties. Please see “Risk Factors” and “Special Note Regarding Forward-Looking Statements” for a discussion of the uncertainties, risks and assumptions associated with these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Revenues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organization;</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fees and expenses incurred by our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interest payable on debt, if any, incurred to finance our investments;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offerings of our common stock and other securities;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advisory fees and management fees;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our investment advisor based upon our allocable portion of our investment advisor’s overhead in performing its obligations under the Administration Agreement, including rent and the allocable portion of the cost of our officers, including our chief compliance officer, our chief financial officer, and their respective staffs);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transfer agent, dividend agent and custodial fees and expenses;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federal and state registration fees;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all costs of registration and listing our shares on any securities exchange;</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U.S. federal, state and local taxes;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Independent Directors’ fees and expenses;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tc>
      </w:tr>
    </w:tbl>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proxy voting expenses;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all other expenses reasonably incurred by us or our investment advisor in connection with administering our business.</w:t>
            </w:r>
          </w:p>
        </w:tc>
      </w:tr>
    </w:tbl>
    <w:p>
      <w:pPr>
        <w:pStyle w:val="TextBody"/>
        <w:bidi w:val="0"/>
        <w:spacing w:before="180" w:after="283"/>
        <w:jc w:val="both"/>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years ended December 31, 2023 and 2022, we invested $336.7 million and $333.8 million, respectively, in debt and equity investments, including 16 and 19 new portfolio companies, respectively. During the years ended December 31, 2023 and 2022, we received proceeds from sales or repayments, including principal, return of capital dividends and net realized gains (losses), of $258.8 million and $194.0 million, respectively, including exits of twelve and twelve portfolio companies, respectively. The following table summarizes investment purchases and sales and repayments of investments by type for the years ended December 31, 2023 and 2022 (dollars in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91"/>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Purchases of Investments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Sales and Repayments of Investments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First Lien Debt</w:t>
            </w:r>
            <w:r>
              <w:rPr>
                <w:rFonts w:ascii="Times New Roman" w:hAnsi="Times New Roman"/>
                <w:color w:val="000000"/>
                <w:sz w:val="12"/>
              </w:rPr>
              <w:t>(1)</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CEE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years ended December 31, 2023 and 2022, includes unitranche securities, which account for 27.1% and 36.5% of purchases, respectively. For the years ended December 31, 2023 and 2022, includes unitranche securities, which account for 2.6% and 25.9% of repayments,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the fair value of our investment portfolio totaled $957.9 million and consisted of 81 active portfolio companies and one portfolio company that has sold its underlying operations. As of December 31, 2023, 46 portfolio companies’ debt investments bore interest at a variable rate, which represented $629.3 million, or 75.6%, of our debt investment portfolio on a fair value basis, and the remainder of our debt investment portfolio was comprised of fixed-rate investments. Overall, the portfolio had net unrealized appreciation of $21.3 million as of December 31, 2023. As of December 31, 2023, our average active portfolio company investment at amortized cost was $11.6 million, which excludes investments in the one portfolio company that has sold its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2022, the fair value of our investment portfolio totaled $860.3 million and consisted of 76 active portfolio companies and two portfolio companies that have sold their underlying operations. As of December 31, 2022, 43 portfolio companies’ debt investments bore interest at a variable rate, which represented $522.9 million, or 70.6%, of our debt investment portfolio on a fair value basis, and the remainder of our debt investment portfolio was comprised of fixed rate investments. Overall, the portfolio had net unrealized appreciation of $31.6 million as of December 31, 2022. As of December 31, 2022, our average active portfolio company investment at amortized cost was $10.9 million, which excludes investments in the two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weighted average yield on debt investments as of December 31, 2023 and 2022 was 14.2% and 13.8%,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December 31, 2023 and 2022, including the accretion of OID and debt investment origination fees, but excluding investments on non-accrual status, if any.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46"/>
        <w:gridCol w:w="146"/>
        <w:gridCol w:w="196"/>
        <w:gridCol w:w="511"/>
        <w:gridCol w:w="146"/>
        <w:gridCol w:w="146"/>
        <w:gridCol w:w="146"/>
        <w:gridCol w:w="511"/>
        <w:gridCol w:w="256"/>
        <w:gridCol w:w="191"/>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0"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First Lien Debt</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3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Includes unitranche investments, which account for 37.6% and 38.5% of our portfolio on a fair value and cost basis as of December 31, 2023, respectively. Includes unitranche investments, which account for 42.1% and 43.4% of our portfolio on a fair value and cost basis as of December 31, 2022, respectively.</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10622" w:type="dxa"/>
        <w:jc w:val="left"/>
        <w:tblInd w:w="0" w:type="dxa"/>
        <w:tblLayout w:type="fixed"/>
        <w:tblCellMar>
          <w:top w:w="28" w:type="dxa"/>
          <w:left w:w="28" w:type="dxa"/>
          <w:bottom w:w="28" w:type="dxa"/>
          <w:right w:w="28" w:type="dxa"/>
        </w:tblCellMar>
      </w:tblPr>
      <w:tblGrid>
        <w:gridCol w:w="1061"/>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291"/>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Midwest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Southeast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1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Southwest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1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the detailed industry composition of our portfolio at fair value and cost as a percentage of total investments:</w:t>
      </w:r>
    </w:p>
    <w:tbl>
      <w:tblPr>
        <w:tblW w:w="10205" w:type="dxa"/>
        <w:jc w:val="left"/>
        <w:tblInd w:w="0" w:type="dxa"/>
        <w:tblLayout w:type="fixed"/>
        <w:tblCellMar>
          <w:top w:w="28" w:type="dxa"/>
          <w:left w:w="28" w:type="dxa"/>
          <w:bottom w:w="28" w:type="dxa"/>
          <w:right w:w="28" w:type="dxa"/>
        </w:tblCellMar>
      </w:tblPr>
      <w:tblGrid>
        <w:gridCol w:w="3077"/>
        <w:gridCol w:w="146"/>
        <w:gridCol w:w="254"/>
        <w:gridCol w:w="1001"/>
        <w:gridCol w:w="271"/>
        <w:gridCol w:w="270"/>
        <w:gridCol w:w="254"/>
        <w:gridCol w:w="1001"/>
        <w:gridCol w:w="271"/>
        <w:gridCol w:w="270"/>
        <w:gridCol w:w="254"/>
        <w:gridCol w:w="1001"/>
        <w:gridCol w:w="271"/>
        <w:gridCol w:w="146"/>
        <w:gridCol w:w="254"/>
        <w:gridCol w:w="1001"/>
        <w:gridCol w:w="271"/>
        <w:gridCol w:w="192"/>
      </w:tblGrid>
      <w:tr>
        <w:trPr/>
        <w:tc>
          <w:tcPr>
            <w:tcW w:w="3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29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Products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Manufacturing</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Products Manufacturing</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Services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color w:val="000000"/>
              </w:rPr>
            </w:pPr>
            <w:r>
              <w:rPr>
                <w:color w:val="000000"/>
              </w:rPr>
              <w:t>—</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color w:val="000000"/>
              </w:rPr>
            </w:pPr>
            <w:r>
              <w:rPr>
                <w:color w:val="000000"/>
              </w:rPr>
              <w:t>—</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Aerospace &amp; Defense Manufacturing</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Promotional Products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Distribution</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Industries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Products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&amp; Gas Services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Cleaning &amp; Coatings</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r>
      <w:tr>
        <w:trPr/>
        <w:tc>
          <w:tcPr>
            <w:tcW w:w="30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307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CEE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 Percentage is less than 0.1% of respective total.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tc>
      </w:tr>
    </w:tbl>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Investment Rating 5 is used for investments performing substantially below our expectations and the risks have increased substantially since origination. We expect some loss of principal.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supply chain disruptions, labor and resource shortages, commodity inflation, elements of financial market instability (including high interest rates), an uncertain economic outlook for the United States (which may include a recession), and elements of geopolitical instability (including the ongoing war in Ukraine,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December 31, 2023 and 2022 (dollars in millions):</w:t>
      </w:r>
    </w:p>
    <w:tbl>
      <w:tblPr>
        <w:tblW w:w="10512" w:type="dxa"/>
        <w:jc w:val="left"/>
        <w:tblInd w:w="0" w:type="dxa"/>
        <w:tblLayout w:type="fixed"/>
        <w:tblCellMar>
          <w:top w:w="28" w:type="dxa"/>
          <w:left w:w="28" w:type="dxa"/>
          <w:bottom w:w="28" w:type="dxa"/>
          <w:right w:w="28" w:type="dxa"/>
        </w:tblCellMar>
      </w:tblPr>
      <w:tblGrid>
        <w:gridCol w:w="1051"/>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146"/>
        <w:gridCol w:w="146"/>
        <w:gridCol w:w="211"/>
        <w:gridCol w:w="571"/>
        <w:gridCol w:w="146"/>
        <w:gridCol w:w="146"/>
        <w:gridCol w:w="146"/>
        <w:gridCol w:w="571"/>
        <w:gridCol w:w="27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December 31, 2023 and 2022 was 2.0 and 2.0, respectively, on a fair value basis and 2.2 and 2.2, respectively, on a cost basis.</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As of December 31, 2023 and December 31, 2022, we had debt investments in three and four portfolio companies, respectively on non-accrual status (dollars in millions):</w:t>
      </w:r>
    </w:p>
    <w:tbl>
      <w:tblPr>
        <w:tblW w:w="9352" w:type="dxa"/>
        <w:jc w:val="left"/>
        <w:tblInd w:w="0" w:type="dxa"/>
        <w:tblLayout w:type="fixed"/>
        <w:tblCellMar>
          <w:top w:w="28" w:type="dxa"/>
          <w:left w:w="28" w:type="dxa"/>
          <w:bottom w:w="28" w:type="dxa"/>
          <w:right w:w="28" w:type="dxa"/>
        </w:tblCellMar>
      </w:tblPr>
      <w:tblGrid>
        <w:gridCol w:w="5026"/>
        <w:gridCol w:w="146"/>
        <w:gridCol w:w="201"/>
        <w:gridCol w:w="355"/>
        <w:gridCol w:w="146"/>
        <w:gridCol w:w="256"/>
        <w:gridCol w:w="196"/>
        <w:gridCol w:w="421"/>
        <w:gridCol w:w="146"/>
        <w:gridCol w:w="256"/>
        <w:gridCol w:w="196"/>
        <w:gridCol w:w="421"/>
        <w:gridCol w:w="146"/>
        <w:gridCol w:w="316"/>
        <w:gridCol w:w="196"/>
        <w:gridCol w:w="421"/>
        <w:gridCol w:w="146"/>
        <w:gridCol w:w="36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61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6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r>
          </w:p>
        </w:tc>
        <w:tc>
          <w:tcPr>
            <w:tcW w:w="146" w:type="dxa"/>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61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EBL, LLC (EbLens)</w:t>
            </w:r>
          </w:p>
        </w:tc>
        <w:tc>
          <w:tcPr>
            <w:tcW w:w="14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GreenFiber, LLC</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K2 Merger Agreement Agent, LLC (fka K2 Industrial Services, Inc.)</w:t>
            </w:r>
          </w:p>
        </w:tc>
        <w:tc>
          <w:tcPr>
            <w:tcW w:w="14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Allredi, LLC (fka Marco Group International OpCo, LLC)</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Suited Connector LLC</w:t>
            </w:r>
          </w:p>
        </w:tc>
        <w:tc>
          <w:tcPr>
            <w:tcW w:w="14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2"/>
              </w:rPr>
              <w:t>(1)</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2"/>
              </w:rPr>
              <w:t>(1)</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Virtex Enterprises, LP</w:t>
            </w:r>
          </w:p>
        </w:tc>
        <w:tc>
          <w:tcPr>
            <w:tcW w:w="146"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 Portfolio company debt investment was not on non-accrual status as of December 31, 2022.</w:t>
      </w:r>
    </w:p>
    <w:p>
      <w:pPr>
        <w:pStyle w:val="TextBody"/>
        <w:bidi w:val="0"/>
        <w:jc w:val="left"/>
        <w:rPr>
          <w:rFonts w:ascii="Times New Roman" w:hAnsi="Times New Roman"/>
          <w:color w:val="000000"/>
          <w:sz w:val="16"/>
        </w:rPr>
      </w:pPr>
      <w:r>
        <w:rPr>
          <w:rFonts w:ascii="Times New Roman" w:hAnsi="Times New Roman"/>
          <w:color w:val="000000"/>
          <w:sz w:val="16"/>
        </w:rPr>
        <w:t>(2) Portfolio company debt investment was not held as of December 31, 2023.</w:t>
      </w:r>
    </w:p>
    <w:p>
      <w:pPr>
        <w:pStyle w:val="TextBody"/>
        <w:bidi w:val="0"/>
        <w:jc w:val="left"/>
        <w:rPr>
          <w:rFonts w:ascii="Times New Roman" w:hAnsi="Times New Roman"/>
          <w:color w:val="000000"/>
          <w:sz w:val="16"/>
        </w:rPr>
      </w:pPr>
      <w:r>
        <w:rPr>
          <w:rFonts w:ascii="Times New Roman" w:hAnsi="Times New Roman"/>
          <w:color w:val="000000"/>
          <w:sz w:val="16"/>
        </w:rPr>
        <w:t>(3) Portfolio company debt investment was not on non-accrual status as of December 31, 2023.</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Comparison of fiscal years ended December 31, 2023, 2022, and 2021</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investment income for the years ended December 31, 2023, 2022, and 2021, as well as a comparison of those periods year-over-year (dollars in millions, percent change calculated based on underlying dollar amounts in thousands):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36"/>
        <w:gridCol w:w="146"/>
        <w:gridCol w:w="196"/>
        <w:gridCol w:w="511"/>
        <w:gridCol w:w="146"/>
        <w:gridCol w:w="146"/>
        <w:gridCol w:w="196"/>
        <w:gridCol w:w="421"/>
        <w:gridCol w:w="146"/>
        <w:gridCol w:w="146"/>
        <w:gridCol w:w="196"/>
        <w:gridCol w:w="421"/>
        <w:gridCol w:w="146"/>
        <w:gridCol w:w="146"/>
        <w:gridCol w:w="267"/>
        <w:gridCol w:w="574"/>
        <w:gridCol w:w="166"/>
        <w:gridCol w:w="146"/>
        <w:gridCol w:w="234"/>
        <w:gridCol w:w="824"/>
        <w:gridCol w:w="295"/>
        <w:gridCol w:w="146"/>
        <w:gridCol w:w="280"/>
        <w:gridCol w:w="561"/>
        <w:gridCol w:w="166"/>
        <w:gridCol w:w="146"/>
        <w:gridCol w:w="245"/>
        <w:gridCol w:w="813"/>
        <w:gridCol w:w="343"/>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 vs. 2021</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both"/>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 Change </w:t>
            </w:r>
            <w:r>
              <w:rPr>
                <w:rFonts w:ascii="Times New Roman" w:hAnsi="Times New Roman"/>
                <w:b/>
                <w:color w:val="000000"/>
                <w:sz w:val="12"/>
              </w:rPr>
              <w:t>(1)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both"/>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 Change </w:t>
            </w:r>
            <w:r>
              <w:rPr>
                <w:rFonts w:ascii="Times New Roman" w:hAnsi="Times New Roman"/>
                <w:b/>
                <w:color w:val="000000"/>
                <w:sz w:val="12"/>
              </w:rPr>
              <w:t>(1)</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6"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both"/>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3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6"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Payment-in-kind interest income</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7"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w:t>
            </w:r>
          </w:p>
        </w:tc>
        <w:tc>
          <w:tcPr>
            <w:tcW w:w="29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both"/>
              <w:rPr/>
            </w:pPr>
            <w:r>
              <w:rPr/>
              <w:t> </w:t>
            </w:r>
          </w:p>
        </w:tc>
        <w:tc>
          <w:tcPr>
            <w:tcW w:w="28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34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6"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Dividend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3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6"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Fee income</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7"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9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both"/>
              <w:rPr/>
            </w:pPr>
            <w:r>
              <w:rPr/>
              <w:t> </w:t>
            </w:r>
          </w:p>
        </w:tc>
        <w:tc>
          <w:tcPr>
            <w:tcW w:w="28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43"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36"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Interest on idle funds</w:t>
            </w:r>
          </w:p>
        </w:tc>
        <w:tc>
          <w:tcPr>
            <w:tcW w:w="146" w:type="dxa"/>
            <w:tcBorders/>
            <w:shd w:fill="FFFFFF" w:val="clear"/>
            <w:vAlign w:val="center"/>
          </w:tcPr>
          <w:p>
            <w:pPr>
              <w:pStyle w:val="TableContents"/>
              <w:bidi w:val="0"/>
              <w:spacing w:before="0" w:after="283"/>
              <w:jc w:val="both"/>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both"/>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36"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CCEEFF" w:val="clear"/>
            <w:vAlign w:val="center"/>
          </w:tcPr>
          <w:p>
            <w:pPr>
              <w:pStyle w:val="TableContents"/>
              <w:bidi w:val="0"/>
              <w:spacing w:before="0" w:after="283"/>
              <w:jc w:val="both"/>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both"/>
              <w:rPr/>
            </w:pPr>
            <w:r>
              <w:rPr/>
              <w:t> </w:t>
            </w:r>
          </w:p>
        </w:tc>
        <w:tc>
          <w:tcPr>
            <w:tcW w:w="28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2023, total investment income was $130.1 million, an increase of $36.0 million or 38.2%, from the $94.1 million of total investment income for the year ended December 31, 2022.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$32.5 million increase in total interest income (which includes a $4.9 million increase in PIK interest income) resulting from an increase in average debt investment balances outstanding and a higher weighted average yield on debt investment balances outstanding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$0.4 million decrease in dividend income, during 2023 as compared to 2022, due to decreased levels of distributions received from equity investments.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$1.5 million increase in fee income resulting from an increase in origination, management, and prepayment fee income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$2.4 million increase in interest on idle funds due to an increase in average cash balances and the weighted average interest on cash balances outstanding during 2023 as compared to 2022.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2022, total investment income was $94.1 million, an increase of $3.7 million or 4.1%, from the $90.4 million of total investment income for the year ended December 31, 2021. As reflected in the table above, the increase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$6.6 million increase in total interest income (which includes a $2.6 million decrease in payment-in-kind interest income) resulting from an increase in average debt investment balances outstanding and a higher weighted average yield on debt investment balances outstanding, partially offset by repayments of PIK debt investments and an increase in PIK investments on non-accrual,, during 2022 as compared to 2021.</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$1.0 million decrease in dividend income, during 2022 as compared to 2021, due to decreased levels of distributions received from equity investments.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$2.4 million decrease in fee income resulting from a decrease in origination, management, and prepayment fee income during 2022 as compared to 2021.</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years ended December 31, 2023, 2022, and 2021, as well as a comparison of those periods year-over-year (dollars in millions, percent change calculated based on underlying dollar amounts in thousands):</w:t>
      </w:r>
    </w:p>
    <w:tbl>
      <w:tblPr>
        <w:tblW w:w="10205" w:type="dxa"/>
        <w:jc w:val="left"/>
        <w:tblInd w:w="0" w:type="dxa"/>
        <w:tblLayout w:type="fixed"/>
        <w:tblCellMar>
          <w:top w:w="28" w:type="dxa"/>
          <w:left w:w="28" w:type="dxa"/>
          <w:bottom w:w="28" w:type="dxa"/>
          <w:right w:w="28" w:type="dxa"/>
        </w:tblCellMar>
      </w:tblPr>
      <w:tblGrid>
        <w:gridCol w:w="3341"/>
        <w:gridCol w:w="146"/>
        <w:gridCol w:w="181"/>
        <w:gridCol w:w="361"/>
        <w:gridCol w:w="151"/>
        <w:gridCol w:w="146"/>
        <w:gridCol w:w="181"/>
        <w:gridCol w:w="361"/>
        <w:gridCol w:w="151"/>
        <w:gridCol w:w="146"/>
        <w:gridCol w:w="181"/>
        <w:gridCol w:w="361"/>
        <w:gridCol w:w="151"/>
        <w:gridCol w:w="146"/>
        <w:gridCol w:w="220"/>
        <w:gridCol w:w="441"/>
        <w:gridCol w:w="151"/>
        <w:gridCol w:w="146"/>
        <w:gridCol w:w="186"/>
        <w:gridCol w:w="620"/>
        <w:gridCol w:w="239"/>
        <w:gridCol w:w="146"/>
        <w:gridCol w:w="203"/>
        <w:gridCol w:w="458"/>
        <w:gridCol w:w="151"/>
        <w:gridCol w:w="146"/>
        <w:gridCol w:w="186"/>
        <w:gridCol w:w="620"/>
        <w:gridCol w:w="288"/>
      </w:tblGrid>
      <w:tr>
        <w:trPr/>
        <w:tc>
          <w:tcPr>
            <w:tcW w:w="3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34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2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Years Ended December 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 vs. 2022</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 vs. 2021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both"/>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 Change </w:t>
            </w:r>
            <w:r>
              <w:rPr>
                <w:rFonts w:ascii="Times New Roman" w:hAnsi="Times New Roman"/>
                <w:b/>
                <w:color w:val="000000"/>
                <w:sz w:val="9"/>
              </w:rPr>
              <w:t>(1)</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both"/>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 Change </w:t>
            </w:r>
            <w:r>
              <w:rPr>
                <w:rFonts w:ascii="Times New Roman" w:hAnsi="Times New Roman"/>
                <w:b/>
                <w:color w:val="000000"/>
                <w:sz w:val="9"/>
              </w:rPr>
              <w:t>(1)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1" w:type="dxa"/>
            <w:tcBorders/>
            <w:shd w:fill="FFFF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Interest and financing expenses</w:t>
            </w:r>
          </w:p>
        </w:tc>
        <w:tc>
          <w:tcPr>
            <w:tcW w:w="146" w:type="dxa"/>
            <w:tcBorders/>
            <w:shd w:fill="FFFFFF" w:val="clear"/>
            <w:vAlign w:val="center"/>
          </w:tcPr>
          <w:p>
            <w:pPr>
              <w:pStyle w:val="TableContents"/>
              <w:bidi w:val="0"/>
              <w:spacing w:before="0" w:after="283"/>
              <w:jc w:val="both"/>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2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Base management fee</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239"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both"/>
              <w:rPr/>
            </w:pPr>
            <w:r>
              <w:rPr/>
              <w:t> </w:t>
            </w:r>
          </w:p>
        </w:tc>
        <w:tc>
          <w:tcPr>
            <w:tcW w:w="203"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28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FFFF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Incentive fee - income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98.7</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2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Incentive fee - capital gains</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(656.7</w:t>
            </w:r>
          </w:p>
        </w:tc>
        <w:tc>
          <w:tcPr>
            <w:tcW w:w="239"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both"/>
              <w:rPr/>
            </w:pPr>
            <w:r>
              <w:rPr/>
              <w:t> </w:t>
            </w:r>
          </w:p>
        </w:tc>
        <w:tc>
          <w:tcPr>
            <w:tcW w:w="203"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w:t>
            </w:r>
          </w:p>
        </w:tc>
        <w:tc>
          <w:tcPr>
            <w:tcW w:w="15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28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FFFF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Administrative service expenses</w:t>
            </w:r>
          </w:p>
        </w:tc>
        <w:tc>
          <w:tcPr>
            <w:tcW w:w="146" w:type="dxa"/>
            <w:tcBorders/>
            <w:shd w:fill="FFFFFF" w:val="clear"/>
            <w:vAlign w:val="center"/>
          </w:tcPr>
          <w:p>
            <w:pPr>
              <w:pStyle w:val="TableContents"/>
              <w:bidi w:val="0"/>
              <w:spacing w:before="0" w:after="283"/>
              <w:jc w:val="both"/>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w:t>
            </w:r>
          </w:p>
        </w:tc>
        <w:tc>
          <w:tcPr>
            <w:tcW w:w="23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2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Professional fees</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w:t>
            </w:r>
          </w:p>
        </w:tc>
        <w:tc>
          <w:tcPr>
            <w:tcW w:w="239"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both"/>
              <w:rPr/>
            </w:pPr>
            <w:r>
              <w:rPr/>
              <w:t> </w:t>
            </w:r>
          </w:p>
        </w:tc>
        <w:tc>
          <w:tcPr>
            <w:tcW w:w="203"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28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FFFF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Other general and administrative expenses</w:t>
            </w:r>
          </w:p>
        </w:tc>
        <w:tc>
          <w:tcPr>
            <w:tcW w:w="146" w:type="dxa"/>
            <w:tcBorders/>
            <w:shd w:fill="FFFFFF" w:val="cle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both"/>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expenses, before base management fee waiver</w:t>
            </w:r>
          </w:p>
        </w:tc>
        <w:tc>
          <w:tcPr>
            <w:tcW w:w="146" w:type="dxa"/>
            <w:tcBorders/>
            <w:shd w:fill="CCEEFF" w:val="clear"/>
            <w:vAlign w:val="center"/>
          </w:tcPr>
          <w:p>
            <w:pPr>
              <w:pStyle w:val="TableContents"/>
              <w:bidi w:val="0"/>
              <w:spacing w:before="0" w:after="283"/>
              <w:jc w:val="both"/>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w:t>
            </w:r>
          </w:p>
        </w:tc>
        <w:tc>
          <w:tcPr>
            <w:tcW w:w="239"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5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28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FFFFFF" w:val="clear"/>
            <w:vAlign w:val="center"/>
          </w:tcPr>
          <w:p>
            <w:pPr>
              <w:pStyle w:val="TableContents"/>
              <w:bidi w:val="0"/>
              <w:spacing w:before="0" w:after="283"/>
              <w:jc w:val="both"/>
              <w:rPr>
                <w:rFonts w:ascii="Times New Roman" w:hAnsi="Times New Roman"/>
                <w:color w:val="000000"/>
                <w:sz w:val="14"/>
              </w:rPr>
            </w:pPr>
            <w:r>
              <w:rPr>
                <w:rFonts w:ascii="Times New Roman" w:hAnsi="Times New Roman"/>
                <w:color w:val="000000"/>
                <w:sz w:val="14"/>
              </w:rPr>
              <w:t>Base management fee waiver</w:t>
            </w:r>
          </w:p>
        </w:tc>
        <w:tc>
          <w:tcPr>
            <w:tcW w:w="146" w:type="dxa"/>
            <w:tcBorders/>
            <w:shd w:fill="FFFFFF" w:val="cle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NM</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expenses, net of base management fee waiver before income tax provision</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c>
          <w:tcPr>
            <w:tcW w:w="239"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w:t>
            </w:r>
          </w:p>
        </w:tc>
        <w:tc>
          <w:tcPr>
            <w:tcW w:w="15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right"/>
              <w:rPr/>
            </w:pPr>
            <w:r>
              <w:rPr/>
              <w:t> </w:t>
            </w:r>
          </w:p>
        </w:tc>
        <w:tc>
          <w:tcPr>
            <w:tcW w:w="18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288"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Income tax provision</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341"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expenses, including income tax provision</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w:t>
            </w:r>
          </w:p>
        </w:tc>
        <w:tc>
          <w:tcPr>
            <w:tcW w:w="2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sz w:val="20"/>
        </w:rPr>
      </w:pPr>
      <w:r>
        <w:rPr>
          <w:rFonts w:ascii="Times New Roman" w:hAnsi="Times New Roman"/>
          <w:color w:val="000000"/>
          <w:sz w:val="16"/>
        </w:rPr>
        <w:t>(2) Percent change calculated based on underlying dollar amounts in thousands as presented on the consolidated statements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2023, total expenses, including income tax provision, were $65.0 million, an increase of $17.4 million or 36.6%, from the $47.6 million of total expenses, including income tax provision, for the year ended December 31, 2022. As reflected in the table above, the decrease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$4.0 million increase in interest and financing expenses due an increase in SBA debentures outstanding in 2023 and an increase in weighted average interest rate on borrowings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$1.7 million net increase in base management fee, including the base management fee waiver, due to higher average total assets during 2023 as compared to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$8.2 million net increase in the income incentive fee due to an increase in pre-incentive fee income during 2023, as compared to the same period in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$2.8 million increase in the capital gains incentive fee due to a $22.6 million increase in net gain on investments (net realized gains (losses) plus net change in unrealized appreciation (depreciation) on investments) during 2023, as compared to the same period in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increase in professional fees due to increased legal costs related to dead deal expenses and the equity at-the-market offering (the “ATM Program”), as well as increased audit and valuation expenses during 2023 as compared to 2022.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2022, total expenses, including income tax provision, were $47.6 million, a decrease of $17.7 million or 27.2%, from the $65.3 million of total expenses, including income tax provision, for the year ended December 31, 2021. As reflected in the table above, the decrease is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$0.5 million decrease in interest and financing expenses due to the redemption of the higher interest bearing February 2024 Notes (as defined below) and November 2024 Notes (as defined below) and duplicative interest expense in the first quarter of 2021, partially offset by an increase in SBA debentures outstanding in 2022 and an increase in weighted average interest rate on borrowings, during 2022 as compared to 2021.</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$1.7 million net increase in base management fee, including the base management fee waiver due to higher average total assets.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$2.0 million net decrease in the income incentive fee due to excess cash from repayments that had not yet been reinvested in yielding assets resulting in being in the ‘catch-up’ portion of the income incentive fee during the first half of 2022.</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$18.6 million decrease in the capital gains incentive fee due to a $97.1 million decrease in net gain on investments (net realized gains (losses) plus net change in unrealized appreciation (depreciation) on investments) during 2022, as compared to the same period in 2021.</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$0.6 million increase in professional fees due to increased legal costs for the ATM Program, as well as increased audit and tax compliance expenses during 2022 as compared to 2021, some of which is timing related to expenses for the 2022 audit and tax returns.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investment income was $65.1 million, $46.5 million, and $25.1 million for the years ended December 31, 2023, 2022, and 2021,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investment income increased by $18.6 million, or 39.9%, during fiscal 2023 as compared to fiscal 2022, as a result of the $36.0 million increase in total investment income, partially offset by the $17.4 million increase in total expenses, including the base management fee waivers and income tax provision.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investment income increased by $21.4 million, or 85.3%, during fiscal 2022 as compared to fiscal 2021, as a result of the $17.7 million decrease in total expenses, including the base management fee waiver and income tax provision, and the $3.7 million increase in total investment income.</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year ended December 31, 2023, the total net realized gain/(loss) on investments, before income tax (provision)/benefit, was $24.1 million. Income tax (provision)/benefit from realized gains on investments was $(1.7) million for the year ended December 31, 2023. We realize a gain/(loss) on our equity investments primarily when we either sell our equity investment or the underlying portfolio company is sold. Significant realized gains (losses) for the year ended December 31, 2023 are summarized below (dollars in millions):</w:t>
      </w:r>
    </w:p>
    <w:tbl>
      <w:tblPr>
        <w:tblW w:w="9115" w:type="dxa"/>
        <w:jc w:val="left"/>
        <w:tblInd w:w="0" w:type="dxa"/>
        <w:tblLayout w:type="fixed"/>
        <w:tblCellMar>
          <w:top w:w="28" w:type="dxa"/>
          <w:left w:w="28" w:type="dxa"/>
          <w:bottom w:w="28" w:type="dxa"/>
          <w:right w:w="28" w:type="dxa"/>
        </w:tblCellMar>
      </w:tblPr>
      <w:tblGrid>
        <w:gridCol w:w="5026"/>
        <w:gridCol w:w="146"/>
        <w:gridCol w:w="2356"/>
        <w:gridCol w:w="146"/>
        <w:gridCol w:w="356"/>
        <w:gridCol w:w="874"/>
        <w:gridCol w:w="2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Realized</w:t>
            </w:r>
          </w:p>
        </w:tc>
        <w:tc>
          <w:tcPr>
            <w:tcW w:w="211" w:type="dxa"/>
            <w:tcBorders/>
            <w:shd w:fill="FFFFFF" w:val="clear"/>
            <w:vAlign w:val="center"/>
          </w:tcPr>
          <w:p>
            <w:pPr>
              <w:pStyle w:val="TableContents"/>
              <w:bidi w:val="0"/>
              <w:spacing w:before="0" w:after="283"/>
              <w:jc w:val="center"/>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Realization Event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Gains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Tranzonic Companies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Rhino Assembly Company,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ECM Industries,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Frontline Food Services, LLC </w:t>
              <w:br/>
              <w:t>(f/k/a Accent Food Services,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EBL, LLC (EbLens)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FAR Research Inc.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Ipro Tech,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Hallmark Health Care Solutions, Inc.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Partial sale of equity investment</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K2 Merger Agreement Agent, LLC (fka K2 Industrial Services, Inc.)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NGT Acquisition Holdings, LLC (dba Techniks Industries)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Power Grid Components, Inc.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Road Safety Services, Inc.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Mirage Trailers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Aeronix Inc.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11" w:type="dxa"/>
            <w:tcBorders/>
            <w:shd w:fill="FFFFFF" w:val="cle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Comply365,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Partial sale of equity investment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Oaktree Medical Centre, P.C. (dba Pain Management Associates)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211" w:type="dxa"/>
            <w:tcBorders/>
            <w:shd w:fill="CFF0FC"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 from realized gains on investments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net of income tax provision, on investments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w:t>
      </w:r>
      <w:r>
        <w:rPr>
          <w:rFonts w:ascii="Times New Roman" w:hAnsi="Times New Roman"/>
          <w:color w:val="000000"/>
          <w:sz w:val="16"/>
        </w:rPr>
        <w:t>1) 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r>
        <w:rPr>
          <w:rFonts w:ascii="Times New Roman" w:hAnsi="Times New Roman"/>
          <w:color w:val="000000"/>
          <w:sz w:val="20"/>
        </w:rPr>
        <w:t xml:space="preserv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year ended December 31, 2022, the total net realized gain/(loss) on investments, before income tax (provision)/benefit was $65.6 million. Income tax (provision)/benefit from realized gains on investments was $(1.8) million for the year ended December 31, 2022. We realize a gain/(loss) on our equity investments primarily when we either sell our equity investment or the underlying portfolio company is sold. Significant realized gains (losses) for the year ended December 31, 2022 are summarized below (dollars in millions):</w:t>
      </w:r>
    </w:p>
    <w:tbl>
      <w:tblPr>
        <w:tblW w:w="9025" w:type="dxa"/>
        <w:jc w:val="left"/>
        <w:tblInd w:w="0" w:type="dxa"/>
        <w:tblLayout w:type="fixed"/>
        <w:tblCellMar>
          <w:top w:w="28" w:type="dxa"/>
          <w:left w:w="28" w:type="dxa"/>
          <w:bottom w:w="28" w:type="dxa"/>
          <w:right w:w="28" w:type="dxa"/>
        </w:tblCellMar>
      </w:tblPr>
      <w:tblGrid>
        <w:gridCol w:w="4936"/>
        <w:gridCol w:w="146"/>
        <w:gridCol w:w="2356"/>
        <w:gridCol w:w="146"/>
        <w:gridCol w:w="389"/>
        <w:gridCol w:w="84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Realized</w:t>
            </w:r>
          </w:p>
        </w:tc>
        <w:tc>
          <w:tcPr>
            <w:tcW w:w="211" w:type="dxa"/>
            <w:tcBorders/>
            <w:shd w:fill="FFFFFF" w:val="clear"/>
            <w:vAlign w:val="center"/>
          </w:tcPr>
          <w:p>
            <w:pPr>
              <w:pStyle w:val="TableContents"/>
              <w:bidi w:val="0"/>
              <w:spacing w:before="0" w:after="283"/>
              <w:jc w:val="center"/>
              <w:rPr/>
            </w:pPr>
            <w:r>
              <w:rPr/>
              <w:t> </w:t>
            </w:r>
          </w:p>
        </w:tc>
      </w:tr>
      <w:tr>
        <w:trPr/>
        <w:tc>
          <w:tcPr>
            <w:tcW w:w="4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Realization Event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Gains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Pfanstiehl, Inc.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Partial sale of equity investment</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Pinnergy, Ltd.</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equity investment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SES Investors, LLC (dba SES Foam)</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SpendMend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Bandon Fitness (Texas), Inc.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TransGo,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Palisade Company,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Midwest Transit Equipment, Inc.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Tranzonic Companies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AVC Investors, LLC (dba Auveco)</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OMC Investors, LLC (dba Ohio Medical Corporation)</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CRS Solutions Holdings, LLC (dba CRS Texas)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Mirage Trailers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Frontline Food Services, LLC </w:t>
              <w:br/>
              <w:t>(f/k/a Accent Food Services,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FDS Avionics Corp.</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liability release</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Mesa Line Services,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Management Solutions, LLC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CFF0FC"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Pool &amp; Electrical Products, LLC</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Spectra A&amp;D Acquisition, Inc. (fka FDS Avionics Corp.)</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Escrow distribution</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Hilco Plastics Holdings, LLC (dba Hilco Technologies)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Xeeva, Inc.</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benefit from realized gains on investments</w:t>
            </w:r>
          </w:p>
        </w:tc>
        <w:tc>
          <w:tcPr>
            <w:tcW w:w="146" w:type="dxa"/>
            <w:tcBorders/>
            <w:shd w:fill="CFF0FC" w:val="clear"/>
            <w:vAlign w:val="center"/>
          </w:tcPr>
          <w:p>
            <w:pPr>
              <w:pStyle w:val="TableContents"/>
              <w:bidi w:val="0"/>
              <w:spacing w:before="0" w:after="283"/>
              <w:jc w:val="left"/>
              <w:rPr/>
            </w:pPr>
            <w:r>
              <w:rPr/>
              <w:t> </w:t>
            </w:r>
          </w:p>
        </w:tc>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net of income tax provision, on investments</w:t>
            </w:r>
          </w:p>
        </w:tc>
        <w:tc>
          <w:tcPr>
            <w:tcW w:w="146" w:type="dxa"/>
            <w:tcBorders/>
            <w:shd w:fill="FFFFFF" w:val="clear"/>
            <w:vAlign w:val="center"/>
          </w:tcPr>
          <w:p>
            <w:pPr>
              <w:pStyle w:val="TableContents"/>
              <w:bidi w:val="0"/>
              <w:spacing w:before="0" w:after="283"/>
              <w:jc w:val="left"/>
              <w:rPr/>
            </w:pPr>
            <w:r>
              <w:rPr/>
              <w:t> </w:t>
            </w:r>
          </w:p>
        </w:tc>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20"/>
        </w:rPr>
        <w:t xml:space="preserve"> </w:t>
      </w: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r>
        <w:rPr>
          <w:rFonts w:ascii="Times New Roman" w:hAnsi="Times New Roman"/>
          <w:color w:val="000000"/>
          <w:sz w:val="20"/>
        </w:rPr>
        <w:t xml:space="preserv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year ended December 31, 2021, the total net realized gain/(loss) on investments, before income tax (provision)/benefit was $55.8 million. Income tax (provision)/benefit from realized gains on investments was $(2.1) million for the year ended December 31, 2021. We realize a gain/(loss) on our equity investments primarily when we either sell our equity investment or the underlying portfolio company is sold. Significant realized gains (losses) for the year ended December 31, 2021 are summarized below (dollars in millions):</w:t>
      </w:r>
    </w:p>
    <w:tbl>
      <w:tblPr>
        <w:tblW w:w="8620" w:type="dxa"/>
        <w:jc w:val="left"/>
        <w:tblInd w:w="0" w:type="dxa"/>
        <w:tblLayout w:type="fixed"/>
        <w:tblCellMar>
          <w:top w:w="28" w:type="dxa"/>
          <w:left w:w="28" w:type="dxa"/>
          <w:bottom w:w="28" w:type="dxa"/>
          <w:right w:w="28" w:type="dxa"/>
        </w:tblCellMar>
      </w:tblPr>
      <w:tblGrid>
        <w:gridCol w:w="4936"/>
        <w:gridCol w:w="146"/>
        <w:gridCol w:w="1951"/>
        <w:gridCol w:w="146"/>
        <w:gridCol w:w="389"/>
        <w:gridCol w:w="841"/>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Realized</w:t>
            </w:r>
          </w:p>
        </w:tc>
        <w:tc>
          <w:tcPr>
            <w:tcW w:w="211" w:type="dxa"/>
            <w:tcBorders/>
            <w:shd w:fill="FFFFFF" w:val="clear"/>
            <w:vAlign w:val="center"/>
          </w:tcPr>
          <w:p>
            <w:pPr>
              <w:pStyle w:val="TableContents"/>
              <w:bidi w:val="0"/>
              <w:spacing w:before="0" w:after="283"/>
              <w:jc w:val="center"/>
              <w:rPr/>
            </w:pPr>
            <w:r>
              <w:rPr/>
              <w:t> </w:t>
            </w:r>
          </w:p>
        </w:tc>
      </w:tr>
      <w:tr>
        <w:trPr/>
        <w:tc>
          <w:tcPr>
            <w:tcW w:w="4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Realization Event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Gains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Mesa Line Services, LLC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Pool &amp; Electrical Products, LLC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Management Solutions, LLC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LNG Indy, LLC (dba Kinetrex Energy)</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Worldwide Express Operations, LLC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BCM One Group Holdings, Inc.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Wheel Pros, Inc.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Alzheimer's Research and Treatment Center, LLC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Allied 100 Group, Inc.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 Technology, LLC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Specialized Elevator Services Holdings, LLC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Spectra A&amp;D Acquisition, Inc. (fka FDS Avionics Corp.)</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Rohrer Corporation</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B&amp;B Roadway and Security Solutions, LLC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Fiber Materials, Inc.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Era Technology, Inc.</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CCEEFF" w:val="clear"/>
            <w:vAlign w:val="center"/>
          </w:tcPr>
          <w:p>
            <w:pPr>
              <w:pStyle w:val="TableContents"/>
              <w:bidi w:val="0"/>
              <w:spacing w:before="0" w:after="283"/>
              <w:jc w:val="left"/>
              <w:rPr/>
            </w:pPr>
            <w:r>
              <w:rPr/>
              <w:t> </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Pugh Lubricants, LLC</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of portfolio company</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Hilco Plastics Holdings, LLC (dba Hilco Technologies)</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Exit of portfolio company</w:t>
            </w:r>
          </w:p>
        </w:tc>
        <w:tc>
          <w:tcPr>
            <w:tcW w:w="146" w:type="dxa"/>
            <w:tcBorders/>
            <w:shd w:fill="CCEEFF" w:val="clear"/>
            <w:vAlign w:val="center"/>
          </w:tcPr>
          <w:p>
            <w:pPr>
              <w:pStyle w:val="TableContents"/>
              <w:bidi w:val="0"/>
              <w:spacing w:before="0" w:after="283"/>
              <w:jc w:val="left"/>
              <w:rPr/>
            </w:pPr>
            <w:r>
              <w:rPr/>
              <w:t> </w:t>
            </w:r>
          </w:p>
        </w:tc>
        <w:tc>
          <w:tcPr>
            <w:tcW w:w="3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211" w:type="dxa"/>
            <w:tcBorders/>
            <w:shd w:fill="FFFFFF" w:val="clear"/>
            <w:vAlign w:val="center"/>
          </w:tcPr>
          <w:p>
            <w:pPr>
              <w:pStyle w:val="TableContents"/>
              <w:bidi w:val="0"/>
              <w:spacing w:before="0" w:after="283"/>
              <w:jc w:val="left"/>
              <w:rPr/>
            </w:pPr>
            <w:r>
              <w:rPr/>
              <w:t> </w:t>
            </w:r>
          </w:p>
        </w:tc>
      </w:tr>
      <w:tr>
        <w:trPr/>
        <w:tc>
          <w:tcPr>
            <w:tcW w:w="493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 from realized gains on investments</w:t>
            </w:r>
          </w:p>
        </w:tc>
        <w:tc>
          <w:tcPr>
            <w:tcW w:w="146" w:type="dxa"/>
            <w:tcBorders/>
            <w:shd w:fill="CCEEFF" w:val="clear"/>
            <w:vAlign w:val="center"/>
          </w:tcPr>
          <w:p>
            <w:pPr>
              <w:pStyle w:val="TableContents"/>
              <w:bidi w:val="0"/>
              <w:spacing w:before="0" w:after="283"/>
              <w:jc w:val="left"/>
              <w:rPr/>
            </w:pPr>
            <w:r>
              <w:rPr/>
              <w:t> </w:t>
            </w:r>
          </w:p>
        </w:tc>
        <w:tc>
          <w:tcPr>
            <w:tcW w:w="19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(loss), net of income tax provision, on investments</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(1</w:t>
      </w:r>
      <w:r>
        <w:rPr>
          <w:rFonts w:ascii="Times New Roman" w:hAnsi="Times New Roman"/>
          <w:color w:val="000000"/>
          <w:sz w:val="16"/>
        </w:rPr>
        <w:t>) As it relates to realization events, we define an 'exit' of a portfolio company as situations where we have completely exited our position in all of the portfolio company's securities and no longer carry the portfolio company on our consolidated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 We define a 'partial sale' of a portfolio company, as situations where the underlying operations of a portfolio company have been sold, but where we retain a residual ownership interest in the new acquiring entity.</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years ended December 31, 2023, 2022, and 2021, we recorded a net change in unrealized appreciation (depreciation) on investments attributable to the following (dollars in millions):</w:t>
      </w:r>
    </w:p>
    <w:tbl>
      <w:tblPr>
        <w:tblW w:w="7528" w:type="dxa"/>
        <w:jc w:val="left"/>
        <w:tblInd w:w="0" w:type="dxa"/>
        <w:tblLayout w:type="fixed"/>
        <w:tblCellMar>
          <w:top w:w="28" w:type="dxa"/>
          <w:left w:w="28" w:type="dxa"/>
          <w:bottom w:w="28" w:type="dxa"/>
          <w:right w:w="28" w:type="dxa"/>
        </w:tblCellMar>
      </w:tblPr>
      <w:tblGrid>
        <w:gridCol w:w="4396"/>
        <w:gridCol w:w="146"/>
        <w:gridCol w:w="211"/>
        <w:gridCol w:w="526"/>
        <w:gridCol w:w="166"/>
        <w:gridCol w:w="146"/>
        <w:gridCol w:w="211"/>
        <w:gridCol w:w="526"/>
        <w:gridCol w:w="166"/>
        <w:gridCol w:w="146"/>
        <w:gridCol w:w="211"/>
        <w:gridCol w:w="46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27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CEE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Exit, sale or restructuring of investments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Fair value adjustments to debt investments</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CEE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Fair value adjustments to equity investments</w:t>
            </w:r>
          </w:p>
        </w:tc>
        <w:tc>
          <w:tcPr>
            <w:tcW w:w="146" w:type="dxa"/>
            <w:tcBorders/>
            <w:shd w:fill="CCEEFF" w:val="clear"/>
            <w:vAlign w:val="center"/>
          </w:tcPr>
          <w:p>
            <w:pPr>
              <w:pStyle w:val="TableContents"/>
              <w:bidi w:val="0"/>
              <w:spacing w:before="0" w:after="283"/>
              <w:jc w:val="both"/>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Net change in unrealized appreciation (depreciation)</w:t>
            </w:r>
          </w:p>
        </w:tc>
        <w:tc>
          <w:tcPr>
            <w:tcW w:w="146" w:type="dxa"/>
            <w:tcBorders/>
            <w:shd w:fill="FFFFFF" w:val="clear"/>
            <w:vAlign w:val="center"/>
          </w:tcPr>
          <w:p>
            <w:pPr>
              <w:pStyle w:val="TableContents"/>
              <w:bidi w:val="0"/>
              <w:spacing w:before="0" w:after="283"/>
              <w:jc w:val="both"/>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in net assets resulting from operations was $77.1 million, $35.8 million, and $116.1 million for the years ended December 31, 2023, 2022, and 2021, respectively, as a result of the events described above.</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we had $119.1 million in cash and cash equivalents and our net assets totaled $589.5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2023, we experienced a net increase in cash and cash equivalents in the amount of $56.7 million. During that period, we used $(29.5) million of cash from operating activities, which included proceeds received from sales and repayments of investments of $258.9 million, which were offset by the funding of $336.7 million of investments. During the same period, we received net proceeds from the ATM Program of $110.3 million and proceeds from the issuances of SBA debentures of $62.0 million, which were partially offset by repayments of SBA debentures of $5.0 million, cash dividends paid to stockholders of $78.3 million, and the payment of deferred financing costs related to our debt financings of $1.8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year ended December 31, 2022, we experienced a net decrease in cash and cash equivalents in the amount of $(107.1) million. During that period, we used $(105.5) million of cash from operating activities, which included proceeds received from sales and repayments of investments of $194.0 million, which were offset by the funding of $333.8 million of investments. During the same period, we received net proceeds from the ATM Program of $5.8 million and proceeds from the issuances of SBA debentures of $76.0 million, which were partially offset by repayments of SBA debentures of $30.0 million, cash dividends paid to stockholders of $49.1 million, and the payment of deferred financing costs related to our debt financings of $3.5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year ended December 31, 2021, we experienced a net increase in cash and cash equivalents in the amount of $45.1 million. During that period, we were provided $167.9 million of cash from operating activities, which included proceeds received from sales and repayments of investments of $472.8 million, which were partially offset by the funding of $346.7 million of investments. During the same period, we received proceeds from the issuances of SBA debentures of $23.5 million and proceeds from the issuance of our November 2026 Notes (as defined below) of $125.0 million; which were partially offset by repayments of Public Notes (as defined below) of $182.3 million, repayments of SBA debentures of $63.5 million, cash dividends paid to stockholders of $39.1 million, and the payment of deferred financing costs related to our debt financings of $4.0 million.</w:t>
      </w:r>
    </w:p>
    <w:p>
      <w:pPr>
        <w:pStyle w:val="TextBody"/>
        <w:bidi w:val="0"/>
        <w:spacing w:before="180" w:after="283"/>
        <w:jc w:val="both"/>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Funds are licensed to operate as SBICs,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December 31, 2023, Fund II and Fund III had $35.0 million and $175.0 million of outstanding SBA debentures, respectively. Fund II has commenced a wind-down plan and can no longer issue additional SBA debentures. Subject to SBA regulatory requirements and approval of an additional SBIC licensed fund, we may access up to $140.0 million of additional SBA debentures under the SBIC debenture program. The SBA may limit the amount that may be drawn each year under these commitments, and each issuance of leverage is conditioned on the Company's full compliance, as determined by the SBA, with the terms and conditions under SBA regulations. For more information on the SBA debentures, please refer to Note 6 to our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b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b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2023, we were in compliance in all material respects with the terms of the Credit Agreement and there were no borrowings outstanding under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February 2, 2018, we closed the public offering of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$1.5 million and offering expenses of $0.4 million, were $48.1 million. On January 19, 2021, we redeemed $50.0 million in the aggregate principal amount on the issued and outstanding 2023 Notes, resulting in a realized loss on extinguishment of debt of $0.8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February 8, 2019, we closed the public offering of $60.0 million in aggregate principal amount of our 6.000% notes due 2024, or the “February 2024 Notes”. On February 19, 2019, the underwriters exercised their option to purchase an additional $9.0 million in aggregate principal of the February 2024 Notes. The total net proceeds to us from the February 2024 Notes, including the exercise of the underwriters’ option, after deducting underwriting discounts of $2.1 million and offering expenses of $0.4 million, were $66.5 million. On February 16, 2021, the Company redeemed $50.0 million of the $69.0 million in aggregate principal amount on the February 2024 Notes, resulting in a realized loss on extinguishment of debt of $1.1 million. On November 2, 2021, we fully redeemed the remaining $19.0 million in aggregate principal amount on the issued and outstanding February 2024 Notes, resulting in a realized loss on extinguishment of debt of $0.3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16, 2019, we closed the public offering of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$1.9 million and offering expenses of $0.3 million, were $61.1 million. On November 2, 2021, we fully redeemed the $63.3 million in aggregate principal amount on the issued and outstanding November 2024 Notes, resulting in a realized loss on extinguishment of debt of $1.3 million.</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December 31, 2023, the outstanding principal balance of the January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or the “November 2026 Notes” (collectively with the January 2026 Notes, the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December 31, 2023,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the carrying value of secured borrowings totaled $15.9 million and the fair value of the associated loans included in investments was $15.8 million. As of December 31, 2022, carrying value of secured borrowings totaled $16.9 million and the fair value of the associated loans included in investments was $16.9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9.407% and 7.786% as of December 31, 2023 and 2022,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the weighted average stated interest rates for our SBA debentures and Notes were 4.226% and 4.125%, respectively. As of December 31, 2023, we had $100.0 million of unutilized commitment under our Credit Facility and we were subject to a 1.261% fee on such amount. As of December 31, 2023, the weighted average stated interest rate on total debt outstanding was 4.346%.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independent directors, approved a minimum asset coverage ratio of 150% under Sections 18(a)(1) and 18(a)(2) of the 1940 Act,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8, 2023, our stockholders voted to allow us to sell or otherwise issue common stock at a price below net asset value per share for a period of one year ending on the earlier of June 8, 2024 or the date of our 2024 Annual Meeting of Stockholders. Our stockholders specified that the cumulative number of shares sold in each offering during the one-year period ending on the earlier of June 8, 2024 or the date of our 2024 Annual Meeting of Stockholders may not exceed 25% of our outstanding common stock immediately prior to each such sale.</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Cumulative to date, the Company has sold 5,970,743 shares of common stock under the ATM Program at a weighted-average price of $19.72, raising $117.8 million of gross proceeds. Net proceeds were $116.2 million after commissions to the sales agents on sales sold. As of December 31, 2023, the Company had $32.2 million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30, 2023, the Board extended the Stock Repurchase Program through December 31, 2024,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years ended December 31, 2023, 2022, and 2021. Refer to Note 8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tc>
      </w:tr>
    </w:tbl>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18 and 16 of our portfolio company investments representing 29.9% and 29.5% of the total portfolio investments at fair value (exclusive of new portfolio company investments made during the three months ended December 31, 2023 and 2022, respectively) as of December 31, 2023 and 2022,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Investments and related investment income.</w:t>
      </w:r>
      <w:r>
        <w:rPr>
          <w:rFonts w:ascii="Times New Roman" w:hAnsi="Times New Roman"/>
          <w:color w:val="000000"/>
          <w:sz w:val="20"/>
        </w:rPr>
        <w:t xml:space="preserve"> 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Interest and dividend income are recorded on the accrual basis to the extent that we expect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PIK income.</w:t>
      </w:r>
      <w:r>
        <w:rPr>
          <w:rFonts w:ascii="Times New Roman" w:hAnsi="Times New Roman"/>
          <w:color w:val="000000"/>
          <w:sz w:val="20"/>
        </w:rPr>
        <w:t xml:space="preserve"> Certain of our investments contain a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pStyle w:val="TextBody"/>
        <w:bidi w:val="0"/>
        <w:spacing w:before="180" w:after="283"/>
        <w:jc w:val="both"/>
        <w:rPr>
          <w:rFonts w:ascii="Times New Roman" w:hAnsi="Times New Roman"/>
          <w:sz w:val="20"/>
        </w:rPr>
      </w:pPr>
      <w:r>
        <w:rPr>
          <w:rFonts w:ascii="Times New Roman" w:hAnsi="Times New Roman"/>
          <w:i/>
          <w:color w:val="000000"/>
          <w:sz w:val="20"/>
        </w:rPr>
        <w:t>Non-accrual.</w:t>
      </w:r>
      <w:r>
        <w:rPr>
          <w:rFonts w:ascii="Times New Roman" w:hAnsi="Times New Roman"/>
          <w:color w:val="000000"/>
          <w:sz w:val="20"/>
        </w:rPr>
        <w:t xml:space="preserve">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xml:space="preserve"> In connection with our debt investments, we will sometimes receive warrants or other equity-related securities (Warrants). We 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xml:space="preserve"> 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both"/>
              <w:rPr/>
            </w:pPr>
            <w:r>
              <w:rPr/>
              <w:t> </w:t>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180"/>
              <w:jc w:val="both"/>
              <w:rPr>
                <w:rFonts w:ascii="Times New Roman" w:hAnsi="Times New Roman"/>
                <w:color w:val="000000"/>
                <w:sz w:val="20"/>
              </w:rPr>
            </w:pPr>
            <w:r>
              <w:rPr>
                <w:rFonts w:ascii="Times New Roman" w:hAnsi="Times New Roman"/>
                <w:color w:val="000000"/>
                <w:sz w:val="20"/>
              </w:rPr>
              <w:t xml:space="preserve">We have entered into the Investment Advisory Agreement with Fidus Investment Advisors, LLC, as our investment advisor. Pursuant to the Investment Advisory Agreement, our investment advisor manages our day-to-day operating and investing activities. We pay our investment advisor a fee for its services under the Investment Advisory Agreement consisting of two components — a base management fee and an incentive fee. See Note 5 to our consolidated financial statements. </w:t>
            </w:r>
          </w:p>
        </w:tc>
      </w:tr>
      <w:tr>
        <w:trPr/>
        <w:tc>
          <w:tcPr>
            <w:tcW w:w="161" w:type="dxa"/>
            <w:tcBorders/>
            <w:vAlign w:val="center"/>
          </w:tcPr>
          <w:p>
            <w:pPr>
              <w:pStyle w:val="TableContents"/>
              <w:bidi w:val="0"/>
              <w:spacing w:before="0" w:after="283"/>
              <w:jc w:val="both"/>
              <w:rPr/>
            </w:pPr>
            <w:r>
              <w:rPr/>
              <w:t> </w:t>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180"/>
              <w:jc w:val="both"/>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tc>
      </w:tr>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180"/>
              <w:jc w:val="both"/>
              <w:rPr>
                <w:rFonts w:ascii="Times New Roman" w:hAnsi="Times New Roman"/>
                <w:color w:val="000000"/>
                <w:sz w:val="20"/>
              </w:rPr>
            </w:pPr>
            <w:r>
              <w:rPr>
                <w:rFonts w:ascii="Times New Roman" w:hAnsi="Times New Roman"/>
                <w:color w:val="000000"/>
                <w:sz w:val="20"/>
              </w:rPr>
              <w:t>We entered into the Administration Agreement with Fidus Investment Advisors, LLC to provide us with the office facilities and administrative services necessary to conduct day-to-day operations. See Note 5 to our consolidated financial statements.</w:t>
            </w:r>
          </w:p>
        </w:tc>
      </w:tr>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ableContents"/>
              <w:bidi w:val="0"/>
              <w:spacing w:before="0" w:after="283"/>
              <w:jc w:val="both"/>
              <w:rPr/>
            </w:pPr>
            <w:r>
              <w:rPr/>
              <w:t> </w:t>
            </w:r>
          </w:p>
        </w:tc>
      </w:tr>
      <w:tr>
        <w:trPr/>
        <w:tc>
          <w:tcPr>
            <w:tcW w:w="161" w:type="dxa"/>
            <w:tcBorders/>
            <w:vAlign w:val="center"/>
          </w:tcPr>
          <w:p>
            <w:pPr>
              <w:pStyle w:val="TableContents"/>
              <w:bidi w:val="0"/>
              <w:spacing w:before="0" w:after="283"/>
              <w:jc w:val="both"/>
              <w:rPr/>
            </w:pPr>
            <w:r>
              <w:rPr/>
              <w:t> </w:t>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vAlign w:val="center"/>
          </w:tcPr>
          <w:p>
            <w:pPr>
              <w:pStyle w:val="TableContents"/>
              <w:bidi w:val="0"/>
              <w:spacing w:before="0" w:after="283"/>
              <w:jc w:val="both"/>
              <w:rPr/>
            </w:pPr>
            <w:r>
              <w:rPr/>
              <w:t> </w:t>
            </w:r>
          </w:p>
        </w:tc>
        <w:tc>
          <w:tcPr>
            <w:tcW w:w="9789"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Investment Advisor, in consultation with the Board, agreed to voluntarily waive $0.3 million, $0.3 million, and $0.2 million of the base management fees on any assets accounted for as secured borrowings as defined under GAAP for the years ended December 31, 2023, 2022, and 2021 respectively.</w:t>
            </w:r>
          </w:p>
          <w:p>
            <w:pPr>
              <w:pStyle w:val="TableContents"/>
              <w:bidi w:val="0"/>
              <w:spacing w:before="0" w:after="283"/>
              <w:jc w:val="both"/>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January 3, 2024, we invested $5.0 million in first lien debt, $1.5 million in preferred equity, and committed up to $2.5 million in first lien debt of Janus Health Technologies, Inc., a leading provider of SaaS-based revenue cycle management solutions to healthcare systems and outsourced RCM service providers.</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January 8, 2024, we exited our debt and equity investments in Applied Data Corporation. We received payment in full of $21.5 million on our first lien debt, which included a prepayment fee. We received a distribution on our common and preferred equity investments for a realized gain of approximately $1.5 million.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13, 2024, our Board declared a regular quarterly dividend of $0.43 per share and a supplemental dividend of $0.22 per share payable March 27, 2024, to stockholders of record as of March 20, 2024.</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23, 2024, we invested $10.0 million in first lien debt, $0.5 million in common equity, and committed up to $1.0 million in first lien debt of a leading provider of professional food service sales and marketing service.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28, 2024, we repaid $35.0 million of SBA debentures with a weighted average interest rate of 3.187% which would have matured on dates ranging from March 2026 to September 2027.</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period from January 1, 2024, to February 28, 2024, we sold a total of 207,530 shares of our common stock under the ATM Program for gross proceeds of approximately $4.1 million and net proceeds of approximately $4.1 million, after deducting commissions to the sales agents on shares sold and offering expenses.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2" w:name="item_7a"/>
      <w:bookmarkEnd w:id="12"/>
      <w:r>
        <w:rPr>
          <w:rFonts w:ascii="Times New Roman" w:hAnsi="Times New Roman"/>
          <w:b/>
          <w:color w:val="000000"/>
          <w:sz w:val="20"/>
        </w:rPr>
        <w:t>Item 7A. Quantitative and Qualitative Disclosures About Market Risk.</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We are subject to financial market risks, including changes in interest rates. Changes in interest rates affect both our cost of funding and the valuation of our investment portfolio. Uncertainty with respect to the rising interest rates, inflationary pressures, </w:t>
      </w:r>
      <w:r>
        <w:rPr>
          <w:rFonts w:ascii="Times New Roman" w:hAnsi="Times New Roman"/>
          <w:color w:val="231F20"/>
          <w:sz w:val="20"/>
        </w:rPr>
        <w:t>the Russia-Ukraine war and the conflict in the Middle East</w:t>
      </w:r>
      <w:r>
        <w:rPr>
          <w:rFonts w:ascii="Times New Roman" w:hAnsi="Times New Roman"/>
          <w:color w:val="000000"/>
          <w:sz w:val="20"/>
        </w:rPr>
        <w:t xml:space="preserve">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 including the replacement of LIBOR with alternate rates and rising interest rates.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changes in alternate rates and prime rates, to the extent of any debt investments that include floating interest rates. Since March 2022, the Federal Reserve has been rapidly raising interest rates and has indicated that it may consider additional rate hikes in response to ongoing inflation concerns.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Item 1A. "Risk Factors – Changes in interest rates will affect our cost of capital and net investment income” and “Risk Factors –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and 2022, 46 and 43 portfolio companies’ debt investments, respectively, bore interest at a variable rate, which represented $629.3 million and $522.9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December 31, 2023 (dollars in millions):</w:t>
      </w:r>
    </w:p>
    <w:tbl>
      <w:tblPr>
        <w:tblW w:w="9664" w:type="dxa"/>
        <w:jc w:val="left"/>
        <w:tblInd w:w="0" w:type="dxa"/>
        <w:tblLayout w:type="fixed"/>
        <w:tblCellMar>
          <w:top w:w="28" w:type="dxa"/>
          <w:left w:w="28" w:type="dxa"/>
          <w:bottom w:w="28" w:type="dxa"/>
          <w:right w:w="28" w:type="dxa"/>
        </w:tblCellMar>
      </w:tblPr>
      <w:tblGrid>
        <w:gridCol w:w="691"/>
        <w:gridCol w:w="2069"/>
        <w:gridCol w:w="166"/>
        <w:gridCol w:w="146"/>
        <w:gridCol w:w="408"/>
        <w:gridCol w:w="1017"/>
        <w:gridCol w:w="166"/>
        <w:gridCol w:w="146"/>
        <w:gridCol w:w="499"/>
        <w:gridCol w:w="1001"/>
        <w:gridCol w:w="166"/>
        <w:gridCol w:w="146"/>
        <w:gridCol w:w="330"/>
        <w:gridCol w:w="825"/>
        <w:gridCol w:w="166"/>
        <w:gridCol w:w="146"/>
        <w:gridCol w:w="390"/>
        <w:gridCol w:w="975"/>
        <w:gridCol w:w="211"/>
      </w:tblGrid>
      <w:tr>
        <w:trPr/>
        <w:tc>
          <w:tcPr>
            <w:tcW w:w="691"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Expense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76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Increase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Investment</w:t>
            </w:r>
          </w:p>
        </w:tc>
        <w:tc>
          <w:tcPr>
            <w:tcW w:w="211" w:type="dxa"/>
            <w:tcBorders/>
            <w:shd w:fill="FFFFFF" w:val="clear"/>
            <w:vAlign w:val="center"/>
          </w:tcPr>
          <w:p>
            <w:pPr>
              <w:pStyle w:val="TableContents"/>
              <w:bidi w:val="0"/>
              <w:spacing w:before="0" w:after="283"/>
              <w:jc w:val="center"/>
              <w:rPr/>
            </w:pPr>
            <w:r>
              <w:rPr/>
              <w:t> </w:t>
            </w:r>
          </w:p>
        </w:tc>
      </w:tr>
      <w:tr>
        <w:trPr/>
        <w:tc>
          <w:tcPr>
            <w:tcW w:w="2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(Decrease) </w:t>
            </w:r>
            <w:r>
              <w:rPr>
                <w:rFonts w:ascii="Times New Roman" w:hAnsi="Times New Roman"/>
                <w:b/>
                <w:color w:val="000000"/>
                <w:sz w:val="13"/>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(Decrease) </w:t>
            </w:r>
            <w:r>
              <w:rPr>
                <w:rFonts w:ascii="Times New Roman" w:hAnsi="Times New Roman"/>
                <w:b/>
                <w:color w:val="000000"/>
                <w:sz w:val="13"/>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Income </w:t>
            </w:r>
            <w:r>
              <w:rPr>
                <w:rFonts w:ascii="Times New Roman" w:hAnsi="Times New Roman"/>
                <w:b/>
                <w:color w:val="000000"/>
                <w:sz w:val="13"/>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 w:type="dxa"/>
            <w:tcBorders/>
            <w:shd w:fill="FFFFFF" w:val="clear"/>
            <w:vAlign w:val="center"/>
          </w:tcPr>
          <w:p>
            <w:pPr>
              <w:pStyle w:val="TableContents"/>
              <w:bidi w:val="0"/>
              <w:spacing w:before="0" w:after="283"/>
              <w:jc w:val="left"/>
              <w:rPr/>
            </w:pPr>
            <w:r>
              <w:rPr/>
              <w:t> </w:t>
            </w:r>
          </w:p>
        </w:tc>
        <w:tc>
          <w:tcPr>
            <w:tcW w:w="2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 w:type="dxa"/>
            <w:tcBorders/>
            <w:shd w:fill="FFFFFF" w:val="clear"/>
            <w:vAlign w:val="center"/>
          </w:tcPr>
          <w:p>
            <w:pPr>
              <w:pStyle w:val="TableContents"/>
              <w:bidi w:val="0"/>
              <w:spacing w:before="0" w:after="283"/>
              <w:jc w:val="left"/>
              <w:rPr/>
            </w:pPr>
            <w:r>
              <w:rPr/>
              <w:t> </w:t>
            </w:r>
          </w:p>
        </w:tc>
        <w:tc>
          <w:tcPr>
            <w:tcW w:w="2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CCEEFF" w:val="clear"/>
            <w:vAlign w:val="center"/>
          </w:tcPr>
          <w:p>
            <w:pPr>
              <w:pStyle w:val="TableContents"/>
              <w:bidi w:val="0"/>
              <w:spacing w:before="0" w:after="283"/>
              <w:jc w:val="left"/>
              <w:rPr/>
            </w:pPr>
            <w:r>
              <w:rPr/>
              <w:t> </w:t>
            </w:r>
          </w:p>
        </w:tc>
      </w:tr>
      <w:tr>
        <w:trPr/>
        <w:tc>
          <w:tcPr>
            <w:tcW w:w="691" w:type="dxa"/>
            <w:tcBorders/>
            <w:shd w:fill="FFFFFF" w:val="clear"/>
            <w:vAlign w:val="center"/>
          </w:tcPr>
          <w:p>
            <w:pPr>
              <w:pStyle w:val="TableContents"/>
              <w:bidi w:val="0"/>
              <w:spacing w:before="0" w:after="283"/>
              <w:jc w:val="left"/>
              <w:rPr/>
            </w:pPr>
            <w:r>
              <w:rPr/>
              <w:t> </w:t>
            </w:r>
          </w:p>
        </w:tc>
        <w:tc>
          <w:tcPr>
            <w:tcW w:w="2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vAlign w:val="center"/>
          </w:tcPr>
          <w:p>
            <w:pPr>
              <w:pStyle w:val="TableContents"/>
              <w:bidi w:val="0"/>
              <w:spacing w:before="0" w:after="283"/>
              <w:jc w:val="left"/>
              <w:rPr/>
            </w:pPr>
            <w:r>
              <w:rPr/>
              <w:t> </w:t>
            </w:r>
          </w:p>
        </w:tc>
      </w:tr>
      <w:tr>
        <w:trPr/>
        <w:tc>
          <w:tcPr>
            <w:tcW w:w="691"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CCEEFF" w:val="clear"/>
            <w:vAlign w:val="center"/>
          </w:tcPr>
          <w:p>
            <w:pPr>
              <w:pStyle w:val="TableContents"/>
              <w:bidi w:val="0"/>
              <w:spacing w:before="0" w:after="283"/>
              <w:jc w:val="left"/>
              <w:rPr/>
            </w:pPr>
            <w:r>
              <w:rPr/>
              <w:t> </w:t>
            </w:r>
          </w:p>
        </w:tc>
      </w:tr>
      <w:tr>
        <w:trPr/>
        <w:tc>
          <w:tcPr>
            <w:tcW w:w="691" w:type="dxa"/>
            <w:tcBorders/>
            <w:shd w:fill="FFFFFF" w:val="clear"/>
            <w:vAlign w:val="center"/>
          </w:tcPr>
          <w:p>
            <w:pPr>
              <w:pStyle w:val="TableContents"/>
              <w:bidi w:val="0"/>
              <w:spacing w:before="0" w:after="283"/>
              <w:jc w:val="left"/>
              <w:rPr/>
            </w:pPr>
            <w:r>
              <w:rPr/>
              <w:t> </w:t>
            </w:r>
          </w:p>
        </w:tc>
        <w:tc>
          <w:tcPr>
            <w:tcW w:w="2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FFFFFF" w:val="clear"/>
            <w:vAlign w:val="center"/>
          </w:tcPr>
          <w:p>
            <w:pPr>
              <w:pStyle w:val="TableContents"/>
              <w:bidi w:val="0"/>
              <w:spacing w:before="0" w:after="283"/>
              <w:jc w:val="left"/>
              <w:rPr/>
            </w:pPr>
            <w:r>
              <w:rPr/>
              <w:t> </w:t>
            </w:r>
          </w:p>
        </w:tc>
      </w:tr>
      <w:tr>
        <w:trPr/>
        <w:tc>
          <w:tcPr>
            <w:tcW w:w="691" w:type="dxa"/>
            <w:tcBorders/>
            <w:shd w:fill="CCEEFF" w:val="clear"/>
            <w:vAlign w:val="center"/>
          </w:tcPr>
          <w:p>
            <w:pPr>
              <w:pStyle w:val="TableContents"/>
              <w:bidi w:val="0"/>
              <w:spacing w:before="0" w:after="283"/>
              <w:jc w:val="left"/>
              <w:rPr/>
            </w:pPr>
            <w:r>
              <w:rPr/>
              <w:t> </w:t>
            </w:r>
          </w:p>
        </w:tc>
        <w:tc>
          <w:tcPr>
            <w:tcW w:w="206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1" w:type="dxa"/>
            <w:tcBorders/>
            <w:shd w:fill="CCEEFF" w:val="clear"/>
            <w:vAlign w:val="center"/>
          </w:tcPr>
          <w:p>
            <w:pPr>
              <w:pStyle w:val="TableContents"/>
              <w:bidi w:val="0"/>
              <w:spacing w:before="0" w:after="283"/>
              <w:jc w:val="left"/>
              <w:rPr/>
            </w:pPr>
            <w:r>
              <w:rPr/>
              <w:t> </w:t>
            </w:r>
          </w:p>
        </w:tc>
      </w:tr>
      <w:tr>
        <w:trPr/>
        <w:tc>
          <w:tcPr>
            <w:tcW w:w="691" w:type="dxa"/>
            <w:tcBorders/>
            <w:shd w:fill="FFFFFF" w:val="clear"/>
            <w:vAlign w:val="center"/>
          </w:tcPr>
          <w:p>
            <w:pPr>
              <w:pStyle w:val="TableContents"/>
              <w:bidi w:val="0"/>
              <w:spacing w:before="0" w:after="283"/>
              <w:jc w:val="left"/>
              <w:rPr/>
            </w:pPr>
            <w:r>
              <w:rPr/>
              <w:t> </w:t>
            </w:r>
          </w:p>
        </w:tc>
        <w:tc>
          <w:tcPr>
            <w:tcW w:w="20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0"/>
        <w:gridCol w:w="9875"/>
      </w:tblGrid>
      <w:tr>
        <w:trPr/>
        <w:tc>
          <w:tcPr>
            <w:tcW w:w="330" w:type="dxa"/>
            <w:tcBorders/>
            <w:vAlign w:val="center"/>
          </w:tcPr>
          <w:p>
            <w:pPr>
              <w:pStyle w:val="TableContents"/>
              <w:bidi w:val="0"/>
              <w:spacing w:before="0" w:after="283"/>
              <w:jc w:val="left"/>
              <w:rPr>
                <w:sz w:val="4"/>
                <w:szCs w:val="4"/>
              </w:rPr>
            </w:pPr>
            <w:r>
              <w:rPr>
                <w:sz w:val="4"/>
                <w:szCs w:val="4"/>
              </w:rPr>
            </w:r>
          </w:p>
        </w:tc>
        <w:tc>
          <w:tcPr>
            <w:tcW w:w="9875" w:type="dxa"/>
            <w:tcBorders/>
            <w:vAlign w:val="center"/>
          </w:tcPr>
          <w:p>
            <w:pPr>
              <w:pStyle w:val="TableContents"/>
              <w:bidi w:val="0"/>
              <w:spacing w:before="0" w:after="283"/>
              <w:jc w:val="left"/>
              <w:rPr>
                <w:sz w:val="4"/>
                <w:szCs w:val="4"/>
              </w:rPr>
            </w:pPr>
            <w:r>
              <w:rPr>
                <w:sz w:val="4"/>
                <w:szCs w:val="4"/>
              </w:rPr>
            </w:r>
          </w:p>
        </w:tc>
      </w:tr>
      <w:tr>
        <w:trPr/>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8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Certain of our variable rate debt investments have a SOFR or PRIME interest rate floor, which lessens the impact of decreases in interest rates.</w:t>
            </w:r>
          </w:p>
        </w:tc>
      </w:tr>
      <w:tr>
        <w:trPr/>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(2)</w:t>
            </w:r>
          </w:p>
        </w:tc>
        <w:tc>
          <w:tcPr>
            <w:tcW w:w="98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 calculated assuming three-month SOFR rate and PRIME rate as of December 31, 2023.</w:t>
            </w:r>
          </w:p>
        </w:tc>
      </w:tr>
      <w:tr>
        <w:trPr/>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w:t>
            </w:r>
          </w:p>
        </w:tc>
        <w:tc>
          <w:tcPr>
            <w:tcW w:w="98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the impact of income incentive fee at 20.0% on net increase (decrease) in net interest.</w:t>
            </w:r>
          </w:p>
        </w:tc>
      </w:tr>
      <w:tr>
        <w:trPr/>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(4)</w:t>
            </w:r>
          </w:p>
        </w:tc>
        <w:tc>
          <w:tcPr>
            <w:tcW w:w="987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As of December 31, 2023, we did not have any borrowings outstanding under our Credit Facility.</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3" w:name="item_8"/>
      <w:bookmarkEnd w:id="13"/>
      <w:r>
        <w:rPr>
          <w:rFonts w:ascii="Times New Roman" w:hAnsi="Times New Roman"/>
          <w:b/>
          <w:color w:val="000000"/>
          <w:sz w:val="20"/>
        </w:rPr>
        <w:t>Item 8. Consolidated Financial Statements and Supplementary Data.</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Index to Consolidated Financial Statements</w:t>
      </w:r>
    </w:p>
    <w:tbl>
      <w:tblPr>
        <w:tblW w:w="9757" w:type="dxa"/>
        <w:jc w:val="left"/>
        <w:tblInd w:w="0" w:type="dxa"/>
        <w:tblLayout w:type="fixed"/>
        <w:tblCellMar>
          <w:top w:w="28" w:type="dxa"/>
          <w:left w:w="28" w:type="dxa"/>
          <w:bottom w:w="28" w:type="dxa"/>
          <w:right w:w="28" w:type="dxa"/>
        </w:tblCellMar>
      </w:tblPr>
      <w:tblGrid>
        <w:gridCol w:w="8792"/>
        <w:gridCol w:w="146"/>
        <w:gridCol w:w="146"/>
        <w:gridCol w:w="482"/>
        <w:gridCol w:w="191"/>
      </w:tblGrid>
      <w:tr>
        <w:trPr/>
        <w:tc>
          <w:tcPr>
            <w:tcW w:w="8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82"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r>
      <w:tr>
        <w:trPr/>
        <w:tc>
          <w:tcPr>
            <w:tcW w:w="8792"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628"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36" w:hanging="0"/>
              <w:jc w:val="center"/>
              <w:rPr>
                <w:rFonts w:ascii="Times New Roman" w:hAnsi="Times New Roman"/>
                <w:color w:val="000000"/>
                <w:sz w:val="15"/>
              </w:rPr>
            </w:pPr>
            <w:r>
              <w:rPr>
                <w:rFonts w:ascii="Times New Roman" w:hAnsi="Times New Roman"/>
                <w:color w:val="000000"/>
                <w:sz w:val="15"/>
              </w:rPr>
              <w:t>Page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200"/>
              <w:jc w:val="both"/>
              <w:rPr/>
            </w:pPr>
            <w:r>
              <w:rPr/>
              <w:t> </w:t>
            </w:r>
          </w:p>
        </w:tc>
      </w:tr>
      <w:tr>
        <w:trPr/>
        <w:tc>
          <w:tcPr>
            <w:tcW w:w="8792" w:type="dxa"/>
            <w:tcBorders/>
            <w:vAlign w:val="center"/>
          </w:tcPr>
          <w:p>
            <w:pPr>
              <w:pStyle w:val="TableContents"/>
              <w:pBdr/>
              <w:bidi w:val="0"/>
              <w:spacing w:before="0" w:after="283"/>
              <w:ind w:left="0" w:right="16" w:hanging="200"/>
              <w:jc w:val="both"/>
              <w:rPr/>
            </w:pPr>
            <w:hyperlink w:anchor="audit_report">
              <w:r>
                <w:rPr>
                  <w:rStyle w:val="InternetLink"/>
                  <w:rFonts w:ascii="Times New Roman" w:hAnsi="Times New Roman"/>
                  <w:color w:val="0000FF"/>
                  <w:sz w:val="20"/>
                  <w:u w:val="single"/>
                </w:rPr>
                <w:t>Report of Independent Registered Public Accounting Firm</w:t>
              </w:r>
            </w:hyperlink>
            <w:hyperlink w:anchor="audit_report">
              <w:r>
                <w:rPr>
                  <w:rStyle w:val="InternetLink"/>
                  <w:rFonts w:ascii="Times New Roman" w:hAnsi="Times New Roman"/>
                  <w:color w:val="0000FF"/>
                  <w:sz w:val="20"/>
                </w:rPr>
                <w:t xml:space="preserve"> </w:t>
              </w:r>
            </w:hyperlink>
            <w:r>
              <w:rPr>
                <w:rFonts w:ascii="Times New Roman" w:hAnsi="Times New Roman"/>
                <w:color w:val="000000"/>
                <w:sz w:val="20"/>
              </w:rPr>
              <w:t>(PCAOB ID: 49)</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83</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200"/>
              <w:jc w:val="both"/>
              <w:rPr/>
            </w:pPr>
            <w:r>
              <w:rPr/>
              <w:t> </w:t>
            </w:r>
          </w:p>
        </w:tc>
      </w:tr>
      <w:tr>
        <w:trPr/>
        <w:tc>
          <w:tcPr>
            <w:tcW w:w="8792"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Consolidated Financial Statements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482"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balance_sheet">
              <w:r>
                <w:rPr>
                  <w:rStyle w:val="InternetLink"/>
                  <w:rFonts w:ascii="Times New Roman" w:hAnsi="Times New Roman"/>
                  <w:color w:val="0000FF"/>
                  <w:sz w:val="20"/>
                  <w:u w:val="single"/>
                </w:rPr>
                <w:t>Consolidated Statements of Assets and Liabilities as of December 31, 2023 and 2022</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85</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income_statement">
              <w:r>
                <w:rPr>
                  <w:rStyle w:val="InternetLink"/>
                  <w:rFonts w:ascii="Times New Roman" w:hAnsi="Times New Roman"/>
                  <w:color w:val="0000FF"/>
                  <w:sz w:val="20"/>
                  <w:u w:val="single"/>
                </w:rPr>
                <w:t>Consolidated Statements of Operations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86</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net_assets">
              <w:r>
                <w:rPr>
                  <w:rStyle w:val="InternetLink"/>
                  <w:rFonts w:ascii="Times New Roman" w:hAnsi="Times New Roman"/>
                  <w:color w:val="0000FF"/>
                  <w:sz w:val="20"/>
                  <w:u w:val="single"/>
                </w:rPr>
                <w:t>Consolidated Statements of Changes in Net Assets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87</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cash_flows">
              <w:r>
                <w:rPr>
                  <w:rStyle w:val="InternetLink"/>
                  <w:rFonts w:ascii="Times New Roman" w:hAnsi="Times New Roman"/>
                  <w:color w:val="0000FF"/>
                  <w:sz w:val="20"/>
                  <w:u w:val="single"/>
                </w:rPr>
                <w:t>Consolidated Statements of Cash Flows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88</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soi">
              <w:r>
                <w:rPr>
                  <w:rStyle w:val="InternetLink"/>
                  <w:rFonts w:ascii="Times New Roman" w:hAnsi="Times New Roman"/>
                  <w:color w:val="0000FF"/>
                  <w:sz w:val="20"/>
                  <w:u w:val="single"/>
                </w:rPr>
                <w:t>Consolidated Schedules of Investments as of December 31, 2023 and 2022</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89</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92" w:type="dxa"/>
            <w:tcBorders/>
            <w:vAlign w:val="center"/>
          </w:tcPr>
          <w:p>
            <w:pPr>
              <w:pStyle w:val="TableContents"/>
              <w:bidi w:val="0"/>
              <w:spacing w:before="0" w:after="283"/>
              <w:jc w:val="both"/>
              <w:rPr/>
            </w:pPr>
            <w:r>
              <w:rPr/>
              <w:t> </w:t>
            </w:r>
          </w:p>
        </w:tc>
        <w:tc>
          <w:tcPr>
            <w:tcW w:w="965" w:type="dxa"/>
            <w:gridSpan w:val="4"/>
            <w:tcBorders/>
            <w:vAlign w:val="center"/>
          </w:tcPr>
          <w:p>
            <w:pPr>
              <w:pStyle w:val="TableContents"/>
              <w:bidi w:val="0"/>
              <w:spacing w:before="0" w:after="283"/>
              <w:ind w:left="0" w:right="0" w:firstLine="600"/>
              <w:jc w:val="both"/>
              <w:rPr/>
            </w:pPr>
            <w:r>
              <w:rPr/>
              <w:t> </w:t>
            </w:r>
          </w:p>
        </w:tc>
      </w:tr>
      <w:tr>
        <w:trPr/>
        <w:tc>
          <w:tcPr>
            <w:tcW w:w="8792" w:type="dxa"/>
            <w:tcBorders/>
            <w:vAlign w:val="center"/>
          </w:tcPr>
          <w:p>
            <w:pPr>
              <w:pStyle w:val="TableContents"/>
              <w:pBdr/>
              <w:bidi w:val="0"/>
              <w:spacing w:before="0" w:after="283"/>
              <w:ind w:left="400" w:right="16" w:hanging="200"/>
              <w:jc w:val="both"/>
              <w:rPr/>
            </w:pPr>
            <w:hyperlink w:anchor="footnotes">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482" w:type="dxa"/>
            <w:tcBorders/>
            <w:vAlign w:val="center"/>
          </w:tcPr>
          <w:p>
            <w:pPr>
              <w:pStyle w:val="TableContents"/>
              <w:bidi w:val="0"/>
              <w:spacing w:before="0" w:after="283"/>
              <w:ind w:left="0" w:right="16" w:hanging="0"/>
              <w:jc w:val="right"/>
              <w:rPr>
                <w:rFonts w:ascii="Times New Roman" w:hAnsi="Times New Roman"/>
                <w:color w:val="000000"/>
                <w:sz w:val="24"/>
              </w:rPr>
            </w:pPr>
            <w:r>
              <w:rPr>
                <w:rFonts w:ascii="Times New Roman" w:hAnsi="Times New Roman"/>
                <w:color w:val="000000"/>
                <w:sz w:val="24"/>
              </w:rPr>
              <w:t>101</w:t>
            </w:r>
          </w:p>
        </w:tc>
        <w:tc>
          <w:tcPr>
            <w:tcW w:w="191" w:type="dxa"/>
            <w:tcBorders/>
            <w:vAlign w:val="center"/>
          </w:tcPr>
          <w:p>
            <w:pPr>
              <w:pStyle w:val="TableContents"/>
              <w:bidi w:val="0"/>
              <w:spacing w:before="0" w:after="283"/>
              <w:ind w:left="0" w:right="16" w:hanging="0"/>
              <w:jc w:val="left"/>
              <w:rPr>
                <w:sz w:val="4"/>
                <w:szCs w:val="4"/>
              </w:rPr>
            </w:pPr>
            <w:r>
              <w:rPr>
                <w:sz w:val="4"/>
                <w:szCs w:val="4"/>
              </w:rPr>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4" w:name="audit_report"/>
      <w:bookmarkEnd w:id="14"/>
      <w:r>
        <w:rPr>
          <w:rFonts w:ascii="Times New Roman" w:hAnsi="Times New Roman"/>
          <w:b/>
          <w:color w:val="000000"/>
          <w:sz w:val="20"/>
        </w:rPr>
        <w:t>Report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 xml:space="preserve">Stockholders and Board of Directors of </w:t>
      </w:r>
    </w:p>
    <w:p>
      <w:pPr>
        <w:pStyle w:val="TextBody"/>
        <w:bidi w:val="0"/>
        <w:jc w:val="both"/>
        <w:rPr>
          <w:rFonts w:ascii="Times New Roman" w:hAnsi="Times New Roman"/>
          <w:color w:val="000000"/>
          <w:sz w:val="20"/>
        </w:rPr>
      </w:pPr>
      <w:r>
        <w:rPr>
          <w:rFonts w:ascii="Times New Roman" w:hAnsi="Times New Roman"/>
          <w:color w:val="000000"/>
          <w:sz w:val="20"/>
        </w:rPr>
        <w:t xml:space="preserve">Fidus Investment Corporation and Subsidiaries </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statements of assets and liabilities of Fidus Investment Corporation and Subsidiaries (the Company), including the consolidated schedules of investments, as of December 31, 2023 and 2022, the related consolidated statements of operations, changes in net assets, and cash flows for each of the three years in the period ended December 31, 2023, and the related notes, which include the senior securities table, to the consolidated financial statements (collectively, the financial statements). In our opinion, the financial statements present fairly, in all material respects, the financial position of the Company as of December 31, 2023 and 2022, and the results of its operations, changes in net assets, and cash flows for each of the three years in the period ended December 31, 2023, in conformity with accounting principles generally accepted in the United States of America.</w:t>
      </w:r>
    </w:p>
    <w:p>
      <w:pPr>
        <w:pStyle w:val="TextBody"/>
        <w:bidi w:val="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2023 and 2022, by correspondence with the custodians, portfolio companies or agents or by other appropriate procedures where replies from custodians, portfolio companies or agents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Critical Audit Matter</w:t>
      </w:r>
    </w:p>
    <w:p>
      <w:pPr>
        <w:pStyle w:val="TextBody"/>
        <w:bidi w:val="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jc w:val="both"/>
        <w:rPr>
          <w:rFonts w:ascii="Times New Roman" w:hAnsi="Times New Roman"/>
          <w:i/>
          <w:color w:val="000000"/>
          <w:sz w:val="20"/>
        </w:rPr>
      </w:pPr>
      <w:r>
        <w:rPr>
          <w:rFonts w:ascii="Times New Roman" w:hAnsi="Times New Roman"/>
          <w:i/>
          <w:color w:val="000000"/>
          <w:sz w:val="20"/>
        </w:rPr>
        <w:t>Valuation of Level 3 Investments</w:t>
      </w:r>
    </w:p>
    <w:p>
      <w:pPr>
        <w:pStyle w:val="TextBody"/>
        <w:bidi w:val="0"/>
        <w:jc w:val="both"/>
        <w:rPr>
          <w:rFonts w:ascii="Times New Roman" w:hAnsi="Times New Roman"/>
          <w:color w:val="000000"/>
          <w:sz w:val="20"/>
        </w:rPr>
      </w:pPr>
      <w:r>
        <w:rPr>
          <w:rFonts w:ascii="Times New Roman" w:hAnsi="Times New Roman"/>
          <w:color w:val="000000"/>
          <w:sz w:val="20"/>
        </w:rPr>
        <w:t>As discussed in Notes 2 and 4 to the consolidated financial statements, the Company measures substantially all of its investments at fair value using unobservable inputs and assumptions as there is no readily available market value. Due to the use of unobservable inputs in determining fair value, these investments are classified as level 3 within the fair value hierarchy and total $957,649 thousand as of December 31, 2023.</w:t>
      </w:r>
    </w:p>
    <w:p>
      <w:pPr>
        <w:pStyle w:val="TextBody"/>
        <w:bidi w:val="0"/>
        <w:jc w:val="both"/>
        <w:rPr>
          <w:rFonts w:ascii="Times New Roman" w:hAnsi="Times New Roman"/>
          <w:color w:val="000000"/>
          <w:sz w:val="20"/>
        </w:rPr>
      </w:pPr>
      <w:r>
        <w:rPr>
          <w:rFonts w:ascii="Times New Roman" w:hAnsi="Times New Roman"/>
          <w:color w:val="000000"/>
          <w:sz w:val="20"/>
        </w:rPr>
        <w:t>We identified the valuation of level 3 investments as a critical audit matter because of certain significant assumptions management makes in determining the estimate, including the selected valuation techniques, revenue or EBITDA multiples, and discount rates. Auditing management’s valuation techniques and assumptions of revenue and EBITDA multiples and the discount rate involved a high degree of auditor judgment and increased audit effort, including the use of valuation specialists, as changes in these assumptions could have a significant impact on the fair value of the level 3 investments.</w:t>
      </w:r>
    </w:p>
    <w:p>
      <w:pPr>
        <w:pStyle w:val="TextBody"/>
        <w:bidi w:val="0"/>
        <w:jc w:val="both"/>
        <w:rPr>
          <w:rFonts w:ascii="Times New Roman" w:hAnsi="Times New Roman"/>
          <w:color w:val="000000"/>
          <w:sz w:val="20"/>
        </w:rPr>
      </w:pPr>
      <w:r>
        <w:rPr>
          <w:rFonts w:ascii="Times New Roman" w:hAnsi="Times New Roman"/>
          <w:color w:val="000000"/>
          <w:sz w:val="20"/>
        </w:rPr>
        <w:t xml:space="preserve">Our audit procedures related to the Company’s valuation of level 3 investments included the following, among others: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evaluated the appropriateness of management’s valuation techniques, such as the discounted cash flow or enterprise value, and management’s asset coverage analysis. We also evaluated whether assumptions used by management, including revenue, EBITDA, or asset coverage multiples, and discount rates, were reasonable by comparing and calibrating these inputs to purchase data and market information obtained from external sources while considering portfolio company specific factors like performance. For a selection of investments, we utilized valuation specialists to perform this evaluation.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select number of investments, we developed an independent fair value estimate which was compared to management’s estimate.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evaluated the Company’s historical ability to estimate fair value by comparing the fair value as estimated by management against sale transactions, taking into consideration changes in market or investment specific factors, where applicable and available.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RSM US LLP</w:t>
      </w:r>
    </w:p>
    <w:p>
      <w:pPr>
        <w:pStyle w:val="TextBody"/>
        <w:bidi w:val="0"/>
        <w:jc w:val="both"/>
        <w:rPr>
          <w:rFonts w:ascii="Times New Roman" w:hAnsi="Times New Roman"/>
          <w:color w:val="000000"/>
          <w:sz w:val="20"/>
        </w:rPr>
      </w:pPr>
      <w:r>
        <w:rPr>
          <w:rFonts w:ascii="Times New Roman" w:hAnsi="Times New Roman"/>
          <w:color w:val="000000"/>
          <w:sz w:val="20"/>
        </w:rPr>
        <w:t>We have served as the Company's auditor since 2007.</w:t>
      </w:r>
    </w:p>
    <w:p>
      <w:pPr>
        <w:pStyle w:val="TextBody"/>
        <w:bidi w:val="0"/>
        <w:jc w:val="both"/>
        <w:rPr>
          <w:rFonts w:ascii="Times New Roman" w:hAnsi="Times New Roman"/>
          <w:color w:val="000000"/>
          <w:sz w:val="20"/>
        </w:rPr>
      </w:pPr>
      <w:r>
        <w:rPr>
          <w:rFonts w:ascii="Times New Roman" w:hAnsi="Times New Roman"/>
          <w:color w:val="000000"/>
          <w:sz w:val="20"/>
        </w:rPr>
        <w:t>Chicago, Illinois</w:t>
      </w:r>
    </w:p>
    <w:p>
      <w:pPr>
        <w:pStyle w:val="TextBody"/>
        <w:bidi w:val="0"/>
        <w:jc w:val="both"/>
        <w:rPr>
          <w:rFonts w:ascii="Times New Roman" w:hAnsi="Times New Roman"/>
          <w:color w:val="000000"/>
          <w:sz w:val="20"/>
        </w:rPr>
      </w:pPr>
      <w:r>
        <w:rPr>
          <w:rFonts w:ascii="Times New Roman" w:hAnsi="Times New Roman"/>
          <w:color w:val="000000"/>
          <w:sz w:val="20"/>
        </w:rPr>
        <w:t>February 29, 2024</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5" w:name="balance_sheet"/>
      <w:bookmarkEnd w:id="15"/>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sz w:val="20"/>
        </w:rPr>
      </w:pPr>
      <w:r>
        <w:rPr>
          <w:rFonts w:ascii="Times New Roman" w:hAnsi="Times New Roman"/>
          <w:b/>
          <w:color w:val="000000"/>
          <w:sz w:val="20"/>
        </w:rPr>
        <w:t>(in thousands, except shares and per share data)</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5"/>
        <w:gridCol w:w="146"/>
        <w:gridCol w:w="208"/>
        <w:gridCol w:w="878"/>
        <w:gridCol w:w="166"/>
        <w:gridCol w:w="146"/>
        <w:gridCol w:w="237"/>
        <w:gridCol w:w="835"/>
        <w:gridCol w:w="294"/>
      </w:tblGrid>
      <w:tr>
        <w:trPr/>
        <w:tc>
          <w:tcPr>
            <w:tcW w:w="7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2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center"/>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4" w:type="dxa"/>
            <w:tcBorders/>
            <w:shd w:fill="FFFFFF" w:val="clear"/>
            <w:vAlign w:val="center"/>
          </w:tcPr>
          <w:p>
            <w:pPr>
              <w:pStyle w:val="TableContents"/>
              <w:bidi w:val="0"/>
              <w:spacing w:before="0" w:after="283"/>
              <w:jc w:val="center"/>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7295"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Control investments (cost: $6,832</w:t>
            </w:r>
            <w:r>
              <w:rPr>
                <w:rFonts w:ascii="Times New Roman" w:hAnsi="Times New Roman"/>
                <w:color w:val="000000"/>
                <w:sz w:val="20"/>
              </w:rPr>
              <w:t> </w:t>
            </w:r>
            <w:r>
              <w:rPr>
                <w:rFonts w:ascii="Times New Roman" w:hAnsi="Times New Roman"/>
                <w:color w:val="000000"/>
                <w:sz w:val="16"/>
              </w:rPr>
              <w:t>and $17,915, respectively)</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7295" w:type="dxa"/>
            <w:tcBorders/>
            <w:shd w:fill="FFFFFF"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Affiliate investments (cost: $46,485</w:t>
            </w:r>
            <w:r>
              <w:rPr>
                <w:rFonts w:ascii="Times New Roman" w:hAnsi="Times New Roman"/>
                <w:color w:val="000000"/>
                <w:sz w:val="20"/>
              </w:rPr>
              <w:t> </w:t>
            </w:r>
            <w:r>
              <w:rPr>
                <w:rFonts w:ascii="Times New Roman" w:hAnsi="Times New Roman"/>
                <w:color w:val="000000"/>
                <w:sz w:val="16"/>
              </w:rPr>
              <w:t>and $55,804, respectively)</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101,590</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7295" w:type="dxa"/>
            <w:tcBorders/>
            <w:shd w:fill="CFF0FC" w:val="clear"/>
            <w:vAlign w:val="center"/>
          </w:tcPr>
          <w:p>
            <w:pPr>
              <w:pStyle w:val="TableContents"/>
              <w:bidi w:val="0"/>
              <w:spacing w:before="0" w:after="283"/>
              <w:ind w:left="100" w:right="0" w:firstLine="100"/>
              <w:jc w:val="left"/>
              <w:rPr/>
            </w:pPr>
            <w:r>
              <w:rPr>
                <w:color w:val="000000"/>
              </w:rPr>
              <w:t>   </w:t>
            </w:r>
            <w:r>
              <w:rPr>
                <w:rFonts w:ascii="Times New Roman" w:hAnsi="Times New Roman"/>
                <w:color w:val="000000"/>
                <w:sz w:val="16"/>
              </w:rPr>
              <w:t>Non-control/non-affiliate investments (cost: $883,312</w:t>
            </w:r>
            <w:r>
              <w:rPr>
                <w:rFonts w:ascii="Times New Roman" w:hAnsi="Times New Roman"/>
                <w:color w:val="000000"/>
                <w:sz w:val="20"/>
              </w:rPr>
              <w:t> </w:t>
            </w:r>
            <w:r>
              <w:rPr>
                <w:rFonts w:ascii="Times New Roman" w:hAnsi="Times New Roman"/>
                <w:color w:val="000000"/>
                <w:sz w:val="16"/>
              </w:rPr>
              <w:t>and $754,974, respectively)</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758,739</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$936,629</w:t>
            </w:r>
            <w:r>
              <w:rPr>
                <w:rFonts w:ascii="Times New Roman" w:hAnsi="Times New Roman"/>
                <w:color w:val="000000"/>
                <w:sz w:val="20"/>
              </w:rPr>
              <w:t> </w:t>
            </w:r>
            <w:r>
              <w:rPr>
                <w:rFonts w:ascii="Times New Roman" w:hAnsi="Times New Roman"/>
                <w:color w:val="000000"/>
                <w:sz w:val="16"/>
              </w:rPr>
              <w:t>and $828,693, respectively)</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860,329</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11,826</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935,960</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148,476</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 (Note 6)</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246,128</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under Credit Facility, net of deferred financing costs (Note 6)</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w:t>
            </w:r>
          </w:p>
        </w:tc>
        <w:tc>
          <w:tcPr>
            <w:tcW w:w="29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16,880</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4,747</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22,659</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9,937</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455,617</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10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30,438,979</w:t>
            </w:r>
            <w:r>
              <w:rPr>
                <w:rFonts w:ascii="Times New Roman" w:hAnsi="Times New Roman"/>
                <w:color w:val="000000"/>
                <w:sz w:val="20"/>
              </w:rPr>
              <w:t> </w:t>
            </w:r>
            <w:r>
              <w:rPr>
                <w:rFonts w:ascii="Times New Roman" w:hAnsi="Times New Roman"/>
                <w:color w:val="000000"/>
                <w:sz w:val="16"/>
              </w:rPr>
              <w:t>and 24,727,788</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ind w:left="0" w:right="0" w:firstLine="100"/>
              <w:jc w:val="right"/>
              <w:rPr/>
            </w:pPr>
            <w:r>
              <w:rPr/>
              <w:t> </w:t>
            </w:r>
          </w:p>
        </w:tc>
      </w:tr>
      <w:tr>
        <w:trPr/>
        <w:tc>
          <w:tcPr>
            <w:tcW w:w="7295"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6"/>
              </w:rPr>
              <w:t>outstanding at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4" w:type="dxa"/>
            <w:tcBorders/>
            <w:shd w:fill="CFF0FC"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395,916</w:t>
            </w:r>
          </w:p>
        </w:tc>
        <w:tc>
          <w:tcPr>
            <w:tcW w:w="294" w:type="dxa"/>
            <w:tcBorders/>
            <w:shd w:fill="FFFFFF" w:val="cle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84,402</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480,343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935,960</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6" w:name="income_statement"/>
      <w:bookmarkEnd w:id="16"/>
      <w:r>
        <w:rPr>
          <w:rFonts w:ascii="Times New Roman" w:hAnsi="Times New Roman"/>
          <w:b/>
          <w:color w:val="000000"/>
          <w:sz w:val="20"/>
        </w:rPr>
        <w:t>FIDUS INVESTMENT CORPORATION</w:t>
      </w:r>
    </w:p>
    <w:p>
      <w:pPr>
        <w:pStyle w:val="TextBody"/>
        <w:bidi w:val="0"/>
        <w:jc w:val="center"/>
        <w:rPr>
          <w:rFonts w:ascii="Times New Roman" w:hAnsi="Times New Roman"/>
          <w:sz w:val="20"/>
        </w:rPr>
      </w:pPr>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196"/>
        <w:gridCol w:w="146"/>
        <w:gridCol w:w="916"/>
        <w:gridCol w:w="166"/>
        <w:gridCol w:w="146"/>
        <w:gridCol w:w="196"/>
        <w:gridCol w:w="146"/>
        <w:gridCol w:w="916"/>
        <w:gridCol w:w="166"/>
        <w:gridCol w:w="146"/>
        <w:gridCol w:w="196"/>
        <w:gridCol w:w="146"/>
        <w:gridCol w:w="916"/>
        <w:gridCol w:w="166"/>
        <w:gridCol w:w="67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480"/>
              <w:jc w:val="left"/>
              <w:rPr/>
            </w:pPr>
            <w:r>
              <w:rPr/>
              <w:t> </w:t>
            </w:r>
          </w:p>
        </w:tc>
      </w:tr>
      <w:tr>
        <w:trPr/>
        <w:tc>
          <w:tcPr>
            <w:tcW w:w="4824" w:type="dxa"/>
            <w:tcBorders/>
            <w:shd w:fill="DBEEF4"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109,947</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82,344</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73,078</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color w:val="000000"/>
              </w:rPr>
            </w:pPr>
            <w:r>
              <w:rPr>
                <w:color w:val="000000"/>
              </w:rPr>
              <w:t>—</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color w:val="000000"/>
              </w:rPr>
            </w:pPr>
            <w:r>
              <w:rPr>
                <w:color w:val="000000"/>
              </w:rPr>
              <w:t>—</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480"/>
              <w:jc w:val="left"/>
              <w:rPr/>
            </w:pPr>
            <w:r>
              <w:rPr/>
              <w:t> </w:t>
            </w:r>
          </w:p>
        </w:tc>
      </w:tr>
      <w:tr>
        <w:trPr/>
        <w:tc>
          <w:tcPr>
            <w:tcW w:w="4824" w:type="dxa"/>
            <w:tcBorders/>
            <w:shd w:fill="FFFFFF"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480"/>
              <w:jc w:val="left"/>
              <w:rPr/>
            </w:pPr>
            <w:r>
              <w:rPr/>
              <w:t> </w:t>
            </w:r>
          </w:p>
        </w:tc>
      </w:tr>
      <w:tr>
        <w:trPr/>
        <w:tc>
          <w:tcPr>
            <w:tcW w:w="4824" w:type="dxa"/>
            <w:tcBorders/>
            <w:shd w:fill="DBEEF4"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color w:val="000000"/>
              </w:rPr>
            </w:pPr>
            <w:r>
              <w:rPr>
                <w:color w:val="000000"/>
              </w:rPr>
              <w:t>—</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color w:val="000000"/>
              </w:rPr>
            </w:pPr>
            <w:r>
              <w:rPr>
                <w:color w:val="000000"/>
              </w:rPr>
              <w:t>—</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9,385</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7,525</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480"/>
              <w:jc w:val="left"/>
              <w:rPr/>
            </w:pPr>
            <w:r>
              <w:rPr/>
              <w:t> </w:t>
            </w:r>
          </w:p>
        </w:tc>
      </w:tr>
      <w:tr>
        <w:trPr/>
        <w:tc>
          <w:tcPr>
            <w:tcW w:w="4824" w:type="dxa"/>
            <w:tcBorders/>
            <w:shd w:fill="FFFFFF" w:val="clear"/>
            <w:vAlign w:val="center"/>
          </w:tcPr>
          <w:p>
            <w:pPr>
              <w:pStyle w:val="TableContents"/>
              <w:bidi w:val="0"/>
              <w:spacing w:before="0" w:after="283"/>
              <w:ind w:left="48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10,431</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16,288</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14,568</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12,874</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10,266</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18,196</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1,719</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2,906</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64,261</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46,478</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64,993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63,974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46,176</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64,817</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25,629</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(11,458</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20,521</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25,754</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35,163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55,808</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(2,057</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DBEEF4" w:val="clear"/>
            <w:vAlign w:val="center"/>
          </w:tcPr>
          <w:p>
            <w:pPr>
              <w:pStyle w:val="TableContents"/>
              <w:bidi w:val="0"/>
              <w:spacing w:before="0" w:after="283"/>
              <w:ind w:left="0" w:right="0" w:firstLine="160"/>
              <w:jc w:val="left"/>
              <w:rPr/>
            </w:pPr>
            <w:r>
              <w:rPr/>
              <w:t> </w:t>
            </w:r>
          </w:p>
        </w:tc>
      </w:tr>
      <w:tr>
        <w:trPr/>
        <w:tc>
          <w:tcPr>
            <w:tcW w:w="482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Income tax (provision) from deemed distribution of long term capital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right"/>
              <w:rPr/>
            </w:pPr>
            <w:r>
              <w:rPr/>
              <w:t> </w:t>
            </w:r>
          </w:p>
        </w:tc>
        <w:tc>
          <w:tcPr>
            <w:tcW w:w="166" w:type="dxa"/>
            <w:tcBorders/>
            <w:shd w:fill="DBEEF4" w:val="clear"/>
            <w:vAlign w:val="center"/>
          </w:tcPr>
          <w:p>
            <w:pPr>
              <w:pStyle w:val="TableContents"/>
              <w:bidi w:val="0"/>
              <w:spacing w:before="0" w:after="283"/>
              <w:jc w:val="righ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right"/>
              <w:rPr/>
            </w:pPr>
            <w:r>
              <w:rPr/>
              <w:t> </w:t>
            </w:r>
          </w:p>
        </w:tc>
        <w:tc>
          <w:tcPr>
            <w:tcW w:w="166" w:type="dxa"/>
            <w:tcBorders/>
            <w:shd w:fill="DBEEF4" w:val="clear"/>
            <w:vAlign w:val="center"/>
          </w:tcPr>
          <w:p>
            <w:pPr>
              <w:pStyle w:val="TableContents"/>
              <w:bidi w:val="0"/>
              <w:spacing w:before="0" w:after="283"/>
              <w:jc w:val="righ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right"/>
              <w:rPr/>
            </w:pPr>
            <w:r>
              <w:rPr/>
              <w:t> </w:t>
            </w:r>
          </w:p>
        </w:tc>
        <w:tc>
          <w:tcPr>
            <w:tcW w:w="166" w:type="dxa"/>
            <w:tcBorders/>
            <w:shd w:fill="DBEEF4" w:val="clear"/>
            <w:vAlign w:val="center"/>
          </w:tcPr>
          <w:p>
            <w:pPr>
              <w:pStyle w:val="TableContents"/>
              <w:bidi w:val="0"/>
              <w:spacing w:before="0" w:after="283"/>
              <w:jc w:val="righ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320"/>
              <w:jc w:val="left"/>
              <w:rPr/>
            </w:pPr>
            <w:r>
              <w:rPr/>
              <w:t> </w:t>
            </w:r>
          </w:p>
        </w:tc>
      </w:tr>
      <w:tr>
        <w:trPr/>
        <w:tc>
          <w:tcPr>
            <w:tcW w:w="4824" w:type="dxa"/>
            <w:tcBorders/>
            <w:shd w:fill="DBEEF4"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(8,395</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(35,979</w:t>
            </w:r>
          </w:p>
        </w:tc>
        <w:tc>
          <w:tcPr>
            <w:tcW w:w="166"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916" w:type="dxa"/>
            <w:tcBorders/>
            <w:shd w:fill="DBEEF4"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32,207</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ind w:left="0" w:right="0" w:firstLine="320"/>
              <w:jc w:val="left"/>
              <w:rPr/>
            </w:pPr>
            <w:r>
              <w:rPr/>
              <w:t> </w:t>
            </w:r>
          </w:p>
        </w:tc>
      </w:tr>
      <w:tr>
        <w:trPr/>
        <w:tc>
          <w:tcPr>
            <w:tcW w:w="4824"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ind w:left="0" w:right="0" w:firstLine="160"/>
              <w:jc w:val="left"/>
              <w:rPr/>
            </w:pPr>
            <w:r>
              <w:rPr/>
              <w:t> </w:t>
            </w:r>
          </w:p>
        </w:tc>
      </w:tr>
      <w:tr>
        <w:trPr/>
        <w:tc>
          <w:tcPr>
            <w:tcW w:w="4824" w:type="dxa"/>
            <w:tcBorders/>
            <w:shd w:fill="DBEEF4" w:val="clear"/>
            <w:vAlign w:val="center"/>
          </w:tcPr>
          <w:p>
            <w:pPr>
              <w:pStyle w:val="TableContents"/>
              <w:bidi w:val="0"/>
              <w:spacing w:before="0" w:after="283"/>
              <w:ind w:left="16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(65,702</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41,496</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95,247</w:t>
            </w:r>
          </w:p>
        </w:tc>
        <w:tc>
          <w:tcPr>
            <w:tcW w:w="166"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166" w:type="dxa"/>
            <w:tcBorders>
              <w:bottom w:val="single" w:sz="4"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shd w:fill="DBEEF4" w:val="clear"/>
            <w:vAlign w:val="center"/>
          </w:tcPr>
          <w:p>
            <w:pPr>
              <w:pStyle w:val="TableContents"/>
              <w:bidi w:val="0"/>
              <w:spacing w:before="0" w:after="283"/>
              <w:jc w:val="left"/>
              <w:rPr/>
            </w:pPr>
            <w:r>
              <w:rPr/>
              <w:t> </w:t>
            </w:r>
          </w:p>
        </w:tc>
        <w:tc>
          <w:tcPr>
            <w:tcW w:w="1062" w:type="dxa"/>
            <w:gridSpan w:val="2"/>
            <w:tcBorders/>
            <w:shd w:fill="DBEEF4" w:val="clear"/>
            <w:vAlign w:val="center"/>
          </w:tcPr>
          <w:p>
            <w:pPr>
              <w:pStyle w:val="TableContents"/>
              <w:bidi w:val="0"/>
              <w:spacing w:before="0" w:after="283"/>
              <w:jc w:val="left"/>
              <w:rPr/>
            </w:pPr>
            <w:r>
              <w:rPr/>
              <w:t> </w:t>
            </w:r>
          </w:p>
        </w:tc>
        <w:tc>
          <w:tcPr>
            <w:tcW w:w="166" w:type="dxa"/>
            <w:tcBorders/>
            <w:shd w:fill="DBEEF4" w:val="cle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4824" w:type="dxa"/>
            <w:tcBorders/>
            <w:shd w:fill="DBEEF4"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26,365,269</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24,468,172</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BEEF4" w:val="clear"/>
            <w:vAlign w:val="center"/>
          </w:tcPr>
          <w:p>
            <w:pPr>
              <w:pStyle w:val="TableContents"/>
              <w:bidi w:val="0"/>
              <w:spacing w:before="0" w:after="283"/>
              <w:jc w:val="left"/>
              <w:rPr/>
            </w:pPr>
            <w:r>
              <w:rPr/>
              <w:t> </w:t>
            </w:r>
          </w:p>
        </w:tc>
        <w:tc>
          <w:tcPr>
            <w:tcW w:w="19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24,437,400</w:t>
            </w:r>
          </w:p>
        </w:tc>
        <w:tc>
          <w:tcPr>
            <w:tcW w:w="166" w:type="dxa"/>
            <w:tcBorders>
              <w:bottom w:val="double" w:sz="6" w:space="0" w:color="000000"/>
            </w:tcBorders>
            <w:shd w:fill="DBEEF4" w:val="clear"/>
            <w:tcMar>
              <w:top w:w="0" w:type="dxa"/>
              <w:left w:w="0" w:type="dxa"/>
              <w:right w:w="0" w:type="dxa"/>
            </w:tcMar>
            <w:vAlign w:val="center"/>
          </w:tcPr>
          <w:p>
            <w:pPr>
              <w:pStyle w:val="TableContents"/>
              <w:bidi w:val="0"/>
              <w:spacing w:before="0" w:after="283"/>
              <w:jc w:val="left"/>
              <w:rPr/>
            </w:pPr>
            <w:r>
              <w:rPr/>
              <w:t> </w:t>
            </w:r>
          </w:p>
        </w:tc>
        <w:tc>
          <w:tcPr>
            <w:tcW w:w="671" w:type="dxa"/>
            <w:tcBorders/>
            <w:shd w:fill="DBEEF4"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7" w:name="net_assets"/>
      <w:bookmarkEnd w:id="17"/>
      <w:r>
        <w:rPr>
          <w:rFonts w:ascii="Times New Roman" w:hAnsi="Times New Roman"/>
          <w:b/>
          <w:color w:val="000000"/>
          <w:sz w:val="20"/>
        </w:rPr>
        <w:t>FIDUS INVESTMENT CORPORATION</w:t>
      </w:r>
    </w:p>
    <w:p>
      <w:pPr>
        <w:pStyle w:val="TextBody"/>
        <w:bidi w:val="0"/>
        <w:jc w:val="center"/>
        <w:rPr>
          <w:rFonts w:ascii="Times New Roman" w:hAnsi="Times New Roman"/>
          <w:sz w:val="20"/>
        </w:rPr>
      </w:pPr>
      <w:r>
        <w:rPr>
          <w:rFonts w:ascii="Times New Roman" w:hAnsi="Times New Roman"/>
          <w:b/>
          <w:color w:val="000000"/>
          <w:sz w:val="20"/>
        </w:rPr>
        <w:t>Consolidated Statements of Changes in Net Assets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3"/>
        <w:gridCol w:w="146"/>
        <w:gridCol w:w="146"/>
        <w:gridCol w:w="916"/>
        <w:gridCol w:w="146"/>
        <w:gridCol w:w="146"/>
        <w:gridCol w:w="196"/>
        <w:gridCol w:w="147"/>
        <w:gridCol w:w="349"/>
        <w:gridCol w:w="146"/>
        <w:gridCol w:w="196"/>
        <w:gridCol w:w="196"/>
        <w:gridCol w:w="151"/>
        <w:gridCol w:w="720"/>
        <w:gridCol w:w="166"/>
        <w:gridCol w:w="146"/>
        <w:gridCol w:w="196"/>
        <w:gridCol w:w="178"/>
        <w:gridCol w:w="843"/>
        <w:gridCol w:w="166"/>
        <w:gridCol w:w="146"/>
        <w:gridCol w:w="196"/>
        <w:gridCol w:w="146"/>
        <w:gridCol w:w="691"/>
        <w:gridCol w:w="166"/>
        <w:gridCol w:w="291"/>
      </w:tblGrid>
      <w:tr>
        <w:trPr/>
        <w:tc>
          <w:tcPr>
            <w:tcW w:w="3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2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4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16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27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Balances at December 31, 2020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24,437,400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363,982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410,760</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25,120</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53,751</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41,496</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 in accordance with generally accepted accounting principles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Balances at December 31,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24,437,400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361,807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487,764</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5,809</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46,549</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63,794</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(65,702</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(65,702</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(49,052</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(49,052</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Deemed distribution of long term capital gains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 in accordance with generally accepted accounting principles</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24,727,788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480,343</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5,680,355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110,319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110,325</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65,106</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65,106</w:t>
            </w:r>
          </w:p>
        </w:tc>
        <w:tc>
          <w:tcPr>
            <w:tcW w:w="16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22,409</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color w:val="000000"/>
              </w:rPr>
            </w:pPr>
            <w:r>
              <w:rPr>
                <w:color w:val="000000"/>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(78,930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(78,930</w:t>
            </w:r>
          </w:p>
        </w:tc>
        <w:tc>
          <w:tcPr>
            <w:tcW w:w="16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CEEFF" w:val="clear"/>
            <w:vAlign w:val="center"/>
          </w:tcPr>
          <w:p>
            <w:pPr>
              <w:pStyle w:val="TableContents"/>
              <w:bidi w:val="0"/>
              <w:spacing w:before="0" w:after="283"/>
              <w:ind w:left="0" w:right="0" w:firstLine="100"/>
              <w:jc w:val="left"/>
              <w:rPr/>
            </w:pPr>
            <w:r>
              <w:rPr/>
              <w:t> </w:t>
            </w:r>
          </w:p>
        </w:tc>
      </w:tr>
      <w:tr>
        <w:trPr/>
        <w:tc>
          <w:tcPr>
            <w:tcW w:w="327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 in accordance with generally accepted accounting principles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73" w:type="dxa"/>
            <w:tcBorders/>
            <w:shd w:fill="CCEE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30,438,979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504,298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85,145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8" w:name="cash_flows"/>
      <w:bookmarkEnd w:id="18"/>
      <w:r>
        <w:rPr>
          <w:rFonts w:ascii="Times New Roman" w:hAnsi="Times New Roman"/>
          <w:b/>
          <w:color w:val="000000"/>
          <w:sz w:val="20"/>
        </w:rPr>
        <w:t>FIDUS INVESTMENT CORPORATION</w:t>
      </w:r>
    </w:p>
    <w:p>
      <w:pPr>
        <w:pStyle w:val="TextBody"/>
        <w:bidi w:val="0"/>
        <w:jc w:val="center"/>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97"/>
        <w:gridCol w:w="346"/>
        <w:gridCol w:w="196"/>
        <w:gridCol w:w="751"/>
        <w:gridCol w:w="346"/>
        <w:gridCol w:w="346"/>
        <w:gridCol w:w="196"/>
        <w:gridCol w:w="751"/>
        <w:gridCol w:w="346"/>
        <w:gridCol w:w="346"/>
        <w:gridCol w:w="196"/>
        <w:gridCol w:w="751"/>
        <w:gridCol w:w="346"/>
        <w:gridCol w:w="991"/>
      </w:tblGrid>
      <w:tr>
        <w:trPr/>
        <w:tc>
          <w:tcPr>
            <w:tcW w:w="42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29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2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r>
      <w:tr>
        <w:trPr/>
        <w:tc>
          <w:tcPr>
            <w:tcW w:w="429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r>
      <w:tr>
        <w:trPr/>
        <w:tc>
          <w:tcPr>
            <w:tcW w:w="42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429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77,133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116,104</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r>
      <w:tr>
        <w:trPr/>
        <w:tc>
          <w:tcPr>
            <w:tcW w:w="4297"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7" w:type="dxa"/>
            <w:gridSpan w:val="2"/>
            <w:tcBorders/>
            <w:shd w:fill="CFF0FC" w:val="clear"/>
            <w:vAlign w:val="center"/>
          </w:tcPr>
          <w:p>
            <w:pPr>
              <w:pStyle w:val="TableContents"/>
              <w:bidi w:val="0"/>
              <w:spacing w:before="0" w:after="283"/>
              <w:ind w:left="20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7" w:type="dxa"/>
            <w:gridSpan w:val="2"/>
            <w:tcBorders/>
            <w:shd w:fill="CFF0FC" w:val="clear"/>
            <w:vAlign w:val="center"/>
          </w:tcPr>
          <w:p>
            <w:pPr>
              <w:pStyle w:val="TableContents"/>
              <w:bidi w:val="0"/>
              <w:spacing w:before="0" w:after="283"/>
              <w:ind w:left="20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947" w:type="dxa"/>
            <w:gridSpan w:val="2"/>
            <w:tcBorders/>
            <w:shd w:fill="CFF0FC" w:val="clear"/>
            <w:vAlign w:val="center"/>
          </w:tcPr>
          <w:p>
            <w:pPr>
              <w:pStyle w:val="TableContents"/>
              <w:bidi w:val="0"/>
              <w:spacing w:before="0" w:after="283"/>
              <w:ind w:left="200" w:right="0" w:firstLine="200"/>
              <w:jc w:val="left"/>
              <w:rPr/>
            </w:pPr>
            <w:r>
              <w:rPr/>
              <w:t> </w:t>
            </w:r>
          </w:p>
        </w:tc>
        <w:tc>
          <w:tcPr>
            <w:tcW w:w="346" w:type="dxa"/>
            <w:tcBorders/>
            <w:shd w:fill="CFF0FC" w:val="clear"/>
            <w:vAlign w:val="center"/>
          </w:tcPr>
          <w:p>
            <w:pPr>
              <w:pStyle w:val="TableContents"/>
              <w:bidi w:val="0"/>
              <w:spacing w:before="0" w:after="283"/>
              <w:ind w:left="0" w:right="0" w:firstLine="200"/>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(41,496</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(24,071</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(65,635</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(55,808</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(6,634</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(4,399</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(2,504</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(336,741</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(333,846</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(346,737</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258,875</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193,980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472,782</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2,670</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429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(3,595</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429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429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429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429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429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(6,568</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18,196</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429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4297"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7,527</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4297"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800"/>
              <w:jc w:val="left"/>
              <w:rPr/>
            </w:pPr>
            <w:r>
              <w:rPr/>
              <w:t> </w:t>
            </w:r>
          </w:p>
        </w:tc>
      </w:tr>
      <w:tr>
        <w:trPr/>
        <w:tc>
          <w:tcPr>
            <w:tcW w:w="4297"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(105,537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429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110,325</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23,500</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issuance of Notes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Principal payments on Notes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(182,250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17,637</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(3,530</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(4,079</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(78,327</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(49,052</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(39,100</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vAlign w:val="center"/>
          </w:tcPr>
          <w:p>
            <w:pPr>
              <w:pStyle w:val="TableContents"/>
              <w:bidi w:val="0"/>
              <w:spacing w:before="0" w:after="283"/>
              <w:ind w:left="0" w:right="0" w:firstLine="800"/>
              <w:jc w:val="left"/>
              <w:rPr/>
            </w:pPr>
            <w:r>
              <w:rPr/>
              <w:t> </w:t>
            </w:r>
          </w:p>
        </w:tc>
      </w:tr>
      <w:tr>
        <w:trPr/>
        <w:tc>
          <w:tcPr>
            <w:tcW w:w="4297"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86,238</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(122,792</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vAlign w:val="center"/>
          </w:tcPr>
          <w:p>
            <w:pPr>
              <w:pStyle w:val="TableContents"/>
              <w:bidi w:val="0"/>
              <w:spacing w:before="0" w:after="283"/>
              <w:ind w:left="0" w:right="0" w:firstLine="800"/>
              <w:jc w:val="left"/>
              <w:rPr/>
            </w:pPr>
            <w:r>
              <w:rPr/>
              <w:t> </w:t>
            </w:r>
          </w:p>
        </w:tc>
      </w:tr>
      <w:tr>
        <w:trPr/>
        <w:tc>
          <w:tcPr>
            <w:tcW w:w="4297"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56,781</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(107,067</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45,109</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r>
      <w:tr>
        <w:trPr/>
        <w:tc>
          <w:tcPr>
            <w:tcW w:w="429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169,417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62,350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169,417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left"/>
              <w:rPr/>
            </w:pPr>
            <w:r>
              <w:rPr/>
              <w:t> </w:t>
            </w:r>
          </w:p>
        </w:tc>
      </w:tr>
      <w:tr>
        <w:trPr/>
        <w:tc>
          <w:tcPr>
            <w:tcW w:w="4297"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Supplemental information and non-cash activities</w:t>
            </w:r>
            <w:r>
              <w:rPr>
                <w:rFonts w:ascii="Times New Roman" w:hAnsi="Times New Roman"/>
                <w:color w:val="000000"/>
                <w:sz w:val="16"/>
              </w:rPr>
              <w:t>:</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429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19,426</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16,482</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15,781</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429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11,402</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4,294</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9" w:name="soi"/>
      <w:bookmarkEnd w:id="19"/>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6"/>
        <w:gridCol w:w="1367"/>
        <w:gridCol w:w="886"/>
        <w:gridCol w:w="677"/>
        <w:gridCol w:w="635"/>
        <w:gridCol w:w="603"/>
        <w:gridCol w:w="166"/>
        <w:gridCol w:w="436"/>
        <w:gridCol w:w="146"/>
        <w:gridCol w:w="146"/>
        <w:gridCol w:w="166"/>
        <w:gridCol w:w="436"/>
        <w:gridCol w:w="146"/>
        <w:gridCol w:w="146"/>
        <w:gridCol w:w="166"/>
        <w:gridCol w:w="436"/>
        <w:gridCol w:w="146"/>
        <w:gridCol w:w="205"/>
        <w:gridCol w:w="316"/>
        <w:gridCol w:w="354"/>
      </w:tblGrid>
      <w:tr>
        <w:trPr/>
        <w:tc>
          <w:tcPr>
            <w:tcW w:w="262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77"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5"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center"/>
              <w:rPr/>
            </w:pPr>
            <w:r>
              <w:rPr/>
              <w:t> </w:t>
            </w:r>
          </w:p>
        </w:tc>
        <w:tc>
          <w:tcPr>
            <w:tcW w:w="886" w:type="dxa"/>
            <w:tcBorders/>
            <w:shd w:fill="FFFFFF" w:val="clear"/>
            <w:vAlign w:val="center"/>
          </w:tcPr>
          <w:p>
            <w:pPr>
              <w:pStyle w:val="TableContents"/>
              <w:bidi w:val="0"/>
              <w:spacing w:before="0" w:after="283"/>
              <w:jc w:val="center"/>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center"/>
              <w:rPr/>
            </w:pPr>
            <w:r>
              <w:rPr/>
              <w:t> </w:t>
            </w:r>
          </w:p>
        </w:tc>
        <w:tc>
          <w:tcPr>
            <w:tcW w:w="354"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10.00%/3.00%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367" w:type="dxa"/>
            <w:tcBorders/>
            <w:shd w:fill="CFF0FC" w:val="clear"/>
            <w:vAlign w:val="center"/>
          </w:tcPr>
          <w:p>
            <w:pPr>
              <w:pStyle w:val="TableContents"/>
              <w:bidi w:val="0"/>
              <w:spacing w:before="0" w:after="283"/>
              <w:jc w:val="center"/>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center"/>
              <w:rPr/>
            </w:pPr>
            <w:r>
              <w:rPr/>
              <w:t> </w:t>
            </w:r>
          </w:p>
        </w:tc>
        <w:tc>
          <w:tcPr>
            <w:tcW w:w="354" w:type="dxa"/>
            <w:tcBorders/>
            <w:shd w:fill="CFF0FC"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6,708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8,280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(k)(ag)</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11.36%/0.00%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(6,783</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(k)(at)</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(0.50%)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12.80%/0.00%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10,815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(j)(aa)</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9.05%/0.00%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3,328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14,759</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301 Edison Holdings Inc. (dba LGG Industrial)</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11.75%/1.50%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12,868</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(518,135</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13,868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13.41%/0.00%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5,459</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13.41%/0.00%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12,406</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($250</w:t>
            </w:r>
            <w:r>
              <w:rPr>
                <w:rFonts w:ascii="Times New Roman" w:hAnsi="Times New Roman"/>
                <w:color w:val="000000"/>
                <w:sz w:val="20"/>
              </w:rPr>
              <w:t> </w:t>
            </w:r>
            <w:r>
              <w:rPr>
                <w:rFonts w:ascii="Times New Roman" w:hAnsi="Times New Roman"/>
                <w:color w:val="000000"/>
                <w:sz w:val="10"/>
              </w:rPr>
              <w:t>unfunded commitment) (i)(j)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13.41%/0.00%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475</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(150,000</w:t>
            </w:r>
            <w:r>
              <w:rPr>
                <w:rFonts w:ascii="Times New Roman" w:hAnsi="Times New Roman"/>
                <w:color w:val="000000"/>
                <w:sz w:val="20"/>
              </w:rPr>
              <w:t> </w:t>
            </w:r>
            <w:r>
              <w:rPr>
                <w:rFonts w:ascii="Times New Roman" w:hAnsi="Times New Roman"/>
                <w:color w:val="000000"/>
                <w:sz w:val="10"/>
              </w:rPr>
              <w:t>shares) (j)(m)</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19,376</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Ad Info Parent, Inc. (dba MediaRadar)</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12,432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($1,442</w:t>
            </w:r>
            <w:r>
              <w:rPr>
                <w:rFonts w:ascii="Times New Roman" w:hAnsi="Times New Roman"/>
                <w:color w:val="000000"/>
                <w:sz w:val="20"/>
              </w:rPr>
              <w:t> </w:t>
            </w:r>
            <w:r>
              <w:rPr>
                <w:rFonts w:ascii="Times New Roman" w:hAnsi="Times New Roman"/>
                <w:color w:val="000000"/>
                <w:sz w:val="10"/>
              </w:rPr>
              <w:t>unfunded commitment) (i)(j)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(1,250,000</w:t>
            </w:r>
            <w:r>
              <w:rPr>
                <w:rFonts w:ascii="Times New Roman" w:hAnsi="Times New Roman"/>
                <w:color w:val="000000"/>
                <w:sz w:val="20"/>
              </w:rPr>
              <w:t> </w:t>
            </w:r>
            <w:r>
              <w:rPr>
                <w:rFonts w:ascii="Times New Roman" w:hAnsi="Times New Roman"/>
                <w:color w:val="000000"/>
                <w:sz w:val="10"/>
              </w:rPr>
              <w:t>units) (j)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13,682</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Aldinger Company</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(ae)</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(2.00%)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11.89%/0.00%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6/29/2029</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13,780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(7,883</w:t>
            </w:r>
            <w:r>
              <w:rPr>
                <w:rFonts w:ascii="Times New Roman" w:hAnsi="Times New Roman"/>
                <w:color w:val="000000"/>
                <w:sz w:val="20"/>
              </w:rPr>
              <w:t> </w:t>
            </w:r>
            <w:r>
              <w:rPr>
                <w:rFonts w:ascii="Times New Roman" w:hAnsi="Times New Roman"/>
                <w:color w:val="000000"/>
                <w:sz w:val="10"/>
              </w:rPr>
              <w:t>units)</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(7,883</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14,773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5.00%/10.00%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9,924</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(524,624units)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8/3/2023</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10,192</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(j)(p)</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19,634</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(j)(o)</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+ 4.00%) / (1.00%)</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9.66%/0.00%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304</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19,938</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(af)</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11.60%/0.00%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7,613</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11,036</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(1,232</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(ai)</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12.39%/0.00%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18,047</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19,370</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Applied Data Corporation</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(k)(v)</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(1.50%)</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11.84%/0.00%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11/6/2025</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21,505</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(24</w:t>
            </w:r>
            <w:r>
              <w:rPr>
                <w:rFonts w:ascii="Times New Roman" w:hAnsi="Times New Roman"/>
                <w:color w:val="000000"/>
                <w:sz w:val="20"/>
              </w:rPr>
              <w:t> </w:t>
            </w:r>
            <w:r>
              <w:rPr>
                <w:rFonts w:ascii="Times New Roman" w:hAnsi="Times New Roman"/>
                <w:color w:val="000000"/>
                <w:sz w:val="10"/>
              </w:rPr>
              <w:t>units)</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1,260</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(1,184,711</w:t>
            </w:r>
            <w:r>
              <w:rPr>
                <w:rFonts w:ascii="Times New Roman" w:hAnsi="Times New Roman"/>
                <w:color w:val="000000"/>
                <w:sz w:val="20"/>
              </w:rPr>
              <w:t> </w:t>
            </w:r>
            <w:r>
              <w:rPr>
                <w:rFonts w:ascii="Times New Roman" w:hAnsi="Times New Roman"/>
                <w:color w:val="000000"/>
                <w:sz w:val="10"/>
              </w:rPr>
              <w:t>units)</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sz w:val="4"/>
                <w:szCs w:val="4"/>
              </w:rPr>
            </w:pPr>
            <w:r>
              <w:rPr>
                <w:sz w:val="4"/>
                <w:szCs w:val="4"/>
              </w:rPr>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24,225</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6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(am)</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+ 5.50%) / (3.25%)</w:t>
            </w:r>
          </w:p>
        </w:tc>
        <w:tc>
          <w:tcPr>
            <w:tcW w:w="67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14.00%/0.85%</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7,647</w:t>
            </w:r>
          </w:p>
        </w:tc>
        <w:tc>
          <w:tcPr>
            <w:tcW w:w="146" w:type="dxa"/>
            <w:tcBorders/>
            <w:shd w:fill="CFF0FC" w:val="cle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ind w:left="0" w:right="0" w:firstLine="160"/>
              <w:jc w:val="left"/>
              <w:rPr/>
            </w:pPr>
            <w:r>
              <w:rPr/>
              <w:t> </w:t>
            </w:r>
          </w:p>
        </w:tc>
      </w:tr>
      <w:tr>
        <w:trPr/>
        <w:tc>
          <w:tcPr>
            <w:tcW w:w="262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6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677</w:t>
            </w:r>
          </w:p>
        </w:tc>
        <w:tc>
          <w:tcPr>
            <w:tcW w:w="146" w:type="dxa"/>
            <w:tcBorders/>
            <w:shd w:fill="FFFFFF" w:val="clear"/>
            <w:vAlign w:val="center"/>
          </w:tcPr>
          <w:p>
            <w:pPr>
              <w:pStyle w:val="TableContents"/>
              <w:bidi w:val="0"/>
              <w:spacing w:before="0" w:after="283"/>
              <w:jc w:val="left"/>
              <w:rPr/>
            </w:pPr>
            <w:r>
              <w:rPr/>
              <w:t> </w:t>
            </w:r>
          </w:p>
        </w:tc>
        <w:tc>
          <w:tcPr>
            <w:tcW w:w="521" w:type="dxa"/>
            <w:gridSpan w:val="2"/>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firstLine="160"/>
              <w:jc w:val="left"/>
              <w:rPr/>
            </w:pPr>
            <w:r>
              <w:rPr/>
              <w:t> </w:t>
            </w:r>
          </w:p>
        </w:tc>
      </w:tr>
      <w:tr>
        <w:trPr/>
        <w:tc>
          <w:tcPr>
            <w:tcW w:w="262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67"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367"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8,561</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2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Bad Boy Mowers JV Acquisition, LLC</w:t>
            </w:r>
          </w:p>
        </w:tc>
        <w:tc>
          <w:tcPr>
            <w:tcW w:w="1367"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886"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left"/>
              <w:rPr/>
            </w:pPr>
            <w:r>
              <w:rPr/>
              <w:t> </w:t>
            </w:r>
          </w:p>
        </w:tc>
        <w:tc>
          <w:tcPr>
            <w:tcW w:w="603"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21" w:type="dxa"/>
            <w:gridSpan w:val="2"/>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5"/>
        <w:gridCol w:w="1435"/>
        <w:gridCol w:w="983"/>
        <w:gridCol w:w="701"/>
        <w:gridCol w:w="559"/>
        <w:gridCol w:w="559"/>
        <w:gridCol w:w="146"/>
        <w:gridCol w:w="436"/>
        <w:gridCol w:w="146"/>
        <w:gridCol w:w="146"/>
        <w:gridCol w:w="146"/>
        <w:gridCol w:w="436"/>
        <w:gridCol w:w="146"/>
        <w:gridCol w:w="146"/>
        <w:gridCol w:w="146"/>
        <w:gridCol w:w="436"/>
        <w:gridCol w:w="146"/>
        <w:gridCol w:w="146"/>
        <w:gridCol w:w="166"/>
        <w:gridCol w:w="355"/>
      </w:tblGrid>
      <w:tr>
        <w:trPr/>
        <w:tc>
          <w:tcPr>
            <w:tcW w:w="28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(k)</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9.00%/4.50%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11/9/2030</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(13,000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Barefoot Mosquito and Pest Control,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12.37%/0.00%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28,822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($1,500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12.37%/0.00%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(3,974</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(15,000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BP Thrift Buyer, LLC (dba myUnique and Ecothrift)</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(j)(al)</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8.89%/0.00%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BurgerFi International, LLC (dba BurgerFi) (ad)</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Restaurants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(14,201</w:t>
            </w:r>
            <w:r>
              <w:rPr>
                <w:rFonts w:ascii="Times New Roman" w:hAnsi="Times New Roman"/>
                <w:color w:val="000000"/>
                <w:sz w:val="20"/>
              </w:rPr>
              <w:t> </w:t>
            </w:r>
            <w:r>
              <w:rPr>
                <w:rFonts w:ascii="Times New Roman" w:hAnsi="Times New Roman"/>
                <w:color w:val="000000"/>
                <w:sz w:val="10"/>
              </w:rPr>
              <w:t>units) (j)(ao)</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(9,787</w:t>
            </w:r>
            <w:r>
              <w:rPr>
                <w:rFonts w:ascii="Times New Roman" w:hAnsi="Times New Roman"/>
                <w:color w:val="000000"/>
                <w:sz w:val="20"/>
              </w:rPr>
              <w:t> </w:t>
            </w:r>
            <w:r>
              <w:rPr>
                <w:rFonts w:ascii="Times New Roman" w:hAnsi="Times New Roman"/>
                <w:color w:val="000000"/>
                <w:sz w:val="10"/>
              </w:rPr>
              <w:t>units) (j)(ao)</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(j)(ah)</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(0.75%)</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12.89%/0.00%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8/21/2023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13,891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Comply365,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(868,922</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(574,929</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CTM Group,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7,940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(400,000</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21,875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Dealerbuilt Acquisition,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(ac)</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(4.00%)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11.15%/1.00%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13,048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7.50%/7.50%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5,145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Detechtion Holdings,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(2.25%)</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17,689</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(k)(r)</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12.11%/0.00%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Education Incites, LLC (dba Acceleration Academies)</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10/31/2022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Elements Brands,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1,525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Revolving Loan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(ar)</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13.40%/0.00%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0.00%/18.80%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(947</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GMP HVAC, LLC (dba McGee Heating &amp; Air,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12.38%/0.00%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2,983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12.38%/0.00%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+ 13.00%) / (0.00%)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18.53%/0.00%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12/17/2021</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Gurobi Optimization,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w:t>
            </w:r>
            <w:r>
              <w:rPr>
                <w:rFonts w:ascii="Times New Roman" w:hAnsi="Times New Roman"/>
                <w:color w:val="000000"/>
                <w:sz w:val="20"/>
              </w:rPr>
              <w:t> </w:t>
            </w:r>
            <w:r>
              <w:rPr>
                <w:rFonts w:ascii="Times New Roman" w:hAnsi="Times New Roman"/>
                <w:color w:val="000000"/>
                <w:sz w:val="10"/>
              </w:rPr>
              <w:t>shares)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12/19/2017</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(x)</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13.85%/0.00%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5,329</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(89</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6/26/2023</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(3,645,752units)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Healthfuse,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(197,980</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4/25/2023</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20,140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(5,837</w:t>
            </w:r>
            <w:r>
              <w:rPr>
                <w:rFonts w:ascii="Times New Roman" w:hAnsi="Times New Roman"/>
                <w:color w:val="000000"/>
                <w:sz w:val="20"/>
              </w:rPr>
              <w:t> </w:t>
            </w:r>
            <w:r>
              <w:rPr>
                <w:rFonts w:ascii="Times New Roman" w:hAnsi="Times New Roman"/>
                <w:color w:val="000000"/>
                <w:sz w:val="10"/>
              </w:rPr>
              <w:t>units)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(637</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8/7/2023</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46"/>
        <w:gridCol w:w="1298"/>
        <w:gridCol w:w="894"/>
        <w:gridCol w:w="685"/>
        <w:gridCol w:w="545"/>
        <w:gridCol w:w="545"/>
        <w:gridCol w:w="146"/>
        <w:gridCol w:w="436"/>
        <w:gridCol w:w="146"/>
        <w:gridCol w:w="146"/>
        <w:gridCol w:w="146"/>
        <w:gridCol w:w="436"/>
        <w:gridCol w:w="146"/>
        <w:gridCol w:w="146"/>
        <w:gridCol w:w="146"/>
        <w:gridCol w:w="436"/>
        <w:gridCol w:w="146"/>
        <w:gridCol w:w="146"/>
        <w:gridCol w:w="166"/>
        <w:gridCol w:w="404"/>
      </w:tblGrid>
      <w:tr>
        <w:trPr/>
        <w:tc>
          <w:tcPr>
            <w:tcW w:w="304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11,517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(j)(an)</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9.50%/0.00%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12,168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(ak)</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(2.00%)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11.41%/0.00%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9/19/2026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15,102</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Magenta Buyer LLC (dba Trellix)</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+ 8.25%) / (0.75%)</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13.89%/0.00%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7/19/2022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7/27/2029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(1.50%)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14.16%/0.00%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MDME Holding Corp.</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8/31/2023</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11,806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(4,735</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(12,500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Micronics Filtration Holdings, Inc. (dba Micronics Engineered Filtration Group, Inc.)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(j)(as)</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+ 5.50%) / (0.50%)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10.84%/0.00%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20,636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(au)</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+ 5.50%) / (0.50%)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10.84%/0.00%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9,364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(14,400</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(k)(ap)</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+ 4.00%) / (3.25%)</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16,459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NWS Technologies,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(u)</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+ 8.00%) / (2.50%)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13.39%/0.00%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6/16/2028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w:t>
            </w:r>
            <w:r>
              <w:rPr>
                <w:rFonts w:ascii="Times New Roman" w:hAnsi="Times New Roman"/>
                <w:color w:val="000000"/>
                <w:sz w:val="20"/>
              </w:rPr>
              <w:t> </w:t>
            </w:r>
            <w:r>
              <w:rPr>
                <w:rFonts w:ascii="Times New Roman" w:hAnsi="Times New Roman"/>
                <w:color w:val="000000"/>
                <w:sz w:val="10"/>
              </w:rPr>
              <w:t>unit)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946</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(0.375</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(s)</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(1.00%)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12.83%/0.00%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Pool &amp; Electrical Products,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10/28/2020</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+ 9.50%) / (1.00%)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15.15%/0.00%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(5,341</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(j)(ab)</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(2.00%)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12.72%/0.00%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Puget Collision,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(1.00%)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13.84%/0.00%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4/28/2023</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9/12/2027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QED Technologies International, Inc.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(q)</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11.14%/0.50%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3/1/2023</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17,348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(140</w:t>
            </w:r>
            <w:r>
              <w:rPr>
                <w:rFonts w:ascii="Times New Roman" w:hAnsi="Times New Roman"/>
                <w:color w:val="000000"/>
                <w:sz w:val="20"/>
              </w:rPr>
              <w:t> </w:t>
            </w:r>
            <w:r>
              <w:rPr>
                <w:rFonts w:ascii="Times New Roman" w:hAnsi="Times New Roman"/>
                <w:color w:val="000000"/>
                <w:sz w:val="10"/>
              </w:rPr>
              <w:t>shares)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18,642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13.03%/0.00%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CFF0FC"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ind w:left="160" w:right="0" w:firstLine="160"/>
              <w:jc w:val="left"/>
              <w:rPr/>
            </w:pPr>
            <w:r>
              <w:rPr/>
              <w:t> </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First Lien Debt ($1,596</w:t>
            </w:r>
            <w:r>
              <w:rPr>
                <w:rFonts w:ascii="Times New Roman" w:hAnsi="Times New Roman"/>
                <w:color w:val="000000"/>
                <w:sz w:val="20"/>
              </w:rPr>
              <w:t> </w:t>
            </w:r>
            <w:r>
              <w:rPr>
                <w:rFonts w:ascii="Times New Roman" w:hAnsi="Times New Roman"/>
                <w:color w:val="000000"/>
                <w:sz w:val="10"/>
              </w:rPr>
              <w:t>unfunded commitment) (j)(w)</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11.72%/0.00%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6,343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Subordinated Debt ($417</w:t>
            </w:r>
            <w:r>
              <w:rPr>
                <w:rFonts w:ascii="Times New Roman" w:hAnsi="Times New Roman"/>
                <w:color w:val="000000"/>
                <w:sz w:val="20"/>
              </w:rPr>
              <w:t> </w:t>
            </w:r>
            <w:r>
              <w:rPr>
                <w:rFonts w:ascii="Times New Roman" w:hAnsi="Times New Roman"/>
                <w:color w:val="000000"/>
                <w:sz w:val="10"/>
              </w:rPr>
              <w:t>unfunded commitment) (j)(w)</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($70</w:t>
            </w:r>
            <w:r>
              <w:rPr>
                <w:rFonts w:ascii="Times New Roman" w:hAnsi="Times New Roman"/>
                <w:color w:val="000000"/>
                <w:sz w:val="20"/>
              </w:rPr>
              <w:t> </w:t>
            </w:r>
            <w:r>
              <w:rPr>
                <w:rFonts w:ascii="Times New Roman" w:hAnsi="Times New Roman"/>
                <w:color w:val="000000"/>
                <w:sz w:val="10"/>
              </w:rPr>
              <w:t>unfunded commitment)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Sonicwall US Holdings, Inc.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(0.00%)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13.01%/0.00%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center"/>
              <w:rPr/>
            </w:pPr>
            <w:r>
              <w:rPr/>
              <w:t> </w:t>
            </w:r>
          </w:p>
        </w:tc>
        <w:tc>
          <w:tcPr>
            <w:tcW w:w="404" w:type="dxa"/>
            <w:tcBorders/>
            <w:shd w:fill="CFF0FC" w:val="clear"/>
            <w:vAlign w:val="center"/>
          </w:tcPr>
          <w:p>
            <w:pPr>
              <w:pStyle w:val="TableContents"/>
              <w:bidi w:val="0"/>
              <w:spacing w:before="0" w:after="283"/>
              <w:ind w:left="0" w:right="0" w:firstLine="160"/>
              <w:jc w:val="center"/>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0.00%/12.00%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4,324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(56,382</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13.41%/0.00%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($2,400</w:t>
            </w:r>
            <w:r>
              <w:rPr>
                <w:rFonts w:ascii="Times New Roman" w:hAnsi="Times New Roman"/>
                <w:color w:val="000000"/>
                <w:sz w:val="20"/>
              </w:rPr>
              <w:t> </w:t>
            </w:r>
            <w:r>
              <w:rPr>
                <w:rFonts w:ascii="Times New Roman" w:hAnsi="Times New Roman"/>
                <w:color w:val="000000"/>
                <w:sz w:val="10"/>
              </w:rPr>
              <w:t>unfunded commitment) (j)(i)</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13.41%/0.00%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14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2,727</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(aq)</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Fertility Enterprises,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0.00%/13.75%</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5/19/2023</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USG AS Holdings,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center"/>
              <w:rPr/>
            </w:pPr>
            <w:r>
              <w:rPr/>
              <w:t> </w:t>
            </w:r>
          </w:p>
        </w:tc>
        <w:tc>
          <w:tcPr>
            <w:tcW w:w="404" w:type="dxa"/>
            <w:tcBorders/>
            <w:shd w:fill="FFFFFF" w:val="clear"/>
            <w:vAlign w:val="center"/>
          </w:tcPr>
          <w:p>
            <w:pPr>
              <w:pStyle w:val="TableContents"/>
              <w:bidi w:val="0"/>
              <w:spacing w:before="0" w:after="283"/>
              <w:ind w:left="0" w:right="0" w:firstLine="160"/>
              <w:jc w:val="center"/>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(2.50%)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14.04%/0.00%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2/23/2023</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2/21/2023</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sz w:val="4"/>
                <w:szCs w:val="4"/>
              </w:rPr>
            </w:pPr>
            <w:r>
              <w:rPr>
                <w:sz w:val="4"/>
                <w:szCs w:val="4"/>
              </w:rPr>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w:t>
            </w:r>
          </w:p>
        </w:tc>
        <w:tc>
          <w:tcPr>
            <w:tcW w:w="12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(17</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(y)</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+ 9.75%) / (2.50%)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5.46%/9.75%</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5,340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+ 4.00%) / (2.50%)</w:t>
            </w:r>
          </w:p>
        </w:tc>
        <w:tc>
          <w:tcPr>
            <w:tcW w:w="68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9.46%/0.00%</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9/20/2023</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White Label Communication, LLC</w:t>
            </w:r>
          </w:p>
        </w:tc>
        <w:tc>
          <w:tcPr>
            <w:tcW w:w="129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8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11.66%/0.00%</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17,405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firstLine="160"/>
              <w:jc w:val="left"/>
              <w:rPr/>
            </w:pPr>
            <w:r>
              <w:rPr/>
              <w:t> </w:t>
            </w:r>
          </w:p>
        </w:tc>
      </w:tr>
      <w:tr>
        <w:trPr/>
        <w:tc>
          <w:tcPr>
            <w:tcW w:w="304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(536units) (h)(j)</w:t>
            </w:r>
          </w:p>
        </w:tc>
        <w:tc>
          <w:tcPr>
            <w:tcW w:w="1298"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pPr>
            <w:r>
              <w:rPr/>
              <w:t> </w:t>
            </w:r>
          </w:p>
        </w:tc>
        <w:tc>
          <w:tcPr>
            <w:tcW w:w="685"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4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ind w:left="0" w:right="0" w:firstLine="160"/>
              <w:jc w:val="left"/>
              <w:rPr/>
            </w:pPr>
            <w:r>
              <w:rPr/>
              <w:t> </w:t>
            </w:r>
          </w:p>
        </w:tc>
      </w:tr>
      <w:tr>
        <w:trPr/>
        <w:tc>
          <w:tcPr>
            <w:tcW w:w="3046"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4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86"/>
        <w:gridCol w:w="1191"/>
        <w:gridCol w:w="876"/>
        <w:gridCol w:w="642"/>
        <w:gridCol w:w="506"/>
        <w:gridCol w:w="474"/>
        <w:gridCol w:w="146"/>
        <w:gridCol w:w="436"/>
        <w:gridCol w:w="146"/>
        <w:gridCol w:w="146"/>
        <w:gridCol w:w="166"/>
        <w:gridCol w:w="586"/>
        <w:gridCol w:w="146"/>
        <w:gridCol w:w="146"/>
        <w:gridCol w:w="166"/>
        <w:gridCol w:w="586"/>
        <w:gridCol w:w="146"/>
        <w:gridCol w:w="146"/>
        <w:gridCol w:w="286"/>
        <w:gridCol w:w="482"/>
      </w:tblGrid>
      <w:tr>
        <w:trPr/>
        <w:tc>
          <w:tcPr>
            <w:tcW w:w="27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CFF0FC" w:val="clear"/>
            <w:vAlign w:val="center"/>
          </w:tcPr>
          <w:p>
            <w:pPr>
              <w:pStyle w:val="TableContents"/>
              <w:bidi w:val="0"/>
              <w:spacing w:before="0" w:after="283"/>
              <w:jc w:val="left"/>
              <w:rPr>
                <w:sz w:val="4"/>
                <w:szCs w:val="4"/>
              </w:rPr>
            </w:pPr>
            <w:r>
              <w:rPr>
                <w:sz w:val="4"/>
                <w:szCs w:val="4"/>
              </w:rPr>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17,905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17,905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8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Winona Foods, Inc.</w:t>
            </w:r>
          </w:p>
        </w:tc>
        <w:tc>
          <w:tcPr>
            <w:tcW w:w="119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firstLine="160"/>
              <w:jc w:val="left"/>
              <w:rPr/>
            </w:pPr>
            <w:r>
              <w:rPr/>
              <w:t> </w:t>
            </w:r>
          </w:p>
        </w:tc>
      </w:tr>
      <w:tr>
        <w:trPr/>
        <w:tc>
          <w:tcPr>
            <w:tcW w:w="278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+ 11.00%) / (6.00%)</w:t>
            </w:r>
          </w:p>
        </w:tc>
        <w:tc>
          <w:tcPr>
            <w:tcW w:w="64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12.00%/5.00%</w:t>
            </w:r>
          </w:p>
        </w:tc>
        <w:tc>
          <w:tcPr>
            <w:tcW w:w="50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12/13/2023</w:t>
            </w:r>
          </w:p>
        </w:tc>
        <w:tc>
          <w:tcPr>
            <w:tcW w:w="47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FFFFFF" w:val="clear"/>
            <w:vAlign w:val="center"/>
          </w:tcPr>
          <w:p>
            <w:pPr>
              <w:pStyle w:val="TableContents"/>
              <w:bidi w:val="0"/>
              <w:spacing w:before="0" w:after="283"/>
              <w:jc w:val="left"/>
              <w:rPr>
                <w:sz w:val="4"/>
                <w:szCs w:val="4"/>
              </w:rPr>
            </w:pPr>
            <w:r>
              <w:rPr>
                <w:sz w:val="4"/>
                <w:szCs w:val="4"/>
              </w:rPr>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19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ind w:left="0" w:right="0" w:firstLine="160"/>
              <w:jc w:val="left"/>
              <w:rPr/>
            </w:pPr>
            <w:r>
              <w:rPr/>
              <w:t> </w:t>
            </w:r>
          </w:p>
        </w:tc>
      </w:tr>
      <w:tr>
        <w:trPr/>
        <w:tc>
          <w:tcPr>
            <w:tcW w:w="278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(k)(z)</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(1.00%)</w:t>
            </w:r>
          </w:p>
        </w:tc>
        <w:tc>
          <w:tcPr>
            <w:tcW w:w="64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12.59%/0.00%</w:t>
            </w:r>
          </w:p>
        </w:tc>
        <w:tc>
          <w:tcPr>
            <w:tcW w:w="50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47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2/9/2026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sz w:val="4"/>
                <w:szCs w:val="4"/>
              </w:rPr>
            </w:pPr>
            <w:r>
              <w:rPr>
                <w:sz w:val="4"/>
                <w:szCs w:val="4"/>
              </w:rPr>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19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firstLine="160"/>
              <w:jc w:val="left"/>
              <w:rPr/>
            </w:pPr>
            <w:r>
              <w:rPr/>
              <w:t> </w:t>
            </w:r>
          </w:p>
        </w:tc>
      </w:tr>
      <w:tr>
        <w:trPr/>
        <w:tc>
          <w:tcPr>
            <w:tcW w:w="278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(0.75%)</w:t>
            </w:r>
          </w:p>
        </w:tc>
        <w:tc>
          <w:tcPr>
            <w:tcW w:w="642"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12.61%/0.00%</w:t>
            </w:r>
          </w:p>
        </w:tc>
        <w:tc>
          <w:tcPr>
            <w:tcW w:w="50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8/2/2021</w:t>
            </w:r>
          </w:p>
        </w:tc>
        <w:tc>
          <w:tcPr>
            <w:tcW w:w="47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27,116</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ind w:left="0" w:right="0" w:firstLine="160"/>
              <w:jc w:val="left"/>
              <w:rPr/>
            </w:pPr>
            <w:r>
              <w:rPr/>
              <w:t> </w:t>
            </w:r>
          </w:p>
        </w:tc>
      </w:tr>
      <w:tr>
        <w:trPr/>
        <w:tc>
          <w:tcPr>
            <w:tcW w:w="278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(795,000units) (j)</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firstLine="160"/>
              <w:jc w:val="left"/>
              <w:rPr/>
            </w:pPr>
            <w:r>
              <w:rPr/>
              <w:t> </w:t>
            </w:r>
          </w:p>
        </w:tc>
      </w:tr>
      <w:tr>
        <w:trPr/>
        <w:tc>
          <w:tcPr>
            <w:tcW w:w="278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sz w:val="4"/>
                <w:szCs w:val="4"/>
              </w:rPr>
            </w:pPr>
            <w:r>
              <w:rPr>
                <w:sz w:val="4"/>
                <w:szCs w:val="4"/>
              </w:rPr>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19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ind w:left="0" w:right="0" w:firstLine="160"/>
              <w:jc w:val="left"/>
              <w:rPr/>
            </w:pPr>
            <w:r>
              <w:rPr/>
              <w:t> </w:t>
            </w:r>
          </w:p>
        </w:tc>
      </w:tr>
      <w:tr>
        <w:trPr/>
        <w:tc>
          <w:tcPr>
            <w:tcW w:w="278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+ 10.00%) / (1.00%)</w:t>
            </w:r>
          </w:p>
        </w:tc>
        <w:tc>
          <w:tcPr>
            <w:tcW w:w="64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16.63%/0.00%</w:t>
            </w:r>
          </w:p>
        </w:tc>
        <w:tc>
          <w:tcPr>
            <w:tcW w:w="50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47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4,300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firstLine="160"/>
              <w:jc w:val="left"/>
              <w:rPr/>
            </w:pPr>
            <w:r>
              <w:rPr/>
              <w:t> </w:t>
            </w:r>
          </w:p>
        </w:tc>
      </w:tr>
      <w:tr>
        <w:trPr/>
        <w:tc>
          <w:tcPr>
            <w:tcW w:w="2786"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sz w:val="4"/>
                <w:szCs w:val="4"/>
              </w:rPr>
            </w:pPr>
            <w:r>
              <w:rPr>
                <w:sz w:val="4"/>
                <w:szCs w:val="4"/>
              </w:rPr>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sz w:val="4"/>
                <w:szCs w:val="4"/>
              </w:rPr>
            </w:pPr>
            <w:r>
              <w:rPr>
                <w:sz w:val="4"/>
                <w:szCs w:val="4"/>
              </w:rPr>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883,312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874,030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sz w:val="4"/>
                <w:szCs w:val="4"/>
              </w:rPr>
            </w:pPr>
            <w:r>
              <w:rPr>
                <w:sz w:val="4"/>
                <w:szCs w:val="4"/>
              </w:rPr>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936,629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sz w:val="4"/>
                <w:szCs w:val="4"/>
              </w:rPr>
            </w:pPr>
            <w:r>
              <w:rPr>
                <w:sz w:val="4"/>
                <w:szCs w:val="4"/>
              </w:rPr>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firstLine="160"/>
              <w:jc w:val="left"/>
              <w:rPr/>
            </w:pPr>
            <w:r>
              <w:rPr/>
              <w:t> </w:t>
            </w:r>
          </w:p>
        </w:tc>
      </w:tr>
      <w:tr>
        <w:trPr/>
        <w:tc>
          <w:tcPr>
            <w:tcW w:w="2786"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w:t>
            </w:r>
          </w:p>
        </w:tc>
        <w:tc>
          <w:tcPr>
            <w:tcW w:w="482" w:type="dxa"/>
            <w:tcBorders/>
            <w:shd w:fill="CFF0FC" w:val="cle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FFFFFF" w:val="clear"/>
            <w:vAlign w:val="center"/>
          </w:tcPr>
          <w:p>
            <w:pPr>
              <w:pStyle w:val="TableContents"/>
              <w:bidi w:val="0"/>
              <w:spacing w:before="0" w:after="283"/>
              <w:ind w:left="24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w:t>
            </w:r>
          </w:p>
        </w:tc>
        <w:tc>
          <w:tcPr>
            <w:tcW w:w="4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191"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1,051,185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w:t>
            </w:r>
          </w:p>
        </w:tc>
        <w:tc>
          <w:tcPr>
            <w:tcW w:w="482" w:type="dxa"/>
            <w:tcBorders/>
            <w:shd w:fill="CFF0FC"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786" w:type="dxa"/>
            <w:tcBorders/>
            <w:shd w:fill="FFFFFF" w:val="clear"/>
            <w:vAlign w:val="center"/>
          </w:tcPr>
          <w:p>
            <w:pPr>
              <w:pStyle w:val="TableContents"/>
              <w:bidi w:val="0"/>
              <w:spacing w:before="0" w:after="283"/>
              <w:ind w:left="160" w:right="0" w:firstLine="160"/>
              <w:jc w:val="left"/>
              <w:rPr/>
            </w:pPr>
            <w:r>
              <w:rPr/>
              <w:t> </w:t>
            </w:r>
          </w:p>
        </w:tc>
        <w:tc>
          <w:tcPr>
            <w:tcW w:w="1191"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(a) See Note 3 to the consolidated financial statements for portfolio composition by geographic location.</w:t>
      </w:r>
    </w:p>
    <w:p>
      <w:pPr>
        <w:pStyle w:val="TextBody"/>
        <w:bidi w:val="0"/>
        <w:jc w:val="left"/>
        <w:rPr>
          <w:rFonts w:ascii="Times New Roman" w:hAnsi="Times New Roman"/>
          <w:color w:val="000000"/>
          <w:sz w:val="18"/>
        </w:rPr>
      </w:pPr>
      <w:r>
        <w:rPr>
          <w:rFonts w:ascii="Times New Roman" w:hAnsi="Times New Roman"/>
          <w:color w:val="000000"/>
          <w:sz w:val="18"/>
        </w:rPr>
        <w:t>(b) Equity ownership may be held in shares or units of companies related to the portfolio companies.</w:t>
      </w:r>
    </w:p>
    <w:p>
      <w:pPr>
        <w:pStyle w:val="TextBody"/>
        <w:bidi w:val="0"/>
        <w:jc w:val="left"/>
        <w:rPr>
          <w:rFonts w:ascii="Times New Roman" w:hAnsi="Times New Roman"/>
          <w:color w:val="000000"/>
          <w:sz w:val="18"/>
        </w:rPr>
      </w:pPr>
      <w:r>
        <w:rPr>
          <w:rFonts w:ascii="Times New Roman" w:hAnsi="Times New Roman"/>
          <w:color w:val="000000"/>
          <w:sz w:val="18"/>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8"/>
        </w:rPr>
      </w:pPr>
      <w:r>
        <w:rPr>
          <w:rFonts w:ascii="Times New Roman" w:hAnsi="Times New Roman"/>
          <w:color w:val="000000"/>
          <w:sz w:val="18"/>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pStyle w:val="TextBody"/>
        <w:bidi w:val="0"/>
        <w:jc w:val="left"/>
        <w:rPr>
          <w:rFonts w:ascii="Times New Roman" w:hAnsi="Times New Roman"/>
          <w:color w:val="000000"/>
          <w:sz w:val="18"/>
        </w:rPr>
      </w:pPr>
      <w:r>
        <w:rPr>
          <w:rFonts w:ascii="Times New Roman" w:hAnsi="Times New Roman"/>
          <w:color w:val="000000"/>
          <w:sz w:val="18"/>
        </w:rPr>
        <w:t>(e) Rate includes the cash interest or dividend rate and paid-in-kind interest or dividend rate, if any, as of December 31, 2023. Generally, payment-in-kind interest can be paid-in-kind or all in cash.</w:t>
      </w:r>
    </w:p>
    <w:p>
      <w:pPr>
        <w:pStyle w:val="TextBody"/>
        <w:bidi w:val="0"/>
        <w:jc w:val="left"/>
        <w:rPr>
          <w:rFonts w:ascii="Times New Roman" w:hAnsi="Times New Roman"/>
          <w:color w:val="000000"/>
          <w:sz w:val="18"/>
        </w:rPr>
      </w:pPr>
      <w:r>
        <w:rPr>
          <w:rFonts w:ascii="Times New Roman" w:hAnsi="Times New Roman"/>
          <w:color w:val="000000"/>
          <w:sz w:val="18"/>
        </w:rPr>
        <w:t>(f) Investment date represents the date of the initial investment in the security.</w:t>
      </w:r>
    </w:p>
    <w:p>
      <w:pPr>
        <w:pStyle w:val="TextBody"/>
        <w:bidi w:val="0"/>
        <w:jc w:val="left"/>
        <w:rPr>
          <w:rFonts w:ascii="Times New Roman" w:hAnsi="Times New Roman"/>
          <w:color w:val="000000"/>
          <w:sz w:val="18"/>
        </w:rPr>
      </w:pPr>
      <w:r>
        <w:rPr>
          <w:rFonts w:ascii="Times New Roman" w:hAnsi="Times New Roman"/>
          <w:color w:val="000000"/>
          <w:sz w:val="18"/>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8"/>
        </w:rPr>
      </w:pPr>
      <w:r>
        <w:rPr>
          <w:rFonts w:ascii="Times New Roman" w:hAnsi="Times New Roman"/>
          <w:color w:val="000000"/>
          <w:sz w:val="18"/>
        </w:rPr>
        <w:t>(h) Investment is held by a taxable subsidiary of the Company.</w:t>
      </w:r>
    </w:p>
    <w:p>
      <w:pPr>
        <w:pStyle w:val="TextBody"/>
        <w:bidi w:val="0"/>
        <w:jc w:val="left"/>
        <w:rPr>
          <w:rFonts w:ascii="Times New Roman" w:hAnsi="Times New Roman"/>
          <w:color w:val="000000"/>
          <w:sz w:val="18"/>
        </w:rPr>
      </w:pPr>
      <w:r>
        <w:rPr>
          <w:rFonts w:ascii="Times New Roman" w:hAnsi="Times New Roman"/>
          <w:color w:val="000000"/>
          <w:sz w:val="18"/>
        </w:rPr>
        <w:t>(i) The disclosed commitment represents the unfunded amount as of December 31, 2023.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8"/>
        </w:rPr>
      </w:pPr>
      <w:r>
        <w:rPr>
          <w:rFonts w:ascii="Times New Roman" w:hAnsi="Times New Roman"/>
          <w:color w:val="000000"/>
          <w:sz w:val="18"/>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8"/>
        </w:rPr>
      </w:pPr>
      <w:r>
        <w:rPr>
          <w:rFonts w:ascii="Times New Roman" w:hAnsi="Times New Roman"/>
          <w:color w:val="000000"/>
          <w:sz w:val="18"/>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8"/>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(p)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(q) 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(r) 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(s) 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(u) 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(v)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(w) 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8"/>
        </w:rPr>
      </w:pPr>
      <w:r>
        <w:rPr>
          <w:rFonts w:ascii="Times New Roman" w:hAnsi="Times New Roman"/>
          <w:color w:val="000000"/>
          <w:sz w:val="18"/>
        </w:rPr>
        <w:t>(x) 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(y) Investment was on non-accrual status as of December 31, 2023.</w:t>
      </w:r>
    </w:p>
    <w:p>
      <w:pPr>
        <w:pStyle w:val="TextBody"/>
        <w:bidi w:val="0"/>
        <w:jc w:val="left"/>
        <w:rPr>
          <w:rFonts w:ascii="Times New Roman" w:hAnsi="Times New Roman"/>
          <w:color w:val="000000"/>
          <w:sz w:val="18"/>
        </w:rPr>
      </w:pPr>
      <w:r>
        <w:rPr>
          <w:rFonts w:ascii="Times New Roman" w:hAnsi="Times New Roman"/>
          <w:color w:val="000000"/>
          <w:sz w:val="18"/>
        </w:rPr>
        <w:t>(z) 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8"/>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8"/>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8"/>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pStyle w:val="TextBody"/>
        <w:bidi w:val="0"/>
        <w:jc w:val="left"/>
        <w:rPr>
          <w:rFonts w:ascii="Times New Roman" w:hAnsi="Times New Roman"/>
          <w:color w:val="000000"/>
          <w:sz w:val="18"/>
        </w:rPr>
      </w:pPr>
      <w:r>
        <w:rPr>
          <w:rFonts w:ascii="Times New Roman" w:hAnsi="Times New Roman"/>
          <w:color w:val="000000"/>
          <w:sz w:val="18"/>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(aq) The headquarters of this portfolio company is located in Canada.</w:t>
      </w:r>
    </w:p>
    <w:p>
      <w:pPr>
        <w:pStyle w:val="TextBody"/>
        <w:bidi w:val="0"/>
        <w:jc w:val="left"/>
        <w:rPr>
          <w:rFonts w:ascii="Times New Roman" w:hAnsi="Times New Roman"/>
          <w:color w:val="000000"/>
          <w:sz w:val="18"/>
        </w:rPr>
      </w:pPr>
      <w:r>
        <w:rPr>
          <w:rFonts w:ascii="Times New Roman" w:hAnsi="Times New Roman"/>
          <w:color w:val="000000"/>
          <w:sz w:val="18"/>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both"/>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2022</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94"/>
        <w:gridCol w:w="1354"/>
        <w:gridCol w:w="878"/>
        <w:gridCol w:w="673"/>
        <w:gridCol w:w="634"/>
        <w:gridCol w:w="601"/>
        <w:gridCol w:w="166"/>
        <w:gridCol w:w="436"/>
        <w:gridCol w:w="146"/>
        <w:gridCol w:w="146"/>
        <w:gridCol w:w="166"/>
        <w:gridCol w:w="436"/>
        <w:gridCol w:w="146"/>
        <w:gridCol w:w="146"/>
        <w:gridCol w:w="166"/>
        <w:gridCol w:w="496"/>
        <w:gridCol w:w="146"/>
        <w:gridCol w:w="204"/>
        <w:gridCol w:w="315"/>
        <w:gridCol w:w="356"/>
      </w:tblGrid>
      <w:tr>
        <w:trPr/>
        <w:tc>
          <w:tcPr>
            <w:tcW w:w="259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594"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73"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4"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6" w:type="dxa"/>
            <w:tcBorders/>
            <w:shd w:fill="FFFFFF" w:val="clear"/>
            <w:vAlign w:val="center"/>
          </w:tcPr>
          <w:p>
            <w:pPr>
              <w:pStyle w:val="TableContents"/>
              <w:bidi w:val="0"/>
              <w:spacing w:before="0" w:after="283"/>
              <w:jc w:val="center"/>
              <w:rPr/>
            </w:pPr>
            <w:r>
              <w:rPr/>
              <w:t> </w:t>
            </w:r>
          </w:p>
        </w:tc>
      </w:tr>
      <w:tr>
        <w:trPr/>
        <w:tc>
          <w:tcPr>
            <w:tcW w:w="2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4"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center"/>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2594"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EBL, LLC (EbLens)</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10/3/2022</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10/3/2025</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(75,000</w:t>
            </w:r>
            <w:r>
              <w:rPr>
                <w:rFonts w:ascii="Times New Roman" w:hAnsi="Times New Roman"/>
                <w:color w:val="000000"/>
                <w:sz w:val="20"/>
              </w:rPr>
              <w:t> </w:t>
            </w:r>
            <w:r>
              <w:rPr>
                <w:rFonts w:ascii="Times New Roman" w:hAnsi="Times New Roman"/>
                <w:color w:val="000000"/>
                <w:sz w:val="10"/>
              </w:rPr>
              <w:t>units)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7/13/2017</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(375</w:t>
            </w:r>
            <w:r>
              <w:rPr>
                <w:rFonts w:ascii="Times New Roman" w:hAnsi="Times New Roman"/>
                <w:color w:val="000000"/>
                <w:sz w:val="20"/>
              </w:rPr>
              <w:t> </w:t>
            </w:r>
            <w:r>
              <w:rPr>
                <w:rFonts w:ascii="Times New Roman" w:hAnsi="Times New Roman"/>
                <w:color w:val="000000"/>
                <w:sz w:val="10"/>
              </w:rPr>
              <w:t>units) ($375</w:t>
            </w:r>
            <w:r>
              <w:rPr>
                <w:rFonts w:ascii="Times New Roman" w:hAnsi="Times New Roman"/>
                <w:color w:val="000000"/>
                <w:sz w:val="20"/>
              </w:rPr>
              <w:t> </w:t>
            </w:r>
            <w:r>
              <w:rPr>
                <w:rFonts w:ascii="Times New Roman" w:hAnsi="Times New Roman"/>
                <w:color w:val="000000"/>
                <w:sz w:val="10"/>
              </w:rPr>
              <w:t>unfunded commitment)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(j)(y)</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10.00%/3.00%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354" w:type="dxa"/>
            <w:tcBorders/>
            <w:shd w:fill="FFFFFF" w:val="clear"/>
            <w:vAlign w:val="center"/>
          </w:tcPr>
          <w:p>
            <w:pPr>
              <w:pStyle w:val="TableContents"/>
              <w:bidi w:val="0"/>
              <w:spacing w:before="0" w:after="283"/>
              <w:jc w:val="center"/>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5,897</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7,669</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23,168</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591</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2,540</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8/2/2022</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9,954</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51,992</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(k)(ag)</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+ 5.50%) / (1.00%)</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10.23%/0.00%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14,999</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2,443</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19,118</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4,772</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(k)(at)</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+ 6.75%) / (0.50%)</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11.48%/0.00%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11,560</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(j)(aa)</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+ 6.75%) / (0.50%)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11.48%/0.00%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3,556</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15,593</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5,500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(0.50%)</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(j)(i)</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433</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(150,000</w:t>
            </w:r>
            <w:r>
              <w:rPr>
                <w:rFonts w:ascii="Times New Roman" w:hAnsi="Times New Roman"/>
                <w:color w:val="000000"/>
                <w:sz w:val="20"/>
              </w:rPr>
              <w:t> </w:t>
            </w:r>
            <w:r>
              <w:rPr>
                <w:rFonts w:ascii="Times New Roman" w:hAnsi="Times New Roman"/>
                <w:color w:val="000000"/>
                <w:sz w:val="10"/>
              </w:rPr>
              <w:t>shares) (j)(m)</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18,706</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Aeronix Inc.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(ai)</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+ 5.88%) / (0.50%)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10.63%/0.00%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6/11/2021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14,250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(549</w:t>
            </w:r>
            <w:r>
              <w:rPr>
                <w:rFonts w:ascii="Times New Roman" w:hAnsi="Times New Roman"/>
                <w:color w:val="000000"/>
                <w:sz w:val="20"/>
              </w:rPr>
              <w:t> </w:t>
            </w:r>
            <w:r>
              <w:rPr>
                <w:rFonts w:ascii="Times New Roman" w:hAnsi="Times New Roman"/>
                <w:color w:val="000000"/>
                <w:sz w:val="10"/>
              </w:rPr>
              <w:t>units)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6/11/2021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15,029</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(y)</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12.50%/2.25%</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8,144</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8,297</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(j)(p)</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+ 6.15%) / (1.00%)</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20,500</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(j)(o)</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+ 3.75%) / (1.00%)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7.42%/0.00%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325</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547</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180</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21,917</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(af)</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9.81%/0.00%</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7,662</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10,722</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(aq)</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(0.75%)</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10.31%/0.00%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(750</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10,741</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(av)</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(2.00%)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11.21%/0.00%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14,890</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16,090</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Applied Data Corporation</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(k)(v)</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(1.50%)</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10.07%/0.00%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11/6/2025</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19,005</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(24</w:t>
            </w:r>
            <w:r>
              <w:rPr>
                <w:rFonts w:ascii="Times New Roman" w:hAnsi="Times New Roman"/>
                <w:color w:val="000000"/>
                <w:sz w:val="20"/>
              </w:rPr>
              <w:t> </w:t>
            </w:r>
            <w:r>
              <w:rPr>
                <w:rFonts w:ascii="Times New Roman" w:hAnsi="Times New Roman"/>
                <w:color w:val="000000"/>
                <w:sz w:val="10"/>
              </w:rPr>
              <w:t>units)</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465</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(1,184,711</w:t>
            </w:r>
            <w:r>
              <w:rPr>
                <w:rFonts w:ascii="Times New Roman" w:hAnsi="Times New Roman"/>
                <w:color w:val="000000"/>
                <w:sz w:val="20"/>
              </w:rPr>
              <w:t> </w:t>
            </w:r>
            <w:r>
              <w:rPr>
                <w:rFonts w:ascii="Times New Roman" w:hAnsi="Times New Roman"/>
                <w:color w:val="000000"/>
                <w:sz w:val="10"/>
              </w:rPr>
              <w:t>units)</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11/6/2020</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20,834</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(au)</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+ 5.50%) / (3.25%)</w:t>
            </w:r>
          </w:p>
        </w:tc>
        <w:tc>
          <w:tcPr>
            <w:tcW w:w="67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13.00%/0.85%</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10/1/2026</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7,581</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0.00%/12.75%</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12/31/2026</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587</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8,639</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35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2594"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10.25%/0.00%</w:t>
            </w:r>
          </w:p>
        </w:tc>
        <w:tc>
          <w:tcPr>
            <w:tcW w:w="63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6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11,333</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CFF0FC" w:val="clear"/>
            <w:vAlign w:val="center"/>
          </w:tcPr>
          <w:p>
            <w:pPr>
              <w:pStyle w:val="TableContents"/>
              <w:bidi w:val="0"/>
              <w:spacing w:before="0" w:after="283"/>
              <w:jc w:val="left"/>
              <w:rPr>
                <w:sz w:val="4"/>
                <w:szCs w:val="4"/>
              </w:rPr>
            </w:pPr>
            <w:r>
              <w:rPr>
                <w:sz w:val="4"/>
                <w:szCs w:val="4"/>
              </w:rPr>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gridSpan w:val="2"/>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r>
      <w:tr>
        <w:trPr/>
        <w:tc>
          <w:tcPr>
            <w:tcW w:w="2594"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354"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2594"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35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601" w:type="dxa"/>
            <w:tcBorders/>
            <w:shd w:fill="CFF0FC" w:val="clear"/>
            <w:vAlign w:val="center"/>
          </w:tcPr>
          <w:p>
            <w:pPr>
              <w:pStyle w:val="TableContents"/>
              <w:bidi w:val="0"/>
              <w:spacing w:before="0" w:after="283"/>
              <w:jc w:val="left"/>
              <w:rPr/>
            </w:pPr>
            <w:r>
              <w:rPr/>
              <w:t> </w:t>
            </w:r>
          </w:p>
        </w:tc>
        <w:tc>
          <w:tcPr>
            <w:tcW w:w="6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486</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594" w:type="dxa"/>
            <w:tcBorders/>
            <w:shd w:fill="FFFFFF" w:val="clear"/>
            <w:vAlign w:val="center"/>
          </w:tcPr>
          <w:p>
            <w:pPr>
              <w:pStyle w:val="TableContents"/>
              <w:bidi w:val="0"/>
              <w:spacing w:before="0" w:after="283"/>
              <w:jc w:val="left"/>
              <w:rPr>
                <w:sz w:val="4"/>
                <w:szCs w:val="4"/>
              </w:rPr>
            </w:pPr>
            <w:r>
              <w:rPr>
                <w:sz w:val="4"/>
                <w:szCs w:val="4"/>
              </w:rPr>
            </w:r>
          </w:p>
        </w:tc>
        <w:tc>
          <w:tcPr>
            <w:tcW w:w="135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gridSpan w:val="2"/>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5"/>
        <w:gridCol w:w="1435"/>
        <w:gridCol w:w="983"/>
        <w:gridCol w:w="701"/>
        <w:gridCol w:w="559"/>
        <w:gridCol w:w="559"/>
        <w:gridCol w:w="146"/>
        <w:gridCol w:w="436"/>
        <w:gridCol w:w="146"/>
        <w:gridCol w:w="146"/>
        <w:gridCol w:w="146"/>
        <w:gridCol w:w="436"/>
        <w:gridCol w:w="146"/>
        <w:gridCol w:w="146"/>
        <w:gridCol w:w="146"/>
        <w:gridCol w:w="436"/>
        <w:gridCol w:w="146"/>
        <w:gridCol w:w="146"/>
        <w:gridCol w:w="166"/>
        <w:gridCol w:w="355"/>
      </w:tblGrid>
      <w:tr>
        <w:trPr/>
        <w:tc>
          <w:tcPr>
            <w:tcW w:w="28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BP Thrift Buyer, LLC (dba myUnique and Ecothrift)</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(j)(al)</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+ 5.75%) / (1.50%)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9.31%/0.00%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19,564</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(j)(ah)</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+ 6.50%) / (0.75%)</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12,541</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Cardboard Box LLC (dba Anthony's Coal Fired Pizza) (ad)</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Restaurants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(14,201</w:t>
            </w:r>
            <w:r>
              <w:rPr>
                <w:rFonts w:ascii="Times New Roman" w:hAnsi="Times New Roman"/>
                <w:color w:val="000000"/>
                <w:sz w:val="20"/>
              </w:rPr>
              <w:t> </w:t>
            </w:r>
            <w:r>
              <w:rPr>
                <w:rFonts w:ascii="Times New Roman" w:hAnsi="Times New Roman"/>
                <w:color w:val="000000"/>
                <w:sz w:val="10"/>
              </w:rPr>
              <w:t>units) (j)(ao)</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(9,787</w:t>
            </w:r>
            <w:r>
              <w:rPr>
                <w:rFonts w:ascii="Times New Roman" w:hAnsi="Times New Roman"/>
                <w:color w:val="000000"/>
                <w:sz w:val="20"/>
              </w:rPr>
              <w:t> </w:t>
            </w:r>
            <w:r>
              <w:rPr>
                <w:rFonts w:ascii="Times New Roman" w:hAnsi="Times New Roman"/>
                <w:color w:val="000000"/>
                <w:sz w:val="10"/>
              </w:rPr>
              <w:t>units) (j)(ao)</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+ 7.25%)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11.06%/0.00%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(i)(j)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10.06%/0.00%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10.00%/1.00%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3/3/2028</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13,751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Combined Systems,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+ 11.00%)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17.74%/0.00%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1/31/2020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4,890</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+ 11.00%)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18.75%/0.00%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2/15/2023</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($162</w:t>
            </w:r>
            <w:r>
              <w:rPr>
                <w:rFonts w:ascii="Times New Roman" w:hAnsi="Times New Roman"/>
                <w:color w:val="000000"/>
                <w:sz w:val="20"/>
              </w:rPr>
              <w:t> </w:t>
            </w:r>
            <w:r>
              <w:rPr>
                <w:rFonts w:ascii="Times New Roman" w:hAnsi="Times New Roman"/>
                <w:color w:val="000000"/>
                <w:sz w:val="10"/>
              </w:rPr>
              <w:t>unfunded commitment) (j)(ac)</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+ 10.00%) / (2.00%)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16.74%/0.00%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1/31/2020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1/31/2025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Comply365,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12/11/2020</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(Class A Units) (574,929</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11.00%/3.00%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11/23/2027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20,714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(k)(r)</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ECM Industries,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(h)(j)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4/30/2020</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Education Incites, LLC (dba Acceleration Academies)</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10/31/2022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Elements Brands,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Revolving Loan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(ar)</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12.57%/0.00%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(947</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(w)</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+ 8.25%) / (1.00%)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13.01%/0.00%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+ 13.00%) / (0.00%)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17.77%/0.00%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Gurobi Optimization,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w:t>
            </w:r>
            <w:r>
              <w:rPr>
                <w:rFonts w:ascii="Times New Roman" w:hAnsi="Times New Roman"/>
                <w:color w:val="000000"/>
                <w:sz w:val="20"/>
              </w:rPr>
              <w:t> </w:t>
            </w:r>
            <w:r>
              <w:rPr>
                <w:rFonts w:ascii="Times New Roman" w:hAnsi="Times New Roman"/>
                <w:color w:val="000000"/>
                <w:sz w:val="10"/>
              </w:rPr>
              <w:t>shares)</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12/19/2017</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(x)</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+ 8.25%) / (2.00%)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12.98%/0.00%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5,378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(j)(ae)</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+ 7.25%) / (1.50%)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10.99%/0.00%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8,361</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(750,000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Healthfuse, LLC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(197,980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11/13/2020</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(k)</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12/15/2023</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25,006</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(3,750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25,220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25,932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Ipro Tech, LLC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(j)(u)</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+ 7.00%) / (1.00%)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11.69%/1.00%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7/28/2025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19,773</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(682,075</w:t>
            </w:r>
            <w:r>
              <w:rPr>
                <w:rFonts w:ascii="Times New Roman" w:hAnsi="Times New Roman"/>
                <w:color w:val="000000"/>
                <w:sz w:val="20"/>
              </w:rPr>
              <w:t> </w:t>
            </w:r>
            <w:r>
              <w:rPr>
                <w:rFonts w:ascii="Times New Roman" w:hAnsi="Times New Roman"/>
                <w:color w:val="000000"/>
                <w:sz w:val="10"/>
              </w:rPr>
              <w:t>units)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7/28/2021</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+ 7.50%) / (0.50%)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12,175</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(j)(an)</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+ 7.50%) / (0.50%)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12,994</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K2 Merger Agreement Agent, LLC (fka K2 Industrial Services, Inc.) (n)</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 (y)</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1/28/2019</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(ak)</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+ 6.75%) / (0.50%)</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10.49%/0.00%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5,165</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15,418</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(100</w:t>
            </w:r>
            <w:r>
              <w:rPr>
                <w:rFonts w:ascii="Times New Roman" w:hAnsi="Times New Roman"/>
                <w:color w:val="000000"/>
                <w:sz w:val="20"/>
              </w:rPr>
              <w:t> </w:t>
            </w:r>
            <w:r>
              <w:rPr>
                <w:rFonts w:ascii="Times New Roman" w:hAnsi="Times New Roman"/>
                <w:color w:val="000000"/>
                <w:sz w:val="10"/>
              </w:rPr>
              <w:t>shares)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Magenta Buyer LLC (dba Trellix)</w:t>
            </w:r>
          </w:p>
        </w:tc>
        <w:tc>
          <w:tcPr>
            <w:tcW w:w="143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firstLine="160"/>
              <w:jc w:val="left"/>
              <w:rPr/>
            </w:pPr>
            <w:r>
              <w:rPr/>
              <w:t> </w:t>
            </w:r>
          </w:p>
        </w:tc>
      </w:tr>
      <w:tr>
        <w:trPr/>
        <w:tc>
          <w:tcPr>
            <w:tcW w:w="2825"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+ 8.25%) / (0.75%)</w:t>
            </w:r>
          </w:p>
        </w:tc>
        <w:tc>
          <w:tcPr>
            <w:tcW w:w="70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12.98%/0.00%</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7/19/2022</w:t>
            </w:r>
          </w:p>
        </w:tc>
        <w:tc>
          <w:tcPr>
            <w:tcW w:w="559"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7/27/2029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FFFFFF" w:val="clear"/>
            <w:vAlign w:val="center"/>
          </w:tcPr>
          <w:p>
            <w:pPr>
              <w:pStyle w:val="TableContents"/>
              <w:bidi w:val="0"/>
              <w:spacing w:before="0" w:after="283"/>
              <w:jc w:val="left"/>
              <w:rPr>
                <w:sz w:val="4"/>
                <w:szCs w:val="4"/>
              </w:rPr>
            </w:pPr>
            <w:r>
              <w:rPr>
                <w:sz w:val="4"/>
                <w:szCs w:val="4"/>
              </w:rPr>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gridSpan w:val="2"/>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r>
      <w:tr>
        <w:trPr/>
        <w:tc>
          <w:tcPr>
            <w:tcW w:w="2825"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43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ind w:left="0" w:right="0" w:firstLine="160"/>
              <w:jc w:val="left"/>
              <w:rPr/>
            </w:pPr>
            <w:r>
              <w:rPr/>
              <w:t> </w:t>
            </w:r>
          </w:p>
        </w:tc>
      </w:tr>
      <w:tr>
        <w:trPr/>
        <w:tc>
          <w:tcPr>
            <w:tcW w:w="2825"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435"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+ 8.50%) / (1.50%)</w:t>
            </w:r>
          </w:p>
        </w:tc>
        <w:tc>
          <w:tcPr>
            <w:tcW w:w="70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13.34%/0.00%</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5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25" w:type="dxa"/>
            <w:tcBorders/>
            <w:shd w:fill="CFF0FC" w:val="clear"/>
            <w:vAlign w:val="center"/>
          </w:tcPr>
          <w:p>
            <w:pPr>
              <w:pStyle w:val="TableContents"/>
              <w:bidi w:val="0"/>
              <w:spacing w:before="0" w:after="283"/>
              <w:jc w:val="left"/>
              <w:rPr>
                <w:sz w:val="4"/>
                <w:szCs w:val="4"/>
              </w:rPr>
            </w:pPr>
            <w:r>
              <w:rPr>
                <w:sz w:val="4"/>
                <w:szCs w:val="4"/>
              </w:rPr>
            </w:r>
          </w:p>
        </w:tc>
        <w:tc>
          <w:tcPr>
            <w:tcW w:w="1435"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gridSpan w:val="2"/>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59"/>
        <w:gridCol w:w="1245"/>
        <w:gridCol w:w="915"/>
        <w:gridCol w:w="663"/>
        <w:gridCol w:w="525"/>
        <w:gridCol w:w="525"/>
        <w:gridCol w:w="146"/>
        <w:gridCol w:w="436"/>
        <w:gridCol w:w="146"/>
        <w:gridCol w:w="146"/>
        <w:gridCol w:w="166"/>
        <w:gridCol w:w="496"/>
        <w:gridCol w:w="146"/>
        <w:gridCol w:w="146"/>
        <w:gridCol w:w="166"/>
        <w:gridCol w:w="496"/>
        <w:gridCol w:w="146"/>
        <w:gridCol w:w="146"/>
        <w:gridCol w:w="286"/>
        <w:gridCol w:w="405"/>
      </w:tblGrid>
      <w:tr>
        <w:trPr/>
        <w:tc>
          <w:tcPr>
            <w:tcW w:w="285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Micronics Filtration Holdings, Inc. (dba Micronics Engineered Filtration Group,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 (as)</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+ 5.50%) / (0.50%)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9.32%/0.00%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11,223</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(14,400</w:t>
            </w:r>
            <w:r>
              <w:rPr>
                <w:rFonts w:ascii="Times New Roman" w:hAnsi="Times New Roman"/>
                <w:color w:val="000000"/>
                <w:sz w:val="20"/>
              </w:rPr>
              <w:t> </w:t>
            </w:r>
            <w:r>
              <w:rPr>
                <w:rFonts w:ascii="Times New Roman" w:hAnsi="Times New Roman"/>
                <w:color w:val="000000"/>
                <w:sz w:val="10"/>
              </w:rPr>
              <w:t>units)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Mobilewalla,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+ 11.50%) / (0.50%)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16.26%/0.00%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12/17/2021</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12/17/2024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First Lien Debt ($3,300</w:t>
            </w:r>
            <w:r>
              <w:rPr>
                <w:rFonts w:ascii="Times New Roman" w:hAnsi="Times New Roman"/>
                <w:color w:val="000000"/>
                <w:sz w:val="20"/>
              </w:rPr>
              <w:t> </w:t>
            </w:r>
            <w:r>
              <w:rPr>
                <w:rFonts w:ascii="Times New Roman" w:hAnsi="Times New Roman"/>
                <w:color w:val="000000"/>
                <w:sz w:val="10"/>
              </w:rPr>
              <w:t>unfunded commitment) (i)(k)(ap)</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 + 4.00%) / (3.25%)</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11/18/2025</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NGT Acquisition Holdings, LLC (dba Techniks Industries)</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(378</w:t>
            </w:r>
            <w:r>
              <w:rPr>
                <w:rFonts w:ascii="Times New Roman" w:hAnsi="Times New Roman"/>
                <w:color w:val="000000"/>
                <w:sz w:val="20"/>
              </w:rPr>
              <w:t> </w:t>
            </w:r>
            <w:r>
              <w:rPr>
                <w:rFonts w:ascii="Times New Roman" w:hAnsi="Times New Roman"/>
                <w:color w:val="000000"/>
                <w:sz w:val="10"/>
              </w:rPr>
              <w:t>units)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5/24/2017</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(s)</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12.08%/0.00%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10,922</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Pool &amp; Electrical Products,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(15,000</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10/28/2020</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 Grid Components,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(k)</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11.00%/0.50%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4/12/2018</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17,734</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(392</w:t>
            </w:r>
            <w:r>
              <w:rPr>
                <w:rFonts w:ascii="Times New Roman" w:hAnsi="Times New Roman"/>
                <w:color w:val="000000"/>
                <w:sz w:val="20"/>
              </w:rPr>
              <w:t> </w:t>
            </w:r>
            <w:r>
              <w:rPr>
                <w:rFonts w:ascii="Times New Roman" w:hAnsi="Times New Roman"/>
                <w:color w:val="000000"/>
                <w:sz w:val="10"/>
              </w:rPr>
              <w:t>shares)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4/12/2018</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(48</w:t>
            </w:r>
            <w:r>
              <w:rPr>
                <w:rFonts w:ascii="Times New Roman" w:hAnsi="Times New Roman"/>
                <w:color w:val="000000"/>
                <w:sz w:val="20"/>
              </w:rPr>
              <w:t> </w:t>
            </w:r>
            <w:r>
              <w:rPr>
                <w:rFonts w:ascii="Times New Roman" w:hAnsi="Times New Roman"/>
                <w:color w:val="000000"/>
                <w:sz w:val="10"/>
              </w:rPr>
              <w:t>shares)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12/2/2019</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(10,622</w:t>
            </w:r>
            <w:r>
              <w:rPr>
                <w:rFonts w:ascii="Times New Roman" w:hAnsi="Times New Roman"/>
                <w:color w:val="000000"/>
                <w:sz w:val="20"/>
              </w:rPr>
              <w:t> </w:t>
            </w:r>
            <w:r>
              <w:rPr>
                <w:rFonts w:ascii="Times New Roman" w:hAnsi="Times New Roman"/>
                <w:color w:val="000000"/>
                <w:sz w:val="10"/>
              </w:rPr>
              <w:t>shares)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4/12/2018</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+ 9.50%) / (1.00%)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14.23%/0.00%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10,831</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(5,341</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+ 6.75%) / (2.00%)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11.59%/0.00%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5,833</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+ 7.50%) / (0.50%)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11.79%/0.00%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5" w:type="dxa"/>
            <w:tcBorders/>
            <w:shd w:fill="CFF0FC"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ind w:left="160" w:right="0" w:firstLine="160"/>
              <w:jc w:val="left"/>
              <w:rPr/>
            </w:pPr>
            <w:r>
              <w:rPr/>
              <w:t> </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First Lien Debt ($2,489</w:t>
            </w:r>
            <w:r>
              <w:rPr>
                <w:rFonts w:ascii="Times New Roman" w:hAnsi="Times New Roman"/>
                <w:color w:val="000000"/>
                <w:sz w:val="20"/>
              </w:rPr>
              <w:t> </w:t>
            </w:r>
            <w:r>
              <w:rPr>
                <w:rFonts w:ascii="Times New Roman" w:hAnsi="Times New Roman"/>
                <w:color w:val="000000"/>
                <w:sz w:val="10"/>
              </w:rPr>
              <w:t>unfunded commitment) (j)(ac)</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+ 6.25%)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10.83%/0.00%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5,309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Subordinated Debt ($417</w:t>
            </w:r>
            <w:r>
              <w:rPr>
                <w:rFonts w:ascii="Times New Roman" w:hAnsi="Times New Roman"/>
                <w:color w:val="000000"/>
                <w:sz w:val="20"/>
              </w:rPr>
              <w:t> </w:t>
            </w:r>
            <w:r>
              <w:rPr>
                <w:rFonts w:ascii="Times New Roman" w:hAnsi="Times New Roman"/>
                <w:color w:val="000000"/>
                <w:sz w:val="10"/>
              </w:rPr>
              <w:t>unfunded commitment) (j)(ac)</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1,287</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($70</w:t>
            </w:r>
            <w:r>
              <w:rPr>
                <w:rFonts w:ascii="Times New Roman" w:hAnsi="Times New Roman"/>
                <w:color w:val="000000"/>
                <w:sz w:val="20"/>
              </w:rPr>
              <w:t> </w:t>
            </w:r>
            <w:r>
              <w:rPr>
                <w:rFonts w:ascii="Times New Roman" w:hAnsi="Times New Roman"/>
                <w:color w:val="000000"/>
                <w:sz w:val="10"/>
              </w:rPr>
              <w:t>unfunded commitment)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Rhino Assembly Company,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(k)</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8/11/2017</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14,851</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(Class A Units) (10,915</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8/11/2017</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2,379</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Preferred Equity (Units N/A) (h)(j)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12/10/2020</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307</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(Class F Units) (710</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12/10/2020</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Road Safety Services,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center"/>
              <w:rPr/>
            </w:pPr>
            <w:r>
              <w:rPr/>
              <w:t> </w:t>
            </w:r>
          </w:p>
        </w:tc>
        <w:tc>
          <w:tcPr>
            <w:tcW w:w="405" w:type="dxa"/>
            <w:tcBorders/>
            <w:shd w:fill="FFFFFF" w:val="clear"/>
            <w:vAlign w:val="center"/>
          </w:tcPr>
          <w:p>
            <w:pPr>
              <w:pStyle w:val="TableContents"/>
              <w:bidi w:val="0"/>
              <w:spacing w:before="0" w:after="283"/>
              <w:ind w:left="0" w:right="0" w:firstLine="160"/>
              <w:jc w:val="center"/>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9/18/2018</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15,842</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(779</w:t>
            </w:r>
            <w:r>
              <w:rPr>
                <w:rFonts w:ascii="Times New Roman" w:hAnsi="Times New Roman"/>
                <w:color w:val="000000"/>
                <w:sz w:val="20"/>
              </w:rPr>
              <w:t> </w:t>
            </w:r>
            <w:r>
              <w:rPr>
                <w:rFonts w:ascii="Times New Roman" w:hAnsi="Times New Roman"/>
                <w:color w:val="000000"/>
                <w:sz w:val="10"/>
              </w:rPr>
              <w:t>units)</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9/18/2018</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Sonicwall US Holdings,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+ 7.50%) / (0.00%)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12.20%/0.00%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5/18/2026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405" w:type="dxa"/>
            <w:tcBorders/>
            <w:shd w:fill="CFF0FC" w:val="clear"/>
            <w:vAlign w:val="center"/>
          </w:tcPr>
          <w:p>
            <w:pPr>
              <w:pStyle w:val="TableContents"/>
              <w:bidi w:val="0"/>
              <w:spacing w:before="0" w:after="283"/>
              <w:ind w:left="0" w:right="0" w:firstLine="160"/>
              <w:jc w:val="center"/>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12.00%/0.00%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10,726</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(7,500</w:t>
            </w:r>
            <w:r>
              <w:rPr>
                <w:rFonts w:ascii="Times New Roman" w:hAnsi="Times New Roman"/>
                <w:color w:val="000000"/>
                <w:sz w:val="20"/>
              </w:rPr>
              <w:t> </w:t>
            </w:r>
            <w:r>
              <w:rPr>
                <w:rFonts w:ascii="Times New Roman" w:hAnsi="Times New Roman"/>
                <w:color w:val="000000"/>
                <w:sz w:val="10"/>
              </w:rPr>
              <w:t>units) (h)(j)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11.57%/0.00%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15,600</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Revolving Loan ($2,400</w:t>
            </w:r>
            <w:r>
              <w:rPr>
                <w:rFonts w:ascii="Times New Roman" w:hAnsi="Times New Roman"/>
                <w:color w:val="000000"/>
                <w:sz w:val="20"/>
              </w:rPr>
              <w:t> </w:t>
            </w:r>
            <w:r>
              <w:rPr>
                <w:rFonts w:ascii="Times New Roman" w:hAnsi="Times New Roman"/>
                <w:color w:val="000000"/>
                <w:sz w:val="10"/>
              </w:rPr>
              <w:t>unfunded commitment) (j)(i)</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11.57%/0.00%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Delayed Draw Commitment ($3,000</w:t>
            </w:r>
            <w:r>
              <w:rPr>
                <w:rFonts w:ascii="Times New Roman" w:hAnsi="Times New Roman"/>
                <w:color w:val="000000"/>
                <w:sz w:val="20"/>
              </w:rPr>
              <w:t> </w:t>
            </w:r>
            <w:r>
              <w:rPr>
                <w:rFonts w:ascii="Times New Roman" w:hAnsi="Times New Roman"/>
                <w:color w:val="000000"/>
                <w:sz w:val="10"/>
              </w:rPr>
              <w:t>unfunded commitment) (j)(ac)</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11.57%/0.00%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3,750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(Series A) (1,000</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(aw)</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5/31/2025</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(17</w:t>
            </w:r>
            <w:r>
              <w:rPr>
                <w:rFonts w:ascii="Times New Roman" w:hAnsi="Times New Roman"/>
                <w:color w:val="000000"/>
                <w:sz w:val="20"/>
              </w:rPr>
              <w:t> </w:t>
            </w:r>
            <w:r>
              <w:rPr>
                <w:rFonts w:ascii="Times New Roman" w:hAnsi="Times New Roman"/>
                <w:color w:val="000000"/>
                <w:sz w:val="10"/>
              </w:rPr>
              <w:t>units)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+ 9.75%)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14.48%/0.00%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10/13/2027</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Western's Smokehouse,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(j)(ab)</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+ 6.50%) / (1.50%)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11.21%/0.00%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12/23/2024</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9,554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9,615</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Delayed Draw Commitment ($2,702</w:t>
            </w:r>
            <w:r>
              <w:rPr>
                <w:rFonts w:ascii="Times New Roman" w:hAnsi="Times New Roman"/>
                <w:color w:val="000000"/>
                <w:sz w:val="20"/>
              </w:rPr>
              <w:t> </w:t>
            </w:r>
            <w:r>
              <w:rPr>
                <w:rFonts w:ascii="Times New Roman" w:hAnsi="Times New Roman"/>
                <w:color w:val="000000"/>
                <w:sz w:val="10"/>
              </w:rPr>
              <w:t>unfunded commitment) (j)(i)(ax)</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+ 5.00%) / (1.50%)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9.71%/0.00%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6/29/2022</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12/23/2024</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Winona Foods, Inc.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(j)(am)</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+ 12.00%) / (1.00%)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16.75%/0.00%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+ 13.00%) / (1.00%)</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17.75%/0.00%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(k)(z)</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+ 7.25%) / (1.00%)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11.97%/0.00%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2/9/2026</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24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Second Lien Debt (j)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+ 7.00%) / (0.75%)</w:t>
            </w:r>
          </w:p>
        </w:tc>
        <w:tc>
          <w:tcPr>
            <w:tcW w:w="663"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11.73%/0.00%</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8/2/2021</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7/26/2029</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26,534</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Common Equity (795,000units)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942</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27,418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24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firstLine="160"/>
              <w:jc w:val="left"/>
              <w:rPr/>
            </w:pPr>
            <w:r>
              <w:rPr/>
              <w:t> </w:t>
            </w:r>
          </w:p>
        </w:tc>
      </w:tr>
      <w:tr>
        <w:trPr/>
        <w:tc>
          <w:tcPr>
            <w:tcW w:w="2859"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First Lien Debt (j)</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(L + 10.00%) / (1.00%)</w:t>
            </w:r>
          </w:p>
        </w:tc>
        <w:tc>
          <w:tcPr>
            <w:tcW w:w="663"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15.76%/0.00%</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2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4,610</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ind w:left="0" w:right="0" w:firstLine="160"/>
              <w:jc w:val="left"/>
              <w:rPr/>
            </w:pPr>
            <w:r>
              <w:rPr/>
              <w:t> </w:t>
            </w:r>
          </w:p>
        </w:tc>
      </w:tr>
      <w:tr>
        <w:trPr/>
        <w:tc>
          <w:tcPr>
            <w:tcW w:w="2859" w:type="dxa"/>
            <w:tcBorders/>
            <w:shd w:fill="FFFFFF" w:val="clear"/>
            <w:vAlign w:val="center"/>
          </w:tcPr>
          <w:p>
            <w:pPr>
              <w:pStyle w:val="TableContents"/>
              <w:bidi w:val="0"/>
              <w:spacing w:before="0" w:after="283"/>
              <w:ind w:left="16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sz w:val="4"/>
                <w:szCs w:val="4"/>
              </w:rPr>
            </w:pPr>
            <w:r>
              <w:rPr>
                <w:sz w:val="4"/>
                <w:szCs w:val="4"/>
              </w:rPr>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754,974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758,739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2859"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245" w:type="dxa"/>
            <w:tcBorders/>
            <w:shd w:fill="CFF0FC" w:val="clear"/>
            <w:vAlign w:val="center"/>
          </w:tcPr>
          <w:p>
            <w:pPr>
              <w:pStyle w:val="TableContents"/>
              <w:bidi w:val="0"/>
              <w:spacing w:before="0" w:after="283"/>
              <w:jc w:val="left"/>
              <w:rPr/>
            </w:pPr>
            <w:r>
              <w:rPr/>
              <w:t> </w:t>
            </w:r>
          </w:p>
        </w:tc>
        <w:tc>
          <w:tcPr>
            <w:tcW w:w="915"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5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828,693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860,329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w:t>
            </w:r>
          </w:p>
        </w:tc>
        <w:tc>
          <w:tcPr>
            <w:tcW w:w="405"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59" w:type="dxa"/>
            <w:tcBorders/>
            <w:shd w:fill="FFFFFF" w:val="clear"/>
            <w:vAlign w:val="center"/>
          </w:tcPr>
          <w:p>
            <w:pPr>
              <w:pStyle w:val="TableContents"/>
              <w:bidi w:val="0"/>
              <w:spacing w:before="0" w:after="283"/>
              <w:jc w:val="left"/>
              <w:rPr>
                <w:sz w:val="4"/>
                <w:szCs w:val="4"/>
              </w:rPr>
            </w:pPr>
            <w:r>
              <w:rPr>
                <w:sz w:val="4"/>
                <w:szCs w:val="4"/>
              </w:rPr>
            </w:r>
          </w:p>
        </w:tc>
        <w:tc>
          <w:tcPr>
            <w:tcW w:w="1245"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5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189" w:type="dxa"/>
        <w:jc w:val="left"/>
        <w:tblInd w:w="0" w:type="dxa"/>
        <w:tblLayout w:type="fixed"/>
        <w:tblCellMar>
          <w:top w:w="28" w:type="dxa"/>
          <w:left w:w="28" w:type="dxa"/>
          <w:bottom w:w="28" w:type="dxa"/>
          <w:right w:w="28" w:type="dxa"/>
        </w:tblCellMar>
      </w:tblPr>
      <w:tblGrid>
        <w:gridCol w:w="4346"/>
        <w:gridCol w:w="146"/>
        <w:gridCol w:w="146"/>
        <w:gridCol w:w="146"/>
        <w:gridCol w:w="146"/>
        <w:gridCol w:w="146"/>
        <w:gridCol w:w="146"/>
        <w:gridCol w:w="146"/>
        <w:gridCol w:w="146"/>
        <w:gridCol w:w="166"/>
        <w:gridCol w:w="496"/>
        <w:gridCol w:w="146"/>
        <w:gridCol w:w="146"/>
        <w:gridCol w:w="166"/>
        <w:gridCol w:w="496"/>
        <w:gridCol w:w="146"/>
        <w:gridCol w:w="146"/>
        <w:gridCol w:w="286"/>
        <w:gridCol w:w="48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CFF0FC"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ind w:left="0" w:right="0" w:firstLine="160"/>
              <w:jc w:val="left"/>
              <w:rPr/>
            </w:pPr>
            <w:r>
              <w:rPr/>
              <w:t> </w:t>
            </w:r>
          </w:p>
        </w:tc>
      </w:tr>
      <w:tr>
        <w:trPr/>
        <w:tc>
          <w:tcPr>
            <w:tcW w:w="4346"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481" w:type="dxa"/>
            <w:tcBorders/>
            <w:shd w:fill="FFFFFF" w:val="cle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4346" w:type="dxa"/>
            <w:tcBorders/>
            <w:shd w:fill="CFF0FC" w:val="clear"/>
            <w:vAlign w:val="center"/>
          </w:tcPr>
          <w:p>
            <w:pPr>
              <w:pStyle w:val="TableContents"/>
              <w:bidi w:val="0"/>
              <w:spacing w:before="0" w:after="283"/>
              <w:ind w:left="24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481" w:type="dxa"/>
            <w:tcBorders/>
            <w:shd w:fill="CFF0FC"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434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889,769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921,405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192</w:t>
            </w:r>
          </w:p>
        </w:tc>
        <w:tc>
          <w:tcPr>
            <w:tcW w:w="481" w:type="dxa"/>
            <w:tcBorders/>
            <w:shd w:fill="FFFFFF" w:val="cle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4346" w:type="dxa"/>
            <w:tcBorders/>
            <w:shd w:fill="FFFFFF" w:val="clear"/>
            <w:vAlign w:val="center"/>
          </w:tcPr>
          <w:p>
            <w:pPr>
              <w:pStyle w:val="TableContents"/>
              <w:bidi w:val="0"/>
              <w:spacing w:before="0" w:after="283"/>
              <w:ind w:left="160" w:right="0" w:firstLine="16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2" w:type="dxa"/>
            <w:gridSpan w:val="2"/>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(a) See Note 3 to the consolidated financial statements for portfolio composition by geographic location.</w:t>
      </w:r>
    </w:p>
    <w:p>
      <w:pPr>
        <w:pStyle w:val="TextBody"/>
        <w:bidi w:val="0"/>
        <w:jc w:val="left"/>
        <w:rPr>
          <w:rFonts w:ascii="Times New Roman" w:hAnsi="Times New Roman"/>
          <w:color w:val="000000"/>
          <w:sz w:val="18"/>
        </w:rPr>
      </w:pPr>
      <w:r>
        <w:rPr>
          <w:rFonts w:ascii="Times New Roman" w:hAnsi="Times New Roman"/>
          <w:color w:val="000000"/>
          <w:sz w:val="18"/>
        </w:rPr>
        <w:t>(b) Equity ownership may be held in shares or units of companies related to the portfolio companies.</w:t>
      </w:r>
    </w:p>
    <w:p>
      <w:pPr>
        <w:pStyle w:val="TextBody"/>
        <w:bidi w:val="0"/>
        <w:jc w:val="left"/>
        <w:rPr>
          <w:rFonts w:ascii="Times New Roman" w:hAnsi="Times New Roman"/>
          <w:color w:val="000000"/>
          <w:sz w:val="18"/>
        </w:rPr>
      </w:pPr>
      <w:r>
        <w:rPr>
          <w:rFonts w:ascii="Times New Roman" w:hAnsi="Times New Roman"/>
          <w:color w:val="000000"/>
          <w:sz w:val="18"/>
        </w:rPr>
        <w:t>(c) All debt investments are income producing, unless otherwise indicated.</w:t>
      </w:r>
    </w:p>
    <w:p>
      <w:pPr>
        <w:pStyle w:val="TextBody"/>
        <w:bidi w:val="0"/>
        <w:jc w:val="left"/>
        <w:rPr>
          <w:rFonts w:ascii="Times New Roman" w:hAnsi="Times New Roman"/>
          <w:color w:val="000000"/>
          <w:sz w:val="18"/>
        </w:rPr>
      </w:pPr>
      <w:r>
        <w:rPr>
          <w:rFonts w:ascii="Times New Roman" w:hAnsi="Times New Roman"/>
          <w:color w:val="000000"/>
          <w:sz w:val="18"/>
        </w:rPr>
        <w:t>Equity investments are non-income producing unless otherwise noted.</w:t>
      </w:r>
    </w:p>
    <w:p>
      <w:pPr>
        <w:pStyle w:val="TextBody"/>
        <w:bidi w:val="0"/>
        <w:jc w:val="left"/>
        <w:rPr>
          <w:rFonts w:ascii="Times New Roman" w:hAnsi="Times New Roman"/>
          <w:color w:val="000000"/>
          <w:sz w:val="18"/>
        </w:rPr>
      </w:pPr>
      <w:r>
        <w:rPr>
          <w:rFonts w:ascii="Times New Roman" w:hAnsi="Times New Roman"/>
          <w:color w:val="000000"/>
          <w:sz w:val="18"/>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December 31, 2022.</w:t>
      </w:r>
    </w:p>
    <w:p>
      <w:pPr>
        <w:pStyle w:val="TextBody"/>
        <w:bidi w:val="0"/>
        <w:jc w:val="left"/>
        <w:rPr>
          <w:rFonts w:ascii="Times New Roman" w:hAnsi="Times New Roman"/>
          <w:color w:val="000000"/>
          <w:sz w:val="18"/>
        </w:rPr>
      </w:pPr>
      <w:r>
        <w:rPr>
          <w:rFonts w:ascii="Times New Roman" w:hAnsi="Times New Roman"/>
          <w:color w:val="000000"/>
          <w:sz w:val="18"/>
        </w:rPr>
        <w:t>(e) Rate includes the cash interest or dividend rate and paid-in-kind interest or dividend rate, if any, as of December 31, 2022. Generally, payment-in-kind interest can be paid-in-kind or all in cash.</w:t>
      </w:r>
    </w:p>
    <w:p>
      <w:pPr>
        <w:pStyle w:val="TextBody"/>
        <w:bidi w:val="0"/>
        <w:jc w:val="left"/>
        <w:rPr>
          <w:rFonts w:ascii="Times New Roman" w:hAnsi="Times New Roman"/>
          <w:color w:val="000000"/>
          <w:sz w:val="18"/>
        </w:rPr>
      </w:pPr>
      <w:r>
        <w:rPr>
          <w:rFonts w:ascii="Times New Roman" w:hAnsi="Times New Roman"/>
          <w:color w:val="000000"/>
          <w:sz w:val="18"/>
        </w:rPr>
        <w:t>(f) Investment date represents the date of the initial investment in the security.</w:t>
      </w:r>
    </w:p>
    <w:p>
      <w:pPr>
        <w:pStyle w:val="TextBody"/>
        <w:bidi w:val="0"/>
        <w:jc w:val="left"/>
        <w:rPr>
          <w:rFonts w:ascii="Times New Roman" w:hAnsi="Times New Roman"/>
          <w:color w:val="000000"/>
          <w:sz w:val="18"/>
        </w:rPr>
      </w:pPr>
      <w:r>
        <w:rPr>
          <w:rFonts w:ascii="Times New Roman" w:hAnsi="Times New Roman"/>
          <w:color w:val="000000"/>
          <w:sz w:val="18"/>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8"/>
        </w:rPr>
      </w:pPr>
      <w:r>
        <w:rPr>
          <w:rFonts w:ascii="Times New Roman" w:hAnsi="Times New Roman"/>
          <w:color w:val="000000"/>
          <w:sz w:val="18"/>
        </w:rPr>
        <w:t>(h) Investment is held by a taxable subsidiary of the Company.</w:t>
      </w:r>
    </w:p>
    <w:p>
      <w:pPr>
        <w:pStyle w:val="TextBody"/>
        <w:bidi w:val="0"/>
        <w:jc w:val="left"/>
        <w:rPr>
          <w:rFonts w:ascii="Times New Roman" w:hAnsi="Times New Roman"/>
          <w:color w:val="000000"/>
          <w:sz w:val="18"/>
        </w:rPr>
      </w:pPr>
      <w:r>
        <w:rPr>
          <w:rFonts w:ascii="Times New Roman" w:hAnsi="Times New Roman"/>
          <w:color w:val="000000"/>
          <w:sz w:val="18"/>
        </w:rPr>
        <w:t>(i) The disclosed commitment represents the unfunded amount as of December 31, 2022.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8"/>
        </w:rPr>
      </w:pPr>
      <w:r>
        <w:rPr>
          <w:rFonts w:ascii="Times New Roman" w:hAnsi="Times New Roman"/>
          <w:color w:val="000000"/>
          <w:sz w:val="18"/>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8"/>
        </w:rPr>
      </w:pPr>
      <w:r>
        <w:rPr>
          <w:rFonts w:ascii="Times New Roman" w:hAnsi="Times New Roman"/>
          <w:color w:val="000000"/>
          <w:sz w:val="18"/>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8"/>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(p) 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(q) Warrant entitles the Company to purchase 4.79% of the outstanding principal of Junior Subordinated Notes prior to exercise, and is non-income producing.</w:t>
      </w:r>
    </w:p>
    <w:p>
      <w:pPr>
        <w:pStyle w:val="TextBody"/>
        <w:bidi w:val="0"/>
        <w:jc w:val="left"/>
        <w:rPr>
          <w:rFonts w:ascii="Times New Roman" w:hAnsi="Times New Roman"/>
          <w:color w:val="000000"/>
          <w:sz w:val="18"/>
        </w:rPr>
      </w:pPr>
      <w:r>
        <w:rPr>
          <w:rFonts w:ascii="Times New Roman" w:hAnsi="Times New Roman"/>
          <w:color w:val="000000"/>
          <w:sz w:val="18"/>
        </w:rPr>
        <w:t>(r) In addition to the interest earned based on the stated interest rate of this security, the Company is entitled to receive an additional interest amount of 4.24%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(s) In addition to the interest earned based on the stated interest rate of this security, the Company is entitled to receive an additional interest amount of 2.32%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(u) In addition to the interest earned based on the stated interest rate of this security, the Company is entitled to receive an additional cash interest amount of 2.93%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(v)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(w) In addition to the interest earned based on the stated interest rate of this security, the Company is entitled to receive an additional interest amount of 7.11%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(x) 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(y) Investment was on non-accrual status as of December 31, 2022.</w:t>
      </w:r>
    </w:p>
    <w:p>
      <w:pPr>
        <w:pStyle w:val="TextBody"/>
        <w:bidi w:val="0"/>
        <w:jc w:val="left"/>
        <w:rPr>
          <w:rFonts w:ascii="Times New Roman" w:hAnsi="Times New Roman"/>
          <w:color w:val="000000"/>
          <w:sz w:val="18"/>
        </w:rPr>
      </w:pPr>
      <w:r>
        <w:rPr>
          <w:rFonts w:ascii="Times New Roman" w:hAnsi="Times New Roman"/>
          <w:color w:val="000000"/>
          <w:sz w:val="18"/>
        </w:rPr>
        <w:t>(z) In addition to the interest earned based on the stated interest rate of this security, the Company is entitled to receive an additional interest amount of 4.45%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8"/>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(ab) In addition to the interest earned based on the stated interest rate of this security, the Company is entitled to receive an additional interest amount of 1.77%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(ac) The disclosed commitment represents the unfunded amount as of December 31, 2022.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8"/>
        </w:rPr>
      </w:pPr>
      <w:r>
        <w:rPr>
          <w:rFonts w:ascii="Times New Roman" w:hAnsi="Times New Roman"/>
          <w:color w:val="000000"/>
          <w:sz w:val="18"/>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8"/>
        </w:rPr>
      </w:pPr>
      <w:r>
        <w:rPr>
          <w:rFonts w:ascii="Times New Roman" w:hAnsi="Times New Roman"/>
          <w:color w:val="000000"/>
          <w:sz w:val="18"/>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(ag)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(ai) In addition to the interest earned based on the stated interest rate of this security, the Company is entitled to receive an additional interest amount of 4.65%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(al)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(am)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8"/>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8"/>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8"/>
        </w:rPr>
      </w:pPr>
      <w:r>
        <w:rPr>
          <w:rFonts w:ascii="Times New Roman" w:hAnsi="Times New Roman"/>
          <w:color w:val="000000"/>
          <w:sz w:val="18"/>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2022, total non-qualifying assets at fair value represented 1.36% of the Company's total assets calculated in accordance with the 1940 Act.</w:t>
      </w:r>
    </w:p>
    <w:p>
      <w:pPr>
        <w:pStyle w:val="TextBody"/>
        <w:bidi w:val="0"/>
        <w:jc w:val="left"/>
        <w:rPr>
          <w:rFonts w:ascii="Times New Roman" w:hAnsi="Times New Roman"/>
          <w:color w:val="000000"/>
          <w:sz w:val="18"/>
        </w:rPr>
      </w:pPr>
      <w:r>
        <w:rPr>
          <w:rFonts w:ascii="Times New Roman" w:hAnsi="Times New Roman"/>
          <w:color w:val="000000"/>
          <w:sz w:val="18"/>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(aq) In addition to the interest earned based on the stated interest rate of this security, the Company is entitled to receive an additional interest amount of 4.68%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(as) In addition to the interest earned based on the stated interest rate of this security, the Company is entitled to receive an additional interest amount of 4.76%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(au)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8"/>
        </w:rPr>
      </w:pPr>
      <w:r>
        <w:rPr>
          <w:rFonts w:ascii="Times New Roman" w:hAnsi="Times New Roman"/>
          <w:color w:val="000000"/>
          <w:sz w:val="18"/>
        </w:rPr>
        <w:t>(aw) The headquarters of this portfolio company is located in Canada.</w:t>
      </w:r>
    </w:p>
    <w:p>
      <w:pPr>
        <w:pStyle w:val="TextBody"/>
        <w:bidi w:val="0"/>
        <w:jc w:val="left"/>
        <w:rPr>
          <w:rFonts w:ascii="Times New Roman" w:hAnsi="Times New Roman"/>
          <w:color w:val="000000"/>
          <w:sz w:val="18"/>
        </w:rPr>
      </w:pPr>
      <w:r>
        <w:rPr>
          <w:rFonts w:ascii="Times New Roman" w:hAnsi="Times New Roman"/>
          <w:color w:val="000000"/>
          <w:sz w:val="18"/>
        </w:rPr>
        <w:t>(ax) 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pPr>
      <w:r>
        <w:rPr/>
        <w:t> </w:t>
      </w:r>
    </w:p>
    <w:p>
      <w:pPr>
        <w:pStyle w:val="TextBody"/>
        <w:bidi w:val="0"/>
        <w:spacing w:before="240" w:after="283"/>
        <w:jc w:val="center"/>
        <w:rPr>
          <w:rFonts w:ascii="Times New Roman" w:hAnsi="Times New Roman"/>
          <w:i/>
          <w:color w:val="000000"/>
          <w:sz w:val="18"/>
        </w:rPr>
      </w:pPr>
      <w:r>
        <w:rPr>
          <w:rFonts w:ascii="Times New Roman" w:hAnsi="Times New Roman"/>
          <w:i/>
          <w:color w:val="000000"/>
          <w:sz w:val="18"/>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b/>
          <w:color w:val="000000"/>
          <w:sz w:val="20"/>
        </w:rPr>
      </w:pPr>
      <w:bookmarkStart w:id="20" w:name="footnotes"/>
      <w:bookmarkEnd w:id="20"/>
      <w:r>
        <w:rPr>
          <w:rFonts w:ascii="Times New Roman" w:hAnsi="Times New Roman"/>
          <w:b/>
          <w:color w:val="000000"/>
          <w:sz w:val="20"/>
        </w:rPr>
        <w:t>Note 1. Organization and Nature of Business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Fund II and Fund III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10-K,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 xml:space="preserve">(“ASC 946”), and Articles 6 and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fiscal year ended December 31, 2022, the Company elected to change the manner in which it presents residual investments in portfolio companies that have sold their operations and are in the process of winding down. These investments similar to escrow receivables are now included in prepaid expenses and other assets whereas previously they were included as a component of investments, at fair value, on the consolidated statements of assets and liabilities until the security was legally extinguished or relinquished. There is no change in historical net increase in net assets resulting from operations due to this change in presentation.</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Segments:</w:t>
      </w:r>
      <w:r>
        <w:rPr>
          <w:rFonts w:ascii="Times New Roman" w:hAnsi="Times New Roman"/>
          <w:color w:val="000000"/>
          <w:sz w:val="20"/>
        </w:rPr>
        <w:t xml:space="preserve"> In accordance with ASC Topic 280 — </w:t>
      </w:r>
      <w:r>
        <w:rPr>
          <w:rFonts w:ascii="Times New Roman" w:hAnsi="Times New Roman"/>
          <w:i/>
          <w:color w:val="000000"/>
          <w:sz w:val="20"/>
        </w:rPr>
        <w:t>Segment Reporting</w:t>
      </w:r>
      <w:r>
        <w:rPr>
          <w:rFonts w:ascii="Times New Roman" w:hAnsi="Times New Roman"/>
          <w:color w:val="000000"/>
          <w:sz w:val="20"/>
        </w:rPr>
        <w:t>, the Company has determined that it has a single reporting segment and operating unit structure.</w:t>
      </w:r>
    </w:p>
    <w:p>
      <w:pPr>
        <w:pStyle w:val="TextBody"/>
        <w:bidi w:val="0"/>
        <w:spacing w:before="18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 xml:space="preserve">Transfers and Servicing,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for U.S. federal income tax purposes as a RIC under 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income. Any such carryover taxable income must be distributed through a dividend declared prior to the later of the date on which the final tax return related to the year in which the Company generated such taxable income is filed or the 15</w:t>
      </w:r>
      <w:r>
        <w:rPr>
          <w:rFonts w:ascii="Times New Roman" w:hAnsi="Times New Roman"/>
          <w:color w:val="000000"/>
          <w:sz w:val="13"/>
        </w:rPr>
        <w:t>th</w:t>
      </w:r>
      <w:r>
        <w:rPr>
          <w:rFonts w:ascii="Times New Roman" w:hAnsi="Times New Roman"/>
          <w:color w:val="000000"/>
          <w:sz w:val="20"/>
        </w:rPr>
        <w:t xml:space="preserve"> day of the 10</w:t>
      </w:r>
      <w:r>
        <w:rPr>
          <w:rFonts w:ascii="Times New Roman" w:hAnsi="Times New Roman"/>
          <w:color w:val="000000"/>
          <w:sz w:val="13"/>
        </w:rPr>
        <w:t>th</w:t>
      </w:r>
      <w:r>
        <w:rPr>
          <w:rFonts w:ascii="Times New Roman" w:hAnsi="Times New Roman"/>
          <w:color w:val="000000"/>
          <w:sz w:val="20"/>
        </w:rPr>
        <w:t xml:space="preserve"> month following the close of such taxable year. In addition, the Company will be subject to U.S. federal excise tax if it does not distribute at least 98.2% of its net capital gains realized, computed for any one year period ending October 31.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December 31, 2023 and 2022. The Company’s tax returns are generally subject to examination by U.S. federal and most state tax authorities for a period of three years from the date the respective returns are filed, and, accordingly, the Company’s 2020 through 2022 tax years remain subject to examination.</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years ended December 31, 2023, 2022 and 2021,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30, 2023, the Board extended the Stock Repurchase Program through December 31, 2024,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years ended December 31, 2023, 2022, and 2021. Refer to Note 8 for additional information concerning stock repurchases.</w:t>
      </w:r>
    </w:p>
    <w:p>
      <w:pPr>
        <w:pStyle w:val="TextBody"/>
        <w:bidi w:val="0"/>
        <w:spacing w:before="180" w:after="283"/>
        <w:jc w:val="both"/>
        <w:rPr>
          <w:rFonts w:ascii="Times New Roman" w:hAnsi="Times New Roman"/>
          <w:sz w:val="20"/>
        </w:rPr>
      </w:pPr>
      <w:r>
        <w:rPr>
          <w:rFonts w:ascii="Times New Roman" w:hAnsi="Times New Roman"/>
          <w:i/>
          <w:color w:val="000000"/>
          <w:sz w:val="20"/>
        </w:rPr>
        <w:t>Recent accounting pronouncement:</w:t>
      </w:r>
      <w:r>
        <w:rPr>
          <w:rFonts w:ascii="Times New Roman" w:hAnsi="Times New Roman"/>
          <w:color w:val="000000"/>
          <w:sz w:val="20"/>
        </w:rPr>
        <w:t xml:space="preserve"> 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2023, the Company had active investments in 81 portfolio companies and residual investments in one portfolio company that has sold its underlying operations. The aggregate fair value of the total portfolio was $957,906 and the weighted average effective yield on the Company’s debt investments was 14.2% as of such date. As of December 31, 2023, the Company held equity investments in 79.3% of its portfolio companies and the average fully diluted equity ownership in those portfolio companies was 3.0%.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2022, the Company had active investments in 76 portfolio companies and residual investments in two portfolio companies that have sold their underlying operations. The aggregate fair value of the total portfolio was $860,329 and the weighted average effective yield on the Company’s debt investments was 13.8% as of such date. As of December 31, 2022, the Company held equity investments in 74.4% of its portfolio companies and the average fully diluted equity ownership in those portfolio companies was 4.0%.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December 31, 2023 and 2022, including accretion of OID and debt investment origination fees, but excluding investments on non-accrual status and investments recorded as a secured borrowing, if 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years ended December 31, 2023, 2022 and 2021 totaled $336,741, $333,846, and $346,737, respectively. Proceeds from sales and repayments, including principal, return of capital distributions and realized gains, of portfolio investments for the years ended December 31, 2023, 2022 and 2021 totaled $258,875, $193,980, and $472,782 respectively.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Investments by type with corresponding percentage of total portfolio investments consisted of the following:</w:t>
      </w:r>
    </w:p>
    <w:tbl>
      <w:tblPr>
        <w:tblW w:w="10572" w:type="dxa"/>
        <w:jc w:val="left"/>
        <w:tblInd w:w="0" w:type="dxa"/>
        <w:tblLayout w:type="fixed"/>
        <w:tblCellMar>
          <w:top w:w="28" w:type="dxa"/>
          <w:left w:w="28" w:type="dxa"/>
          <w:bottom w:w="28" w:type="dxa"/>
          <w:right w:w="28" w:type="dxa"/>
        </w:tblCellMar>
      </w:tblPr>
      <w:tblGrid>
        <w:gridCol w:w="1051"/>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182,948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4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4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6"/>
        </w:rPr>
        <w:t>(1) Includes unitranche investments, which account for 37.6%</w:t>
      </w:r>
      <w:r>
        <w:rPr>
          <w:rFonts w:ascii="Times New Roman" w:hAnsi="Times New Roman"/>
          <w:color w:val="000000"/>
          <w:sz w:val="20"/>
        </w:rPr>
        <w:t xml:space="preserve"> </w:t>
      </w:r>
      <w:r>
        <w:rPr>
          <w:rFonts w:ascii="Times New Roman" w:hAnsi="Times New Roman"/>
          <w:color w:val="000000"/>
          <w:sz w:val="16"/>
        </w:rPr>
        <w:t>and 38.5%</w:t>
      </w:r>
      <w:r>
        <w:rPr>
          <w:rFonts w:ascii="Times New Roman" w:hAnsi="Times New Roman"/>
          <w:color w:val="000000"/>
          <w:sz w:val="20"/>
        </w:rPr>
        <w:t xml:space="preserve"> </w:t>
      </w:r>
      <w:r>
        <w:rPr>
          <w:rFonts w:ascii="Times New Roman" w:hAnsi="Times New Roman"/>
          <w:color w:val="000000"/>
          <w:sz w:val="16"/>
        </w:rPr>
        <w:t>of our portfolio on a fair value and cost basis as of December 31, 2023, respectively. Includes unitranche investments, which account for 42.1%</w:t>
      </w:r>
      <w:r>
        <w:rPr>
          <w:rFonts w:ascii="Times New Roman" w:hAnsi="Times New Roman"/>
          <w:color w:val="000000"/>
          <w:sz w:val="20"/>
        </w:rPr>
        <w:t xml:space="preserve"> </w:t>
      </w:r>
      <w:r>
        <w:rPr>
          <w:rFonts w:ascii="Times New Roman" w:hAnsi="Times New Roman"/>
          <w:color w:val="000000"/>
          <w:sz w:val="16"/>
        </w:rPr>
        <w:t>and 43.4%</w:t>
      </w:r>
      <w:r>
        <w:rPr>
          <w:rFonts w:ascii="Times New Roman" w:hAnsi="Times New Roman"/>
          <w:color w:val="000000"/>
          <w:sz w:val="20"/>
        </w:rPr>
        <w:t xml:space="preserve"> </w:t>
      </w:r>
      <w:r>
        <w:rPr>
          <w:rFonts w:ascii="Times New Roman" w:hAnsi="Times New Roman"/>
          <w:color w:val="000000"/>
          <w:sz w:val="16"/>
        </w:rPr>
        <w:t>of our portfolio on a fair value and cost basis as of December 31, 2022,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 </w:t>
      </w:r>
    </w:p>
    <w:tbl>
      <w:tblPr>
        <w:tblW w:w="10547" w:type="dxa"/>
        <w:jc w:val="left"/>
        <w:tblInd w:w="0" w:type="dxa"/>
        <w:tblLayout w:type="fixed"/>
        <w:tblCellMar>
          <w:top w:w="28" w:type="dxa"/>
          <w:left w:w="28" w:type="dxa"/>
          <w:bottom w:w="28" w:type="dxa"/>
          <w:right w:w="28" w:type="dxa"/>
        </w:tblCellMar>
      </w:tblPr>
      <w:tblGrid>
        <w:gridCol w:w="92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24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9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9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pPr>
            <w:r>
              <w:rPr/>
              <w:t> </w:t>
            </w:r>
          </w:p>
        </w:tc>
      </w:tr>
      <w:tr>
        <w:trPr/>
        <w:tc>
          <w:tcPr>
            <w:tcW w:w="9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9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tbl>
      <w:tblPr>
        <w:tblW w:w="10205" w:type="dxa"/>
        <w:jc w:val="left"/>
        <w:tblInd w:w="0" w:type="dxa"/>
        <w:tblLayout w:type="fixed"/>
        <w:tblCellMar>
          <w:top w:w="28" w:type="dxa"/>
          <w:left w:w="28" w:type="dxa"/>
          <w:bottom w:w="28" w:type="dxa"/>
          <w:right w:w="28" w:type="dxa"/>
        </w:tblCellMar>
      </w:tblPr>
      <w:tblGrid>
        <w:gridCol w:w="1634"/>
        <w:gridCol w:w="146"/>
        <w:gridCol w:w="252"/>
        <w:gridCol w:w="995"/>
        <w:gridCol w:w="271"/>
        <w:gridCol w:w="146"/>
        <w:gridCol w:w="146"/>
        <w:gridCol w:w="252"/>
        <w:gridCol w:w="995"/>
        <w:gridCol w:w="271"/>
        <w:gridCol w:w="146"/>
        <w:gridCol w:w="246"/>
        <w:gridCol w:w="1180"/>
        <w:gridCol w:w="146"/>
        <w:gridCol w:w="252"/>
        <w:gridCol w:w="995"/>
        <w:gridCol w:w="271"/>
        <w:gridCol w:w="146"/>
        <w:gridCol w:w="146"/>
        <w:gridCol w:w="252"/>
        <w:gridCol w:w="995"/>
        <w:gridCol w:w="322"/>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83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By Type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38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By Geographic Region</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22" w:type="dxa"/>
            <w:tcBorders/>
            <w:shd w:fill="FFFFFF" w:val="clear"/>
            <w:vAlign w:val="center"/>
          </w:tcPr>
          <w:p>
            <w:pPr>
              <w:pStyle w:val="TableContents"/>
              <w:bidi w:val="0"/>
              <w:spacing w:before="0" w:after="283"/>
              <w:jc w:val="center"/>
              <w:rPr/>
            </w:pPr>
            <w:r>
              <w:rPr/>
              <w:t> </w:t>
            </w:r>
          </w:p>
        </w:tc>
      </w:tr>
      <w:tr>
        <w:trPr/>
        <w:tc>
          <w:tcPr>
            <w:tcW w:w="16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27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47" w:type="dxa"/>
            <w:gridSpan w:val="2"/>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r>
      <w:tr>
        <w:trPr/>
        <w:tc>
          <w:tcPr>
            <w:tcW w:w="1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Debt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CEE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0"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Southeast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22" w:type="dxa"/>
            <w:tcBorders/>
            <w:shd w:fill="CCEEFF" w:val="clear"/>
            <w:vAlign w:val="center"/>
          </w:tcPr>
          <w:p>
            <w:pPr>
              <w:pStyle w:val="TableContents"/>
              <w:bidi w:val="0"/>
              <w:spacing w:before="0" w:after="283"/>
              <w:jc w:val="left"/>
              <w:rPr/>
            </w:pPr>
            <w:r>
              <w:rPr/>
              <w:t> </w:t>
            </w:r>
          </w:p>
        </w:tc>
      </w:tr>
      <w:tr>
        <w:trPr/>
        <w:tc>
          <w:tcPr>
            <w:tcW w:w="1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22" w:type="dxa"/>
            <w:tcBorders/>
            <w:shd w:fill="FFFFFF" w:val="clear"/>
            <w:vAlign w:val="center"/>
          </w:tcPr>
          <w:p>
            <w:pPr>
              <w:pStyle w:val="TableContents"/>
              <w:bidi w:val="0"/>
              <w:spacing w:before="0" w:after="283"/>
              <w:jc w:val="left"/>
              <w:rPr/>
            </w:pPr>
            <w:r>
              <w:rPr/>
              <w:t> </w:t>
            </w:r>
          </w:p>
        </w:tc>
      </w:tr>
      <w:tr>
        <w:trPr/>
        <w:tc>
          <w:tcPr>
            <w:tcW w:w="163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0" w:type="dxa"/>
            <w:tcBorders/>
            <w:shd w:fill="CCEE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West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22" w:type="dxa"/>
            <w:tcBorders/>
            <w:shd w:fill="CCEEFF" w:val="clear"/>
            <w:vAlign w:val="center"/>
          </w:tcPr>
          <w:p>
            <w:pPr>
              <w:pStyle w:val="TableContents"/>
              <w:bidi w:val="0"/>
              <w:spacing w:before="0" w:after="283"/>
              <w:jc w:val="left"/>
              <w:rPr/>
            </w:pPr>
            <w:r>
              <w:rPr/>
              <w:t> </w:t>
            </w:r>
          </w:p>
        </w:tc>
      </w:tr>
      <w:tr>
        <w:trPr/>
        <w:tc>
          <w:tcPr>
            <w:tcW w:w="16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Southwest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22" w:type="dxa"/>
            <w:tcBorders/>
            <w:shd w:fill="FFFFFF" w:val="clear"/>
            <w:vAlign w:val="center"/>
          </w:tcPr>
          <w:p>
            <w:pPr>
              <w:pStyle w:val="TableContents"/>
              <w:bidi w:val="0"/>
              <w:spacing w:before="0" w:after="283"/>
              <w:jc w:val="left"/>
              <w:rPr/>
            </w:pPr>
            <w:r>
              <w:rPr/>
              <w:t> </w:t>
            </w:r>
          </w:p>
        </w:tc>
      </w:tr>
      <w:tr>
        <w:trPr/>
        <w:tc>
          <w:tcPr>
            <w:tcW w:w="16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As of December 31, 2023 and 2022, the Company had no portfolio company investments that represented more than 10% of the total investment portfolio on a fair value or cost basis. As of December 31, 2023, the Company and no investments that exceeded 5% of totals assets. As of December 31, 2022, the Company's investment in Pfanstiehl, Inc. totaled $51,992 or 5.6% of total assets.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As of December 31, 2023 and 2022, the Company had debt investments in three and four portfolio companies, respectively, on non-accrual status: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9923" w:type="dxa"/>
        <w:jc w:val="left"/>
        <w:tblInd w:w="0" w:type="dxa"/>
        <w:tblLayout w:type="fixed"/>
        <w:tblCellMar>
          <w:top w:w="28" w:type="dxa"/>
          <w:left w:w="28" w:type="dxa"/>
          <w:bottom w:w="28" w:type="dxa"/>
          <w:right w:w="28" w:type="dxa"/>
        </w:tblCellMar>
      </w:tblPr>
      <w:tblGrid>
        <w:gridCol w:w="5026"/>
        <w:gridCol w:w="146"/>
        <w:gridCol w:w="196"/>
        <w:gridCol w:w="511"/>
        <w:gridCol w:w="146"/>
        <w:gridCol w:w="256"/>
        <w:gridCol w:w="196"/>
        <w:gridCol w:w="601"/>
        <w:gridCol w:w="146"/>
        <w:gridCol w:w="256"/>
        <w:gridCol w:w="196"/>
        <w:gridCol w:w="601"/>
        <w:gridCol w:w="146"/>
        <w:gridCol w:w="256"/>
        <w:gridCol w:w="196"/>
        <w:gridCol w:w="601"/>
        <w:gridCol w:w="146"/>
        <w:gridCol w:w="30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EBL, LLC (EbLens)</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9,332</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GreenFiber, LLC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K2 Merger Agreement Agent, LLC (fka K2 Industrial Services, Inc.)</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2,368</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Allredi, LLC (fka Marco Group International OpCo, LLC)</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8,144</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10,281</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Suited Connector LLC</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4,324</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15,933</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Virtex Enterprises, LP</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r>
      <w:tr>
        <w:trPr/>
        <w:tc>
          <w:tcPr>
            <w:tcW w:w="502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32,062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27,204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7067" w:type="dxa"/>
        <w:jc w:val="left"/>
        <w:tblInd w:w="0" w:type="dxa"/>
        <w:tblLayout w:type="fixed"/>
        <w:tblCellMar>
          <w:top w:w="28" w:type="dxa"/>
          <w:left w:w="28" w:type="dxa"/>
          <w:bottom w:w="28" w:type="dxa"/>
          <w:right w:w="28" w:type="dxa"/>
        </w:tblCellMar>
      </w:tblPr>
      <w:tblGrid>
        <w:gridCol w:w="331"/>
        <w:gridCol w:w="6736"/>
      </w:tblGrid>
      <w:tr>
        <w:trPr/>
        <w:tc>
          <w:tcPr>
            <w:tcW w:w="331" w:type="dxa"/>
            <w:tcBorders/>
            <w:vAlign w:val="center"/>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(1)</w:t>
            </w:r>
          </w:p>
          <w:p>
            <w:pPr>
              <w:pStyle w:val="TableContents"/>
              <w:bidi w:val="0"/>
              <w:jc w:val="left"/>
              <w:rPr>
                <w:rFonts w:ascii="Times New Roman" w:hAnsi="Times New Roman"/>
                <w:color w:val="000000"/>
                <w:sz w:val="16"/>
              </w:rPr>
            </w:pPr>
            <w:r>
              <w:rPr>
                <w:rFonts w:ascii="Times New Roman" w:hAnsi="Times New Roman"/>
                <w:color w:val="000000"/>
                <w:sz w:val="16"/>
              </w:rPr>
              <w:t>(2)</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673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Debt investment in portfolio company was not on non-accrual status as of December 31, 2022.</w:t>
            </w:r>
          </w:p>
          <w:p>
            <w:pPr>
              <w:pStyle w:val="TableContents"/>
              <w:bidi w:val="0"/>
              <w:jc w:val="both"/>
              <w:rPr>
                <w:rFonts w:ascii="Times New Roman" w:hAnsi="Times New Roman"/>
                <w:color w:val="000000"/>
                <w:sz w:val="16"/>
              </w:rPr>
            </w:pPr>
            <w:r>
              <w:rPr>
                <w:rFonts w:ascii="Times New Roman" w:hAnsi="Times New Roman"/>
                <w:color w:val="000000"/>
                <w:sz w:val="16"/>
              </w:rPr>
              <w:t>Portfolio company debt investment was not held as of December 31, 2023.</w:t>
            </w:r>
          </w:p>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Portfolio company debt investment was not on non-accrual status as of December 31, 2023.</w:t>
            </w:r>
          </w:p>
        </w:tc>
      </w:tr>
    </w:tbl>
    <w:p>
      <w:pPr>
        <w:pStyle w:val="TextBody"/>
        <w:bidi w:val="0"/>
        <w:spacing w:before="0" w:after="180"/>
        <w:jc w:val="both"/>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2022 and any additions and reductions made to such investments during the year ended December 31, 2023, including the total investment income earned on such investments during the period.</w:t>
      </w:r>
    </w:p>
    <w:tbl>
      <w:tblPr>
        <w:tblW w:w="11042" w:type="dxa"/>
        <w:jc w:val="left"/>
        <w:tblInd w:w="0" w:type="dxa"/>
        <w:tblLayout w:type="fixed"/>
        <w:tblCellMar>
          <w:top w:w="28" w:type="dxa"/>
          <w:left w:w="28" w:type="dxa"/>
          <w:bottom w:w="28" w:type="dxa"/>
          <w:right w:w="28" w:type="dxa"/>
        </w:tblCellMar>
      </w:tblPr>
      <w:tblGrid>
        <w:gridCol w:w="676"/>
        <w:gridCol w:w="146"/>
        <w:gridCol w:w="146"/>
        <w:gridCol w:w="182"/>
        <w:gridCol w:w="479"/>
        <w:gridCol w:w="146"/>
        <w:gridCol w:w="146"/>
        <w:gridCol w:w="166"/>
        <w:gridCol w:w="496"/>
        <w:gridCol w:w="146"/>
        <w:gridCol w:w="146"/>
        <w:gridCol w:w="166"/>
        <w:gridCol w:w="436"/>
        <w:gridCol w:w="146"/>
        <w:gridCol w:w="146"/>
        <w:gridCol w:w="166"/>
        <w:gridCol w:w="466"/>
        <w:gridCol w:w="146"/>
        <w:gridCol w:w="146"/>
        <w:gridCol w:w="166"/>
        <w:gridCol w:w="436"/>
        <w:gridCol w:w="146"/>
        <w:gridCol w:w="146"/>
        <w:gridCol w:w="166"/>
        <w:gridCol w:w="466"/>
        <w:gridCol w:w="146"/>
        <w:gridCol w:w="146"/>
        <w:gridCol w:w="198"/>
        <w:gridCol w:w="523"/>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EBL, LLC (EbLens)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3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(18,717</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(8,717</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(6,005</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98"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(4,505</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91" w:type="dxa"/>
            <w:tcBorders/>
            <w:shd w:fill="CCEEFF" w:val="clear"/>
            <w:vAlign w:val="center"/>
          </w:tcPr>
          <w:p>
            <w:pPr>
              <w:pStyle w:val="TableContents"/>
              <w:bidi w:val="0"/>
              <w:spacing w:before="0" w:after="283"/>
              <w:jc w:val="left"/>
              <w:rPr/>
            </w:pPr>
            <w:r>
              <w:rPr/>
              <w:t> </w:t>
            </w:r>
          </w:p>
        </w:tc>
      </w:tr>
      <w:tr>
        <w:trPr/>
        <w:tc>
          <w:tcPr>
            <w:tcW w:w="67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24,602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101,590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7,139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(8,395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0"/>
        <w:gridCol w:w="9905"/>
      </w:tblGrid>
      <w:tr>
        <w:trPr/>
        <w:tc>
          <w:tcPr>
            <w:tcW w:w="300" w:type="dxa"/>
            <w:tcBorders/>
            <w:vAlign w:val="center"/>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(4) </w:t>
            </w:r>
          </w:p>
        </w:tc>
        <w:tc>
          <w:tcPr>
            <w:tcW w:w="99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table below represents the fair value of control and affiliate investments as of December 31, 2021 and any additions and reductions made to such investments during the year ended December 31, 2022, including the total investment income earned on such investments during the period. </w:t>
      </w:r>
    </w:p>
    <w:tbl>
      <w:tblPr>
        <w:tblW w:w="11177" w:type="dxa"/>
        <w:jc w:val="left"/>
        <w:tblInd w:w="0" w:type="dxa"/>
        <w:tblLayout w:type="fixed"/>
        <w:tblCellMar>
          <w:top w:w="28" w:type="dxa"/>
          <w:left w:w="28" w:type="dxa"/>
          <w:bottom w:w="28" w:type="dxa"/>
          <w:right w:w="28" w:type="dxa"/>
        </w:tblCellMar>
      </w:tblPr>
      <w:tblGrid>
        <w:gridCol w:w="721"/>
        <w:gridCol w:w="146"/>
        <w:gridCol w:w="146"/>
        <w:gridCol w:w="182"/>
        <w:gridCol w:w="479"/>
        <w:gridCol w:w="146"/>
        <w:gridCol w:w="146"/>
        <w:gridCol w:w="166"/>
        <w:gridCol w:w="496"/>
        <w:gridCol w:w="146"/>
        <w:gridCol w:w="146"/>
        <w:gridCol w:w="166"/>
        <w:gridCol w:w="436"/>
        <w:gridCol w:w="146"/>
        <w:gridCol w:w="146"/>
        <w:gridCol w:w="166"/>
        <w:gridCol w:w="526"/>
        <w:gridCol w:w="146"/>
        <w:gridCol w:w="146"/>
        <w:gridCol w:w="166"/>
        <w:gridCol w:w="496"/>
        <w:gridCol w:w="146"/>
        <w:gridCol w:w="146"/>
        <w:gridCol w:w="166"/>
        <w:gridCol w:w="436"/>
        <w:gridCol w:w="146"/>
        <w:gridCol w:w="146"/>
        <w:gridCol w:w="189"/>
        <w:gridCol w:w="532"/>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2021</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2022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9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sz w:val="10"/>
              </w:rPr>
            </w:pPr>
            <w:r>
              <w:rPr>
                <w:rFonts w:ascii="Times New Roman" w:hAnsi="Times New Roman"/>
                <w:color w:val="000000"/>
                <w:sz w:val="10"/>
              </w:rPr>
              <w:t xml:space="preserve">EBL, LLC (EbLens) </w:t>
            </w:r>
            <w:r>
              <w:rPr>
                <w:rFonts w:ascii="Times New Roman" w:hAnsi="Times New Roman"/>
                <w:color w:val="000000"/>
                <w:sz w:val="7"/>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(19,628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(11,083</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Hilco Plastics Holdings, LLC (dba Hilco Technologies)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Mesa Line Services,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(2,344</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(2,150</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(22,325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9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6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60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72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42"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871"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526" w:type="dxa"/>
            <w:gridSpan w:val="2"/>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center"/>
              <w:rPr/>
            </w:pPr>
            <w:r>
              <w:rPr/>
              <w:t> </w:t>
            </w:r>
          </w:p>
        </w:tc>
        <w:tc>
          <w:tcPr>
            <w:tcW w:w="146" w:type="dxa"/>
            <w:tcBorders/>
            <w:shd w:fill="CCEEFF" w:val="clear"/>
            <w:vAlign w:val="center"/>
          </w:tcPr>
          <w:p>
            <w:pPr>
              <w:pStyle w:val="TableContents"/>
              <w:bidi w:val="0"/>
              <w:spacing w:before="0" w:after="283"/>
              <w:jc w:val="left"/>
              <w:rPr/>
            </w:pPr>
            <w:r>
              <w:rPr/>
              <w:t> </w:t>
            </w:r>
          </w:p>
        </w:tc>
        <w:tc>
          <w:tcPr>
            <w:tcW w:w="512" w:type="dxa"/>
            <w:gridSpan w:val="2"/>
            <w:tcBorders/>
            <w:shd w:fill="CCEEFF" w:val="clear"/>
            <w:vAlign w:val="center"/>
          </w:tcPr>
          <w:p>
            <w:pPr>
              <w:pStyle w:val="TableContents"/>
              <w:bidi w:val="0"/>
              <w:spacing w:before="0" w:after="283"/>
              <w:jc w:val="center"/>
              <w:rPr/>
            </w:pPr>
            <w:r>
              <w:rPr/>
              <w:t> </w:t>
            </w:r>
          </w:p>
        </w:tc>
        <w:tc>
          <w:tcPr>
            <w:tcW w:w="191" w:type="dxa"/>
            <w:tcBorders/>
            <w:shd w:fill="CCEEFF" w:val="clear"/>
            <w:vAlign w:val="center"/>
          </w:tcPr>
          <w:p>
            <w:pPr>
              <w:pStyle w:val="TableContents"/>
              <w:bidi w:val="0"/>
              <w:spacing w:before="0" w:after="283"/>
              <w:jc w:val="center"/>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(12,803</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FAR Research Inc.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(1,122</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(1,122</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Mirage Trailers LLC</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10,675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(11,030</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(1,694</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57,639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(39,982</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(15,432</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sz w:val="10"/>
              </w:rPr>
            </w:pPr>
            <w:r>
              <w:rPr>
                <w:rFonts w:ascii="Times New Roman" w:hAnsi="Times New Roman"/>
                <w:color w:val="000000"/>
                <w:sz w:val="10"/>
              </w:rPr>
              <w:t xml:space="preserve">Pinnergy, Ltd. </w:t>
            </w:r>
            <w:r>
              <w:rPr>
                <w:rFonts w:ascii="Times New Roman" w:hAnsi="Times New Roman"/>
                <w:color w:val="000000"/>
                <w:sz w:val="7"/>
              </w:rPr>
              <w:t>(6)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21,178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(36,478</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(18,177</w:t>
            </w:r>
          </w:p>
        </w:tc>
        <w:tc>
          <w:tcPr>
            <w:tcW w:w="146"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vAlign w:val="center"/>
          </w:tcPr>
          <w:p>
            <w:pPr>
              <w:pStyle w:val="TableContents"/>
              <w:bidi w:val="0"/>
              <w:spacing w:before="0" w:after="283"/>
              <w:jc w:val="center"/>
              <w:rPr/>
            </w:pPr>
            <w:r>
              <w:rPr/>
              <w:t> </w:t>
            </w:r>
          </w:p>
        </w:tc>
        <w:tc>
          <w:tcPr>
            <w:tcW w:w="166" w:type="dxa"/>
            <w:tcBorders/>
            <w:shd w:fill="CCEEFF" w:val="clear"/>
            <w:vAlign w:val="center"/>
          </w:tcPr>
          <w:p>
            <w:pPr>
              <w:pStyle w:val="TableContents"/>
              <w:bidi w:val="0"/>
              <w:spacing w:before="0" w:after="283"/>
              <w:jc w:val="left"/>
              <w:rPr/>
            </w:pPr>
            <w:r>
              <w:rPr/>
              <w:t> </w:t>
            </w:r>
          </w:p>
        </w:tc>
        <w:tc>
          <w:tcPr>
            <w:tcW w:w="37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(4,728</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(1,723</w:t>
            </w:r>
          </w:p>
        </w:tc>
        <w:tc>
          <w:tcPr>
            <w:tcW w:w="146" w:type="dxa"/>
            <w:tcBorders/>
            <w:shd w:fill="FFFF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2"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w:t>
            </w:r>
          </w:p>
        </w:tc>
        <w:tc>
          <w:tcPr>
            <w:tcW w:w="191" w:type="dxa"/>
            <w:tcBorders/>
            <w:shd w:fill="FFFFFF" w:val="clear"/>
            <w:vAlign w:val="center"/>
          </w:tcPr>
          <w:p>
            <w:pPr>
              <w:pStyle w:val="TableContents"/>
              <w:bidi w:val="0"/>
              <w:spacing w:before="0" w:after="283"/>
              <w:jc w:val="left"/>
              <w:rPr/>
            </w:pPr>
            <w:r>
              <w:rPr/>
              <w:t> </w:t>
            </w:r>
          </w:p>
        </w:tc>
      </w:tr>
      <w:tr>
        <w:trPr/>
        <w:tc>
          <w:tcPr>
            <w:tcW w:w="721" w:type="dxa"/>
            <w:tcBorders/>
            <w:shd w:fill="CCEEFF" w:val="cle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2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center"/>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21" w:type="dxa"/>
            <w:tcBorders/>
            <w:shd w:fill="FFFFFF" w:val="cle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sz w:val="4"/>
                <w:szCs w:val="4"/>
              </w:rPr>
            </w:pPr>
            <w:r>
              <w:rPr>
                <w:sz w:val="4"/>
                <w:szCs w:val="4"/>
              </w:rPr>
            </w:r>
          </w:p>
        </w:tc>
        <w:tc>
          <w:tcPr>
            <w:tcW w:w="9893" w:type="dxa"/>
            <w:tcBorders/>
            <w:vAlign w:val="center"/>
          </w:tcPr>
          <w:p>
            <w:pPr>
              <w:pStyle w:val="TableContents"/>
              <w:bidi w:val="0"/>
              <w:spacing w:before="0" w:after="283"/>
              <w:jc w:val="left"/>
              <w:rPr>
                <w:sz w:val="4"/>
                <w:szCs w:val="4"/>
              </w:rPr>
            </w:pPr>
            <w:r>
              <w:rPr>
                <w:sz w:val="4"/>
                <w:szCs w:val="4"/>
              </w:rPr>
            </w:r>
          </w:p>
        </w:tc>
      </w:tr>
      <w:tr>
        <w:trPr/>
        <w:tc>
          <w:tcPr>
            <w:tcW w:w="3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8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maturity date, and if the investment is income producing is disclosed in the consolidated schedule of investments.</w:t>
            </w:r>
          </w:p>
        </w:tc>
      </w:tr>
    </w:tbl>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was transferred to Control investments from Non-control/Non-affiliate investments during the year ended December 31, 2022.</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was transferred to Non-control/Non-affiliate investments from Affiliate investments during the year ended December 31, 2022.</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December 31, 2023. Therefore, the Company values such portfolio investments at fair value, as determined in good faith by the Board, using Level 3 inputs with the exception of money market funds and one portfolio company, that was valued using Level 1 inputs as of December 31, 2023.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tc>
      </w:tr>
    </w:tbl>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tc>
      </w:tr>
    </w:tbl>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22"/>
        <w:gridCol w:w="109"/>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5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9850"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tc>
      </w:tr>
    </w:tbl>
    <w:p>
      <w:pPr>
        <w:pStyle w:val="TextBody"/>
        <w:bidi w:val="0"/>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18 and 16 of our portfolio company investments representing 29.9% and 29.5% of the total portfolio investments at fair value (exclusive of new portfolio company investments made during the three months ended December 31, 2023 and 2022, respectively) as of December 31, 2023 and 2022,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385" w:type="dxa"/>
        <w:jc w:val="left"/>
        <w:tblInd w:w="0" w:type="dxa"/>
        <w:tblLayout w:type="fixed"/>
        <w:tblCellMar>
          <w:top w:w="28" w:type="dxa"/>
          <w:left w:w="28" w:type="dxa"/>
          <w:bottom w:w="28" w:type="dxa"/>
          <w:right w:w="28" w:type="dxa"/>
        </w:tblCellMar>
      </w:tblPr>
      <w:tblGrid>
        <w:gridCol w:w="1681"/>
        <w:gridCol w:w="196"/>
        <w:gridCol w:w="146"/>
        <w:gridCol w:w="691"/>
        <w:gridCol w:w="146"/>
        <w:gridCol w:w="196"/>
        <w:gridCol w:w="190"/>
        <w:gridCol w:w="455"/>
        <w:gridCol w:w="146"/>
        <w:gridCol w:w="196"/>
        <w:gridCol w:w="146"/>
        <w:gridCol w:w="691"/>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578,140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578,140</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135,173</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120,264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1,072,462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pPr>
      <w:r>
        <w:rPr/>
        <w:t> </w:t>
      </w:r>
    </w:p>
    <w:tbl>
      <w:tblPr>
        <w:tblW w:w="616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0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456,105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456,105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182,948</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182,948</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101,456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101,456</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117,431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117,741</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921,405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years ended December 31, 2023 and 2022.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years ended December 31, 2023 and 2022:</w:t>
      </w:r>
    </w:p>
    <w:tbl>
      <w:tblPr>
        <w:tblW w:w="10205" w:type="dxa"/>
        <w:jc w:val="left"/>
        <w:tblInd w:w="0" w:type="dxa"/>
        <w:tblLayout w:type="fixed"/>
        <w:tblCellMar>
          <w:top w:w="28" w:type="dxa"/>
          <w:left w:w="28" w:type="dxa"/>
          <w:bottom w:w="28" w:type="dxa"/>
          <w:right w:w="28" w:type="dxa"/>
        </w:tblCellMar>
      </w:tblPr>
      <w:tblGrid>
        <w:gridCol w:w="2531"/>
        <w:gridCol w:w="146"/>
        <w:gridCol w:w="196"/>
        <w:gridCol w:w="751"/>
        <w:gridCol w:w="166"/>
        <w:gridCol w:w="146"/>
        <w:gridCol w:w="209"/>
        <w:gridCol w:w="739"/>
        <w:gridCol w:w="166"/>
        <w:gridCol w:w="146"/>
        <w:gridCol w:w="258"/>
        <w:gridCol w:w="913"/>
        <w:gridCol w:w="166"/>
        <w:gridCol w:w="146"/>
        <w:gridCol w:w="196"/>
        <w:gridCol w:w="691"/>
        <w:gridCol w:w="166"/>
        <w:gridCol w:w="146"/>
        <w:gridCol w:w="218"/>
        <w:gridCol w:w="638"/>
        <w:gridCol w:w="166"/>
        <w:gridCol w:w="146"/>
        <w:gridCol w:w="196"/>
        <w:gridCol w:w="751"/>
        <w:gridCol w:w="212"/>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First Lien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Second Lien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Subordinated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718,767</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gains (losses)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65,635</w:t>
            </w:r>
          </w:p>
        </w:tc>
        <w:tc>
          <w:tcPr>
            <w:tcW w:w="212" w:type="dxa"/>
            <w:tcBorders/>
            <w:shd w:fill="CFF0FC" w:val="cle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(65,655</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333,846</w:t>
            </w:r>
          </w:p>
        </w:tc>
        <w:tc>
          <w:tcPr>
            <w:tcW w:w="212" w:type="dxa"/>
            <w:tcBorders/>
            <w:shd w:fill="CFF0FC" w:val="cle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repayments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(87,622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(193,980</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 paid-in-kind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212" w:type="dxa"/>
            <w:tcBorders/>
            <w:shd w:fill="CFF0FC" w:val="cle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loan origination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loan origination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212" w:type="dxa"/>
            <w:tcBorders/>
            <w:shd w:fill="CFF0FC" w:val="cle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original issue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2022</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182,948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101,456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860,019</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gains (losses)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24,071</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336,741</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repayments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(122,680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(81,719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(258,828</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 paid-in-kind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6,634</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loan origination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loan origination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2,504</w:t>
            </w:r>
          </w:p>
        </w:tc>
        <w:tc>
          <w:tcPr>
            <w:tcW w:w="212" w:type="dxa"/>
            <w:tcBorders/>
            <w:shd w:fill="FFFFFF" w:val="clear"/>
            <w:vAlign w:val="center"/>
          </w:tcPr>
          <w:p>
            <w:pPr>
              <w:pStyle w:val="TableContents"/>
              <w:bidi w:val="0"/>
              <w:spacing w:before="0" w:after="283"/>
              <w:jc w:val="left"/>
              <w:rPr/>
            </w:pPr>
            <w:r>
              <w:rPr/>
              <w:t> </w:t>
            </w:r>
          </w:p>
        </w:tc>
      </w:tr>
      <w:tr>
        <w:trPr/>
        <w:tc>
          <w:tcPr>
            <w:tcW w:w="25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212" w:type="dxa"/>
            <w:tcBorders/>
            <w:shd w:fill="CFF0FC" w:val="clear"/>
            <w:vAlign w:val="center"/>
          </w:tcPr>
          <w:p>
            <w:pPr>
              <w:pStyle w:val="TableContents"/>
              <w:bidi w:val="0"/>
              <w:spacing w:before="0" w:after="283"/>
              <w:jc w:val="left"/>
              <w:rPr/>
            </w:pPr>
            <w:r>
              <w:rPr/>
              <w:t> </w:t>
            </w:r>
          </w:p>
        </w:tc>
      </w:tr>
      <w:tr>
        <w:trPr/>
        <w:tc>
          <w:tcPr>
            <w:tcW w:w="25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December 31, 2023</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578,140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957,649</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change in unrealized appreciation/(depreciation) of $(12,219) and $(28,524) for the years ended December 31, 2023 and 2022, respectively, was attributable to Level 3 investments held at December 31, 2023 and 2022, respectively.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tables summarize the significant unobservable inputs by valuation technique used to determine the fair value of the Company’s Level 3 debt and equity investments as of December 31, 2023 and 2022. The tables are not intended to be all-inclusive, but instead capture the significant unobservable inputs relevant to the Company’s determination of fair values.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18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9.4% - 23.4% (15.6%)</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1.3x - 1.3x (1.3x)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12.7% - 30.0% (16.1%)</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10.3% - 16.4% (13.4%)</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pPr>
            <w:r>
              <w:rPr/>
              <w:t> </w:t>
            </w:r>
          </w:p>
        </w:tc>
      </w:tr>
      <w:tr>
        <w:trPr/>
        <w:tc>
          <w:tcPr>
            <w:tcW w:w="166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- 32.5x (9.5x)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0.7x - 9.5x (7.5x)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4.5x - 4.5x (4.5x)</w:t>
            </w:r>
          </w:p>
        </w:tc>
      </w:tr>
    </w:tbl>
    <w:p>
      <w:pPr>
        <w:pStyle w:val="TextBody"/>
        <w:bidi w:val="0"/>
        <w:jc w:val="both"/>
        <w:rPr>
          <w:rFonts w:ascii="Times New Roman" w:hAnsi="Times New Roman"/>
          <w:sz w:val="20"/>
        </w:rPr>
      </w:pPr>
      <w:r>
        <w:rPr>
          <w:rFonts w:ascii="Times New Roman" w:hAnsi="Times New Roman"/>
          <w:color w:val="000000"/>
          <w:sz w:val="16"/>
        </w:rPr>
        <w:t>(1) Unobservable inputs were weighted by the relative fair value of the instruments.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(2) Includes $50.5</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jc w:val="both"/>
        <w:rPr/>
      </w:pPr>
      <w:r>
        <w:rPr/>
        <w:t> </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846"/>
        <w:gridCol w:w="146"/>
        <w:gridCol w:w="244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vAlign w:val="center"/>
          </w:tcPr>
          <w:p>
            <w:pPr>
              <w:pStyle w:val="TableContents"/>
              <w:bidi w:val="0"/>
              <w:spacing w:before="0" w:after="283"/>
              <w:jc w:val="center"/>
              <w:rPr/>
            </w:pPr>
            <w:r>
              <w:rPr/>
              <w:t> </w:t>
            </w:r>
          </w:p>
        </w:tc>
        <w:tc>
          <w:tcPr>
            <w:tcW w:w="244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vAlign w:val="center"/>
          </w:tcPr>
          <w:p>
            <w:pPr>
              <w:pStyle w:val="TableContents"/>
              <w:bidi w:val="0"/>
              <w:spacing w:before="0" w:after="283"/>
              <w:jc w:val="center"/>
              <w:rPr/>
            </w:pPr>
            <w:r>
              <w:rPr/>
              <w:t> </w:t>
            </w:r>
          </w:p>
        </w:tc>
        <w:tc>
          <w:tcPr>
            <w:tcW w:w="186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8.9% - 21.9% (15.5%)</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 Coverage</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1.1x - 1.1x (1.1x)</w:t>
            </w:r>
          </w:p>
        </w:tc>
      </w:tr>
      <w:tr>
        <w:trPr/>
        <w:tc>
          <w:tcPr>
            <w:tcW w:w="16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4.3x - 4.3x (4.3x)</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11.7% - 25.0% (14.5%)</w:t>
            </w:r>
          </w:p>
        </w:tc>
      </w:tr>
      <w:tr>
        <w:trPr/>
        <w:tc>
          <w:tcPr>
            <w:tcW w:w="16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5.0x - 5.0x (5.0x)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Asset Coverage</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0.8x - 0.8x (0.8x)</w:t>
            </w:r>
          </w:p>
        </w:tc>
      </w:tr>
      <w:tr>
        <w:trPr/>
        <w:tc>
          <w:tcPr>
            <w:tcW w:w="166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Weighted average cost of capital</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10.0% - 15.2% (12.5%)</w:t>
            </w:r>
          </w:p>
        </w:tc>
      </w:tr>
      <w:tr>
        <w:trPr/>
        <w:tc>
          <w:tcPr>
            <w:tcW w:w="16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8.5x - 8.5x (8.5x)</w:t>
            </w:r>
          </w:p>
        </w:tc>
      </w:tr>
      <w:tr>
        <w:trPr/>
        <w:tc>
          <w:tcPr>
            <w:tcW w:w="16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pPr>
            <w:r>
              <w:rPr/>
              <w:t> </w:t>
            </w:r>
          </w:p>
        </w:tc>
      </w:tr>
      <w:tr>
        <w:trPr/>
        <w:tc>
          <w:tcPr>
            <w:tcW w:w="166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ind w:left="0" w:right="0" w:firstLine="200"/>
              <w:jc w:val="left"/>
              <w:rPr/>
            </w:pPr>
            <w:r>
              <w:rPr/>
              <w:t> </w:t>
            </w:r>
          </w:p>
        </w:tc>
      </w:tr>
      <w:tr>
        <w:trPr/>
        <w:tc>
          <w:tcPr>
            <w:tcW w:w="16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4.0x - 16.8x (8.1x)</w:t>
            </w:r>
          </w:p>
        </w:tc>
      </w:tr>
      <w:tr>
        <w:trPr/>
        <w:tc>
          <w:tcPr>
            <w:tcW w:w="166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Revenue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0.9x - 7.8x (6.4x)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ind w:left="0" w:right="0" w:firstLine="200"/>
              <w:jc w:val="left"/>
              <w:rPr/>
            </w:pPr>
            <w:r>
              <w:rPr/>
              <w:t> </w:t>
            </w:r>
          </w:p>
        </w:tc>
      </w:tr>
      <w:tr>
        <w:trPr/>
        <w:tc>
          <w:tcPr>
            <w:tcW w:w="16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12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CFF0FC" w:val="clear"/>
            <w:vAlign w:val="center"/>
          </w:tcPr>
          <w:p>
            <w:pPr>
              <w:pStyle w:val="TableContents"/>
              <w:bidi w:val="0"/>
              <w:spacing w:before="0" w:after="283"/>
              <w:jc w:val="left"/>
              <w:rPr/>
            </w:pPr>
            <w:r>
              <w:rPr/>
              <w:t> </w:t>
            </w:r>
          </w:p>
        </w:tc>
        <w:tc>
          <w:tcPr>
            <w:tcW w:w="244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CFF0FC" w:val="clear"/>
            <w:vAlign w:val="center"/>
          </w:tcPr>
          <w:p>
            <w:pPr>
              <w:pStyle w:val="TableContents"/>
              <w:bidi w:val="0"/>
              <w:spacing w:before="0" w:after="283"/>
              <w:jc w:val="left"/>
              <w:rPr/>
            </w:pPr>
            <w:r>
              <w:rPr/>
              <w:t> </w:t>
            </w:r>
          </w:p>
        </w:tc>
        <w:tc>
          <w:tcPr>
            <w:tcW w:w="1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6.0x - 6.0x (6.0x)</w:t>
            </w:r>
          </w:p>
        </w:tc>
      </w:tr>
      <w:tr>
        <w:trPr/>
        <w:tc>
          <w:tcPr>
            <w:tcW w:w="1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w:t>
            </w:r>
          </w:p>
        </w:tc>
        <w:tc>
          <w:tcPr>
            <w:tcW w:w="146" w:type="dxa"/>
            <w:tcBorders/>
            <w:shd w:fill="FFFFFF" w:val="clear"/>
            <w:vAlign w:val="center"/>
          </w:tcPr>
          <w:p>
            <w:pPr>
              <w:pStyle w:val="TableContents"/>
              <w:bidi w:val="0"/>
              <w:spacing w:before="0" w:after="283"/>
              <w:jc w:val="left"/>
              <w:rPr/>
            </w:pPr>
            <w:r>
              <w:rPr/>
              <w:t> </w:t>
            </w:r>
          </w:p>
        </w:tc>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vAlign w:val="center"/>
          </w:tcPr>
          <w:p>
            <w:pPr>
              <w:pStyle w:val="TableContents"/>
              <w:bidi w:val="0"/>
              <w:spacing w:before="0" w:after="283"/>
              <w:jc w:val="left"/>
              <w:rPr/>
            </w:pPr>
            <w:r>
              <w:rPr/>
              <w:t> </w:t>
            </w:r>
          </w:p>
        </w:tc>
        <w:tc>
          <w:tcPr>
            <w:tcW w:w="18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4.5x - 4.5x (4.5x)</w:t>
            </w:r>
          </w:p>
        </w:tc>
      </w:tr>
    </w:tbl>
    <w:p>
      <w:pPr>
        <w:pStyle w:val="TextBody"/>
        <w:bidi w:val="0"/>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$18.0</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tables summarize the carrying value and fair value of the Company’s debt obligations as of December 31, 2023 and 2022:</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2023</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2022</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Facility borrowings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January 2026 Notes </w:t>
            </w:r>
            <w:r>
              <w:rPr>
                <w:rFonts w:ascii="Times New Roman" w:hAnsi="Times New Roman"/>
                <w:color w:val="000000"/>
                <w:sz w:val="13"/>
              </w:rPr>
              <w:t>(4)</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111,854</w:t>
            </w:r>
          </w:p>
        </w:tc>
        <w:tc>
          <w:tcPr>
            <w:tcW w:w="191" w:type="dxa"/>
            <w:tcBorders/>
            <w:shd w:fill="CCEEFF"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368,817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$15,880</w:t>
      </w:r>
      <w:r>
        <w:rPr>
          <w:rFonts w:ascii="Times New Roman" w:hAnsi="Times New Roman"/>
          <w:color w:val="000000"/>
          <w:sz w:val="20"/>
        </w:rPr>
        <w:t xml:space="preserve"> </w:t>
      </w:r>
      <w:r>
        <w:rPr>
          <w:rFonts w:ascii="Times New Roman" w:hAnsi="Times New Roman"/>
          <w:color w:val="000000"/>
          <w:sz w:val="16"/>
        </w:rPr>
        <w:t>and $16,880</w:t>
      </w:r>
      <w:r>
        <w:rPr>
          <w:rFonts w:ascii="Times New Roman" w:hAnsi="Times New Roman"/>
          <w:color w:val="000000"/>
          <w:sz w:val="20"/>
        </w:rPr>
        <w:t xml:space="preserve"> </w:t>
      </w:r>
      <w:r>
        <w:rPr>
          <w:rFonts w:ascii="Times New Roman" w:hAnsi="Times New Roman"/>
          <w:color w:val="000000"/>
          <w:sz w:val="16"/>
        </w:rPr>
        <w:t>of Secured Borrowings as of December 31, 2023 and December 31, 2022,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December 31, 2023 and 2022:</w:t>
      </w:r>
    </w:p>
    <w:tbl>
      <w:tblPr>
        <w:tblW w:w="4680" w:type="dxa"/>
        <w:jc w:val="left"/>
        <w:tblInd w:w="0" w:type="dxa"/>
        <w:tblLayout w:type="fixed"/>
        <w:tblCellMar>
          <w:top w:w="28" w:type="dxa"/>
          <w:left w:w="28" w:type="dxa"/>
          <w:bottom w:w="28" w:type="dxa"/>
          <w:right w:w="28" w:type="dxa"/>
        </w:tblCellMar>
      </w:tblPr>
      <w:tblGrid>
        <w:gridCol w:w="1531"/>
        <w:gridCol w:w="146"/>
        <w:gridCol w:w="268"/>
        <w:gridCol w:w="992"/>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On June 8, 2023, the Board approved the renewal of the Investment Advisory Agreement for the period from June 20, 2023 through June 20, 2024.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base management fee is calculated at an annual rate of 1.75% based on the average value of total assets (other than cash or cash equivalents, but including assets purchased with borrowed amounts) at the end of the two most recently completed calendar quarters. The Board of Directors accepted a voluntary, non-contractual, and unconditional waiver from the Investment Advisor to exclude any investments recorded as secured borrowings as defined under GAAP from the base management fee payable effective April 1, 2021. The base management fee is payable quarterly in arrears. The base management fee under the Investment Advisory Agreement for the years ended December 31, 2023, 2022 and 2021 totaled $16,288, $14,568, and $12,874, respectively. The base management fee waiver was $287, $302, and $176 for the years ended December 31, 2023, 2022, and 2021 respectively. As of December 31, 2023 and 2022, the base management fee payable (net of the base management fee waiver) was $4,151 and $3,769, respectively.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tbl>
      <w:tblPr>
        <w:tblW w:w="10205" w:type="dxa"/>
        <w:jc w:val="left"/>
        <w:tblInd w:w="0" w:type="dxa"/>
        <w:tblLayout w:type="fixed"/>
        <w:tblCellMar>
          <w:top w:w="28" w:type="dxa"/>
          <w:left w:w="28" w:type="dxa"/>
          <w:bottom w:w="28" w:type="dxa"/>
          <w:right w:w="28" w:type="dxa"/>
        </w:tblCellMar>
      </w:tblPr>
      <w:tblGrid>
        <w:gridCol w:w="177"/>
        <w:gridCol w:w="122"/>
        <w:gridCol w:w="162"/>
        <w:gridCol w:w="9744"/>
      </w:tblGrid>
      <w:tr>
        <w:trPr/>
        <w:tc>
          <w:tcPr>
            <w:tcW w:w="17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744" w:type="dxa"/>
            <w:tcBorders/>
            <w:vAlign w:val="center"/>
          </w:tcPr>
          <w:p>
            <w:pPr>
              <w:pStyle w:val="TableContents"/>
              <w:bidi w:val="0"/>
              <w:spacing w:before="0" w:after="283"/>
              <w:jc w:val="left"/>
              <w:rPr>
                <w:sz w:val="4"/>
                <w:szCs w:val="4"/>
              </w:rPr>
            </w:pPr>
            <w:r>
              <w:rPr>
                <w:sz w:val="4"/>
                <w:szCs w:val="4"/>
              </w:rPr>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no incentive fee in any calendar quarter in which the pre-incentive fee net investment income does not exceed the hurdle rate of 2.0%;</w:t>
            </w:r>
          </w:p>
        </w:tc>
      </w:tr>
      <w:tr>
        <w:trPr/>
        <w:tc>
          <w:tcPr>
            <w:tcW w:w="177" w:type="dxa"/>
            <w:tcBorders/>
            <w:vAlign w:val="center"/>
          </w:tcPr>
          <w:p>
            <w:pPr>
              <w:pStyle w:val="TableContents"/>
              <w:bidi w:val="0"/>
              <w:spacing w:before="180" w:after="283"/>
              <w:ind w:left="0" w:right="14" w:hanging="0"/>
              <w:jc w:val="both"/>
              <w:rPr/>
            </w:pPr>
            <w:r>
              <w:rPr/>
              <w:t> </w:t>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180" w:after="283"/>
              <w:ind w:left="0" w:right="16" w:hanging="0"/>
              <w:jc w:val="both"/>
              <w:rPr/>
            </w:pPr>
            <w:r>
              <w:rPr/>
              <w:t> </w:t>
            </w:r>
          </w:p>
        </w:tc>
        <w:tc>
          <w:tcPr>
            <w:tcW w:w="9744" w:type="dxa"/>
            <w:tcBorders/>
            <w:vAlign w:val="center"/>
          </w:tcPr>
          <w:p>
            <w:pPr>
              <w:pStyle w:val="TableContents"/>
              <w:bidi w:val="0"/>
              <w:spacing w:before="0" w:after="283"/>
              <w:ind w:left="0" w:right="14" w:hanging="0"/>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tc>
      </w:tr>
      <w:tr>
        <w:trPr/>
        <w:tc>
          <w:tcPr>
            <w:tcW w:w="177" w:type="dxa"/>
            <w:tcBorders/>
            <w:vAlign w:val="center"/>
          </w:tcPr>
          <w:p>
            <w:pPr>
              <w:pStyle w:val="TableContents"/>
              <w:bidi w:val="0"/>
              <w:spacing w:before="180" w:after="283"/>
              <w:ind w:left="0" w:right="16" w:hanging="0"/>
              <w:jc w:val="both"/>
              <w:rPr/>
            </w:pPr>
            <w:r>
              <w:rPr/>
              <w:t> </w:t>
            </w:r>
          </w:p>
        </w:tc>
        <w:tc>
          <w:tcPr>
            <w:tcW w:w="122" w:type="dxa"/>
            <w:tcBorders/>
            <w:vAlign w:val="center"/>
          </w:tcPr>
          <w:p>
            <w:pPr>
              <w:pStyle w:val="TableContents"/>
              <w:bidi w:val="0"/>
              <w:spacing w:before="0" w:after="283"/>
              <w:ind w:left="0" w:right="16" w:hanging="0"/>
              <w:jc w:val="left"/>
              <w:rPr>
                <w:rFonts w:ascii="Times New Roman" w:hAnsi="Times New Roman"/>
                <w:color w:val="000000"/>
                <w:sz w:val="20"/>
              </w:rPr>
            </w:pPr>
            <w:r>
              <w:rPr>
                <w:rFonts w:ascii="Times New Roman" w:hAnsi="Times New Roman"/>
                <w:color w:val="000000"/>
                <w:sz w:val="20"/>
              </w:rPr>
              <w:t></w:t>
            </w:r>
          </w:p>
        </w:tc>
        <w:tc>
          <w:tcPr>
            <w:tcW w:w="162" w:type="dxa"/>
            <w:tcBorders/>
            <w:vAlign w:val="center"/>
          </w:tcPr>
          <w:p>
            <w:pPr>
              <w:pStyle w:val="TableContents"/>
              <w:bidi w:val="0"/>
              <w:spacing w:before="180" w:after="283"/>
              <w:ind w:left="0" w:right="16" w:hanging="0"/>
              <w:jc w:val="both"/>
              <w:rPr/>
            </w:pPr>
            <w:r>
              <w:rPr/>
              <w:t> </w:t>
            </w:r>
          </w:p>
        </w:tc>
        <w:tc>
          <w:tcPr>
            <w:tcW w:w="974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sum of the calculations above equals the income incentive fee. The income incentive fee is appropriately prorated for any period of less than three months and adjusted for any share issuances or repurchases during the calendar quarter. The income incentive fee for the years ended December 31, 2023, 2022 and 2021 totaled $16,529, $8,318, and $10,266, respectively. As of December 31, 2023 and 2022, the income incentive fee payable was $4,570 and $3,035, respectively.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December 31, 2023 and 2022, the capital gains incentive fee payable in cash was $3,537 and $7,556, respectively (as cumulative aggregate realized capital gains and losses on investments exceeded aggregate unrealized capital depreciation on investments plus realized losses on extinguishment of debt). The aggregate amount of capital gains incentive fees paid from the IPO through December 31, 2023 was $14,040.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years ended December 31, 2023, 2022 and 2021 was $2,405, $(432), and $18,196, respectively. As of December 31, 2023 and 2022, the accrued capital gains incentive fee payable was $17,509 and $22,659, respectively.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spacing w:before="180" w:after="283"/>
        <w:jc w:val="both"/>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The Company also entered into an administration agreement (the “Administration Agreement”) with the Investment Advisor. On June 8, 2023, the Board approved the renewal of the Administration Agreement for the period from June 20, 2023 through June 20, 2024.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years ended December 31, 2023, 2022 and 2021 were $2,353, $1,902 and $1,719, respectively. As of December 31, 2023 and 2022, the accrued administrative service expense payable was $993 and $700, respectively.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b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b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b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December 31, 2023 and 2022, the Company was in compliance in all material respects with the terms of the Credit Agreement.</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Company uses debenture leverage provided through the SBA to fund a portion of its investment purchases.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December 31, 2023 and 2022, approved and unused SBA debenture commitments were zero and $37,000, respectively. The SBA may limit the amount that may be drawn each year under these commitments, and each issuance of leverage is conditioned on the Company’s full compliance, as determined by the SBA, with the terms and conditions under SBA regulations.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As of December 31, 2023 and 2022, the Company’s issued and outstanding SBA debentures mature as follows:</w:t>
      </w:r>
    </w:p>
    <w:tbl>
      <w:tblPr>
        <w:tblW w:w="8754"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331"/>
        <w:gridCol w:w="268"/>
        <w:gridCol w:w="992"/>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3/25/2015</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3/1/2025</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2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3/23/2016</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3/23/2016</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3/1/2026</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9/21/2016</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9/20/2017</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9/1/2027</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9/20/2017</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9/1/2027</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center"/>
              <w:rPr/>
            </w:pPr>
            <w:r>
              <w:rPr/>
              <w:t> </w:t>
            </w:r>
          </w:p>
        </w:tc>
        <w:tc>
          <w:tcPr>
            <w:tcW w:w="87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87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right"/>
              <w:rPr/>
            </w:pPr>
            <w:r>
              <w:rPr/>
              <w:t> </w:t>
            </w:r>
          </w:p>
        </w:tc>
        <w:tc>
          <w:tcPr>
            <w:tcW w:w="331"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
        <w:gridCol w:w="9889"/>
      </w:tblGrid>
      <w:tr>
        <w:trPr/>
        <w:tc>
          <w:tcPr>
            <w:tcW w:w="316" w:type="dxa"/>
            <w:tcBorders/>
            <w:vAlign w:val="center"/>
          </w:tcPr>
          <w:p>
            <w:pPr>
              <w:pStyle w:val="TableContents"/>
              <w:bidi w:val="0"/>
              <w:spacing w:before="0" w:after="283"/>
              <w:jc w:val="left"/>
              <w:rPr>
                <w:sz w:val="4"/>
                <w:szCs w:val="4"/>
              </w:rPr>
            </w:pPr>
            <w:r>
              <w:rPr>
                <w:sz w:val="4"/>
                <w:szCs w:val="4"/>
              </w:rPr>
            </w:r>
          </w:p>
        </w:tc>
        <w:tc>
          <w:tcPr>
            <w:tcW w:w="9889" w:type="dxa"/>
            <w:tcBorders/>
            <w:vAlign w:val="center"/>
          </w:tcPr>
          <w:p>
            <w:pPr>
              <w:pStyle w:val="TableContents"/>
              <w:bidi w:val="0"/>
              <w:spacing w:before="0" w:after="283"/>
              <w:jc w:val="left"/>
              <w:rPr>
                <w:sz w:val="4"/>
                <w:szCs w:val="4"/>
              </w:rPr>
            </w:pPr>
            <w:r>
              <w:rPr>
                <w:sz w:val="4"/>
                <w:szCs w:val="4"/>
              </w:rPr>
            </w:r>
          </w:p>
        </w:tc>
      </w:tr>
      <w:tr>
        <w:trPr/>
        <w:tc>
          <w:tcPr>
            <w:tcW w:w="316"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(1)</w:t>
            </w:r>
          </w:p>
        </w:tc>
        <w:tc>
          <w:tcPr>
            <w:tcW w:w="9889"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The SBA has two scheduled pooling dates for debentures (in March and in September). Certain debentures funded during the reporting periods may not be pooled until the subsequent pooling date.</w:t>
            </w:r>
          </w:p>
        </w:tc>
      </w:tr>
      <w:tr>
        <w:trPr/>
        <w:tc>
          <w:tcPr>
            <w:tcW w:w="316"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(2)</w:t>
            </w:r>
          </w:p>
        </w:tc>
        <w:tc>
          <w:tcPr>
            <w:tcW w:w="9889"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issued $3,000, $12,000, $2,000, $2,000, and $3,000</w:t>
            </w:r>
            <w:r>
              <w:rPr>
                <w:rFonts w:ascii="Times New Roman" w:hAnsi="Times New Roman"/>
                <w:color w:val="000000"/>
                <w:sz w:val="20"/>
              </w:rPr>
              <w:t> </w:t>
            </w:r>
            <w:r>
              <w:rPr>
                <w:rFonts w:ascii="Times New Roman" w:hAnsi="Times New Roman"/>
                <w:color w:val="000000"/>
                <w:sz w:val="16"/>
              </w:rPr>
              <w:t>in SBA debentures that will pool in March 2024. Until the pooling date, the debentures bear interest at a fixed rate interim interest rate of 6.083%, 6.026%, 6.009%, 5.991%, and 5.980%, respectively.</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Notes: </w:t>
      </w:r>
      <w:r>
        <w:rPr>
          <w:rFonts w:ascii="Times New Roman" w:hAnsi="Times New Roman"/>
          <w:color w:val="000000"/>
          <w:sz w:val="20"/>
        </w:rPr>
        <w:t>On February 2, 2018, the Company closed the public offering of $43,478 in aggregate principal amount of its 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$1,500 and offering expenses of $438, were $48,062. On January 19, 2021, the Company redeemed $50,000 in aggregate principal amount of the issued and outstanding 2023 Notes, resulting in a realized loss on extinguishment of debt of $794.</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February 8, 2019, the Company closed the public offering of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$2,070 and offering expenses of $409, were $66,521. On February 16, 2021, the Company redeemed $50,000 of the $69,000 aggregate principal amount on the February 2024 Notes, resulting in a realized loss on extinguishment of debt of $1,081. On November 2, 2021, the Company fully redeemed the remaining $19,000 in aggregate principal amount on the issued and outstanding February 2024 Notes, resulting in a realized loss on extinguishment of debt of $313.</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16, 2019, the Company closed the public offering of $55,000 in aggregate principal amount of its 5.375% notes due 2024, or the “November 2024 Notes” (and collectively with the 2023 Notes and February 2024 Notes, the “Public Notes” and collectively with the February 2024 Notes, the "2024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$1,898 and offering expenses of $300, were $61,053. On November 2, 2021, the Company fully redeemed $63,250 in aggregate principal amount on the issued and outstanding November 2024 Notes, resulting in a realized loss on extinguishment of debt of $1,311.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December 23, 2020, the Company closed the offering of $125,000 in aggregate principal amount of its 4.75% notes due 2026, or the “January 2026 Notes”. The total net proceeds to the Company from the January 2026 Notes, based on a public offering price of 100.00% of par, after deducting underwriting discounts of $2,500 and offering expenses of $400, were $122,100.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October 8, 2021, the Company closed the offering of $125,000 in aggregate principal amount of its 3.50% notes due 2026, or the “November 2026 Notes” (collectively with the Public Notes and the January 2026 Notes, the “Notes”). The total net proceeds to the Company from the November 2026 Notes, based on a public offering price of 99.996% of par, after deducting underwriting discounts of $2,505 and offering expenses of $400, were $122,095.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and December 31, 2022, the carrying value of secured borrowings totaled $15,880 and $16,880, respectively, and the fair value of the associated loans included in investments was $15,800 and $16,875, respectively.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9.4% and 7.8% as of December 31, 2023 and 2022,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2023, and December 31, 2022, the aggregate amount outstanding of the senior securities (including secured borrowings) issued by the Company was $265,880 and $266,880, respectively, for which our asset coverage was 321.7% and 280.0%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Financing Expenses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Interest and fees related to the Company’s debt for the years ended December 31, 2023, 2022 and 2021 that are included in interest and financing expenses on the consolidated statements of operations, were as follows:</w:t>
      </w:r>
    </w:p>
    <w:tbl>
      <w:tblPr>
        <w:tblW w:w="10205" w:type="dxa"/>
        <w:jc w:val="left"/>
        <w:tblInd w:w="0" w:type="dxa"/>
        <w:tblLayout w:type="fixed"/>
        <w:tblCellMar>
          <w:top w:w="28" w:type="dxa"/>
          <w:left w:w="28" w:type="dxa"/>
          <w:bottom w:w="28" w:type="dxa"/>
          <w:right w:w="28" w:type="dxa"/>
        </w:tblCellMar>
      </w:tblPr>
      <w:tblGrid>
        <w:gridCol w:w="2730"/>
        <w:gridCol w:w="146"/>
        <w:gridCol w:w="342"/>
        <w:gridCol w:w="893"/>
        <w:gridCol w:w="256"/>
        <w:gridCol w:w="146"/>
        <w:gridCol w:w="288"/>
        <w:gridCol w:w="753"/>
        <w:gridCol w:w="256"/>
        <w:gridCol w:w="241"/>
        <w:gridCol w:w="401"/>
        <w:gridCol w:w="1051"/>
        <w:gridCol w:w="256"/>
        <w:gridCol w:w="146"/>
        <w:gridCol w:w="196"/>
        <w:gridCol w:w="601"/>
        <w:gridCol w:w="256"/>
        <w:gridCol w:w="146"/>
        <w:gridCol w:w="196"/>
        <w:gridCol w:w="601"/>
        <w:gridCol w:w="304"/>
      </w:tblGrid>
      <w:tr>
        <w:trPr/>
        <w:tc>
          <w:tcPr>
            <w:tcW w:w="2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73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7025" w:type="dxa"/>
            <w:gridSpan w:val="1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2023</w:t>
            </w:r>
          </w:p>
        </w:tc>
        <w:tc>
          <w:tcPr>
            <w:tcW w:w="304" w:type="dxa"/>
            <w:tcBorders/>
            <w:shd w:fill="FFFFFF" w:val="clear"/>
            <w:vAlign w:val="center"/>
          </w:tcPr>
          <w:p>
            <w:pPr>
              <w:pStyle w:val="TableContents"/>
              <w:bidi w:val="0"/>
              <w:spacing w:before="0" w:after="283"/>
              <w:jc w:val="center"/>
              <w:rPr/>
            </w:pPr>
            <w:r>
              <w:rPr/>
              <w:t> </w:t>
            </w:r>
          </w:p>
        </w:tc>
      </w:tr>
      <w:tr>
        <w:trPr/>
        <w:tc>
          <w:tcPr>
            <w:tcW w:w="2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2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SBA debentures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4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Secured Borrowings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Stated interest expense</w:t>
            </w:r>
          </w:p>
        </w:tc>
        <w:tc>
          <w:tcPr>
            <w:tcW w:w="146" w:type="dxa"/>
            <w:tcBorders/>
            <w:shd w:fill="CCEEFF" w:val="clear"/>
            <w:vAlign w:val="center"/>
          </w:tcPr>
          <w:p>
            <w:pPr>
              <w:pStyle w:val="TableContents"/>
              <w:bidi w:val="0"/>
              <w:spacing w:before="0" w:after="283"/>
              <w:jc w:val="both"/>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6,914</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25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10,313</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20,603</w:t>
            </w:r>
          </w:p>
        </w:tc>
        <w:tc>
          <w:tcPr>
            <w:tcW w:w="304" w:type="dxa"/>
            <w:tcBorders/>
            <w:shd w:fill="CCEEFF" w:val="cle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Total interest and financing expenses</w:t>
            </w:r>
          </w:p>
        </w:tc>
        <w:tc>
          <w:tcPr>
            <w:tcW w:w="146" w:type="dxa"/>
            <w:tcBorders/>
            <w:shd w:fill="CCEEFF" w:val="clear"/>
            <w:vAlign w:val="center"/>
          </w:tcPr>
          <w:p>
            <w:pPr>
              <w:pStyle w:val="TableContents"/>
              <w:bidi w:val="0"/>
              <w:spacing w:before="0" w:after="283"/>
              <w:jc w:val="both"/>
              <w:rPr/>
            </w:pPr>
            <w:r>
              <w:rPr/>
              <w:t> </w:t>
            </w:r>
          </w:p>
        </w:tc>
        <w:tc>
          <w:tcPr>
            <w:tcW w:w="3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7,647</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11,429</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22,749</w:t>
            </w:r>
          </w:p>
        </w:tc>
        <w:tc>
          <w:tcPr>
            <w:tcW w:w="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3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04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401"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4.346</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Unused commitment fee rate, period end</w:t>
            </w:r>
          </w:p>
        </w:tc>
        <w:tc>
          <w:tcPr>
            <w:tcW w:w="146" w:type="dxa"/>
            <w:tcBorders/>
            <w:shd w:fill="CCEEFF" w:val="clear"/>
            <w:vAlign w:val="center"/>
          </w:tcPr>
          <w:p>
            <w:pPr>
              <w:pStyle w:val="TableContents"/>
              <w:bidi w:val="0"/>
              <w:spacing w:before="0" w:after="283"/>
              <w:jc w:val="both"/>
              <w:rPr/>
            </w:pPr>
            <w:r>
              <w:rPr/>
              <w:t> </w:t>
            </w:r>
          </w:p>
        </w:tc>
        <w:tc>
          <w:tcPr>
            <w:tcW w:w="1235"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52"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97"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w:t>
            </w:r>
          </w:p>
        </w:tc>
        <w:tc>
          <w:tcPr>
            <w:tcW w:w="30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30"/>
        <w:gridCol w:w="146"/>
        <w:gridCol w:w="342"/>
        <w:gridCol w:w="893"/>
        <w:gridCol w:w="256"/>
        <w:gridCol w:w="146"/>
        <w:gridCol w:w="288"/>
        <w:gridCol w:w="753"/>
        <w:gridCol w:w="256"/>
        <w:gridCol w:w="241"/>
        <w:gridCol w:w="401"/>
        <w:gridCol w:w="1051"/>
        <w:gridCol w:w="256"/>
        <w:gridCol w:w="146"/>
        <w:gridCol w:w="196"/>
        <w:gridCol w:w="601"/>
        <w:gridCol w:w="256"/>
        <w:gridCol w:w="146"/>
        <w:gridCol w:w="196"/>
        <w:gridCol w:w="601"/>
        <w:gridCol w:w="304"/>
      </w:tblGrid>
      <w:tr>
        <w:trPr/>
        <w:tc>
          <w:tcPr>
            <w:tcW w:w="2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7025" w:type="dxa"/>
            <w:gridSpan w:val="1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2022</w:t>
            </w:r>
          </w:p>
        </w:tc>
        <w:tc>
          <w:tcPr>
            <w:tcW w:w="304" w:type="dxa"/>
            <w:tcBorders/>
            <w:shd w:fill="FFFFFF" w:val="clear"/>
            <w:vAlign w:val="center"/>
          </w:tcPr>
          <w:p>
            <w:pPr>
              <w:pStyle w:val="TableContents"/>
              <w:bidi w:val="0"/>
              <w:spacing w:before="0" w:after="283"/>
              <w:jc w:val="center"/>
              <w:rPr/>
            </w:pPr>
            <w:r>
              <w:rPr/>
              <w:t> </w:t>
            </w:r>
          </w:p>
        </w:tc>
      </w:tr>
      <w:tr>
        <w:trPr/>
        <w:tc>
          <w:tcPr>
            <w:tcW w:w="273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2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SBA debentures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4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Secured Borrowings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Stated interest expense</w:t>
            </w:r>
          </w:p>
        </w:tc>
        <w:tc>
          <w:tcPr>
            <w:tcW w:w="146" w:type="dxa"/>
            <w:tcBorders/>
            <w:shd w:fill="CCEEFF" w:val="clear"/>
            <w:vAlign w:val="center"/>
          </w:tcPr>
          <w:p>
            <w:pPr>
              <w:pStyle w:val="TableContents"/>
              <w:bidi w:val="0"/>
              <w:spacing w:before="0" w:after="283"/>
              <w:jc w:val="both"/>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25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10,312</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16,561</w:t>
            </w:r>
          </w:p>
        </w:tc>
        <w:tc>
          <w:tcPr>
            <w:tcW w:w="304" w:type="dxa"/>
            <w:tcBorders/>
            <w:shd w:fill="CCEEFF" w:val="cle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Total interest and financing expenses</w:t>
            </w:r>
          </w:p>
        </w:tc>
        <w:tc>
          <w:tcPr>
            <w:tcW w:w="146" w:type="dxa"/>
            <w:tcBorders/>
            <w:shd w:fill="CCEEFF" w:val="clear"/>
            <w:vAlign w:val="center"/>
          </w:tcPr>
          <w:p>
            <w:pPr>
              <w:pStyle w:val="TableContents"/>
              <w:bidi w:val="0"/>
              <w:spacing w:before="0" w:after="283"/>
              <w:jc w:val="both"/>
              <w:rPr/>
            </w:pPr>
            <w:r>
              <w:rPr/>
              <w:t> </w:t>
            </w:r>
          </w:p>
        </w:tc>
        <w:tc>
          <w:tcPr>
            <w:tcW w:w="3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11,424</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18,665</w:t>
            </w:r>
          </w:p>
        </w:tc>
        <w:tc>
          <w:tcPr>
            <w:tcW w:w="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3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04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401"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Unused commitment fee rate, period end</w:t>
            </w:r>
          </w:p>
        </w:tc>
        <w:tc>
          <w:tcPr>
            <w:tcW w:w="146" w:type="dxa"/>
            <w:tcBorders/>
            <w:shd w:fill="CCEEFF" w:val="clear"/>
            <w:vAlign w:val="center"/>
          </w:tcPr>
          <w:p>
            <w:pPr>
              <w:pStyle w:val="TableContents"/>
              <w:bidi w:val="0"/>
              <w:spacing w:before="0" w:after="283"/>
              <w:jc w:val="both"/>
              <w:rPr/>
            </w:pPr>
            <w:r>
              <w:rPr/>
              <w:t> </w:t>
            </w:r>
          </w:p>
        </w:tc>
        <w:tc>
          <w:tcPr>
            <w:tcW w:w="1235"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52"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97"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30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30"/>
        <w:gridCol w:w="146"/>
        <w:gridCol w:w="342"/>
        <w:gridCol w:w="893"/>
        <w:gridCol w:w="256"/>
        <w:gridCol w:w="146"/>
        <w:gridCol w:w="288"/>
        <w:gridCol w:w="753"/>
        <w:gridCol w:w="256"/>
        <w:gridCol w:w="241"/>
        <w:gridCol w:w="401"/>
        <w:gridCol w:w="1051"/>
        <w:gridCol w:w="256"/>
        <w:gridCol w:w="146"/>
        <w:gridCol w:w="196"/>
        <w:gridCol w:w="601"/>
        <w:gridCol w:w="256"/>
        <w:gridCol w:w="146"/>
        <w:gridCol w:w="196"/>
        <w:gridCol w:w="601"/>
        <w:gridCol w:w="304"/>
      </w:tblGrid>
      <w:tr>
        <w:trPr/>
        <w:tc>
          <w:tcPr>
            <w:tcW w:w="2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73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7025" w:type="dxa"/>
            <w:gridSpan w:val="18"/>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2021</w:t>
            </w:r>
          </w:p>
        </w:tc>
        <w:tc>
          <w:tcPr>
            <w:tcW w:w="304" w:type="dxa"/>
            <w:tcBorders/>
            <w:shd w:fill="FFFFFF" w:val="clear"/>
            <w:vAlign w:val="center"/>
          </w:tcPr>
          <w:p>
            <w:pPr>
              <w:pStyle w:val="TableContents"/>
              <w:bidi w:val="0"/>
              <w:spacing w:before="0" w:after="283"/>
              <w:jc w:val="center"/>
              <w:rPr/>
            </w:pPr>
            <w:r>
              <w:rPr/>
              <w:t> </w:t>
            </w:r>
          </w:p>
        </w:tc>
      </w:tr>
      <w:tr>
        <w:trPr/>
        <w:tc>
          <w:tcPr>
            <w:tcW w:w="2730"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2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SBA debentures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4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Secured Borrowings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Stated interest expense</w:t>
            </w:r>
          </w:p>
        </w:tc>
        <w:tc>
          <w:tcPr>
            <w:tcW w:w="146" w:type="dxa"/>
            <w:tcBorders/>
            <w:shd w:fill="CCEEFF" w:val="clear"/>
            <w:vAlign w:val="center"/>
          </w:tcPr>
          <w:p>
            <w:pPr>
              <w:pStyle w:val="TableContents"/>
              <w:bidi w:val="0"/>
              <w:spacing w:before="0" w:after="283"/>
              <w:jc w:val="both"/>
              <w:rPr/>
            </w:pPr>
            <w:r>
              <w:rPr/>
              <w:t> </w:t>
            </w:r>
          </w:p>
        </w:tc>
        <w:tc>
          <w:tcPr>
            <w:tcW w:w="342"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3,810</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256"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11,245</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16,949</w:t>
            </w:r>
          </w:p>
        </w:tc>
        <w:tc>
          <w:tcPr>
            <w:tcW w:w="304" w:type="dxa"/>
            <w:tcBorders/>
            <w:shd w:fill="CCEEFF" w:val="cle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Amortization of deferred financing costs</w:t>
            </w:r>
          </w:p>
        </w:tc>
        <w:tc>
          <w:tcPr>
            <w:tcW w:w="146" w:type="dxa"/>
            <w:tcBorders/>
            <w:shd w:fill="FFFFFF" w:val="clear"/>
            <w:vAlign w:val="center"/>
          </w:tcPr>
          <w:p>
            <w:pPr>
              <w:pStyle w:val="TableContents"/>
              <w:bidi w:val="0"/>
              <w:spacing w:before="0" w:after="283"/>
              <w:jc w:val="both"/>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Total interest and financing expenses</w:t>
            </w:r>
          </w:p>
        </w:tc>
        <w:tc>
          <w:tcPr>
            <w:tcW w:w="146" w:type="dxa"/>
            <w:tcBorders/>
            <w:shd w:fill="CCEEFF" w:val="clear"/>
            <w:vAlign w:val="center"/>
          </w:tcPr>
          <w:p>
            <w:pPr>
              <w:pStyle w:val="TableContents"/>
              <w:bidi w:val="0"/>
              <w:spacing w:before="0" w:after="283"/>
              <w:jc w:val="both"/>
              <w:rPr/>
            </w:pPr>
            <w:r>
              <w:rPr/>
              <w:t> </w:t>
            </w:r>
          </w:p>
        </w:tc>
        <w:tc>
          <w:tcPr>
            <w:tcW w:w="3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4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12,475</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19,164</w:t>
            </w:r>
          </w:p>
        </w:tc>
        <w:tc>
          <w:tcPr>
            <w:tcW w:w="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730" w:type="dxa"/>
            <w:tcBorders/>
            <w:shd w:fill="FFFF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Weighted average stated interest rate, period end</w:t>
            </w:r>
          </w:p>
        </w:tc>
        <w:tc>
          <w:tcPr>
            <w:tcW w:w="146" w:type="dxa"/>
            <w:tcBorders/>
            <w:shd w:fill="FFFFFF" w:val="clear"/>
            <w:vAlign w:val="center"/>
          </w:tcPr>
          <w:p>
            <w:pPr>
              <w:pStyle w:val="TableContents"/>
              <w:bidi w:val="0"/>
              <w:spacing w:before="0" w:after="283"/>
              <w:jc w:val="both"/>
              <w:rPr/>
            </w:pPr>
            <w:r>
              <w:rPr/>
              <w:t> </w:t>
            </w:r>
          </w:p>
        </w:tc>
        <w:tc>
          <w:tcPr>
            <w:tcW w:w="3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041"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401"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w:t>
            </w:r>
          </w:p>
        </w:tc>
        <w:tc>
          <w:tcPr>
            <w:tcW w:w="3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0" w:type="dxa"/>
            <w:tcBorders/>
            <w:shd w:fill="CCEEFF" w:val="cle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Unused commitment fee rate, period end</w:t>
            </w:r>
          </w:p>
        </w:tc>
        <w:tc>
          <w:tcPr>
            <w:tcW w:w="146" w:type="dxa"/>
            <w:tcBorders/>
            <w:shd w:fill="CCEEFF" w:val="clear"/>
            <w:vAlign w:val="center"/>
          </w:tcPr>
          <w:p>
            <w:pPr>
              <w:pStyle w:val="TableContents"/>
              <w:bidi w:val="0"/>
              <w:spacing w:before="0" w:after="283"/>
              <w:jc w:val="both"/>
              <w:rPr/>
            </w:pPr>
            <w:r>
              <w:rPr/>
              <w:t> </w:t>
            </w:r>
          </w:p>
        </w:tc>
        <w:tc>
          <w:tcPr>
            <w:tcW w:w="1235"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52"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797" w:type="dxa"/>
            <w:gridSpan w:val="2"/>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N/A</w:t>
            </w:r>
          </w:p>
        </w:tc>
        <w:tc>
          <w:tcPr>
            <w:tcW w:w="25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w:t>
            </w:r>
          </w:p>
        </w:tc>
        <w:tc>
          <w:tcPr>
            <w:tcW w:w="30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rFonts w:ascii="Times New Roman" w:hAnsi="Times New Roman"/>
          <w:color w:val="000000"/>
          <w:sz w:val="16"/>
        </w:rPr>
      </w:pPr>
      <w:r>
        <w:rPr>
          <w:rFonts w:ascii="Times New Roman" w:hAnsi="Times New Roman"/>
          <w:color w:val="000000"/>
          <w:sz w:val="16"/>
        </w:rPr>
        <w:t>Reflects the effective rate as of year end</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During the years ended December 31, 2023, 2022, and 2021, the Company prepaid $5,000, $30,000, and $63,500 of SBA debentures, respectively, which were scheduled to mature on dates ranging from 2025 to 2028. During the year ended December 31, 2021, the Company redeemed $50,000 and $132,250 of the issued and outstanding 2023 Notes and 2024 Notes, respectively. As a result of the prepayments, the Company recognized realized losses on extinguishment of debt of $23, $251, and $4,263 respectively, equal to the write-off of the related unamortized deferred financing costs, during the years ended December 31, 2023, 2022, and 2021.</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December 31, 2023 and 2022 were as follows:</w:t>
      </w:r>
    </w:p>
    <w:tbl>
      <w:tblPr>
        <w:tblW w:w="9512" w:type="dxa"/>
        <w:jc w:val="left"/>
        <w:tblInd w:w="0" w:type="dxa"/>
        <w:tblLayout w:type="fixed"/>
        <w:tblCellMar>
          <w:top w:w="28" w:type="dxa"/>
          <w:left w:w="28" w:type="dxa"/>
          <w:bottom w:w="28" w:type="dxa"/>
          <w:right w:w="28" w:type="dxa"/>
        </w:tblCellMar>
      </w:tblPr>
      <w:tblGrid>
        <w:gridCol w:w="1996"/>
        <w:gridCol w:w="146"/>
        <w:gridCol w:w="186"/>
        <w:gridCol w:w="490"/>
        <w:gridCol w:w="151"/>
        <w:gridCol w:w="146"/>
        <w:gridCol w:w="166"/>
        <w:gridCol w:w="421"/>
        <w:gridCol w:w="151"/>
        <w:gridCol w:w="146"/>
        <w:gridCol w:w="166"/>
        <w:gridCol w:w="421"/>
        <w:gridCol w:w="151"/>
        <w:gridCol w:w="146"/>
        <w:gridCol w:w="166"/>
        <w:gridCol w:w="481"/>
        <w:gridCol w:w="151"/>
        <w:gridCol w:w="146"/>
        <w:gridCol w:w="191"/>
        <w:gridCol w:w="485"/>
        <w:gridCol w:w="151"/>
        <w:gridCol w:w="146"/>
        <w:gridCol w:w="166"/>
        <w:gridCol w:w="421"/>
        <w:gridCol w:w="151"/>
        <w:gridCol w:w="146"/>
        <w:gridCol w:w="166"/>
        <w:gridCol w:w="421"/>
        <w:gridCol w:w="151"/>
        <w:gridCol w:w="146"/>
        <w:gridCol w:w="166"/>
        <w:gridCol w:w="436"/>
        <w:gridCol w:w="15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33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SBA debenture commitment fees</w:t>
            </w:r>
          </w:p>
        </w:tc>
        <w:tc>
          <w:tcPr>
            <w:tcW w:w="146" w:type="dxa"/>
            <w:tcBorders/>
            <w:shd w:fill="CCEEFF" w:val="clear"/>
            <w:vAlign w:val="center"/>
          </w:tcPr>
          <w:p>
            <w:pPr>
              <w:pStyle w:val="TableContents"/>
              <w:bidi w:val="0"/>
              <w:spacing w:before="0" w:after="283"/>
              <w:jc w:val="both"/>
              <w:rPr/>
            </w:pPr>
            <w:r>
              <w:rPr/>
              <w:t> </w:t>
            </w:r>
          </w:p>
        </w:tc>
        <w:tc>
          <w:tcPr>
            <w:tcW w:w="18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5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SBA debenture leverage fees</w:t>
            </w:r>
          </w:p>
        </w:tc>
        <w:tc>
          <w:tcPr>
            <w:tcW w:w="146" w:type="dxa"/>
            <w:tcBorders/>
            <w:shd w:fill="FFFFFF" w:val="clear"/>
            <w:vAlign w:val="center"/>
          </w:tcPr>
          <w:p>
            <w:pPr>
              <w:pStyle w:val="TableContents"/>
              <w:bidi w:val="0"/>
              <w:spacing w:before="0" w:after="283"/>
              <w:jc w:val="both"/>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6,389</w:t>
            </w:r>
          </w:p>
        </w:tc>
        <w:tc>
          <w:tcPr>
            <w:tcW w:w="15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Credit Facility upfront fees</w:t>
            </w:r>
          </w:p>
        </w:tc>
        <w:tc>
          <w:tcPr>
            <w:tcW w:w="146" w:type="dxa"/>
            <w:tcBorders/>
            <w:shd w:fill="CCEEFF" w:val="clear"/>
            <w:vAlign w:val="center"/>
          </w:tcPr>
          <w:p>
            <w:pPr>
              <w:pStyle w:val="TableContents"/>
              <w:bidi w:val="0"/>
              <w:spacing w:before="0" w:after="283"/>
              <w:jc w:val="both"/>
              <w:rPr/>
            </w:pPr>
            <w:r>
              <w:rPr/>
              <w:t> </w:t>
            </w:r>
          </w:p>
        </w:tc>
        <w:tc>
          <w:tcPr>
            <w:tcW w:w="186"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Notes underwriting discounts</w:t>
            </w:r>
          </w:p>
        </w:tc>
        <w:tc>
          <w:tcPr>
            <w:tcW w:w="146" w:type="dxa"/>
            <w:tcBorders/>
            <w:shd w:fill="FFFFFF" w:val="clear"/>
            <w:vAlign w:val="center"/>
          </w:tcPr>
          <w:p>
            <w:pPr>
              <w:pStyle w:val="TableContents"/>
              <w:bidi w:val="0"/>
              <w:spacing w:before="0" w:after="283"/>
              <w:jc w:val="both"/>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Notes debt issue costs</w:t>
            </w:r>
          </w:p>
        </w:tc>
        <w:tc>
          <w:tcPr>
            <w:tcW w:w="146" w:type="dxa"/>
            <w:tcBorders/>
            <w:shd w:fill="CCEEFF" w:val="clear"/>
            <w:vAlign w:val="center"/>
          </w:tcPr>
          <w:p>
            <w:pPr>
              <w:pStyle w:val="TableContents"/>
              <w:bidi w:val="0"/>
              <w:spacing w:before="0" w:after="283"/>
              <w:jc w:val="both"/>
              <w:rPr/>
            </w:pPr>
            <w:r>
              <w:rPr/>
              <w:t> </w:t>
            </w:r>
          </w:p>
        </w:tc>
        <w:tc>
          <w:tcPr>
            <w:tcW w:w="1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Total deferred financing costs</w:t>
            </w:r>
          </w:p>
        </w:tc>
        <w:tc>
          <w:tcPr>
            <w:tcW w:w="146" w:type="dxa"/>
            <w:tcBorders/>
            <w:shd w:fill="FFFFFF" w:val="clear"/>
            <w:vAlign w:val="center"/>
          </w:tcPr>
          <w:p>
            <w:pPr>
              <w:pStyle w:val="TableContents"/>
              <w:bidi w:val="0"/>
              <w:spacing w:before="0" w:after="283"/>
              <w:jc w:val="both"/>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21,256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19,496</w:t>
            </w:r>
          </w:p>
        </w:tc>
        <w:tc>
          <w:tcPr>
            <w:tcW w:w="15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Less: accumulated amortization</w:t>
            </w:r>
          </w:p>
        </w:tc>
        <w:tc>
          <w:tcPr>
            <w:tcW w:w="146" w:type="dxa"/>
            <w:tcBorders/>
            <w:shd w:fill="CCEEFF" w:val="clear"/>
            <w:vAlign w:val="center"/>
          </w:tcPr>
          <w:p>
            <w:pPr>
              <w:pStyle w:val="TableContents"/>
              <w:bidi w:val="0"/>
              <w:spacing w:before="0" w:after="283"/>
              <w:jc w:val="both"/>
              <w:rPr/>
            </w:pPr>
            <w:r>
              <w:rPr/>
              <w:t> </w:t>
            </w:r>
          </w:p>
        </w:tc>
        <w:tc>
          <w:tcPr>
            <w:tcW w:w="1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(5,621</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(2,933</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(11,889</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(4,865</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(9,720</w:t>
            </w:r>
          </w:p>
        </w:tc>
        <w:tc>
          <w:tcPr>
            <w:tcW w:w="1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CCEE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December 31, 2023 and 2022:</w:t>
      </w:r>
    </w:p>
    <w:tbl>
      <w:tblPr>
        <w:tblW w:w="9992" w:type="dxa"/>
        <w:jc w:val="left"/>
        <w:tblInd w:w="0" w:type="dxa"/>
        <w:tblLayout w:type="fixed"/>
        <w:tblCellMar>
          <w:top w:w="28" w:type="dxa"/>
          <w:left w:w="28" w:type="dxa"/>
          <w:bottom w:w="28" w:type="dxa"/>
          <w:right w:w="28" w:type="dxa"/>
        </w:tblCellMar>
      </w:tblPr>
      <w:tblGrid>
        <w:gridCol w:w="2251"/>
        <w:gridCol w:w="146"/>
        <w:gridCol w:w="169"/>
        <w:gridCol w:w="507"/>
        <w:gridCol w:w="151"/>
        <w:gridCol w:w="146"/>
        <w:gridCol w:w="166"/>
        <w:gridCol w:w="421"/>
        <w:gridCol w:w="151"/>
        <w:gridCol w:w="146"/>
        <w:gridCol w:w="166"/>
        <w:gridCol w:w="496"/>
        <w:gridCol w:w="151"/>
        <w:gridCol w:w="146"/>
        <w:gridCol w:w="166"/>
        <w:gridCol w:w="496"/>
        <w:gridCol w:w="151"/>
        <w:gridCol w:w="146"/>
        <w:gridCol w:w="169"/>
        <w:gridCol w:w="507"/>
        <w:gridCol w:w="151"/>
        <w:gridCol w:w="146"/>
        <w:gridCol w:w="166"/>
        <w:gridCol w:w="421"/>
        <w:gridCol w:w="151"/>
        <w:gridCol w:w="146"/>
        <w:gridCol w:w="166"/>
        <w:gridCol w:w="496"/>
        <w:gridCol w:w="151"/>
        <w:gridCol w:w="146"/>
        <w:gridCol w:w="166"/>
        <w:gridCol w:w="496"/>
        <w:gridCol w:w="151"/>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34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December 31, 2023</w:t>
            </w:r>
            <w:r>
              <w:rPr>
                <w:rFonts w:ascii="Times New Roman" w:hAnsi="Times New Roman"/>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SBA</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shd w:fill="FFFFFF" w:val="cle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Credit</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Outstanding debt</w:t>
            </w:r>
          </w:p>
        </w:tc>
        <w:tc>
          <w:tcPr>
            <w:tcW w:w="146" w:type="dxa"/>
            <w:tcBorders/>
            <w:shd w:fill="CCEEFF" w:val="clear"/>
            <w:vAlign w:val="center"/>
          </w:tcPr>
          <w:p>
            <w:pPr>
              <w:pStyle w:val="TableContents"/>
              <w:bidi w:val="0"/>
              <w:spacing w:before="0" w:after="283"/>
              <w:jc w:val="both"/>
              <w:rPr/>
            </w:pPr>
            <w:r>
              <w:rPr/>
              <w:t> </w:t>
            </w:r>
          </w:p>
        </w:tc>
        <w:tc>
          <w:tcPr>
            <w:tcW w:w="169"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5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403,000</w:t>
            </w:r>
          </w:p>
        </w:tc>
        <w:tc>
          <w:tcPr>
            <w:tcW w:w="15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Less: unamortized deferred financing costs</w:t>
            </w:r>
          </w:p>
        </w:tc>
        <w:tc>
          <w:tcPr>
            <w:tcW w:w="146" w:type="dxa"/>
            <w:tcBorders/>
            <w:shd w:fill="FFFFFF" w:val="clear"/>
            <w:vAlign w:val="center"/>
          </w:tcPr>
          <w:p>
            <w:pPr>
              <w:pStyle w:val="TableContents"/>
              <w:bidi w:val="0"/>
              <w:spacing w:before="0" w:after="283"/>
              <w:jc w:val="both"/>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91" w:type="dxa"/>
            <w:tcBorders/>
            <w:shd w:fill="FFFFFF" w:val="clear"/>
            <w:vAlign w:val="center"/>
          </w:tcPr>
          <w:p>
            <w:pPr>
              <w:pStyle w:val="TableContents"/>
              <w:bidi w:val="0"/>
              <w:spacing w:before="0" w:after="283"/>
              <w:jc w:val="left"/>
              <w:rPr/>
            </w:pPr>
            <w:r>
              <w:rPr/>
              <w:t> </w:t>
            </w:r>
          </w:p>
        </w:tc>
      </w:tr>
      <w:tr>
        <w:trPr/>
        <w:tc>
          <w:tcPr>
            <w:tcW w:w="2251" w:type="dxa"/>
            <w:tcBorders/>
            <w:shd w:fill="CCEE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Debt, net of deferred financing costs</w:t>
            </w:r>
          </w:p>
        </w:tc>
        <w:tc>
          <w:tcPr>
            <w:tcW w:w="146" w:type="dxa"/>
            <w:tcBorders/>
            <w:shd w:fill="CCEEFF" w:val="clear"/>
            <w:vAlign w:val="center"/>
          </w:tcPr>
          <w:p>
            <w:pPr>
              <w:pStyle w:val="TableContents"/>
              <w:bidi w:val="0"/>
              <w:spacing w:before="0" w:after="283"/>
              <w:jc w:val="both"/>
              <w:rPr/>
            </w:pPr>
            <w:r>
              <w:rPr/>
              <w:t> </w:t>
            </w:r>
          </w:p>
        </w:tc>
        <w:tc>
          <w:tcPr>
            <w:tcW w:w="1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204,472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247,243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450,633</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148,476</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(1,380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246,128</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393,224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tbl>
      <w:tblPr>
        <w:tblW w:w="8162" w:type="dxa"/>
        <w:jc w:val="left"/>
        <w:tblInd w:w="0" w:type="dxa"/>
        <w:tblLayout w:type="fixed"/>
        <w:tblCellMar>
          <w:top w:w="28" w:type="dxa"/>
          <w:left w:w="28" w:type="dxa"/>
          <w:bottom w:w="28" w:type="dxa"/>
          <w:right w:w="28" w:type="dxa"/>
        </w:tblCellMar>
      </w:tblPr>
      <w:tblGrid>
        <w:gridCol w:w="331"/>
        <w:gridCol w:w="7831"/>
      </w:tblGrid>
      <w:tr>
        <w:trPr/>
        <w:tc>
          <w:tcPr>
            <w:tcW w:w="331"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excludes $15,880 and $16,880 of Secured Borrowings as of December 31, 2023 and 2022, respectively.</w:t>
            </w:r>
          </w:p>
        </w:tc>
      </w:tr>
    </w:tbl>
    <w:p>
      <w:pPr>
        <w:pStyle w:val="TextBody"/>
        <w:bidi w:val="0"/>
        <w:spacing w:before="180" w:after="283"/>
        <w:jc w:val="both"/>
        <w:rPr>
          <w:rFonts w:ascii="Times New Roman" w:hAnsi="Times New Roman"/>
          <w:sz w:val="20"/>
        </w:rPr>
      </w:pPr>
      <w:r>
        <w:rPr>
          <w:rFonts w:ascii="Times New Roman" w:hAnsi="Times New Roman"/>
          <w:color w:val="000000"/>
          <w:sz w:val="20"/>
        </w:rPr>
        <w:t xml:space="preserve">As of December 31, 2023, the Company’s debt liabilities are scheduled to mature as follows </w:t>
      </w:r>
      <w:r>
        <w:rPr>
          <w:rFonts w:ascii="Times New Roman" w:hAnsi="Times New Roman"/>
          <w:color w:val="000000"/>
          <w:sz w:val="13"/>
        </w:rPr>
        <w:t>(1)</w:t>
      </w:r>
      <w:r>
        <w:rPr>
          <w:rFonts w:ascii="Times New Roman" w:hAnsi="Times New Roman"/>
          <w:color w:val="000000"/>
          <w:sz w:val="20"/>
        </w:rPr>
        <w:t>:</w:t>
      </w:r>
    </w:p>
    <w:p>
      <w:pPr>
        <w:pStyle w:val="TextBody"/>
        <w:bidi w:val="0"/>
        <w:jc w:val="both"/>
        <w:rPr/>
      </w:pPr>
      <w:r>
        <w:rPr/>
        <w:t> </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368"/>
        <w:gridCol w:w="607"/>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266,880</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color w:val="000000"/>
              </w:rPr>
            </w:pPr>
            <w:r>
              <w:rPr>
                <w:color w:val="000000"/>
              </w:rPr>
              <w:t>—</w:t>
            </w:r>
          </w:p>
        </w:tc>
        <w:tc>
          <w:tcPr>
            <w:tcW w:w="191" w:type="dxa"/>
            <w:tcBorders/>
            <w:shd w:fill="CCEEFF"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CEE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475,880</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sz w:val="20"/>
        </w:rPr>
      </w:pPr>
      <w:r>
        <w:rPr>
          <w:rFonts w:ascii="Times New Roman" w:hAnsi="Times New Roman"/>
          <w:color w:val="000000"/>
          <w:sz w:val="16"/>
        </w:rPr>
        <w:t>The Company’s Credit Facility matures on</w:t>
      </w:r>
      <w:r>
        <w:rPr>
          <w:rFonts w:ascii="Times New Roman" w:hAnsi="Times New Roman"/>
          <w:color w:val="000000"/>
          <w:sz w:val="20"/>
        </w:rPr>
        <w:t xml:space="preserve"> </w:t>
      </w:r>
      <w:r>
        <w:rPr>
          <w:rFonts w:ascii="Times New Roman" w:hAnsi="Times New Roman"/>
          <w:color w:val="000000"/>
          <w:sz w:val="16"/>
        </w:rPr>
        <w:t>August 17, 2027. As of December 31, 2023, there were no</w:t>
      </w:r>
      <w:r>
        <w:rPr>
          <w:rFonts w:ascii="Times New Roman" w:hAnsi="Times New Roman"/>
          <w:color w:val="000000"/>
          <w:sz w:val="20"/>
        </w:rPr>
        <w:t xml:space="preserve"> </w:t>
      </w:r>
      <w:r>
        <w:rPr>
          <w:rFonts w:ascii="Times New Roman" w:hAnsi="Times New Roman"/>
          <w:color w:val="000000"/>
          <w:sz w:val="16"/>
        </w:rPr>
        <w:t>outstanding borrowings under the Credit Facility.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about our senior securities is shown in the following table for the years indicated in the table, unless otherwise noted.</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94"/>
        <w:gridCol w:w="146"/>
        <w:gridCol w:w="211"/>
        <w:gridCol w:w="353"/>
        <w:gridCol w:w="1900"/>
        <w:gridCol w:w="146"/>
        <w:gridCol w:w="146"/>
        <w:gridCol w:w="211"/>
        <w:gridCol w:w="238"/>
        <w:gridCol w:w="1110"/>
        <w:gridCol w:w="146"/>
        <w:gridCol w:w="146"/>
        <w:gridCol w:w="211"/>
        <w:gridCol w:w="1903"/>
        <w:gridCol w:w="146"/>
        <w:gridCol w:w="211"/>
        <w:gridCol w:w="283"/>
        <w:gridCol w:w="1110"/>
        <w:gridCol w:w="194"/>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and Year</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253"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Amount Outstanding Exclusive of Treasury Securities</w:t>
            </w:r>
            <w:r>
              <w:rPr>
                <w:rFonts w:ascii="Times New Roman" w:hAnsi="Times New Roman"/>
                <w:color w:val="000000"/>
                <w:sz w:val="20"/>
              </w:rPr>
              <w:t> </w:t>
            </w:r>
            <w:r>
              <w:rPr>
                <w:rFonts w:ascii="Times New Roman" w:hAnsi="Times New Roman"/>
                <w:b/>
                <w:color w:val="000000"/>
                <w:sz w:val="13"/>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348"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Asset Coverage per Unit </w:t>
            </w:r>
            <w:r>
              <w:rPr>
                <w:rFonts w:ascii="Times New Roman" w:hAnsi="Times New Roman"/>
                <w:b/>
                <w:color w:val="000000"/>
                <w:sz w:val="13"/>
              </w:rPr>
              <w:t>(2)(5)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90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Involuntary Liquidation Preference per Unit </w:t>
            </w:r>
            <w:r>
              <w:rPr>
                <w:rFonts w:ascii="Times New Roman" w:hAnsi="Times New Roman"/>
                <w:b/>
                <w:color w:val="000000"/>
                <w:sz w:val="13"/>
              </w:rPr>
              <w:t>(3)</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393"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Average Market Value per Unit </w:t>
            </w:r>
            <w:r>
              <w:rPr>
                <w:rFonts w:ascii="Times New Roman" w:hAnsi="Times New Roman"/>
                <w:b/>
                <w:color w:val="000000"/>
                <w:sz w:val="13"/>
              </w:rPr>
              <w:t>(4)</w:t>
            </w:r>
          </w:p>
        </w:tc>
        <w:tc>
          <w:tcPr>
            <w:tcW w:w="194" w:type="dxa"/>
            <w:tcBorders/>
            <w:shd w:fill="FFFFFF" w:val="clear"/>
            <w:vAlign w:val="center"/>
          </w:tcPr>
          <w:p>
            <w:pPr>
              <w:pStyle w:val="TableContents"/>
              <w:bidi w:val="0"/>
              <w:spacing w:before="0" w:after="283"/>
              <w:jc w:val="center"/>
              <w:rPr/>
            </w:pPr>
            <w:r>
              <w:rPr/>
              <w:t> </w:t>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5" w:type="dxa"/>
            <w:gridSpan w:val="8"/>
            <w:tcBorders/>
            <w:shd w:fill="FFFFFF" w:val="cle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SBA debentures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173,500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gridSpan w:val="2"/>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213,500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2016</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224,000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231,300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191,000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157,500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147,000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107,000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153,000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210,000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pPr>
            <w:r>
              <w:rPr/>
              <w:t> </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2016</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11,500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36,500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2023 Notes</w:t>
            </w:r>
            <w:r>
              <w:rPr>
                <w:rFonts w:ascii="Times New Roman" w:hAnsi="Times New Roman"/>
                <w:b/>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February 2024 Notes</w:t>
            </w:r>
            <w:r>
              <w:rPr>
                <w:rFonts w:ascii="Times New Roman" w:hAnsi="Times New Roman"/>
                <w:b/>
                <w:color w:val="000000"/>
                <w:sz w:val="13"/>
              </w:rPr>
              <w:t>(6)</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November 2024 Notes</w:t>
            </w:r>
            <w:r>
              <w:rPr>
                <w:rFonts w:ascii="Times New Roman" w:hAnsi="Times New Roman"/>
                <w:b/>
                <w:color w:val="000000"/>
                <w:sz w:val="13"/>
              </w:rPr>
              <w:t>(6)</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January 2026 Notes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November 2026 Notes</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9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FFFFFF" w:val="clear"/>
            <w:vAlign w:val="center"/>
          </w:tcPr>
          <w:p>
            <w:pPr>
              <w:pStyle w:val="TableContents"/>
              <w:bidi w:val="0"/>
              <w:spacing w:before="0" w:after="283"/>
              <w:jc w:val="right"/>
              <w:rPr/>
            </w:pPr>
            <w:r>
              <w:rPr/>
              <w:t> </w:t>
            </w:r>
          </w:p>
        </w:tc>
      </w:tr>
      <w:tr>
        <w:trPr/>
        <w:tc>
          <w:tcPr>
            <w:tcW w:w="139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2253"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48" w:type="dxa"/>
            <w:gridSpan w:val="2"/>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9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93" w:type="dxa"/>
            <w:gridSpan w:val="2"/>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Secured Borrowings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22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4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9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93"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1394"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3" w:type="dxa"/>
            <w:tcBorders/>
            <w:shd w:fill="CCEEFF" w:val="clear"/>
            <w:vAlign w:val="center"/>
          </w:tcPr>
          <w:p>
            <w:pPr>
              <w:pStyle w:val="TableContents"/>
              <w:bidi w:val="0"/>
              <w:spacing w:before="0" w:after="283"/>
              <w:jc w:val="left"/>
              <w:rPr/>
            </w:pPr>
            <w:r>
              <w:rPr/>
              <w:t> </w:t>
            </w:r>
          </w:p>
        </w:tc>
        <w:tc>
          <w:tcPr>
            <w:tcW w:w="190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8"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3"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3" w:type="dxa"/>
            <w:gridSpan w:val="2"/>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4" w:type="dxa"/>
            <w:tcBorders/>
            <w:shd w:fill="CCEEFF" w:val="cle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4378" w:type="dxa"/>
        <w:jc w:val="left"/>
        <w:tblInd w:w="0" w:type="dxa"/>
        <w:tblLayout w:type="fixed"/>
        <w:tblCellMar>
          <w:top w:w="28" w:type="dxa"/>
          <w:left w:w="28" w:type="dxa"/>
          <w:bottom w:w="28" w:type="dxa"/>
          <w:right w:w="28" w:type="dxa"/>
        </w:tblCellMar>
      </w:tblPr>
      <w:tblGrid>
        <w:gridCol w:w="541"/>
        <w:gridCol w:w="146"/>
        <w:gridCol w:w="146"/>
        <w:gridCol w:w="146"/>
        <w:gridCol w:w="676"/>
        <w:gridCol w:w="146"/>
        <w:gridCol w:w="146"/>
        <w:gridCol w:w="146"/>
        <w:gridCol w:w="146"/>
        <w:gridCol w:w="571"/>
        <w:gridCol w:w="146"/>
        <w:gridCol w:w="146"/>
        <w:gridCol w:w="146"/>
        <w:gridCol w:w="211"/>
        <w:gridCol w:w="146"/>
        <w:gridCol w:w="146"/>
        <w:gridCol w:w="43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1" w:type="dxa"/>
            <w:tcBorders/>
            <w:shd w:fill="FFFFFF" w:val="clear"/>
            <w:vAlign w:val="center"/>
          </w:tcPr>
          <w:p>
            <w:pPr>
              <w:pStyle w:val="TableContents"/>
              <w:bidi w:val="0"/>
              <w:spacing w:before="0" w:after="283"/>
              <w:jc w:val="right"/>
              <w:rPr/>
            </w:pPr>
            <w:r>
              <w:rPr/>
              <w:t> </w:t>
            </w:r>
          </w:p>
        </w:tc>
      </w:tr>
      <w:tr>
        <w:trPr/>
        <w:tc>
          <w:tcPr>
            <w:tcW w:w="54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right"/>
              <w:rPr>
                <w:rFonts w:ascii="Symbol;serif" w:hAnsi="Symbol;serif"/>
                <w:color w:val="000000"/>
                <w:sz w:val="20"/>
              </w:rPr>
            </w:pPr>
            <w:r>
              <w:rPr>
                <w:rFonts w:ascii="Symbol;serif" w:hAnsi="Symbol;serif"/>
                <w:color w:val="000000"/>
                <w:sz w:val="2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1" w:type="dxa"/>
            <w:tcBorders/>
            <w:shd w:fill="CCEEFF" w:val="clear"/>
            <w:vAlign w:val="center"/>
          </w:tcPr>
          <w:p>
            <w:pPr>
              <w:pStyle w:val="TableContents"/>
              <w:bidi w:val="0"/>
              <w:spacing w:before="0" w:after="283"/>
              <w:jc w:val="right"/>
              <w:rPr/>
            </w:pPr>
            <w:r>
              <w:rPr/>
              <w:t> </w:t>
            </w:r>
          </w:p>
        </w:tc>
      </w:tr>
      <w:tr>
        <w:trPr/>
        <w:tc>
          <w:tcPr>
            <w:tcW w:w="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(1) Total amount of each class of senior securities outstanding at the end of the period presented.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(2) 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 w:hAnsi="Times New Roman"/>
          <w:color w:val="000000"/>
          <w:sz w:val="20"/>
        </w:rPr>
        <w:t xml:space="preserve"> </w:t>
      </w:r>
      <w:r>
        <w:rPr>
          <w:rFonts w:ascii="Times New Roman" w:hAnsi="Times New Roman"/>
          <w:color w:val="000000"/>
          <w:sz w:val="16"/>
        </w:rPr>
        <w:t>of indebtedness.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(3) 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(4) Not applicable to SBA debentures, Credit Facility, January 2026 Notes, the November 2026 Notes and Secured Borrowings because these senior securities are not registered for public trading. The average market value per unit for the Public Notes is based on the average of the closing market price as of each quarter end during the fiscal year and the prior year end, as applicable, and is expressed per $1,000</w:t>
      </w:r>
      <w:r>
        <w:rPr>
          <w:rFonts w:ascii="Times New Roman" w:hAnsi="Times New Roman"/>
          <w:color w:val="000000"/>
          <w:sz w:val="20"/>
        </w:rPr>
        <w:t xml:space="preserve"> </w:t>
      </w:r>
      <w:r>
        <w:rPr>
          <w:rFonts w:ascii="Times New Roman" w:hAnsi="Times New Roman"/>
          <w:color w:val="000000"/>
          <w:sz w:val="16"/>
        </w:rPr>
        <w:t>of indebtedness. The January 2026 Notes and the November 2026 Notes were issued in minimum denominations of $2,000</w:t>
      </w:r>
      <w:r>
        <w:rPr>
          <w:rFonts w:ascii="Times New Roman" w:hAnsi="Times New Roman"/>
          <w:color w:val="000000"/>
          <w:sz w:val="20"/>
        </w:rPr>
        <w:t xml:space="preserve"> </w:t>
      </w:r>
      <w:r>
        <w:rPr>
          <w:rFonts w:ascii="Times New Roman" w:hAnsi="Times New Roman"/>
          <w:color w:val="000000"/>
          <w:sz w:val="16"/>
        </w:rPr>
        <w:t>and integral multiples of $1,000</w:t>
      </w:r>
      <w:r>
        <w:rPr>
          <w:rFonts w:ascii="Times New Roman" w:hAnsi="Times New Roman"/>
          <w:color w:val="000000"/>
          <w:sz w:val="20"/>
        </w:rPr>
        <w:t xml:space="preserve"> </w:t>
      </w:r>
      <w:r>
        <w:rPr>
          <w:rFonts w:ascii="Times New Roman" w:hAnsi="Times New Roman"/>
          <w:color w:val="000000"/>
          <w:sz w:val="16"/>
        </w:rPr>
        <w:t>in excess thereof.</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(5) We have excluded our SBA debentures from the asset coverage calculation pursuant to the exemptive relief granted by the SEC in June 2014 that permits us to exclude the senior securities issued by the Funds from the definition of senior securities in the asset coverage requirement applicable to us under the 1940 Act.</w:t>
      </w:r>
    </w:p>
    <w:p>
      <w:pPr>
        <w:pStyle w:val="TextBody"/>
        <w:bidi w:val="0"/>
        <w:jc w:val="both"/>
        <w:rPr>
          <w:rFonts w:ascii="Times New Roman" w:hAnsi="Times New Roman"/>
          <w:color w:val="000000"/>
          <w:sz w:val="16"/>
        </w:rPr>
      </w:pPr>
      <w:r>
        <w:rPr>
          <w:rFonts w:ascii="Times New Roman" w:hAnsi="Times New Roman"/>
          <w:color w:val="000000"/>
          <w:sz w:val="16"/>
        </w:rPr>
        <w:t>(6) Our 2023 Notes were repaid in full on January 19, 2021. Our February 2024 Notes and our November 2024 Notes were repaid in full on November 2, 2021.</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$9,675 and $16,915 as of December 31, 2023 and 2022,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50"/>
        <w:gridCol w:w="606"/>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Acendre Midco, Inc.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 Info Parent, Inc. (dba MediaRadar)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Barefoot Mosquito and Pest Control,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Choice Technology Solutions, LLC (dba Choice Merchant Solutions,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Combined Systems, Inc.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EBL, LLC (EbLens) - Common Equity (Units)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Elements Brands, LLC - Revolving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GMP HVAC, LLC (dba McGee Heating &amp; Air,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Netbase Solutions, Inc. (dba Netbase Quid) - First Lien Debt (last out)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Netbase Solutions, Inc. (dba Netbase Quid) - First Lien Debt (last out)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First Lien Debt</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Senior Subordinated Debt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R1 Holdings, LLC (dba RoadOne IntermodaLogistics) - Common Equity</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Revolving Loan</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Delayed Draw Term Loan</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color w:val="000000"/>
              </w:rPr>
            </w:pPr>
            <w:r>
              <w:rPr>
                <w:color w:val="000000"/>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Western's Smokehouse, LLC - Delayed Draw Term Loan</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CEE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24,651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16,915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December 31, 2023 and 2022, the Company had sufficient liquidity coverage to satisfy these unfunded commitments. Cash and cash equivalents were $119,131 and $62,350 and available borrowings under the Credit Facility were $100,000 and $100,000 as of December 31, 2023 and 2022,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spacing w:before="180" w:after="283"/>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since IPO</w:t>
            </w:r>
          </w:p>
        </w:tc>
        <w:tc>
          <w:tcPr>
            <w:tcW w:w="146"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14,388,414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6" w:type="dxa"/>
            <w:tcBorders/>
            <w:shd w:fill="CCEE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The gross proceeds raised, the related sales agent commissions and the offering expenses, the net proceeds raised, and the average price at which shares were issued under the ATM Program for the years ended December 31, 2023 and 2022 are as follows:</w:t>
      </w:r>
    </w:p>
    <w:tbl>
      <w:tblPr>
        <w:tblW w:w="9354" w:type="dxa"/>
        <w:jc w:val="left"/>
        <w:tblInd w:w="0" w:type="dxa"/>
        <w:tblLayout w:type="fixed"/>
        <w:tblCellMar>
          <w:top w:w="28" w:type="dxa"/>
          <w:left w:w="28" w:type="dxa"/>
          <w:bottom w:w="28" w:type="dxa"/>
          <w:right w:w="28" w:type="dxa"/>
        </w:tblCellMar>
      </w:tblPr>
      <w:tblGrid>
        <w:gridCol w:w="3286"/>
        <w:gridCol w:w="146"/>
        <w:gridCol w:w="146"/>
        <w:gridCol w:w="826"/>
        <w:gridCol w:w="146"/>
        <w:gridCol w:w="146"/>
        <w:gridCol w:w="203"/>
        <w:gridCol w:w="533"/>
        <w:gridCol w:w="146"/>
        <w:gridCol w:w="146"/>
        <w:gridCol w:w="196"/>
        <w:gridCol w:w="691"/>
        <w:gridCol w:w="146"/>
        <w:gridCol w:w="146"/>
        <w:gridCol w:w="299"/>
        <w:gridCol w:w="782"/>
        <w:gridCol w:w="146"/>
        <w:gridCol w:w="146"/>
        <w:gridCol w:w="196"/>
        <w:gridCol w:w="691"/>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Underwriting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Offering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Fees and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Net</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Year Ended December 31, 2022</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January 1, 2022 through March 31, 2022</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April 1, 2022 through June 30, 2022</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03"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9"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July 1, 2022 through September 30, 2022</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081" w:type="dxa"/>
            <w:gridSpan w:val="2"/>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October 1, 2022 through December 31, 2022</w:t>
            </w:r>
          </w:p>
        </w:tc>
        <w:tc>
          <w:tcPr>
            <w:tcW w:w="146" w:type="dxa"/>
            <w:tcBorders/>
            <w:shd w:fill="CCEEFF" w:val="clear"/>
            <w:vAlign w:val="center"/>
          </w:tcPr>
          <w:p>
            <w:pPr>
              <w:pStyle w:val="TableContents"/>
              <w:bidi w:val="0"/>
              <w:spacing w:before="0" w:after="283"/>
              <w:jc w:val="both"/>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290,388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5,811</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Year Ended December 31, 2023</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January 1, 2023 through March 31, 2023</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5,308</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April 1, 2023 through June 30, 2023</w:t>
            </w:r>
          </w:p>
        </w:tc>
        <w:tc>
          <w:tcPr>
            <w:tcW w:w="146" w:type="dxa"/>
            <w:tcBorders/>
            <w:shd w:fill="CCEEFF" w:val="clear"/>
            <w:vAlign w:val="center"/>
          </w:tcPr>
          <w:p>
            <w:pPr>
              <w:pStyle w:val="TableContents"/>
              <w:bidi w:val="0"/>
              <w:spacing w:before="0" w:after="283"/>
              <w:jc w:val="both"/>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246,574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03"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9"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4,840</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July 1, 2023 through September 30, 2023</w:t>
            </w:r>
          </w:p>
        </w:tc>
        <w:tc>
          <w:tcPr>
            <w:tcW w:w="14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3,187,661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9"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61,498</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October 1, 2023 through December 31, 2023</w:t>
            </w:r>
          </w:p>
        </w:tc>
        <w:tc>
          <w:tcPr>
            <w:tcW w:w="146" w:type="dxa"/>
            <w:tcBorders/>
            <w:shd w:fill="CCEEFF" w:val="clear"/>
            <w:vAlign w:val="center"/>
          </w:tcPr>
          <w:p>
            <w:pPr>
              <w:pStyle w:val="TableContents"/>
              <w:bidi w:val="0"/>
              <w:spacing w:before="0" w:after="283"/>
              <w:jc w:val="both"/>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1,985,510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39,292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38,739</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both"/>
              <w:rPr>
                <w:rFonts w:ascii="Times New Roman" w:hAnsi="Times New Roman"/>
                <w:color w:val="000000"/>
                <w:sz w:val="17"/>
              </w:rPr>
            </w:pPr>
            <w:r>
              <w:rPr>
                <w:rFonts w:ascii="Times New Roman" w:hAnsi="Times New Roman"/>
                <w:color w:val="000000"/>
                <w:sz w:val="17"/>
              </w:rPr>
              <w:t>Total</w:t>
            </w:r>
          </w:p>
        </w:tc>
        <w:tc>
          <w:tcPr>
            <w:tcW w:w="146" w:type="dxa"/>
            <w:tcBorders/>
            <w:shd w:fill="FFFFFF" w:val="clear"/>
            <w:vAlign w:val="center"/>
          </w:tcPr>
          <w:p>
            <w:pPr>
              <w:pStyle w:val="TableContents"/>
              <w:bidi w:val="0"/>
              <w:spacing w:before="0" w:after="283"/>
              <w:jc w:val="both"/>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5,680,355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Cumulative to date, the Company has sold 5,970,743 shares of common stock under the ATM Program at a weighted-average price of $19.72, raising $117,772 of gross proceeds. Net proceeds were $116,196 after commissions to the sales agents on shares sold. As of December 31, 2023, the Company had $32,228 available under the ATM Program. No shares were issued during the year ended December 31, 2021.</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described in Note 2, the Company has a Stock Repurchase Program under which the Company may acquire up to $5,000 of its outstanding common stock. The Company did not make any repurchases of common stock during the years ended December 31, 2023, 2022 and 2021. </w:t>
      </w:r>
    </w:p>
    <w:p>
      <w:pPr>
        <w:pStyle w:val="TextBody"/>
        <w:bidi w:val="0"/>
        <w:spacing w:before="180" w:after="283"/>
        <w:jc w:val="both"/>
        <w:rPr>
          <w:rFonts w:ascii="Times New Roman" w:hAnsi="Times New Roman"/>
          <w:sz w:val="20"/>
        </w:rPr>
      </w:pPr>
      <w:r>
        <w:rPr>
          <w:rFonts w:ascii="Times New Roman" w:hAnsi="Times New Roman"/>
          <w:i/>
          <w:color w:val="000000"/>
          <w:sz w:val="20"/>
        </w:rPr>
        <w:t>DRIP Program</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issued 30,836 shares of common stock under the DRIP during the year ended December 31, 2023. No shares under the DRIP were issued during the years ended December 31, 2022 and 2021. Refer to Note 9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30,438,979 and 24,727,788 shares of common stock outstanding as of December 31, 2023 and 2022, respectively.</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three fiscal years.</w:t>
      </w:r>
    </w:p>
    <w:tbl>
      <w:tblPr>
        <w:tblW w:w="10098" w:type="dxa"/>
        <w:jc w:val="left"/>
        <w:tblInd w:w="0" w:type="dxa"/>
        <w:tblLayout w:type="fixed"/>
        <w:tblCellMar>
          <w:top w:w="28" w:type="dxa"/>
          <w:left w:w="28" w:type="dxa"/>
          <w:bottom w:w="28" w:type="dxa"/>
          <w:right w:w="28" w:type="dxa"/>
        </w:tblCellMar>
      </w:tblPr>
      <w:tblGrid>
        <w:gridCol w:w="1996"/>
        <w:gridCol w:w="146"/>
        <w:gridCol w:w="796"/>
        <w:gridCol w:w="146"/>
        <w:gridCol w:w="796"/>
        <w:gridCol w:w="146"/>
        <w:gridCol w:w="224"/>
        <w:gridCol w:w="451"/>
        <w:gridCol w:w="146"/>
        <w:gridCol w:w="146"/>
        <w:gridCol w:w="219"/>
        <w:gridCol w:w="622"/>
        <w:gridCol w:w="146"/>
        <w:gridCol w:w="146"/>
        <w:gridCol w:w="219"/>
        <w:gridCol w:w="622"/>
        <w:gridCol w:w="146"/>
        <w:gridCol w:w="146"/>
        <w:gridCol w:w="181"/>
        <w:gridCol w:w="346"/>
        <w:gridCol w:w="146"/>
        <w:gridCol w:w="211"/>
        <w:gridCol w:w="146"/>
        <w:gridCol w:w="511"/>
        <w:gridCol w:w="146"/>
        <w:gridCol w:w="211"/>
        <w:gridCol w:w="188"/>
        <w:gridCol w:w="56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DRIP</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Date</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Record</w:t>
            </w:r>
          </w:p>
        </w:tc>
        <w:tc>
          <w:tcPr>
            <w:tcW w:w="146" w:type="dxa"/>
            <w:tcBorders/>
            <w:shd w:fill="FFFFFF" w:val="clear"/>
            <w:vAlign w:val="center"/>
          </w:tcPr>
          <w:p>
            <w:pPr>
              <w:pStyle w:val="TableContents"/>
              <w:bidi w:val="0"/>
              <w:spacing w:before="0" w:after="283"/>
              <w:jc w:val="center"/>
              <w:rPr/>
            </w:pPr>
            <w:r>
              <w:rPr/>
              <w:t> </w:t>
            </w:r>
          </w:p>
        </w:tc>
        <w:tc>
          <w:tcPr>
            <w:tcW w:w="796" w:type="dxa"/>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Payment</w:t>
            </w:r>
          </w:p>
        </w:tc>
        <w:tc>
          <w:tcPr>
            <w:tcW w:w="146" w:type="dxa"/>
            <w:tcBorders/>
            <w:shd w:fill="FFFFFF" w:val="clear"/>
            <w:vAlign w:val="center"/>
          </w:tcPr>
          <w:p>
            <w:pPr>
              <w:pStyle w:val="TableContents"/>
              <w:bidi w:val="0"/>
              <w:spacing w:before="0" w:after="283"/>
              <w:jc w:val="center"/>
              <w:rPr/>
            </w:pPr>
            <w:r>
              <w:rPr/>
              <w:t> </w:t>
            </w:r>
          </w:p>
        </w:tc>
        <w:tc>
          <w:tcPr>
            <w:tcW w:w="675"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Cash</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5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DRIP</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Ended December 31, 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2/09/2021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3/26/2021</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2/09/2021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3/26/2021</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5/03/2021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6/28/2021</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5/03/2021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6/28/2021</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8/02/2021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9/28/2021</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8/02/2021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9/28/2021</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8/02/2021 </w:t>
            </w:r>
            <w:r>
              <w:rPr>
                <w:rFonts w:ascii="Times New Roman" w:hAnsi="Times New Roman"/>
                <w:color w:val="000000"/>
                <w:sz w:val="9"/>
              </w:rPr>
              <w:t>(1)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9/14/2021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9/28/2021</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11/01/2021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12/17/2021</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11/01/2021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11/01/2021 </w:t>
            </w:r>
            <w:r>
              <w:rPr>
                <w:rFonts w:ascii="Times New Roman" w:hAnsi="Times New Roman"/>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12/3/2021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12/17/2021</w:t>
            </w:r>
          </w:p>
        </w:tc>
        <w:tc>
          <w:tcPr>
            <w:tcW w:w="146" w:type="dxa"/>
            <w:tcBorders/>
            <w:shd w:fill="CFF0FC" w:val="clear"/>
            <w:vAlign w:val="center"/>
          </w:tcPr>
          <w:p>
            <w:pPr>
              <w:pStyle w:val="TableContents"/>
              <w:bidi w:val="0"/>
              <w:spacing w:before="0" w:after="283"/>
              <w:jc w:val="left"/>
              <w:rPr/>
            </w:pPr>
            <w:r>
              <w:rPr/>
              <w:t> </w:t>
            </w:r>
          </w:p>
        </w:tc>
        <w:tc>
          <w:tcPr>
            <w:tcW w:w="6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Ended December 31, 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2/15/2022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2/15/2022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3/25/2022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5/02/2022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5/02/2022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8/01/2022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8/01/2022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9/23/2022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8/01/2022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8/01/2022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11/03/2022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12/2/2022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11/03/2022 </w:t>
            </w:r>
            <w:r>
              <w:rPr>
                <w:rFonts w:ascii="Times New Roman" w:hAnsi="Times New Roman"/>
                <w:color w:val="000000"/>
                <w:sz w:val="9"/>
              </w:rPr>
              <w:t>(1)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12/2/2022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Ended December 31, 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2/15/2023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2/15/2023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2/15/2023 </w:t>
            </w:r>
            <w:r>
              <w:rPr>
                <w:rFonts w:ascii="Times New Roman" w:hAnsi="Times New Roman"/>
                <w:color w:val="000000"/>
                <w:sz w:val="9"/>
              </w:rPr>
              <w:t>(1)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5/02/2023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18,061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19.56</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5/02/2023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19.56</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5/02/2023 </w:t>
            </w:r>
            <w:r>
              <w:rPr>
                <w:rFonts w:ascii="Times New Roman" w:hAnsi="Times New Roman"/>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19.56</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8/01/2023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8/01/2023 </w:t>
            </w:r>
            <w:r>
              <w:rPr>
                <w:rFonts w:ascii="Times New Roman" w:hAnsi="Times New Roman"/>
                <w:color w:val="000000"/>
                <w:sz w:val="9"/>
              </w:rPr>
              <w:t>(2)</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8/01/2023 </w:t>
            </w:r>
            <w:r>
              <w:rPr>
                <w:rFonts w:ascii="Times New Roman" w:hAnsi="Times New Roman"/>
                <w:color w:val="000000"/>
                <w:sz w:val="9"/>
              </w:rPr>
              <w:t>(1)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9/20/2023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10/30/2023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10/30/2023 </w:t>
            </w:r>
            <w:r>
              <w:rPr>
                <w:rFonts w:ascii="Times New Roman" w:hAnsi="Times New Roman"/>
                <w:color w:val="000000"/>
                <w:sz w:val="9"/>
              </w:rPr>
              <w:t>(2)</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10/30/2023 </w:t>
            </w:r>
            <w:r>
              <w:rPr>
                <w:rFonts w:ascii="Times New Roman" w:hAnsi="Times New Roman"/>
                <w:color w:val="000000"/>
                <w:sz w:val="9"/>
              </w:rPr>
              <w:t>(1)</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12/20/2023</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12/27/2023</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88"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9"/>
        <w:gridCol w:w="9916"/>
      </w:tblGrid>
      <w:tr>
        <w:trPr/>
        <w:tc>
          <w:tcPr>
            <w:tcW w:w="289" w:type="dxa"/>
            <w:tcBorders/>
            <w:vAlign w:val="center"/>
          </w:tcPr>
          <w:p>
            <w:pPr>
              <w:pStyle w:val="TableContents"/>
              <w:bidi w:val="0"/>
              <w:spacing w:before="0" w:after="283"/>
              <w:jc w:val="left"/>
              <w:rPr>
                <w:sz w:val="4"/>
                <w:szCs w:val="4"/>
              </w:rPr>
            </w:pPr>
            <w:r>
              <w:rPr>
                <w:sz w:val="4"/>
                <w:szCs w:val="4"/>
              </w:rPr>
            </w:r>
          </w:p>
        </w:tc>
        <w:tc>
          <w:tcPr>
            <w:tcW w:w="9916" w:type="dxa"/>
            <w:tcBorders/>
            <w:vAlign w:val="center"/>
          </w:tcPr>
          <w:p>
            <w:pPr>
              <w:pStyle w:val="TableContents"/>
              <w:bidi w:val="0"/>
              <w:spacing w:before="0" w:after="283"/>
              <w:jc w:val="left"/>
              <w:rPr>
                <w:sz w:val="4"/>
                <w:szCs w:val="4"/>
              </w:rPr>
            </w:pPr>
            <w:r>
              <w:rPr>
                <w:sz w:val="4"/>
                <w:szCs w:val="4"/>
              </w:rPr>
            </w:r>
          </w:p>
        </w:tc>
      </w:tr>
      <w:tr>
        <w:trPr/>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Special dividend</w:t>
            </w:r>
          </w:p>
        </w:tc>
      </w:tr>
      <w:tr>
        <w:trPr/>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years ended December 31, 2023, 2022, and 2021,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2021 through March 31,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2021 through June 30,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2021 through September 30, 2021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2021 through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69,088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2022 through March 31,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2022 through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2022 through September 30, 2022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21,114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91" w:type="dxa"/>
            <w:tcBorders/>
            <w:shd w:fill="CCEE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2022 through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84,753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180"/>
        <w:gridCol w:w="855"/>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is a schedule of financial highlights for the years ended December 31, 2023 to 2014:</w:t>
      </w:r>
    </w:p>
    <w:tbl>
      <w:tblPr>
        <w:tblW w:w="10205" w:type="dxa"/>
        <w:jc w:val="left"/>
        <w:tblInd w:w="0" w:type="dxa"/>
        <w:tblLayout w:type="fixed"/>
        <w:tblCellMar>
          <w:top w:w="28" w:type="dxa"/>
          <w:left w:w="28" w:type="dxa"/>
          <w:bottom w:w="28" w:type="dxa"/>
          <w:right w:w="28" w:type="dxa"/>
        </w:tblCellMar>
      </w:tblPr>
      <w:tblGrid>
        <w:gridCol w:w="2590"/>
        <w:gridCol w:w="146"/>
        <w:gridCol w:w="196"/>
        <w:gridCol w:w="916"/>
        <w:gridCol w:w="256"/>
        <w:gridCol w:w="146"/>
        <w:gridCol w:w="196"/>
        <w:gridCol w:w="916"/>
        <w:gridCol w:w="256"/>
        <w:gridCol w:w="146"/>
        <w:gridCol w:w="196"/>
        <w:gridCol w:w="916"/>
        <w:gridCol w:w="256"/>
        <w:gridCol w:w="146"/>
        <w:gridCol w:w="196"/>
        <w:gridCol w:w="916"/>
        <w:gridCol w:w="256"/>
        <w:gridCol w:w="146"/>
        <w:gridCol w:w="196"/>
        <w:gridCol w:w="916"/>
        <w:gridCol w:w="301"/>
      </w:tblGrid>
      <w:tr>
        <w:trPr/>
        <w:tc>
          <w:tcPr>
            <w:tcW w:w="2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68"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2019</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 share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investment income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realized gain (loss) on investments, net of tax (provision)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Taxes paid on deemed distributions</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unrealized appreciation (depreciation) on investments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0.74</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Realized losses on extinguishment of debt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increase from investment operations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Accretive (dilutive) effect of share issuances and repurchases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declared to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from capital gains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 value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outstanding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30,438,979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24,727,788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24,437,400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24,437,400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24,463,119</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during the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26,365,269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24,468,172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24,437,400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24,442,431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24,463,119</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assets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589,474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480,343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487,764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410,760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412,310</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Average net assets </w:t>
            </w:r>
            <w:r>
              <w:rPr>
                <w:rFonts w:ascii="Times New Roman" w:hAnsi="Times New Roman"/>
                <w:color w:val="000000"/>
                <w:sz w:val="12"/>
              </w:rPr>
              <w:t>(6)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517,287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482,594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437,690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392,866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404,284</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Ratios to average net assets: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w:t>
            </w:r>
            <w:r>
              <w:rPr>
                <w:rFonts w:ascii="Times New Roman" w:hAnsi="Times New Roman"/>
                <w:color w:val="000000"/>
                <w:sz w:val="12"/>
              </w:rPr>
              <w:t>(4)(10)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investment income </w:t>
            </w:r>
            <w:r>
              <w:rPr>
                <w:rFonts w:ascii="Times New Roman" w:hAnsi="Times New Roman"/>
                <w:color w:val="000000"/>
                <w:sz w:val="12"/>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market value </w:t>
            </w:r>
            <w:r>
              <w:rPr>
                <w:rFonts w:ascii="Times New Roman" w:hAnsi="Times New Roman"/>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net asset value </w:t>
            </w:r>
            <w:r>
              <w:rPr>
                <w:rFonts w:ascii="Times New Roman" w:hAnsi="Times New Roman"/>
                <w:color w:val="000000"/>
                <w:sz w:val="12"/>
              </w:rPr>
              <w:t>(8)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Portfolio turnover ratio</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r>
      <w:tr>
        <w:trPr/>
        <w:tc>
          <w:tcPr>
            <w:tcW w:w="259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Average debt outstanding </w:t>
            </w:r>
            <w:r>
              <w:rPr>
                <w:rFonts w:ascii="Times New Roman" w:hAnsi="Times New Roman"/>
                <w:color w:val="000000"/>
                <w:sz w:val="12"/>
              </w:rPr>
              <w:t>(7)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455,053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397,244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380,997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385,350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319,050</w:t>
            </w:r>
          </w:p>
        </w:tc>
        <w:tc>
          <w:tcPr>
            <w:tcW w:w="301" w:type="dxa"/>
            <w:tcBorders/>
            <w:shd w:fill="FFFFFF" w:val="clear"/>
            <w:vAlign w:val="center"/>
          </w:tcPr>
          <w:p>
            <w:pPr>
              <w:pStyle w:val="TableContents"/>
              <w:bidi w:val="0"/>
              <w:spacing w:before="0" w:after="283"/>
              <w:jc w:val="left"/>
              <w:rPr/>
            </w:pPr>
            <w:r>
              <w:rPr/>
              <w:t> </w:t>
            </w:r>
          </w:p>
        </w:tc>
      </w:tr>
      <w:tr>
        <w:trPr/>
        <w:tc>
          <w:tcPr>
            <w:tcW w:w="259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Average debt per share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w:t>
            </w:r>
          </w:p>
        </w:tc>
        <w:tc>
          <w:tcPr>
            <w:tcW w:w="30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43"/>
        <w:gridCol w:w="146"/>
        <w:gridCol w:w="196"/>
        <w:gridCol w:w="916"/>
        <w:gridCol w:w="279"/>
        <w:gridCol w:w="146"/>
        <w:gridCol w:w="196"/>
        <w:gridCol w:w="916"/>
        <w:gridCol w:w="256"/>
        <w:gridCol w:w="146"/>
        <w:gridCol w:w="196"/>
        <w:gridCol w:w="916"/>
        <w:gridCol w:w="256"/>
        <w:gridCol w:w="146"/>
        <w:gridCol w:w="196"/>
        <w:gridCol w:w="916"/>
        <w:gridCol w:w="256"/>
        <w:gridCol w:w="146"/>
        <w:gridCol w:w="196"/>
        <w:gridCol w:w="916"/>
        <w:gridCol w:w="325"/>
      </w:tblGrid>
      <w:tr>
        <w:trPr/>
        <w:tc>
          <w:tcPr>
            <w:tcW w:w="2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5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91"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2018</w:t>
            </w:r>
          </w:p>
        </w:tc>
        <w:tc>
          <w:tcPr>
            <w:tcW w:w="27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2017</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2016</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2015</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2014</w:t>
            </w:r>
          </w:p>
        </w:tc>
        <w:tc>
          <w:tcPr>
            <w:tcW w:w="3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 share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investment income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realized gain (loss) on investments, net of tax (provision)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2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Taxes paid on deemed distributions</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Net unrealized appreciation (depreciation) on investments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0.92</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Realized losses on extinguishment of debt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increase from investment operations </w:t>
            </w:r>
            <w:r>
              <w:rPr>
                <w:rFonts w:ascii="Times New Roman" w:hAnsi="Times New Roman"/>
                <w:color w:val="000000"/>
                <w:sz w:val="12"/>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Accretive (dilutive) effect of share issuances and repurchases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declared to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(0.97</w:t>
            </w:r>
          </w:p>
        </w:tc>
        <w:tc>
          <w:tcPr>
            <w:tcW w:w="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from capital gains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32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 value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outstanding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24,463,119</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24,507,940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22,446,076</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16,300,732</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16,051,037</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during the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24,471,730</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23,527,188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18,283,715</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16,201,449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14,346,438</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assets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402,985</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393,273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353,785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247,362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243,263</w:t>
            </w:r>
          </w:p>
        </w:tc>
        <w:tc>
          <w:tcPr>
            <w:tcW w:w="325" w:type="dxa"/>
            <w:tcBorders/>
            <w:shd w:fill="CFF0FC"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Average net assets </w:t>
            </w:r>
            <w:r>
              <w:rPr>
                <w:rFonts w:ascii="Times New Roman" w:hAnsi="Times New Roman"/>
                <w:color w:val="000000"/>
                <w:sz w:val="12"/>
              </w:rPr>
              <w:t>(6)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398,440</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376,292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289,453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245,706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222,737</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Ratios to average net assets: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w:t>
            </w:r>
            <w:r>
              <w:rPr>
                <w:rFonts w:ascii="Times New Roman" w:hAnsi="Times New Roman"/>
                <w:color w:val="000000"/>
                <w:sz w:val="12"/>
              </w:rPr>
              <w:t>(4)(10)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investment income </w:t>
            </w:r>
            <w:r>
              <w:rPr>
                <w:rFonts w:ascii="Times New Roman" w:hAnsi="Times New Roman"/>
                <w:color w:val="000000"/>
                <w:sz w:val="12"/>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7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market value </w:t>
            </w:r>
            <w:r>
              <w:rPr>
                <w:rFonts w:ascii="Times New Roman" w:hAnsi="Times New Roman"/>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net asset value </w:t>
            </w:r>
            <w:r>
              <w:rPr>
                <w:rFonts w:ascii="Times New Roman" w:hAnsi="Times New Roman"/>
                <w:color w:val="000000"/>
                <w:sz w:val="12"/>
              </w:rPr>
              <w:t>(8)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7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32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Portfolio turnover ratio</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27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32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4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Data:</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12" w:type="dxa"/>
            <w:gridSpan w:val="2"/>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r>
      <w:tr>
        <w:trPr/>
        <w:tc>
          <w:tcPr>
            <w:tcW w:w="254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Average debt outstanding </w:t>
            </w:r>
            <w:r>
              <w:rPr>
                <w:rFonts w:ascii="Times New Roman" w:hAnsi="Times New Roman"/>
                <w:color w:val="000000"/>
                <w:sz w:val="12"/>
              </w:rPr>
              <w:t>(7)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271,560</w:t>
            </w:r>
          </w:p>
        </w:tc>
        <w:tc>
          <w:tcPr>
            <w:tcW w:w="2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219,920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221,200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199,340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152,700</w:t>
            </w:r>
          </w:p>
        </w:tc>
        <w:tc>
          <w:tcPr>
            <w:tcW w:w="325" w:type="dxa"/>
            <w:tcBorders/>
            <w:shd w:fill="FFFFFF" w:val="clear"/>
            <w:vAlign w:val="center"/>
          </w:tcPr>
          <w:p>
            <w:pPr>
              <w:pStyle w:val="TableContents"/>
              <w:bidi w:val="0"/>
              <w:spacing w:before="0" w:after="283"/>
              <w:jc w:val="left"/>
              <w:rPr/>
            </w:pPr>
            <w:r>
              <w:rPr/>
              <w:t> </w:t>
            </w:r>
          </w:p>
        </w:tc>
      </w:tr>
      <w:tr>
        <w:trPr/>
        <w:tc>
          <w:tcPr>
            <w:tcW w:w="2543"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Average debt per share </w:t>
            </w: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2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325" w:type="dxa"/>
            <w:tcBorders/>
            <w:shd w:fill="CFF0FC" w:val="cle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392"/>
        <w:gridCol w:w="9813"/>
      </w:tblGrid>
      <w:tr>
        <w:trPr/>
        <w:tc>
          <w:tcPr>
            <w:tcW w:w="392" w:type="dxa"/>
            <w:tcBorders/>
            <w:vAlign w:val="center"/>
          </w:tcPr>
          <w:p>
            <w:pPr>
              <w:pStyle w:val="TableContents"/>
              <w:bidi w:val="0"/>
              <w:spacing w:before="0" w:after="283"/>
              <w:jc w:val="left"/>
              <w:rPr>
                <w:sz w:val="4"/>
                <w:szCs w:val="4"/>
              </w:rPr>
            </w:pPr>
            <w:r>
              <w:rPr>
                <w:sz w:val="4"/>
                <w:szCs w:val="4"/>
              </w:rPr>
            </w:r>
          </w:p>
        </w:tc>
        <w:tc>
          <w:tcPr>
            <w:tcW w:w="9813" w:type="dxa"/>
            <w:tcBorders/>
            <w:vAlign w:val="center"/>
          </w:tcPr>
          <w:p>
            <w:pPr>
              <w:pStyle w:val="TableContents"/>
              <w:bidi w:val="0"/>
              <w:spacing w:before="0" w:after="283"/>
              <w:jc w:val="left"/>
              <w:rPr>
                <w:sz w:val="4"/>
                <w:szCs w:val="4"/>
              </w:rPr>
            </w:pPr>
            <w:r>
              <w:rPr>
                <w:sz w:val="4"/>
                <w:szCs w:val="4"/>
              </w:rPr>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(1)</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Weighted average per share data.</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(2)</w:t>
            </w:r>
          </w:p>
        </w:tc>
        <w:tc>
          <w:tcPr>
            <w:tcW w:w="9813"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 </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(3)</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(4)</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income incentive fee and base management fee waiver", ii) the "income tax (provision) benefit", iii) the "income tax (provision) benefit from realized gains on investments, and iv) income tax (provision) from deemed distribution of long term capital gains" captions as presented on the consolidated statements of operations.</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(5)</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 xml:space="preserve">The net investment income to average net assets ratio is calculated using the net investment income caption as presented on the consolidated statements of operations, which includes incentive fee. </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(6)</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(7)</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Average debt outstanding is calculated as the average of the outstanding debt balances, including secured borrowings, as of each quarter end during the fiscal year and the prior year end.</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(8)</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(9)</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There was no incentive fee waived for the years ended December 31, 2023, 2022 and 2021, The ratio of waived incentive fees to average net assets was (0.11)% for the year ended December 31, 2020. There was no incentive fee waived for the years ended December 31, 2019 through 2014.</w:t>
            </w:r>
          </w:p>
        </w:tc>
      </w:tr>
      <w:tr>
        <w:trPr/>
        <w:tc>
          <w:tcPr>
            <w:tcW w:w="392"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(10)</w:t>
            </w:r>
          </w:p>
        </w:tc>
        <w:tc>
          <w:tcPr>
            <w:tcW w:w="9813"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The following is a schedule of supplemental expense ratios to average net assets:</w:t>
            </w:r>
          </w:p>
        </w:tc>
      </w:tr>
    </w:tbl>
    <w:p>
      <w:pPr>
        <w:pStyle w:val="TextBody"/>
        <w:bidi w:val="0"/>
        <w:jc w:val="both"/>
        <w:rPr/>
      </w:pPr>
      <w:r>
        <w:rPr/>
        <w:t> </w:t>
      </w:r>
    </w:p>
    <w:tbl>
      <w:tblPr>
        <w:tblW w:w="8206" w:type="dxa"/>
        <w:jc w:val="left"/>
        <w:tblInd w:w="0" w:type="dxa"/>
        <w:tblLayout w:type="fixed"/>
        <w:tblCellMar>
          <w:top w:w="28" w:type="dxa"/>
          <w:left w:w="28" w:type="dxa"/>
          <w:bottom w:w="28" w:type="dxa"/>
          <w:right w:w="28" w:type="dxa"/>
        </w:tblCellMar>
      </w:tblPr>
      <w:tblGrid>
        <w:gridCol w:w="3316"/>
        <w:gridCol w:w="146"/>
        <w:gridCol w:w="146"/>
        <w:gridCol w:w="421"/>
        <w:gridCol w:w="256"/>
        <w:gridCol w:w="146"/>
        <w:gridCol w:w="146"/>
        <w:gridCol w:w="421"/>
        <w:gridCol w:w="256"/>
        <w:gridCol w:w="146"/>
        <w:gridCol w:w="146"/>
        <w:gridCol w:w="421"/>
        <w:gridCol w:w="256"/>
        <w:gridCol w:w="146"/>
        <w:gridCol w:w="146"/>
        <w:gridCol w:w="421"/>
        <w:gridCol w:w="256"/>
        <w:gridCol w:w="146"/>
        <w:gridCol w:w="146"/>
        <w:gridCol w:w="421"/>
        <w:gridCol w:w="30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3"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2019</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Expenses other than incentive fee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Incentive fee, net of incentive fee waiver </w:t>
            </w:r>
            <w:r>
              <w:rPr>
                <w:rFonts w:ascii="Times New Roman" w:hAnsi="Times New Roman"/>
                <w:color w:val="000000"/>
                <w:sz w:val="12"/>
              </w:rPr>
              <w:t>(4)(9)</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expenses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tbl>
      <w:tblPr>
        <w:tblW w:w="8116" w:type="dxa"/>
        <w:jc w:val="left"/>
        <w:tblInd w:w="0" w:type="dxa"/>
        <w:tblLayout w:type="fixed"/>
        <w:tblCellMar>
          <w:top w:w="28" w:type="dxa"/>
          <w:left w:w="28" w:type="dxa"/>
          <w:bottom w:w="28" w:type="dxa"/>
          <w:right w:w="28" w:type="dxa"/>
        </w:tblCellMar>
      </w:tblPr>
      <w:tblGrid>
        <w:gridCol w:w="3316"/>
        <w:gridCol w:w="146"/>
        <w:gridCol w:w="146"/>
        <w:gridCol w:w="421"/>
        <w:gridCol w:w="256"/>
        <w:gridCol w:w="146"/>
        <w:gridCol w:w="146"/>
        <w:gridCol w:w="331"/>
        <w:gridCol w:w="256"/>
        <w:gridCol w:w="146"/>
        <w:gridCol w:w="146"/>
        <w:gridCol w:w="421"/>
        <w:gridCol w:w="256"/>
        <w:gridCol w:w="146"/>
        <w:gridCol w:w="146"/>
        <w:gridCol w:w="421"/>
        <w:gridCol w:w="256"/>
        <w:gridCol w:w="146"/>
        <w:gridCol w:w="146"/>
        <w:gridCol w:w="421"/>
        <w:gridCol w:w="30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3"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2018</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2017</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2016</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2015</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2014</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Expenses other than incentive fee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Incentive fee, net of incentive fee waiver </w:t>
            </w:r>
            <w:r>
              <w:rPr>
                <w:rFonts w:ascii="Times New Roman" w:hAnsi="Times New Roman"/>
                <w:color w:val="000000"/>
                <w:sz w:val="12"/>
              </w:rPr>
              <w:t>(4)(9)</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8926" w:type="dxa"/>
        <w:jc w:val="left"/>
        <w:tblInd w:w="0" w:type="dxa"/>
        <w:tblLayout w:type="fixed"/>
        <w:tblCellMar>
          <w:top w:w="28" w:type="dxa"/>
          <w:left w:w="28" w:type="dxa"/>
          <w:bottom w:w="28" w:type="dxa"/>
          <w:right w:w="28" w:type="dxa"/>
        </w:tblCellMar>
      </w:tblPr>
      <w:tblGrid>
        <w:gridCol w:w="3976"/>
        <w:gridCol w:w="146"/>
        <w:gridCol w:w="146"/>
        <w:gridCol w:w="421"/>
        <w:gridCol w:w="256"/>
        <w:gridCol w:w="146"/>
        <w:gridCol w:w="146"/>
        <w:gridCol w:w="421"/>
        <w:gridCol w:w="316"/>
        <w:gridCol w:w="146"/>
        <w:gridCol w:w="146"/>
        <w:gridCol w:w="421"/>
        <w:gridCol w:w="256"/>
        <w:gridCol w:w="146"/>
        <w:gridCol w:w="146"/>
        <w:gridCol w:w="421"/>
        <w:gridCol w:w="256"/>
        <w:gridCol w:w="146"/>
        <w:gridCol w:w="146"/>
        <w:gridCol w:w="421"/>
        <w:gridCol w:w="30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3"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2019</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before base management fee waiver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Base management fee waiver </w:t>
            </w:r>
            <w:r>
              <w:rPr>
                <w:rFonts w:ascii="Times New Roman" w:hAnsi="Times New Roman"/>
                <w:color w:val="000000"/>
                <w:sz w:val="12"/>
              </w:rPr>
              <w:t>(4)(9)</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776" w:type="dxa"/>
        <w:jc w:val="left"/>
        <w:tblInd w:w="0" w:type="dxa"/>
        <w:tblLayout w:type="fixed"/>
        <w:tblCellMar>
          <w:top w:w="28" w:type="dxa"/>
          <w:left w:w="28" w:type="dxa"/>
          <w:bottom w:w="28" w:type="dxa"/>
          <w:right w:w="28" w:type="dxa"/>
        </w:tblCellMar>
      </w:tblPr>
      <w:tblGrid>
        <w:gridCol w:w="3976"/>
        <w:gridCol w:w="146"/>
        <w:gridCol w:w="146"/>
        <w:gridCol w:w="421"/>
        <w:gridCol w:w="256"/>
        <w:gridCol w:w="146"/>
        <w:gridCol w:w="146"/>
        <w:gridCol w:w="331"/>
        <w:gridCol w:w="256"/>
        <w:gridCol w:w="146"/>
        <w:gridCol w:w="146"/>
        <w:gridCol w:w="421"/>
        <w:gridCol w:w="256"/>
        <w:gridCol w:w="146"/>
        <w:gridCol w:w="146"/>
        <w:gridCol w:w="421"/>
        <w:gridCol w:w="256"/>
        <w:gridCol w:w="146"/>
        <w:gridCol w:w="146"/>
        <w:gridCol w:w="421"/>
        <w:gridCol w:w="30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3" w:type="dxa"/>
            <w:gridSpan w:val="18"/>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2018</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2017</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2016</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2015</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2014</w:t>
            </w:r>
          </w:p>
        </w:tc>
        <w:tc>
          <w:tcPr>
            <w:tcW w:w="3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before base management fee waiver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Base management fee waiver </w:t>
            </w:r>
            <w:r>
              <w:rPr>
                <w:rFonts w:ascii="Times New Roman" w:hAnsi="Times New Roman"/>
                <w:color w:val="000000"/>
                <w:sz w:val="12"/>
              </w:rPr>
              <w:t>(4)(9)</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7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expenses </w:t>
            </w: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11. Selected Quarterly Financial Data (unaudited)</w:t>
      </w:r>
    </w:p>
    <w:tbl>
      <w:tblPr>
        <w:tblW w:w="10021" w:type="dxa"/>
        <w:jc w:val="left"/>
        <w:tblInd w:w="0" w:type="dxa"/>
        <w:tblLayout w:type="fixed"/>
        <w:tblCellMar>
          <w:top w:w="28" w:type="dxa"/>
          <w:left w:w="28" w:type="dxa"/>
          <w:bottom w:w="28" w:type="dxa"/>
          <w:right w:w="28" w:type="dxa"/>
        </w:tblCellMar>
      </w:tblPr>
      <w:tblGrid>
        <w:gridCol w:w="4381"/>
        <w:gridCol w:w="232"/>
        <w:gridCol w:w="743"/>
        <w:gridCol w:w="146"/>
        <w:gridCol w:w="146"/>
        <w:gridCol w:w="211"/>
        <w:gridCol w:w="676"/>
        <w:gridCol w:w="146"/>
        <w:gridCol w:w="146"/>
        <w:gridCol w:w="310"/>
        <w:gridCol w:w="995"/>
        <w:gridCol w:w="146"/>
        <w:gridCol w:w="146"/>
        <w:gridCol w:w="299"/>
        <w:gridCol w:w="961"/>
        <w:gridCol w:w="146"/>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2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36,311</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16,939</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net assets from operations</w:t>
            </w:r>
          </w:p>
        </w:tc>
        <w:tc>
          <w:tcPr>
            <w:tcW w:w="23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per share</w:t>
            </w:r>
            <w:r>
              <w:rPr>
                <w:rFonts w:ascii="Times New Roman" w:hAnsi="Times New Roman"/>
                <w:color w:val="000000"/>
                <w:sz w:val="13"/>
              </w:rPr>
              <w:t>(1)</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increase in net assets from operations per share</w:t>
            </w:r>
            <w:r>
              <w:rPr>
                <w:rFonts w:ascii="Times New Roman" w:hAnsi="Times New Roman"/>
                <w:color w:val="000000"/>
                <w:sz w:val="13"/>
              </w:rPr>
              <w:t>(1)</w:t>
            </w:r>
          </w:p>
        </w:tc>
        <w:tc>
          <w:tcPr>
            <w:tcW w:w="2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 at end of period</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10021" w:type="dxa"/>
        <w:jc w:val="left"/>
        <w:tblInd w:w="0" w:type="dxa"/>
        <w:tblLayout w:type="fixed"/>
        <w:tblCellMar>
          <w:top w:w="28" w:type="dxa"/>
          <w:left w:w="28" w:type="dxa"/>
          <w:bottom w:w="28" w:type="dxa"/>
          <w:right w:w="28" w:type="dxa"/>
        </w:tblCellMar>
      </w:tblPr>
      <w:tblGrid>
        <w:gridCol w:w="4381"/>
        <w:gridCol w:w="232"/>
        <w:gridCol w:w="743"/>
        <w:gridCol w:w="146"/>
        <w:gridCol w:w="146"/>
        <w:gridCol w:w="211"/>
        <w:gridCol w:w="676"/>
        <w:gridCol w:w="146"/>
        <w:gridCol w:w="146"/>
        <w:gridCol w:w="310"/>
        <w:gridCol w:w="995"/>
        <w:gridCol w:w="146"/>
        <w:gridCol w:w="146"/>
        <w:gridCol w:w="299"/>
        <w:gridCol w:w="961"/>
        <w:gridCol w:w="146"/>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2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27,474</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net assets from operations</w:t>
            </w:r>
          </w:p>
        </w:tc>
        <w:tc>
          <w:tcPr>
            <w:tcW w:w="23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per share</w:t>
            </w:r>
            <w:r>
              <w:rPr>
                <w:rFonts w:ascii="Times New Roman" w:hAnsi="Times New Roman"/>
                <w:color w:val="000000"/>
                <w:sz w:val="13"/>
              </w:rPr>
              <w:t>(1)</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increase in net assets from operations per share</w:t>
            </w:r>
            <w:r>
              <w:rPr>
                <w:rFonts w:ascii="Times New Roman" w:hAnsi="Times New Roman"/>
                <w:color w:val="000000"/>
                <w:sz w:val="13"/>
              </w:rPr>
              <w:t>(1)</w:t>
            </w:r>
          </w:p>
        </w:tc>
        <w:tc>
          <w:tcPr>
            <w:tcW w:w="23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 at end of period</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tbl>
      <w:tblPr>
        <w:tblW w:w="9136" w:type="dxa"/>
        <w:jc w:val="left"/>
        <w:tblInd w:w="0" w:type="dxa"/>
        <w:tblLayout w:type="fixed"/>
        <w:tblCellMar>
          <w:top w:w="28" w:type="dxa"/>
          <w:left w:w="28" w:type="dxa"/>
          <w:bottom w:w="28" w:type="dxa"/>
          <w:right w:w="28" w:type="dxa"/>
        </w:tblCellMar>
      </w:tblPr>
      <w:tblGrid>
        <w:gridCol w:w="3901"/>
        <w:gridCol w:w="217"/>
        <w:gridCol w:w="668"/>
        <w:gridCol w:w="146"/>
        <w:gridCol w:w="146"/>
        <w:gridCol w:w="196"/>
        <w:gridCol w:w="601"/>
        <w:gridCol w:w="146"/>
        <w:gridCol w:w="146"/>
        <w:gridCol w:w="294"/>
        <w:gridCol w:w="906"/>
        <w:gridCol w:w="146"/>
        <w:gridCol w:w="146"/>
        <w:gridCol w:w="280"/>
        <w:gridCol w:w="860"/>
        <w:gridCol w:w="14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 income</w:t>
            </w:r>
          </w:p>
        </w:tc>
        <w:tc>
          <w:tcPr>
            <w:tcW w:w="217"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23,290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24,101</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investment income</w:t>
            </w:r>
          </w:p>
        </w:tc>
        <w:tc>
          <w:tcPr>
            <w:tcW w:w="21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0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net assets from operations</w:t>
            </w:r>
          </w:p>
        </w:tc>
        <w:tc>
          <w:tcPr>
            <w:tcW w:w="21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50,238</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investment income per share</w:t>
            </w:r>
            <w:r>
              <w:rPr>
                <w:rFonts w:ascii="Times New Roman" w:hAnsi="Times New Roman"/>
                <w:color w:val="000000"/>
                <w:sz w:val="12"/>
              </w:rPr>
              <w:t>(1)</w:t>
            </w:r>
          </w:p>
        </w:tc>
        <w:tc>
          <w:tcPr>
            <w:tcW w:w="2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90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increase in net assets from operations per share</w:t>
            </w:r>
            <w:r>
              <w:rPr>
                <w:rFonts w:ascii="Times New Roman" w:hAnsi="Times New Roman"/>
                <w:color w:val="000000"/>
                <w:sz w:val="12"/>
              </w:rPr>
              <w:t>(1)</w:t>
            </w:r>
          </w:p>
        </w:tc>
        <w:tc>
          <w:tcPr>
            <w:tcW w:w="217"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4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per share at end of period</w:t>
            </w:r>
          </w:p>
        </w:tc>
        <w:tc>
          <w:tcPr>
            <w:tcW w:w="21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3"/>
        <w:gridCol w:w="9892"/>
      </w:tblGrid>
      <w:tr>
        <w:trPr/>
        <w:tc>
          <w:tcPr>
            <w:tcW w:w="313" w:type="dxa"/>
            <w:tcBorders/>
            <w:vAlign w:val="center"/>
          </w:tcPr>
          <w:p>
            <w:pPr>
              <w:pStyle w:val="TableContents"/>
              <w:bidi w:val="0"/>
              <w:spacing w:before="0" w:after="283"/>
              <w:jc w:val="left"/>
              <w:rPr>
                <w:sz w:val="4"/>
                <w:szCs w:val="4"/>
              </w:rPr>
            </w:pPr>
            <w:r>
              <w:rPr>
                <w:sz w:val="4"/>
                <w:szCs w:val="4"/>
              </w:rPr>
            </w:r>
          </w:p>
        </w:tc>
        <w:tc>
          <w:tcPr>
            <w:tcW w:w="9892" w:type="dxa"/>
            <w:tcBorders/>
            <w:vAlign w:val="center"/>
          </w:tcPr>
          <w:p>
            <w:pPr>
              <w:pStyle w:val="TableContents"/>
              <w:bidi w:val="0"/>
              <w:spacing w:before="0" w:after="283"/>
              <w:jc w:val="left"/>
              <w:rPr>
                <w:sz w:val="4"/>
                <w:szCs w:val="4"/>
              </w:rPr>
            </w:pPr>
            <w:r>
              <w:rPr>
                <w:sz w:val="4"/>
                <w:szCs w:val="4"/>
              </w:rPr>
            </w:r>
          </w:p>
        </w:tc>
      </w:tr>
      <w:tr>
        <w:trPr/>
        <w:tc>
          <w:tcPr>
            <w:tcW w:w="3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 share amounts are calculated using the weighted average shares outstanding for the period. Due to rounding, the sum of the quarters may not equal the annual calculation on a per share basis.</w:t>
            </w:r>
          </w:p>
        </w:tc>
      </w:tr>
    </w:tbl>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12. Income Taxes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Company has elected to be treated for U.S. federal income tax purposes as a RIC, whereby the Company generally will not be subject to U.S. federal income tax at corporate rates on any net ordinary income or capital gains that the Company timely distributes to its stockholders as dividends. The Company must generally distribute at least 90% of its investment company taxable income to maintain its RIC status. As part of maintaining RIC status, undistributed taxable income pertaining to a given fiscal year may be distributed up to 12 months subsequent to the end of that fiscal year, provided such dividends are declared prior to the due date for filing of the federal income tax return (including extensions) for the prior year, the 15th day of the 10th month following the prior tax year. Such taxable income carried forward to the next tax year will be subject to excise tax equal to 4% of the amount by which (i) 98% of the Company’s ordinary income recognized during a calendar year and (ii) 98.2% of the Company’s net capital gains, as defined by Subchapter M of the Code, recognized for the one year period ending October 31st of a calendar year exceeds the respective distributions for the year. Excise tax is included as a component of income tax provision and income tax (provision) on realized gains on investments, depending on the character of the underlying taxable income (ordinary or capital gains), on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Taxable Subsidiaries hold certain portfolio investments for the Company. The Taxable Subsidiaries are consolidated for financial reporting purposes, and the portfolio investments held by the Taxable Subsidiaries are included in the Company’s consolidated financial statements. The principal purpose of the Taxable Subsidiaries is to permit the Company to hold equity investments in portfolio companies which are “pass through” entities for U.S. federal income tax purposes in order to comply with the “source-of-income” requirements contained in the RIC tax provisions of Subchapter M of the Code. The Taxable Subsidiaries are not consolidated with the Company for U.S. federal corporate income tax purposes, and each Taxable Subsidiary is subject to U.S. federal corporate income tax on its taxable income. The Taxable Subsidiaries are taxed as corporations and do not intend to qualify as a RIC pursuant to Subchapter M of the Code. As corporations, the Taxable Subsidiaries are obligated to pay U.S. federal, state and local income tax on taxable income, as applicable. Income earned and gains realized on the investment or investments held by the Taxable Subsidiary are taxable to such subsidiary. A tax provision for ordinary income, if any, is shown as income tax provision in the consolidated statements of operations of the Company. A tax provision for realized and unrealized gains on investments is included as a reduction of realized and unrealized gains (losses) on investments in the consolidated statements of operations of the Company. For the years ended December 31, 2023, 2022, and 2021, the Taxable Subsidiaries were subject to a 21% U.S. federal income tax rate. The Company classifies interest and penalties, if any, as a component of income tax provision on the consolidated statements of operations. Income tax expense at the Taxable Subsidiaries is included as a component of the income tax provisions, depending on the character of the underlying taxable income (ordinary or capital gains), on the consolidated statements of operations. For the years ended December 31, 2023, 2022, and 2021, income tax expense at the Taxable Subsidiaries was $1,242, $1,809, and $1,827, respectively.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and the Taxable Subsidiaries are also subject to various state and local income taxes.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is a reconciliation of net increase in net assets resulting from operations on the consolidated statements of operations to taxable income and to total distributions declared to common stockholders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6005"/>
        <w:gridCol w:w="146"/>
        <w:gridCol w:w="256"/>
        <w:gridCol w:w="146"/>
        <w:gridCol w:w="661"/>
        <w:gridCol w:w="166"/>
        <w:gridCol w:w="146"/>
        <w:gridCol w:w="256"/>
        <w:gridCol w:w="146"/>
        <w:gridCol w:w="661"/>
        <w:gridCol w:w="166"/>
        <w:gridCol w:w="146"/>
        <w:gridCol w:w="256"/>
        <w:gridCol w:w="146"/>
        <w:gridCol w:w="691"/>
        <w:gridCol w:w="211"/>
      </w:tblGrid>
      <w:tr>
        <w:trPr/>
        <w:tc>
          <w:tcPr>
            <w:tcW w:w="6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2023 </w:t>
            </w:r>
            <w:r>
              <w:rPr>
                <w:rFonts w:ascii="Times New Roman" w:hAnsi="Times New Roman"/>
                <w:b/>
                <w:color w:val="000000"/>
                <w:sz w:val="12"/>
              </w:rPr>
              <w:t>(1)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net assets resulting from operations</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116,104</w:t>
            </w:r>
          </w:p>
        </w:tc>
        <w:tc>
          <w:tcPr>
            <w:tcW w:w="211"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(41,496</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Permanent book income and tax income differences</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211"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Temporary book income and tax income differences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211"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loss carry forward (utilization)</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(25,024</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income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52,107</w:t>
            </w:r>
          </w:p>
        </w:tc>
        <w:tc>
          <w:tcPr>
            <w:tcW w:w="211"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income earned in prior year and carried forward for distribution in current year</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38,530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33,839</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20,832</w:t>
            </w:r>
          </w:p>
        </w:tc>
        <w:tc>
          <w:tcPr>
            <w:tcW w:w="211"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Subsidiaries liquidating distributions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Deemed distribution of long term capital gains</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(40,801</w:t>
            </w:r>
          </w:p>
        </w:tc>
        <w:tc>
          <w:tcPr>
            <w:tcW w:w="16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income earned in current period and carried forward for distribution in following year</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005"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distributions to common stockholders</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78,930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49,052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0"/>
        <w:gridCol w:w="9895"/>
      </w:tblGrid>
      <w:tr>
        <w:trPr/>
        <w:tc>
          <w:tcPr>
            <w:tcW w:w="310" w:type="dxa"/>
            <w:tcBorders/>
            <w:vAlign w:val="center"/>
          </w:tcPr>
          <w:p>
            <w:pPr>
              <w:pStyle w:val="TableContents"/>
              <w:bidi w:val="0"/>
              <w:spacing w:before="0" w:after="283"/>
              <w:jc w:val="left"/>
              <w:rPr>
                <w:sz w:val="4"/>
                <w:szCs w:val="4"/>
              </w:rPr>
            </w:pPr>
            <w:r>
              <w:rPr>
                <w:sz w:val="4"/>
                <w:szCs w:val="4"/>
              </w:rPr>
            </w:r>
          </w:p>
        </w:tc>
        <w:tc>
          <w:tcPr>
            <w:tcW w:w="9895" w:type="dxa"/>
            <w:tcBorders/>
            <w:vAlign w:val="center"/>
          </w:tcPr>
          <w:p>
            <w:pPr>
              <w:pStyle w:val="TableContents"/>
              <w:bidi w:val="0"/>
              <w:spacing w:before="0" w:after="283"/>
              <w:jc w:val="left"/>
              <w:rPr>
                <w:sz w:val="4"/>
                <w:szCs w:val="4"/>
              </w:rPr>
            </w:pPr>
            <w:r>
              <w:rPr>
                <w:sz w:val="4"/>
                <w:szCs w:val="4"/>
              </w:rPr>
            </w:r>
          </w:p>
        </w:tc>
      </w:tr>
      <w:tr>
        <w:trPr/>
        <w:tc>
          <w:tcPr>
            <w:tcW w:w="310"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(1)</w:t>
            </w:r>
          </w:p>
        </w:tc>
        <w:tc>
          <w:tcPr>
            <w:tcW w:w="9895"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The Company’s taxable income for 2023 is an estimate and will not be finalized until the Company files its 2023 federal income tax returns in 2024. Therefore, the Company’s actual taxable income, and the Company’s actual taxable income that was earned in 2023 and carried forward for distribution in 2024, may be different than this estimate.</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tax purposes, distributions paid to stockholders are reported as ordinary income, long term capital gains and return of capital, or a combination thereof. The tax character of distributions paid for the years ended December 31, 2023, 2022, and 2021 was as follows:</w:t>
      </w:r>
    </w:p>
    <w:tbl>
      <w:tblPr>
        <w:tblW w:w="7126" w:type="dxa"/>
        <w:jc w:val="left"/>
        <w:tblInd w:w="0" w:type="dxa"/>
        <w:tblLayout w:type="fixed"/>
        <w:tblCellMar>
          <w:top w:w="28" w:type="dxa"/>
          <w:left w:w="28" w:type="dxa"/>
          <w:bottom w:w="28" w:type="dxa"/>
          <w:right w:w="28" w:type="dxa"/>
        </w:tblCellMar>
      </w:tblPr>
      <w:tblGrid>
        <w:gridCol w:w="3196"/>
        <w:gridCol w:w="146"/>
        <w:gridCol w:w="256"/>
        <w:gridCol w:w="146"/>
        <w:gridCol w:w="601"/>
        <w:gridCol w:w="146"/>
        <w:gridCol w:w="146"/>
        <w:gridCol w:w="256"/>
        <w:gridCol w:w="146"/>
        <w:gridCol w:w="601"/>
        <w:gridCol w:w="146"/>
        <w:gridCol w:w="146"/>
        <w:gridCol w:w="256"/>
        <w:gridCol w:w="146"/>
        <w:gridCol w:w="60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income</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65,270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w:t>
            </w:r>
          </w:p>
        </w:tc>
        <w:tc>
          <w:tcPr>
            <w:tcW w:w="191" w:type="dxa"/>
            <w:tcBorders/>
            <w:shd w:fill="CCEEFF"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 term capital gains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Return of capital</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distributions to common stockholders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estimates that it generated undistributed ordinary taxable income of approximately $32,241, or $1.06 per share, and undistributed long term capital gains of $9,406, or $0.31 per share, during 2023 that will be carried forward and distributed in 2024. Ordinary dividend distributions from a RIC do not qualify for the preferential U.S. federal income tax rate on dividend income from certain domestic corporations and qualified foreign corporations, except to the extent that the RIC received the income in the form of qualifying dividends from domestic corporations and qualified foreign corporations.</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distribute a portion of its realized net long term capital gains in excess of realized net short term capital losses to its stockholders, but may also decide to retain a portion, or all, of its net capital gains and elect to make a “deemed distribution” to its stockholders. For the year ended December 31, 2022, the Company elected to designate retained net capital gains of $40,801, or approximately $1.65 per share, as a deemed distribution, which was allocated to stockholders of record as of December 31, 2022. The Company incurred U.S. federal income taxes of $8,568, or approximately $0.35 per share, on behalf of stockholders related to this deemed distribution. Such U.S. federal income taxes were paid in January 2023. For the years ended December 31, 2023 and 2021, the Company did not elect to designate retained net capital gains as a deemed distribution.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As of December 31, 2023 and 2022, the tax basis components of distributable earnings were as follows:</w:t>
      </w:r>
    </w:p>
    <w:tbl>
      <w:tblPr>
        <w:tblW w:w="5715" w:type="dxa"/>
        <w:jc w:val="left"/>
        <w:tblInd w:w="0" w:type="dxa"/>
        <w:tblLayout w:type="fixed"/>
        <w:tblCellMar>
          <w:top w:w="28" w:type="dxa"/>
          <w:left w:w="28" w:type="dxa"/>
          <w:bottom w:w="28" w:type="dxa"/>
          <w:right w:w="28" w:type="dxa"/>
        </w:tblCellMar>
      </w:tblPr>
      <w:tblGrid>
        <w:gridCol w:w="2806"/>
        <w:gridCol w:w="146"/>
        <w:gridCol w:w="291"/>
        <w:gridCol w:w="166"/>
        <w:gridCol w:w="683"/>
        <w:gridCol w:w="146"/>
        <w:gridCol w:w="146"/>
        <w:gridCol w:w="291"/>
        <w:gridCol w:w="166"/>
        <w:gridCol w:w="683"/>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2023 </w:t>
            </w:r>
            <w:r>
              <w:rPr>
                <w:rFonts w:ascii="Times New Roman" w:hAnsi="Times New Roman"/>
                <w:b/>
                <w:color w:val="000000"/>
                <w:sz w:val="12"/>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Undistributed ordinary income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29,521</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Undistributed long term capital gains</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9,009</w:t>
            </w:r>
          </w:p>
        </w:tc>
        <w:tc>
          <w:tcPr>
            <w:tcW w:w="191" w:type="dxa"/>
            <w:tcBorders/>
            <w:shd w:fill="CCEEFF"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appreciation (depreciation)</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31,636</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Temporary book/tax differences</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14,237</w:t>
            </w:r>
          </w:p>
        </w:tc>
        <w:tc>
          <w:tcPr>
            <w:tcW w:w="191" w:type="dxa"/>
            <w:tcBorders/>
            <w:shd w:fill="CCEEFF"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loss carry forward</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distributable earnings</w:t>
            </w:r>
          </w:p>
        </w:tc>
        <w:tc>
          <w:tcPr>
            <w:tcW w:w="146"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84,403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283"/>
              <w:jc w:val="left"/>
              <w:rPr>
                <w:sz w:val="4"/>
                <w:szCs w:val="4"/>
              </w:rPr>
            </w:pPr>
            <w:r>
              <w:rPr>
                <w:sz w:val="4"/>
                <w:szCs w:val="4"/>
              </w:rPr>
            </w:r>
          </w:p>
        </w:tc>
        <w:tc>
          <w:tcPr>
            <w:tcW w:w="9887" w:type="dxa"/>
            <w:tcBorders/>
            <w:vAlign w:val="center"/>
          </w:tcPr>
          <w:p>
            <w:pPr>
              <w:pStyle w:val="TableContents"/>
              <w:bidi w:val="0"/>
              <w:spacing w:before="0" w:after="283"/>
              <w:jc w:val="left"/>
              <w:rPr>
                <w:sz w:val="4"/>
                <w:szCs w:val="4"/>
              </w:rPr>
            </w:pPr>
            <w:r>
              <w:rPr>
                <w:sz w:val="4"/>
                <w:szCs w:val="4"/>
              </w:rPr>
            </w:r>
          </w:p>
        </w:tc>
      </w:tr>
      <w:tr>
        <w:trPr/>
        <w:tc>
          <w:tcPr>
            <w:tcW w:w="318"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(1)</w:t>
            </w:r>
          </w:p>
        </w:tc>
        <w:tc>
          <w:tcPr>
            <w:tcW w:w="9887"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 xml:space="preserve">The Company’s distributable earnings for 2023 is an estimate and will not be finally determined until the Company files its 2023 federal income tax returns in 2024. Therefore, the Company’s actual distributable earnings may be different than this estimate.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federal income tax purposes, the cost of investments owned at December 31, 2023 and 2022 was approximately $910,599 and $811,962, respectively.</w:t>
      </w:r>
    </w:p>
    <w:tbl>
      <w:tblPr>
        <w:tblW w:w="6970" w:type="dxa"/>
        <w:jc w:val="left"/>
        <w:tblInd w:w="0" w:type="dxa"/>
        <w:tblLayout w:type="fixed"/>
        <w:tblCellMar>
          <w:top w:w="28" w:type="dxa"/>
          <w:left w:w="28" w:type="dxa"/>
          <w:bottom w:w="28" w:type="dxa"/>
          <w:right w:w="28" w:type="dxa"/>
        </w:tblCellMar>
      </w:tblPr>
      <w:tblGrid>
        <w:gridCol w:w="4021"/>
        <w:gridCol w:w="146"/>
        <w:gridCol w:w="267"/>
        <w:gridCol w:w="152"/>
        <w:gridCol w:w="721"/>
        <w:gridCol w:w="166"/>
        <w:gridCol w:w="146"/>
        <w:gridCol w:w="267"/>
        <w:gridCol w:w="152"/>
        <w:gridCol w:w="721"/>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2023 </w:t>
            </w:r>
            <w:r>
              <w:rPr>
                <w:rFonts w:ascii="Times New Roman" w:hAnsi="Times New Roman"/>
                <w:b/>
                <w:color w:val="000000"/>
                <w:sz w:val="12"/>
              </w:rPr>
              <w:t>(1)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Tax-basis amortized cost of investments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910,599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811,962</w:t>
            </w:r>
          </w:p>
        </w:tc>
        <w:tc>
          <w:tcPr>
            <w:tcW w:w="211" w:type="dxa"/>
            <w:tcBorders/>
            <w:shd w:fill="FFFFFF" w:val="clear"/>
            <w:vAlign w:val="center"/>
          </w:tcPr>
          <w:p>
            <w:pPr>
              <w:pStyle w:val="TableContents"/>
              <w:bidi w:val="0"/>
              <w:spacing w:before="0" w:after="283"/>
              <w:jc w:val="left"/>
              <w:rPr/>
            </w:pPr>
            <w:r>
              <w:rPr/>
              <w:t> </w:t>
            </w:r>
          </w:p>
        </w:tc>
      </w:tr>
      <w:tr>
        <w:trPr/>
        <w:tc>
          <w:tcPr>
            <w:tcW w:w="402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Tax-basis gross unrealized appreciation on investments</w:t>
            </w:r>
          </w:p>
        </w:tc>
        <w:tc>
          <w:tcPr>
            <w:tcW w:w="14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86,768</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87,884</w:t>
            </w:r>
          </w:p>
        </w:tc>
        <w:tc>
          <w:tcPr>
            <w:tcW w:w="211" w:type="dxa"/>
            <w:tcBorders/>
            <w:shd w:fill="CCEEFF"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Tax-basis gross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2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Tax-basis net unrealized appreciation on investments</w:t>
            </w:r>
          </w:p>
        </w:tc>
        <w:tc>
          <w:tcPr>
            <w:tcW w:w="146" w:type="dxa"/>
            <w:tcBorders/>
            <w:shd w:fill="CCEEFF" w:val="cle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48,367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investments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0"/>
        <w:gridCol w:w="9895"/>
      </w:tblGrid>
      <w:tr>
        <w:trPr/>
        <w:tc>
          <w:tcPr>
            <w:tcW w:w="310" w:type="dxa"/>
            <w:tcBorders/>
            <w:vAlign w:val="center"/>
          </w:tcPr>
          <w:p>
            <w:pPr>
              <w:pStyle w:val="TableContents"/>
              <w:bidi w:val="0"/>
              <w:spacing w:before="0" w:after="283"/>
              <w:jc w:val="left"/>
              <w:rPr>
                <w:sz w:val="4"/>
                <w:szCs w:val="4"/>
              </w:rPr>
            </w:pPr>
            <w:r>
              <w:rPr>
                <w:sz w:val="4"/>
                <w:szCs w:val="4"/>
              </w:rPr>
            </w:r>
          </w:p>
        </w:tc>
        <w:tc>
          <w:tcPr>
            <w:tcW w:w="9895" w:type="dxa"/>
            <w:tcBorders/>
            <w:vAlign w:val="center"/>
          </w:tcPr>
          <w:p>
            <w:pPr>
              <w:pStyle w:val="TableContents"/>
              <w:bidi w:val="0"/>
              <w:spacing w:before="0" w:after="283"/>
              <w:jc w:val="left"/>
              <w:rPr>
                <w:sz w:val="4"/>
                <w:szCs w:val="4"/>
              </w:rPr>
            </w:pPr>
            <w:r>
              <w:rPr>
                <w:sz w:val="4"/>
                <w:szCs w:val="4"/>
              </w:rPr>
            </w:r>
          </w:p>
        </w:tc>
      </w:tr>
      <w:tr>
        <w:trPr/>
        <w:tc>
          <w:tcPr>
            <w:tcW w:w="310"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(1)</w:t>
            </w:r>
          </w:p>
        </w:tc>
        <w:tc>
          <w:tcPr>
            <w:tcW w:w="9895" w:type="dxa"/>
            <w:tcBorders/>
            <w:vAlign w:val="center"/>
          </w:tcPr>
          <w:p>
            <w:pPr>
              <w:pStyle w:val="TableContents"/>
              <w:bidi w:val="0"/>
              <w:spacing w:before="0" w:after="283"/>
              <w:ind w:left="0" w:right="16" w:hanging="0"/>
              <w:jc w:val="both"/>
              <w:rPr>
                <w:rFonts w:ascii="Times New Roman" w:hAnsi="Times New Roman"/>
                <w:color w:val="000000"/>
                <w:sz w:val="16"/>
              </w:rPr>
            </w:pPr>
            <w:r>
              <w:rPr>
                <w:rFonts w:ascii="Times New Roman" w:hAnsi="Times New Roman"/>
                <w:color w:val="000000"/>
                <w:sz w:val="16"/>
              </w:rPr>
              <w:t xml:space="preserve">The Company’s tax-basis amortized cost of investments for 2023 is an estimate and will not be finally determined until 2024 when the Company receives the relevant tax forms from portfolio companies with equity investments. Therefore, the Company’s actual tax-basis amortized cost of investments may be different than this estimate.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Distributions from net investment income and net realized capital gains are determined in accordance with U.S. federal tax regulations, which may differ from amounts determined in accordance with GAAP and those differences could be material. These permanent book-to-tax differences are reclassified on the consolidated statements of changes in net assets to reflect their tax character but have no impact on total net assets. The following permanent book-to-tax differences were reclassified on the consolidated statements of changes in net assets for the years ended December 31, 2023, 2022, and 2021. </w:t>
      </w:r>
    </w:p>
    <w:tbl>
      <w:tblPr>
        <w:tblW w:w="5761" w:type="dxa"/>
        <w:jc w:val="left"/>
        <w:tblInd w:w="0" w:type="dxa"/>
        <w:tblLayout w:type="fixed"/>
        <w:tblCellMar>
          <w:top w:w="28" w:type="dxa"/>
          <w:left w:w="28" w:type="dxa"/>
          <w:bottom w:w="28" w:type="dxa"/>
          <w:right w:w="28" w:type="dxa"/>
        </w:tblCellMar>
      </w:tblPr>
      <w:tblGrid>
        <w:gridCol w:w="2041"/>
        <w:gridCol w:w="146"/>
        <w:gridCol w:w="196"/>
        <w:gridCol w:w="146"/>
        <w:gridCol w:w="571"/>
        <w:gridCol w:w="166"/>
        <w:gridCol w:w="146"/>
        <w:gridCol w:w="196"/>
        <w:gridCol w:w="146"/>
        <w:gridCol w:w="571"/>
        <w:gridCol w:w="166"/>
        <w:gridCol w:w="146"/>
        <w:gridCol w:w="196"/>
        <w:gridCol w:w="146"/>
        <w:gridCol w:w="571"/>
        <w:gridCol w:w="21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2023 </w:t>
            </w:r>
            <w:r>
              <w:rPr>
                <w:rFonts w:ascii="Times New Roman" w:hAnsi="Times New Roman"/>
                <w:b/>
                <w:color w:val="000000"/>
                <w:sz w:val="12"/>
              </w:rPr>
              <w:t>(1)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3"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41" w:type="dxa"/>
            <w:tcBorders/>
            <w:shd w:fill="CCEE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distributable earnings</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w:t>
            </w:r>
          </w:p>
        </w:tc>
        <w:tc>
          <w:tcPr>
            <w:tcW w:w="1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11" w:type="dxa"/>
            <w:tcBorders/>
            <w:shd w:fill="CCEE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6"/>
        <w:gridCol w:w="9919"/>
      </w:tblGrid>
      <w:tr>
        <w:trPr/>
        <w:tc>
          <w:tcPr>
            <w:tcW w:w="286" w:type="dxa"/>
            <w:tcBorders/>
            <w:vAlign w:val="center"/>
          </w:tcPr>
          <w:p>
            <w:pPr>
              <w:pStyle w:val="TableContents"/>
              <w:bidi w:val="0"/>
              <w:spacing w:before="0" w:after="283"/>
              <w:jc w:val="left"/>
              <w:rPr>
                <w:sz w:val="4"/>
                <w:szCs w:val="4"/>
              </w:rPr>
            </w:pPr>
            <w:r>
              <w:rPr>
                <w:sz w:val="4"/>
                <w:szCs w:val="4"/>
              </w:rPr>
            </w:r>
          </w:p>
        </w:tc>
        <w:tc>
          <w:tcPr>
            <w:tcW w:w="9919"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Company’s permanent book-to-tax reclassifications for 2023 are an estimate and will not be finalized until the Company files its 2023 federal income tax returns in 2024. Therefore, the Company’s actual permanent book-to-tax reclassifications may be different than this estimate. The Company adjusts such reclassifications in the following years when finalized, and such adjustments are reflected in the consolidated statements of changes in net assets and the consolidated statements of assets and liabilities.</w:t>
            </w:r>
          </w:p>
        </w:tc>
      </w:tr>
    </w:tbl>
    <w:p>
      <w:pPr>
        <w:pStyle w:val="TextBody"/>
        <w:bidi w:val="0"/>
        <w:jc w:val="both"/>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13. Subsequent Events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January 3, 2024, the Company invested $5,000 in first lien debt, $1,500 in preferred equity, and committed up to $2,500 in first lien debt of Janus Health Technologies, Inc., a leading provider of SaaS-based revenue cycle management solutions to healthcare systems and outsourced RCM service providers.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January 8, 2024, the Company exited its debt and equity investment in Applied Data Corporation. The Company received payment in full of $21,530 on its first lien debt, which included a prepayment fee. The Company received a distribution on its common and preferred equity investments for a realized gain of approximately $1,545.</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13, 2024, the Board declared a regular quarterly dividend of $0.43 per share and a supplemental dividend of $0.22 per share payable March 27, 2024, to stockholders of record as of March 20, 2024.</w:t>
      </w:r>
    </w:p>
    <w:p>
      <w:pPr>
        <w:pStyle w:val="TextBody"/>
        <w:bidi w:val="0"/>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23, 2024, the Company invested $10,000 in first lien debt, $500 in common equity, and committed up to $1,000 in first lien debt of a leading provider of professional food service sales and marketing service.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On February 28, 2024, the Company repaid $35,000 of SBA debentures with a weighted average interest rate of 3.187% which would have matured on dates ranging from March 2026 to September 2027.</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period from January 1, 2024, to February 28, 2024, the Company sold a total of 207,530 shares of its common stock under the ATM Program for gross proceeds of approximately $4,140 and net proceeds of approximately $4,078, after deducting commissions to the sales agents on shares sold and offering expenses.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21" w:name="item_9"/>
      <w:bookmarkEnd w:id="21"/>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color w:val="000000"/>
          <w:sz w:val="20"/>
        </w:rPr>
        <w:t>Changes in and Disagreements with Accountants on Accounting and Financial Disclosure.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90" w:after="283"/>
        <w:jc w:val="both"/>
        <w:rPr/>
      </w:pPr>
      <w:r>
        <w:rPr/>
        <w:t> </w:t>
      </w:r>
    </w:p>
    <w:p>
      <w:pPr>
        <w:pStyle w:val="TextBody"/>
        <w:bidi w:val="0"/>
        <w:jc w:val="left"/>
        <w:rPr>
          <w:rFonts w:ascii="Times New Roman" w:hAnsi="Times New Roman"/>
          <w:b/>
          <w:color w:val="000000"/>
          <w:sz w:val="20"/>
        </w:rPr>
      </w:pPr>
      <w:bookmarkStart w:id="22" w:name="item_9a"/>
      <w:bookmarkEnd w:id="22"/>
      <w:r>
        <w:rPr>
          <w:rFonts w:ascii="Times New Roman" w:hAnsi="Times New Roman"/>
          <w:b/>
          <w:color w:val="000000"/>
          <w:sz w:val="20"/>
        </w:rPr>
        <w:t>Item 9A. Controls and Procedures.</w:t>
      </w:r>
    </w:p>
    <w:p>
      <w:pPr>
        <w:pStyle w:val="TextBody"/>
        <w:bidi w:val="0"/>
        <w:spacing w:before="9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Management’s Annual Report on Internal Control over Financial Reporting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is responsible for establishing and maintaining adequate internal control over financial reporting, as such term is defined in Rules 13a-15(f) and 15d-15(f) under the Exchange Act. Our internal control over financial reporting is a process designed to provide reasonable assurance regarding the reliability of financial reporting and the preparation of our financial statements for external reporting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Management (with the participation of our Chief Executive Officer and Chief Financial Officer) conducted an evaluation of the effectiveness of our internal control over financial reporting based on the framework in </w:t>
      </w:r>
      <w:r>
        <w:rPr>
          <w:rFonts w:ascii="Times New Roman" w:hAnsi="Times New Roman"/>
          <w:i/>
          <w:color w:val="000000"/>
          <w:sz w:val="20"/>
        </w:rPr>
        <w:t xml:space="preserve">Internal Control — Integrated Framework </w:t>
      </w:r>
      <w:r>
        <w:rPr>
          <w:rFonts w:ascii="Times New Roman" w:hAnsi="Times New Roman"/>
          <w:color w:val="000000"/>
          <w:sz w:val="20"/>
        </w:rPr>
        <w:t>issued by the Committee of Sponsoring Organizations of the Treadway Commission in 2013. Based on this evaluation, management concluded that our internal control over financial reporting was effective as of December 31, 2023.</w:t>
      </w:r>
    </w:p>
    <w:p>
      <w:pPr>
        <w:pStyle w:val="TextBody"/>
        <w:bidi w:val="0"/>
        <w:spacing w:before="27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fourth quarter of 2023 that have materially affected, or are reasonably likely to materially affect, our internal control over financial reporting.</w:t>
      </w:r>
    </w:p>
    <w:p>
      <w:pPr>
        <w:pStyle w:val="TextBody"/>
        <w:bidi w:val="0"/>
        <w:spacing w:before="270" w:after="283"/>
        <w:jc w:val="both"/>
        <w:rPr/>
      </w:pPr>
      <w:r>
        <w:rPr/>
        <w:t> </w:t>
      </w:r>
    </w:p>
    <w:p>
      <w:pPr>
        <w:pStyle w:val="TextBody"/>
        <w:bidi w:val="0"/>
        <w:spacing w:before="270" w:after="283"/>
        <w:jc w:val="both"/>
        <w:rPr>
          <w:rFonts w:ascii="Times New Roman" w:hAnsi="Times New Roman"/>
          <w:b/>
          <w:color w:val="000000"/>
          <w:sz w:val="20"/>
        </w:rPr>
      </w:pPr>
      <w:bookmarkStart w:id="23" w:name="item_9b"/>
      <w:bookmarkEnd w:id="23"/>
      <w:r>
        <w:rPr>
          <w:rFonts w:ascii="Times New Roman" w:hAnsi="Times New Roman"/>
          <w:b/>
          <w:color w:val="000000"/>
          <w:sz w:val="20"/>
        </w:rPr>
        <w:t>Item 9B. Other Information.</w:t>
      </w:r>
    </w:p>
    <w:tbl>
      <w:tblPr>
        <w:tblW w:w="10205" w:type="dxa"/>
        <w:jc w:val="left"/>
        <w:tblInd w:w="0" w:type="dxa"/>
        <w:tblLayout w:type="fixed"/>
        <w:tblCellMar>
          <w:top w:w="28" w:type="dxa"/>
          <w:left w:w="28" w:type="dxa"/>
          <w:bottom w:w="28" w:type="dxa"/>
          <w:right w:w="28" w:type="dxa"/>
        </w:tblCellMar>
      </w:tblPr>
      <w:tblGrid>
        <w:gridCol w:w="161"/>
        <w:gridCol w:w="289"/>
        <w:gridCol w:w="146"/>
        <w:gridCol w:w="9609"/>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During the fiscal quarter ended December 31, 2023,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spacing w:before="90" w:after="283"/>
        <w:jc w:val="both"/>
        <w:rPr/>
      </w:pPr>
      <w:r>
        <w:rPr/>
        <w:t> </w:t>
      </w:r>
    </w:p>
    <w:p>
      <w:pPr>
        <w:pStyle w:val="TextBody"/>
        <w:bidi w:val="0"/>
        <w:jc w:val="both"/>
        <w:rPr>
          <w:rFonts w:ascii="Times New Roman" w:hAnsi="Times New Roman"/>
          <w:b/>
          <w:color w:val="000000"/>
          <w:sz w:val="20"/>
        </w:rPr>
      </w:pPr>
      <w:bookmarkStart w:id="24" w:name="item_9c"/>
      <w:bookmarkEnd w:id="24"/>
      <w:r>
        <w:rPr>
          <w:rFonts w:ascii="Times New Roman" w:hAnsi="Times New Roman"/>
          <w:b/>
          <w:color w:val="000000"/>
          <w:sz w:val="20"/>
        </w:rPr>
        <w:t>Item 9C. Disclosure Regarding Foreign Jurisdictions that Prevent Inspections.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180" w:after="283"/>
        <w:jc w:val="both"/>
        <w:rPr>
          <w:rFonts w:ascii="Times New Roman" w:hAnsi="Times New Roman"/>
          <w:b/>
          <w:color w:val="000000"/>
          <w:sz w:val="20"/>
        </w:rPr>
      </w:pPr>
      <w:bookmarkStart w:id="25" w:name="item_10"/>
      <w:bookmarkEnd w:id="25"/>
      <w:r>
        <w:rPr>
          <w:rFonts w:ascii="Times New Roman" w:hAnsi="Times New Roman"/>
          <w:b/>
          <w:color w:val="000000"/>
          <w:sz w:val="20"/>
        </w:rPr>
        <w:t>Item 10. Directors, Executive Officers and Corporate Governance.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required by Item 10 is hereby incorporated by reference from our definitive Proxy Statement relating to our 2024 Annual Meeting of Stockholders, to be filed with the U.S. Securities and Exchange Commission within 120 days following the end of our fiscal year.</w:t>
      </w:r>
    </w:p>
    <w:p>
      <w:pPr>
        <w:pStyle w:val="TextBody"/>
        <w:bidi w:val="0"/>
        <w:spacing w:before="270" w:after="283"/>
        <w:jc w:val="both"/>
        <w:rPr>
          <w:rFonts w:ascii="Times New Roman" w:hAnsi="Times New Roman"/>
          <w:b/>
          <w:color w:val="000000"/>
          <w:sz w:val="20"/>
        </w:rPr>
      </w:pPr>
      <w:bookmarkStart w:id="26" w:name="item_11"/>
      <w:bookmarkEnd w:id="26"/>
      <w:r>
        <w:rPr>
          <w:rFonts w:ascii="Times New Roman" w:hAnsi="Times New Roman"/>
          <w:b/>
          <w:color w:val="000000"/>
          <w:sz w:val="20"/>
        </w:rPr>
        <w:t>Item 11. Executive Compensation.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required by Item 11 is hereby incorporated by reference from our definitive Proxy Statement relating to our 2024 Annual Meeting of Stockholders, to be filed with the U.S. Securities and Exchange Commission within 120 days following the end of our fiscal year.</w:t>
      </w:r>
    </w:p>
    <w:p>
      <w:pPr>
        <w:pStyle w:val="TextBody"/>
        <w:bidi w:val="0"/>
        <w:spacing w:before="270" w:after="283"/>
        <w:jc w:val="both"/>
        <w:rPr>
          <w:rFonts w:ascii="Times New Roman" w:hAnsi="Times New Roman"/>
          <w:b/>
          <w:color w:val="000000"/>
          <w:sz w:val="20"/>
        </w:rPr>
      </w:pPr>
      <w:bookmarkStart w:id="27" w:name="item_12"/>
      <w:bookmarkEnd w:id="27"/>
      <w:r>
        <w:rPr>
          <w:rFonts w:ascii="Times New Roman" w:hAnsi="Times New Roman"/>
          <w:b/>
          <w:color w:val="000000"/>
          <w:sz w:val="20"/>
        </w:rPr>
        <w:t>Item 12. Security Ownership of Certain Beneficial Owners and Management and Related Stockholder Matters.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required by Item 12 is hereby incorporated by reference from our definitive Proxy Statement relating to our 2024 Annual Meeting of Stockholders, to be filed with the U.S. Securities and Exchange Commission within 120 days following the end of our fiscal year.</w:t>
      </w:r>
    </w:p>
    <w:p>
      <w:pPr>
        <w:pStyle w:val="TextBody"/>
        <w:bidi w:val="0"/>
        <w:spacing w:before="270" w:after="283"/>
        <w:jc w:val="both"/>
        <w:rPr>
          <w:rFonts w:ascii="Times New Roman" w:hAnsi="Times New Roman"/>
          <w:b/>
          <w:color w:val="000000"/>
          <w:sz w:val="20"/>
        </w:rPr>
      </w:pPr>
      <w:bookmarkStart w:id="28" w:name="item_13"/>
      <w:bookmarkEnd w:id="28"/>
      <w:r>
        <w:rPr>
          <w:rFonts w:ascii="Times New Roman" w:hAnsi="Times New Roman"/>
          <w:b/>
          <w:color w:val="000000"/>
          <w:sz w:val="20"/>
        </w:rPr>
        <w:t>Item 13. Certain Relationships and Related Transactions, and Director Independence.</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required by Item 13 is hereby incorporated by reference from our definitive Proxy Statement relating to our 2024 Annual Meeting of Stockholders, to be filed with the U.S. Securities and Exchange Commission within 120 days following the end of our fiscal year.</w:t>
      </w:r>
    </w:p>
    <w:p>
      <w:pPr>
        <w:pStyle w:val="TextBody"/>
        <w:bidi w:val="0"/>
        <w:spacing w:before="270" w:after="283"/>
        <w:jc w:val="both"/>
        <w:rPr>
          <w:rFonts w:ascii="Times New Roman" w:hAnsi="Times New Roman"/>
          <w:b/>
          <w:color w:val="000000"/>
          <w:sz w:val="20"/>
        </w:rPr>
      </w:pPr>
      <w:bookmarkStart w:id="29" w:name="item_14"/>
      <w:bookmarkEnd w:id="29"/>
      <w:r>
        <w:rPr>
          <w:rFonts w:ascii="Times New Roman" w:hAnsi="Times New Roman"/>
          <w:b/>
          <w:color w:val="000000"/>
          <w:sz w:val="20"/>
        </w:rPr>
        <w:t>Item 14. Principal Accountant Fees and Services.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information required by Item 14 is hereby incorporated by reference from our definitive Proxy Statement relating to our 2024 Annual Meeting of Stockholders, to be filed with the U.S. Securities and Exchange Commission within 120 days following the end of our fiscal year.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180" w:after="283"/>
        <w:jc w:val="both"/>
        <w:rPr>
          <w:rFonts w:ascii="Times New Roman" w:hAnsi="Times New Roman"/>
          <w:b/>
          <w:color w:val="000000"/>
          <w:sz w:val="20"/>
        </w:rPr>
      </w:pPr>
      <w:bookmarkStart w:id="30" w:name="item_15"/>
      <w:bookmarkEnd w:id="30"/>
      <w:r>
        <w:rPr>
          <w:rFonts w:ascii="Times New Roman" w:hAnsi="Times New Roman"/>
          <w:b/>
          <w:color w:val="000000"/>
          <w:sz w:val="20"/>
        </w:rPr>
        <w:t>Item 15. Exhibits and Financial Statement Schedules.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The following documents are filed or incorporated by reference as part of this Annual Report:</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(1) </w:t>
      </w:r>
      <w:r>
        <w:rPr>
          <w:rFonts w:ascii="Times New Roman" w:hAnsi="Times New Roman"/>
          <w:b/>
          <w:color w:val="000000"/>
          <w:sz w:val="20"/>
        </w:rPr>
        <w:t>Consolidated Financial Statements</w:t>
      </w:r>
    </w:p>
    <w:tbl>
      <w:tblPr>
        <w:tblW w:w="10205" w:type="dxa"/>
        <w:jc w:val="left"/>
        <w:tblInd w:w="0" w:type="dxa"/>
        <w:tblLayout w:type="fixed"/>
        <w:tblCellMar>
          <w:top w:w="28" w:type="dxa"/>
          <w:left w:w="28" w:type="dxa"/>
          <w:bottom w:w="28" w:type="dxa"/>
          <w:right w:w="28" w:type="dxa"/>
        </w:tblCellMar>
      </w:tblPr>
      <w:tblGrid>
        <w:gridCol w:w="8714"/>
        <w:gridCol w:w="146"/>
        <w:gridCol w:w="392"/>
        <w:gridCol w:w="162"/>
        <w:gridCol w:w="791"/>
      </w:tblGrid>
      <w:tr>
        <w:trPr/>
        <w:tc>
          <w:tcPr>
            <w:tcW w:w="8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871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92"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283"/>
              <w:jc w:val="both"/>
              <w:rPr/>
            </w:pPr>
            <w:r>
              <w:rPr/>
              <w:t> </w:t>
            </w:r>
          </w:p>
        </w:tc>
        <w:tc>
          <w:tcPr>
            <w:tcW w:w="791" w:type="dxa"/>
            <w:tcBorders/>
            <w:vAlign w:val="center"/>
          </w:tcPr>
          <w:p>
            <w:pPr>
              <w:pStyle w:val="TableContents"/>
              <w:bidi w:val="0"/>
              <w:spacing w:before="0" w:after="283"/>
              <w:jc w:val="both"/>
              <w:rPr/>
            </w:pPr>
            <w:r>
              <w:rPr/>
              <w:t> </w:t>
            </w:r>
          </w:p>
        </w:tc>
      </w:tr>
      <w:tr>
        <w:trPr/>
        <w:tc>
          <w:tcPr>
            <w:tcW w:w="8714"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554" w:type="dxa"/>
            <w:gridSpan w:val="2"/>
            <w:tcBorders/>
            <w:vAlign w:val="center"/>
          </w:tcPr>
          <w:p>
            <w:pPr>
              <w:pStyle w:val="TableContents"/>
              <w:bidi w:val="0"/>
              <w:spacing w:before="0" w:after="283"/>
              <w:ind w:left="0" w:right="36" w:hanging="0"/>
              <w:jc w:val="left"/>
              <w:rPr>
                <w:rFonts w:ascii="Times New Roman" w:hAnsi="Times New Roman"/>
                <w:color w:val="000000"/>
                <w:sz w:val="16"/>
              </w:rPr>
            </w:pPr>
            <w:r>
              <w:rPr>
                <w:rFonts w:ascii="Times New Roman" w:hAnsi="Times New Roman"/>
                <w:color w:val="000000"/>
                <w:sz w:val="16"/>
              </w:rPr>
              <w:t>Page</w:t>
            </w:r>
          </w:p>
        </w:tc>
        <w:tc>
          <w:tcPr>
            <w:tcW w:w="791" w:type="dxa"/>
            <w:tcBorders/>
            <w:vAlign w:val="center"/>
          </w:tcPr>
          <w:p>
            <w:pPr>
              <w:pStyle w:val="TableContents"/>
              <w:bidi w:val="0"/>
              <w:spacing w:before="0" w:after="283"/>
              <w:ind w:left="0" w:right="16" w:hanging="0"/>
              <w:jc w:val="left"/>
              <w:rPr>
                <w:sz w:val="4"/>
                <w:szCs w:val="4"/>
              </w:rPr>
            </w:pPr>
            <w:r>
              <w:rPr>
                <w:sz w:val="4"/>
                <w:szCs w:val="4"/>
              </w:rPr>
            </w:r>
          </w:p>
        </w:tc>
      </w:tr>
      <w:tr>
        <w:trPr/>
        <w:tc>
          <w:tcPr>
            <w:tcW w:w="8714" w:type="dxa"/>
            <w:tcBorders/>
            <w:vAlign w:val="center"/>
          </w:tcPr>
          <w:p>
            <w:pPr>
              <w:pStyle w:val="TableContents"/>
              <w:bidi w:val="0"/>
              <w:spacing w:before="0" w:after="283"/>
              <w:jc w:val="both"/>
              <w:rPr/>
            </w:pPr>
            <w:r>
              <w:rPr/>
              <w:t> </w:t>
            </w:r>
          </w:p>
        </w:tc>
        <w:tc>
          <w:tcPr>
            <w:tcW w:w="1491" w:type="dxa"/>
            <w:gridSpan w:val="4"/>
            <w:tcBorders/>
            <w:vAlign w:val="center"/>
          </w:tcPr>
          <w:p>
            <w:pPr>
              <w:pStyle w:val="TableContents"/>
              <w:bidi w:val="0"/>
              <w:spacing w:before="0" w:after="283"/>
              <w:ind w:left="0" w:right="0" w:firstLine="200"/>
              <w:jc w:val="both"/>
              <w:rPr/>
            </w:pPr>
            <w:r>
              <w:rPr/>
              <w:t> </w:t>
            </w:r>
          </w:p>
        </w:tc>
      </w:tr>
      <w:tr>
        <w:trPr/>
        <w:tc>
          <w:tcPr>
            <w:tcW w:w="8714" w:type="dxa"/>
            <w:tcBorders/>
            <w:vAlign w:val="center"/>
          </w:tcPr>
          <w:p>
            <w:pPr>
              <w:pStyle w:val="TableContents"/>
              <w:pBdr/>
              <w:bidi w:val="0"/>
              <w:spacing w:before="0" w:after="283"/>
              <w:ind w:left="0" w:right="16" w:hanging="200"/>
              <w:jc w:val="both"/>
              <w:rPr/>
            </w:pPr>
            <w:hyperlink w:anchor="audit_report">
              <w:r>
                <w:rPr>
                  <w:rStyle w:val="InternetLink"/>
                  <w:rFonts w:ascii="Times New Roman" w:hAnsi="Times New Roman"/>
                  <w:color w:val="0000FF"/>
                  <w:sz w:val="20"/>
                  <w:u w:val="single"/>
                </w:rPr>
                <w:t>Report of Independent Registered Public Accounting Firm</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83</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8714"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Consolidated Financial Statements</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both"/>
              <w:rPr/>
            </w:pPr>
            <w:r>
              <w:rPr/>
              <w:t> </w:t>
            </w:r>
          </w:p>
        </w:tc>
        <w:tc>
          <w:tcPr>
            <w:tcW w:w="791" w:type="dxa"/>
            <w:tcBorders/>
            <w:vAlign w:val="center"/>
          </w:tcPr>
          <w:p>
            <w:pPr>
              <w:pStyle w:val="TableContents"/>
              <w:bidi w:val="0"/>
              <w:spacing w:before="0" w:after="283"/>
              <w:ind w:left="0" w:right="0" w:firstLine="600"/>
              <w:jc w:val="both"/>
              <w:rPr/>
            </w:pPr>
            <w:r>
              <w:rPr/>
              <w:t> </w:t>
            </w:r>
          </w:p>
        </w:tc>
      </w:tr>
      <w:tr>
        <w:trPr/>
        <w:tc>
          <w:tcPr>
            <w:tcW w:w="8714" w:type="dxa"/>
            <w:tcBorders/>
            <w:vAlign w:val="center"/>
          </w:tcPr>
          <w:p>
            <w:pPr>
              <w:pStyle w:val="TableContents"/>
              <w:pBdr/>
              <w:bidi w:val="0"/>
              <w:spacing w:before="0" w:after="283"/>
              <w:ind w:left="400" w:right="16" w:hanging="200"/>
              <w:jc w:val="both"/>
              <w:rPr/>
            </w:pPr>
            <w:hyperlink w:anchor="balance_sheet">
              <w:r>
                <w:rPr>
                  <w:rStyle w:val="InternetLink"/>
                  <w:rFonts w:ascii="Times New Roman" w:hAnsi="Times New Roman"/>
                  <w:color w:val="0000FF"/>
                  <w:sz w:val="20"/>
                  <w:u w:val="single"/>
                </w:rPr>
                <w:t>Consolidated Statements of Assets and Liabilities as of December 31, 2023 and 2022</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85</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600"/>
              <w:jc w:val="left"/>
              <w:rPr>
                <w:sz w:val="4"/>
                <w:szCs w:val="4"/>
              </w:rPr>
            </w:pPr>
            <w:r>
              <w:rPr>
                <w:sz w:val="4"/>
                <w:szCs w:val="4"/>
              </w:rPr>
            </w:r>
          </w:p>
        </w:tc>
      </w:tr>
      <w:tr>
        <w:trPr/>
        <w:tc>
          <w:tcPr>
            <w:tcW w:w="8714" w:type="dxa"/>
            <w:tcBorders/>
            <w:vAlign w:val="center"/>
          </w:tcPr>
          <w:p>
            <w:pPr>
              <w:pStyle w:val="TableContents"/>
              <w:pBdr/>
              <w:bidi w:val="0"/>
              <w:spacing w:before="0" w:after="283"/>
              <w:ind w:left="400" w:right="16" w:hanging="200"/>
              <w:jc w:val="both"/>
              <w:rPr/>
            </w:pPr>
            <w:hyperlink w:anchor="income_statement">
              <w:r>
                <w:rPr>
                  <w:rStyle w:val="InternetLink"/>
                  <w:rFonts w:ascii="Times New Roman" w:hAnsi="Times New Roman"/>
                  <w:color w:val="0000FF"/>
                  <w:sz w:val="20"/>
                  <w:u w:val="single"/>
                </w:rPr>
                <w:t>Consolidated Statements of Operations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86</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600"/>
              <w:jc w:val="left"/>
              <w:rPr>
                <w:sz w:val="4"/>
                <w:szCs w:val="4"/>
              </w:rPr>
            </w:pPr>
            <w:r>
              <w:rPr>
                <w:sz w:val="4"/>
                <w:szCs w:val="4"/>
              </w:rPr>
            </w:r>
          </w:p>
        </w:tc>
      </w:tr>
      <w:tr>
        <w:trPr/>
        <w:tc>
          <w:tcPr>
            <w:tcW w:w="8714" w:type="dxa"/>
            <w:tcBorders/>
            <w:vAlign w:val="center"/>
          </w:tcPr>
          <w:p>
            <w:pPr>
              <w:pStyle w:val="TableContents"/>
              <w:pBdr/>
              <w:bidi w:val="0"/>
              <w:spacing w:before="0" w:after="283"/>
              <w:ind w:left="400" w:right="16" w:hanging="200"/>
              <w:jc w:val="both"/>
              <w:rPr/>
            </w:pPr>
            <w:hyperlink w:anchor="net_assets">
              <w:r>
                <w:rPr>
                  <w:rStyle w:val="InternetLink"/>
                  <w:rFonts w:ascii="Times New Roman" w:hAnsi="Times New Roman"/>
                  <w:color w:val="0000FF"/>
                  <w:sz w:val="20"/>
                  <w:u w:val="single"/>
                </w:rPr>
                <w:t>Consolidated Statements of Changes in Net Assets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87</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600"/>
              <w:jc w:val="left"/>
              <w:rPr>
                <w:sz w:val="4"/>
                <w:szCs w:val="4"/>
              </w:rPr>
            </w:pPr>
            <w:r>
              <w:rPr>
                <w:sz w:val="4"/>
                <w:szCs w:val="4"/>
              </w:rPr>
            </w:r>
          </w:p>
        </w:tc>
      </w:tr>
      <w:tr>
        <w:trPr/>
        <w:tc>
          <w:tcPr>
            <w:tcW w:w="8714" w:type="dxa"/>
            <w:tcBorders/>
            <w:vAlign w:val="center"/>
          </w:tcPr>
          <w:p>
            <w:pPr>
              <w:pStyle w:val="TableContents"/>
              <w:pBdr/>
              <w:bidi w:val="0"/>
              <w:spacing w:before="0" w:after="283"/>
              <w:ind w:left="400" w:right="16" w:hanging="200"/>
              <w:jc w:val="both"/>
              <w:rPr/>
            </w:pPr>
            <w:hyperlink w:anchor="cash_flows">
              <w:r>
                <w:rPr>
                  <w:rStyle w:val="InternetLink"/>
                  <w:rFonts w:ascii="Times New Roman" w:hAnsi="Times New Roman"/>
                  <w:color w:val="0000FF"/>
                  <w:sz w:val="20"/>
                  <w:u w:val="single"/>
                </w:rPr>
                <w:t>Consolidated Statements of Cash Flows for the Years Ended December 31, 2023, 2022 and 2021</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88</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600"/>
              <w:jc w:val="left"/>
              <w:rPr>
                <w:sz w:val="4"/>
                <w:szCs w:val="4"/>
              </w:rPr>
            </w:pPr>
            <w:r>
              <w:rPr>
                <w:sz w:val="4"/>
                <w:szCs w:val="4"/>
              </w:rPr>
            </w:r>
          </w:p>
        </w:tc>
      </w:tr>
      <w:tr>
        <w:trPr/>
        <w:tc>
          <w:tcPr>
            <w:tcW w:w="8714" w:type="dxa"/>
            <w:tcBorders/>
            <w:vAlign w:val="center"/>
          </w:tcPr>
          <w:p>
            <w:pPr>
              <w:pStyle w:val="TableContents"/>
              <w:pBdr/>
              <w:bidi w:val="0"/>
              <w:spacing w:before="0" w:after="283"/>
              <w:ind w:left="400" w:right="16" w:hanging="200"/>
              <w:jc w:val="both"/>
              <w:rPr/>
            </w:pPr>
            <w:hyperlink w:anchor="soi">
              <w:r>
                <w:rPr>
                  <w:rStyle w:val="InternetLink"/>
                  <w:rFonts w:ascii="Times New Roman" w:hAnsi="Times New Roman"/>
                  <w:color w:val="0000FF"/>
                  <w:sz w:val="20"/>
                  <w:u w:val="single"/>
                </w:rPr>
                <w:t>Consolidated Schedules of Investments as of December 31, 2023 and 2022</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89</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0" w:firstLine="600"/>
              <w:jc w:val="left"/>
              <w:rPr>
                <w:sz w:val="4"/>
                <w:szCs w:val="4"/>
              </w:rPr>
            </w:pPr>
            <w:r>
              <w:rPr>
                <w:sz w:val="4"/>
                <w:szCs w:val="4"/>
              </w:rPr>
            </w:r>
          </w:p>
        </w:tc>
      </w:tr>
      <w:tr>
        <w:trPr/>
        <w:tc>
          <w:tcPr>
            <w:tcW w:w="8714" w:type="dxa"/>
            <w:tcBorders/>
            <w:vAlign w:val="center"/>
          </w:tcPr>
          <w:p>
            <w:pPr>
              <w:pStyle w:val="TableContents"/>
              <w:pBdr/>
              <w:bidi w:val="0"/>
              <w:spacing w:before="0" w:after="283"/>
              <w:ind w:left="400" w:right="16" w:hanging="200"/>
              <w:jc w:val="both"/>
              <w:rPr/>
            </w:pPr>
            <w:hyperlink w:anchor="footnotes">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rFonts w:ascii="Times New Roman" w:hAnsi="Times New Roman"/>
                <w:color w:val="000000"/>
                <w:sz w:val="16"/>
              </w:rPr>
            </w:pPr>
            <w:r>
              <w:rPr>
                <w:rFonts w:ascii="Times New Roman" w:hAnsi="Times New Roman"/>
                <w:color w:val="000000"/>
                <w:sz w:val="16"/>
              </w:rPr>
              <w:t>101</w:t>
            </w:r>
          </w:p>
        </w:tc>
        <w:tc>
          <w:tcPr>
            <w:tcW w:w="162" w:type="dxa"/>
            <w:tcBorders/>
            <w:vAlign w:val="center"/>
          </w:tcPr>
          <w:p>
            <w:pPr>
              <w:pStyle w:val="TableContents"/>
              <w:bidi w:val="0"/>
              <w:spacing w:before="0" w:after="283"/>
              <w:ind w:left="0" w:right="16" w:hanging="0"/>
              <w:jc w:val="right"/>
              <w:rPr/>
            </w:pPr>
            <w:r>
              <w:rPr/>
              <w:t> </w:t>
            </w:r>
          </w:p>
        </w:tc>
        <w:tc>
          <w:tcPr>
            <w:tcW w:w="791" w:type="dxa"/>
            <w:tcBorders/>
            <w:vAlign w:val="center"/>
          </w:tcPr>
          <w:p>
            <w:pPr>
              <w:pStyle w:val="TableContents"/>
              <w:bidi w:val="0"/>
              <w:spacing w:before="0" w:after="283"/>
              <w:ind w:left="0" w:right="16" w:hanging="0"/>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 </w:t>
      </w:r>
      <w:r>
        <w:rPr>
          <w:rFonts w:ascii="Times New Roman" w:hAnsi="Times New Roman"/>
          <w:b/>
          <w:color w:val="000000"/>
          <w:sz w:val="20"/>
        </w:rPr>
        <w:t>Financial Statement Schedules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70"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b/>
          <w:color w:val="000000"/>
          <w:sz w:val="20"/>
        </w:rPr>
        <w:t>Exhibits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Unless otherwise noted, the following exhibits are filed as part of this report or hereby incorporated by reference to exhibits previously filed with the SEC:</w:t>
      </w:r>
    </w:p>
    <w:p>
      <w:pPr>
        <w:pStyle w:val="TextBody"/>
        <w:bidi w:val="0"/>
        <w:spacing w:before="9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011"/>
        <w:gridCol w:w="146"/>
        <w:gridCol w:w="9048"/>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8" w:type="dxa"/>
            <w:tcBorders/>
            <w:vAlign w:val="center"/>
          </w:tcPr>
          <w:p>
            <w:pPr>
              <w:pStyle w:val="TableContents"/>
              <w:bidi w:val="0"/>
              <w:spacing w:before="0" w:after="283"/>
              <w:jc w:val="left"/>
              <w:rPr>
                <w:sz w:val="4"/>
                <w:szCs w:val="4"/>
              </w:rPr>
            </w:pPr>
            <w:r>
              <w:rPr>
                <w:sz w:val="4"/>
                <w:szCs w:val="4"/>
              </w:rPr>
            </w:r>
          </w:p>
        </w:tc>
      </w:tr>
      <w:tr>
        <w:trPr/>
        <w:tc>
          <w:tcPr>
            <w:tcW w:w="10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90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11"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spacing w:before="0" w:after="20"/>
              <w:jc w:val="both"/>
              <w:rPr/>
            </w:pPr>
            <w:hyperlink r:id="rId4">
              <w:r>
                <w:rPr>
                  <w:rStyle w:val="InternetLink"/>
                  <w:rFonts w:ascii="Times New Roman" w:hAnsi="Times New Roman"/>
                  <w:color w:val="0000FF"/>
                  <w:sz w:val="20"/>
                  <w:u w:val="single"/>
                </w:rPr>
                <w:t xml:space="preserve">Articles of Amendment and Restatement of the Registrant (Filed as Exhibit (a)(1) to Pre-Effective Amendment No. 2 to the Registrant’s Registration Statement on Form N-2 (File No. 333-172550) filed with the </w:t>
              </w:r>
            </w:hyperlink>
            <w:hyperlink r:id="rId5">
              <w:r>
                <w:rPr>
                  <w:rStyle w:val="InternetLink"/>
                  <w:rFonts w:ascii="Times New Roman" w:hAnsi="Times New Roman"/>
                  <w:color w:val="0000FF"/>
                  <w:sz w:val="24"/>
                  <w:u w:val="single"/>
                </w:rPr>
                <w:t xml:space="preserve">U.S. </w:t>
              </w:r>
            </w:hyperlink>
            <w:hyperlink r:id="rId6">
              <w:r>
                <w:rPr>
                  <w:rStyle w:val="InternetLink"/>
                  <w:rFonts w:ascii="Times New Roman" w:hAnsi="Times New Roman"/>
                  <w:color w:val="0000FF"/>
                  <w:sz w:val="20"/>
                  <w:u w:val="single"/>
                </w:rPr>
                <w:t>Securities and Exchange Commission on April 29, 2011 and incorporated herein by reference).</w:t>
              </w:r>
            </w:hyperlink>
          </w:p>
          <w:p>
            <w:pPr>
              <w:pStyle w:val="TableContents"/>
              <w:bidi w:val="0"/>
              <w:spacing w:before="0" w:after="20"/>
              <w:jc w:val="both"/>
              <w:rPr/>
            </w:pPr>
            <w:r>
              <w:rPr/>
              <w:t> </w:t>
            </w:r>
          </w:p>
        </w:tc>
      </w:tr>
      <w:tr>
        <w:trPr/>
        <w:tc>
          <w:tcPr>
            <w:tcW w:w="1011"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jc w:val="both"/>
              <w:rPr/>
            </w:pPr>
            <w:hyperlink r:id="rId7">
              <w:r>
                <w:rPr>
                  <w:rStyle w:val="InternetLink"/>
                  <w:rFonts w:ascii="Times New Roman" w:hAnsi="Times New Roman"/>
                  <w:color w:val="0000FF"/>
                  <w:sz w:val="20"/>
                  <w:u w:val="single"/>
                </w:rPr>
                <w:t xml:space="preserve">Bylaws of the Registrant (Filed as Exhibit (b)(1) to Pre-Effective Amendment No. 2 to the Registrant’s Registration Statement on Form N-2 (File No. 333-172550) filed with the </w:t>
              </w:r>
            </w:hyperlink>
            <w:hyperlink r:id="rId8">
              <w:r>
                <w:rPr>
                  <w:rStyle w:val="InternetLink"/>
                  <w:rFonts w:ascii="Times New Roman" w:hAnsi="Times New Roman"/>
                  <w:color w:val="0000FF"/>
                  <w:sz w:val="24"/>
                  <w:u w:val="single"/>
                </w:rPr>
                <w:t xml:space="preserve">U.S. </w:t>
              </w:r>
            </w:hyperlink>
            <w:hyperlink r:id="rId9">
              <w:r>
                <w:rPr>
                  <w:rStyle w:val="InternetLink"/>
                  <w:rFonts w:ascii="Times New Roman" w:hAnsi="Times New Roman"/>
                  <w:color w:val="0000FF"/>
                  <w:sz w:val="20"/>
                  <w:u w:val="single"/>
                </w:rPr>
                <w:t>Securities and Exchange Commission on April 29, 2011 and incorporated herein by reference).</w:t>
              </w:r>
            </w:hyperlink>
            <w:hyperlink r:id="rId10">
              <w:r>
                <w:rPr>
                  <w:rStyle w:val="InternetLink"/>
                  <w:rFonts w:ascii="Times New Roman" w:hAnsi="Times New Roman"/>
                  <w:color w:val="0000FF"/>
                  <w:sz w:val="24"/>
                </w:rPr>
                <w:t xml:space="preserve"> </w:t>
              </w:r>
            </w:hyperlink>
          </w:p>
          <w:p>
            <w:pPr>
              <w:pStyle w:val="TableContents"/>
              <w:bidi w:val="0"/>
              <w:spacing w:before="0" w:after="283"/>
              <w:jc w:val="both"/>
              <w:rPr/>
            </w:pPr>
            <w:r>
              <w:rPr/>
              <w:t> </w:t>
            </w:r>
          </w:p>
        </w:tc>
      </w:tr>
      <w:tr>
        <w:trPr/>
        <w:tc>
          <w:tcPr>
            <w:tcW w:w="1011" w:type="dxa"/>
            <w:tcBorders/>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spacing w:before="0" w:after="20"/>
              <w:jc w:val="both"/>
              <w:rPr/>
            </w:pPr>
            <w:hyperlink r:id="rId11">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p>
            <w:pPr>
              <w:pStyle w:val="TableContents"/>
              <w:bidi w:val="0"/>
              <w:spacing w:before="0" w:after="20"/>
              <w:jc w:val="both"/>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spacing w:before="0" w:after="20"/>
              <w:jc w:val="both"/>
              <w:rPr/>
            </w:pPr>
            <w:hyperlink r:id="rId12">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p>
          <w:p>
            <w:pPr>
              <w:pStyle w:val="TableContents"/>
              <w:bidi w:val="0"/>
              <w:spacing w:before="0" w:after="20"/>
              <w:jc w:val="both"/>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spacing w:before="0" w:after="20"/>
              <w:jc w:val="both"/>
              <w:rPr/>
            </w:pPr>
            <w:hyperlink r:id="rId13">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Securities and Exchange Commission on April 29, 2016 and incorporated herein by reference).</w:t>
              </w:r>
            </w:hyperlink>
          </w:p>
          <w:p>
            <w:pPr>
              <w:pStyle w:val="TableContents"/>
              <w:bidi w:val="0"/>
              <w:spacing w:before="0" w:after="20"/>
              <w:jc w:val="both"/>
              <w:rPr/>
            </w:pPr>
            <w:r>
              <w:rPr/>
              <w:t> </w:t>
            </w:r>
          </w:p>
        </w:tc>
      </w:tr>
      <w:tr>
        <w:trPr/>
        <w:tc>
          <w:tcPr>
            <w:tcW w:w="1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48" w:type="dxa"/>
            <w:tcBorders/>
            <w:tcMar>
              <w:top w:w="0" w:type="dxa"/>
              <w:left w:w="0" w:type="dxa"/>
              <w:bottom w:w="0" w:type="dxa"/>
              <w:right w:w="0" w:type="dxa"/>
            </w:tcMar>
            <w:vAlign w:val="center"/>
          </w:tcPr>
          <w:p>
            <w:pPr>
              <w:pStyle w:val="TableContents"/>
              <w:bidi w:val="0"/>
              <w:jc w:val="left"/>
              <w:rPr/>
            </w:pPr>
            <w:hyperlink r:id="rId14">
              <w:r>
                <w:rPr>
                  <w:rStyle w:val="InternetLink"/>
                  <w:rFonts w:ascii="Times New Roman" w:hAnsi="Times New Roman"/>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p>
            <w:pPr>
              <w:pStyle w:val="TableContents"/>
              <w:bidi w:val="0"/>
              <w:spacing w:before="0" w:after="20"/>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left"/>
              <w:rPr/>
            </w:pPr>
            <w:hyperlink r:id="rId15">
              <w:r>
                <w:rPr>
                  <w:rStyle w:val="InternetLink"/>
                  <w:rFonts w:ascii="Times New Roman" w:hAnsi="Times New Roman"/>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left"/>
              <w:rPr/>
            </w:pPr>
            <w:hyperlink r:id="rId16">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4.7</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4.8</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left"/>
              <w:rPr/>
            </w:pPr>
            <w:hyperlink r:id="rId17">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p>
            <w:pPr>
              <w:pStyle w:val="TableContents"/>
              <w:bidi w:val="0"/>
              <w:jc w:val="both"/>
              <w:rPr>
                <w:rFonts w:ascii="Times New Roman" w:hAnsi="Times New Roman"/>
                <w:color w:val="0000FF"/>
                <w:sz w:val="20"/>
                <w:u w:val="single"/>
              </w:rPr>
            </w:pPr>
            <w:r>
              <w:rPr>
                <w:rFonts w:ascii="Times New Roman" w:hAnsi="Times New Roman"/>
                <w:color w:val="0000FF"/>
                <w:sz w:val="20"/>
                <w:u w:val="single"/>
              </w:rPr>
              <w:br/>
              <w:t> </w:t>
            </w:r>
          </w:p>
          <w:p>
            <w:pPr>
              <w:pStyle w:val="TableContents"/>
              <w:bidi w:val="0"/>
              <w:spacing w:before="0" w:after="20"/>
              <w:jc w:val="both"/>
              <w:rPr/>
            </w:pPr>
            <w:hyperlink r:id="rId18">
              <w:r>
                <w:rPr>
                  <w:rStyle w:val="InternetLink"/>
                  <w:rFonts w:ascii="Times New Roman" w:hAnsi="Times New Roman"/>
                  <w:color w:val="0000FF"/>
                  <w:sz w:val="20"/>
                  <w:u w:val="single"/>
                </w:rPr>
                <w:t>Description of Securities (Filed as Exhibit 4.8 to the Registrant’s Annual Report on Form 10-K filed with the U.S. Securities and Exchange Commission on March 3, 2022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spacing w:before="0" w:after="20"/>
              <w:jc w:val="both"/>
              <w:rPr/>
            </w:pPr>
            <w:hyperlink r:id="rId19">
              <w:r>
                <w:rPr>
                  <w:rStyle w:val="InternetLink"/>
                  <w:rFonts w:ascii="Times New Roman" w:hAnsi="Times New Roman"/>
                  <w:color w:val="0000FF"/>
                  <w:sz w:val="20"/>
                  <w:u w:val="single"/>
                </w:rPr>
                <w:t>Investment Advisory and Management Agreement between Registrant and Fidus Investment Advisors, LLC (Filed as Exhibit (g) to Pre-Effective Amendment No. 2 to the Registrant’s Registration Statement on Form N-2 (File No. 333-172550) filed with the U.S.</w:t>
              </w:r>
            </w:hyperlink>
            <w:hyperlink r:id="rId20">
              <w:r>
                <w:rPr>
                  <w:rStyle w:val="InternetLink"/>
                  <w:rFonts w:ascii="Times New Roman" w:hAnsi="Times New Roman"/>
                  <w:color w:val="0000FF"/>
                  <w:sz w:val="24"/>
                  <w:u w:val="single"/>
                </w:rPr>
                <w:t xml:space="preserve"> </w:t>
              </w:r>
            </w:hyperlink>
            <w:hyperlink r:id="rId21">
              <w:r>
                <w:rPr>
                  <w:rStyle w:val="InternetLink"/>
                  <w:rFonts w:ascii="Times New Roman" w:hAnsi="Times New Roman"/>
                  <w:color w:val="0000FF"/>
                  <w:sz w:val="20"/>
                  <w:u w:val="single"/>
                </w:rPr>
                <w:t>Securities and Exchange Commission on April 29, 2011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spacing w:before="0" w:after="20"/>
              <w:jc w:val="both"/>
              <w:rPr/>
            </w:pPr>
            <w:hyperlink r:id="rId22">
              <w:r>
                <w:rPr>
                  <w:rStyle w:val="InternetLink"/>
                  <w:rFonts w:ascii="Times New Roman" w:hAnsi="Times New Roman"/>
                  <w:color w:val="0000FF"/>
                  <w:sz w:val="20"/>
                  <w:u w:val="single"/>
                </w:rPr>
                <w:t>Custody Agreement (Filed as Exhibit (j) to Pre-Effective Amendment No. 3 to the Registrant’s Registration Statement on Form N-2 (File No. 333-172550) filed with the U.S. Securities and Exchange Commission on May 26, 2011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spacing w:before="0" w:after="20"/>
              <w:jc w:val="both"/>
              <w:rPr/>
            </w:pPr>
            <w:hyperlink r:id="rId23">
              <w:r>
                <w:rPr>
                  <w:rStyle w:val="InternetLink"/>
                  <w:rFonts w:ascii="Times New Roman" w:hAnsi="Times New Roman"/>
                  <w:color w:val="0000FF"/>
                  <w:sz w:val="20"/>
                  <w:u w:val="single"/>
                </w:rPr>
                <w:t>Administration Agreement between Registrant and Fidus Investment Advisors, LLC (Filed as Exhibit (k)(1) to Pre-Effective Amendment No. 2 to the Registrant’s Registration Statement on Form N-2 (File No. 333-172550) filed with the U.S. Securities and Exchange Commission on April 29, 2011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both"/>
              <w:rPr/>
            </w:pPr>
            <w:hyperlink r:id="rId24">
              <w:r>
                <w:rPr>
                  <w:rStyle w:val="InternetLink"/>
                  <w:rFonts w:ascii="Times New Roman" w:hAnsi="Times New Roman"/>
                  <w:color w:val="0000FF"/>
                  <w:sz w:val="20"/>
                  <w:u w:val="single"/>
                </w:rPr>
                <w:t>Trademark License Agreement between Registrant and Fidus Partners, LLC (Filed as Exhibit (k)(2) to Pre-Effective Amendment No. 3 to the Registrant’s Registration Statement on Form N-2 (File No. 333-172550) filed with the U.S. Securities and Exchange Commission on May 26, 2011 and incorporated herein by reference).</w:t>
              </w:r>
            </w:hyperlink>
          </w:p>
          <w:p>
            <w:pPr>
              <w:pStyle w:val="TableContents"/>
              <w:bidi w:val="0"/>
              <w:spacing w:before="0" w:after="283"/>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spacing w:before="0" w:after="20"/>
              <w:jc w:val="both"/>
              <w:rPr/>
            </w:pPr>
            <w:hyperlink r:id="rId25">
              <w:r>
                <w:rPr>
                  <w:rStyle w:val="InternetLink"/>
                  <w:rFonts w:ascii="Times New Roman" w:hAnsi="Times New Roman"/>
                  <w:color w:val="0000FF"/>
                  <w:sz w:val="20"/>
                  <w:u w:val="single"/>
                </w:rPr>
                <w:t>Form of Indemnification Agreement by and between Registrant and each of its directors (Filed as Exhibit (k)(3) to Pre-Effective Amendment No. 4 to the Registrant’s Registration Statement on Form N-2 (File No. 333-172550) filed with the U.S. Securities and Exchange Commission on June 10, 2011 and incorporated herein by reference).</w:t>
              </w:r>
            </w:hyperlink>
          </w:p>
          <w:p>
            <w:pPr>
              <w:pStyle w:val="TableContents"/>
              <w:bidi w:val="0"/>
              <w:spacing w:before="0" w:after="20"/>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both"/>
              <w:rPr/>
            </w:pPr>
            <w:hyperlink r:id="rId26">
              <w:r>
                <w:rPr>
                  <w:rStyle w:val="InternetLink"/>
                  <w:rFonts w:ascii="Times New Roman" w:hAnsi="Times New Roman"/>
                  <w:color w:val="0000FF"/>
                  <w:sz w:val="20"/>
                  <w:u w:val="single"/>
                </w:rPr>
                <w:t>Dividend Reinvestment Plan (Filed as Exhibit (e) to Pre-Effective Amendment No. 1 to the Registrant’s Registration Statement on Form N-2 (File No. 333-182785) filed with the U.S. Securities and Exchange Commission on August 27, 2012 and incorporated herein by reference).</w:t>
              </w:r>
            </w:hyperlink>
          </w:p>
          <w:p>
            <w:pPr>
              <w:pStyle w:val="TableContents"/>
              <w:bidi w:val="0"/>
              <w:spacing w:before="0" w:after="283"/>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both"/>
              <w:rPr/>
            </w:pPr>
            <w:hyperlink r:id="rId27">
              <w:r>
                <w:rPr>
                  <w:rStyle w:val="InternetLink"/>
                  <w:rFonts w:ascii="Times New Roman" w:hAnsi="Times New Roman"/>
                  <w:color w:val="0000FF"/>
                  <w:sz w:val="20"/>
                  <w:u w:val="single"/>
                </w:rPr>
                <w:t>First Amendment to Investment Advisory and Management Agreement between Registrant and Fidus Investment Advisors, LLC (Filed as Exhibit 10.7 to the Registrant’s annual report on Form 10-K, filed with the U.S. Securities and Exchange Commission on March 6, 2014 and incorporated herein by reference).</w:t>
              </w:r>
            </w:hyperlink>
          </w:p>
          <w:p>
            <w:pPr>
              <w:pStyle w:val="TableContents"/>
              <w:bidi w:val="0"/>
              <w:spacing w:before="0" w:after="283"/>
              <w:jc w:val="both"/>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jc w:val="both"/>
              <w:rPr/>
            </w:pPr>
            <w:hyperlink r:id="rId28">
              <w:r>
                <w:rPr>
                  <w:rStyle w:val="InternetLink"/>
                  <w:rFonts w:ascii="Times New Roman" w:hAnsi="Times New Roman"/>
                  <w:color w:val="0000FF"/>
                  <w:sz w:val="20"/>
                  <w:u w:val="single"/>
                </w:rPr>
                <w:t>Form of Indemnification Agreement between Fidus Investment Corporation and each officer and director of Fidus Investment Corporation (Filed as Exhibit 10.1 of the Registrant’s quarterly report on Form 10-Q, filed with the U.S. Securities and Exchange Commission on August 5, 2021).</w:t>
              </w:r>
            </w:hyperlink>
          </w:p>
          <w:p>
            <w:pPr>
              <w:pStyle w:val="TableContents"/>
              <w:bidi w:val="0"/>
              <w:spacing w:before="0" w:after="283"/>
              <w:jc w:val="both"/>
              <w:rPr/>
            </w:pPr>
            <w:r>
              <w:rPr/>
              <w:t> </w:t>
            </w:r>
          </w:p>
        </w:tc>
      </w:tr>
      <w:tr>
        <w:trPr/>
        <w:tc>
          <w:tcPr>
            <w:tcW w:w="4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10.9</w:t>
            </w:r>
          </w:p>
          <w:p>
            <w:pPr>
              <w:pStyle w:val="TableContents"/>
              <w:bidi w:val="0"/>
              <w:jc w:val="both"/>
              <w:rPr/>
            </w:pPr>
            <w:r>
              <w:rPr/>
              <w:t> </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578"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Amended &amp; Restated Senior Secured Revolving Credit Agreement, dated as of April 24, 2019, by and among the Company, as borrower, the lenders party thereto, and ING Capital LLC, as administrative agent (Filed as Exhibit 10.1 to the Registrant’s Current Report on Form 8-K filed</w:t>
              </w:r>
            </w:hyperlink>
            <w:hyperlink r:id="rId30">
              <w:r>
                <w:rPr>
                  <w:rStyle w:val="InternetLink"/>
                  <w:rFonts w:ascii="Times New Roman" w:hAnsi="Times New Roman"/>
                  <w:color w:val="0000FF"/>
                  <w:sz w:val="20"/>
                </w:rPr>
                <w:t xml:space="preserve"> </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10.10</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10.11</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jc w:val="both"/>
              <w:rPr/>
            </w:pPr>
            <w:hyperlink r:id="rId31">
              <w:r>
                <w:rPr>
                  <w:rStyle w:val="InternetLink"/>
                  <w:rFonts w:ascii="Times New Roman" w:hAnsi="Times New Roman"/>
                  <w:color w:val="0000FF"/>
                  <w:sz w:val="20"/>
                  <w:u w:val="single"/>
                </w:rPr>
                <w:t>with the U.S. Securities and Exchange Commission on April 24, 2019 and incorporated herein by reference).</w:t>
              </w:r>
            </w:hyperlink>
          </w:p>
          <w:p>
            <w:pPr>
              <w:pStyle w:val="TableContents"/>
              <w:bidi w:val="0"/>
              <w:jc w:val="both"/>
              <w:rPr/>
            </w:pPr>
            <w:r>
              <w:rPr>
                <w:rFonts w:ascii="Times New Roman" w:hAnsi="Times New Roman"/>
                <w:color w:val="000000"/>
                <w:sz w:val="20"/>
              </w:rPr>
              <w:br/>
            </w:r>
            <w:hyperlink r:id="rId32">
              <w:r>
                <w:rPr>
                  <w:rStyle w:val="InternetLink"/>
                  <w:rFonts w:ascii="Times New Roman" w:hAnsi="Times New Roman"/>
                  <w:color w:val="0000FF"/>
                  <w:sz w:val="20"/>
                  <w:u w:val="single"/>
                </w:rPr>
                <w:t>Amended and Restated Guarantee, Pledge and Security Agreement, dated as of April 24, 2019, by and among the Company, as borrower, the subsidiary guarantors party thereto, ING Capital LLC, as revolving administrative agent, and ING Capital LLC, as collateral agent (Filed as Exhibit 10.2 to the Registrant’s Current Report on Form 8-K filed with the U.S. Securities and Exchange Commission on April 24, 2019 and incorporated herein by reference).</w:t>
              </w:r>
            </w:hyperlink>
            <w:r>
              <w:rPr>
                <w:rFonts w:ascii="Times New Roman" w:hAnsi="Times New Roman"/>
                <w:color w:val="000000"/>
                <w:sz w:val="20"/>
              </w:rPr>
              <w:t> </w:t>
            </w:r>
          </w:p>
          <w:p>
            <w:pPr>
              <w:pStyle w:val="TableContents"/>
              <w:bidi w:val="0"/>
              <w:jc w:val="both"/>
              <w:rPr/>
            </w:pPr>
            <w:r>
              <w:rPr/>
              <w:t> </w:t>
            </w:r>
          </w:p>
          <w:p>
            <w:pPr>
              <w:pStyle w:val="TableContents"/>
              <w:bidi w:val="0"/>
              <w:jc w:val="both"/>
              <w:rPr/>
            </w:pPr>
            <w:hyperlink r:id="rId33">
              <w:r>
                <w:rPr>
                  <w:rStyle w:val="InternetLink"/>
                  <w:rFonts w:ascii="Times New Roman" w:hAnsi="Times New Roman"/>
                  <w:color w:val="0000FF"/>
                  <w:sz w:val="20"/>
                  <w:u w:val="single"/>
                </w:rPr>
                <w:t>Amendment No. 1, dated June 26, 2020, to the Amended &amp; Restated Senior Secured Revolving Credit Agreement dated April 24, 2019, by and among the Company, as borrower, the subsidiary guarantors party thereto, ING Capital LLC, as administrative agent, and the lenders party thereto (Filed as Exhibit 10.1 to the Registrant’s Current Report on Form 8-K filed with the U.S. Securities and Exchange Commission on June 29, 2020 and incorporated herein by reference).</w:t>
              </w:r>
            </w:hyperlink>
          </w:p>
          <w:p>
            <w:pPr>
              <w:pStyle w:val="TableContents"/>
              <w:bidi w:val="0"/>
              <w:spacing w:before="0" w:after="283"/>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34">
              <w:r>
                <w:rPr>
                  <w:rStyle w:val="InternetLink"/>
                  <w:rFonts w:ascii="Times New Roman" w:hAnsi="Times New Roman"/>
                  <w:color w:val="0000FF"/>
                  <w:sz w:val="20"/>
                  <w:u w:val="single"/>
                </w:rPr>
                <w:t>Amendment No. 2, dated as of August 17, 2022, to the Amended and Restated Senior Secured Revolving Credit Agreement, by and among the Company, the Lenders, and ING Capital LLC, as administrative agent for the Lenders (Filed as Exhibit 10.1 to the Registrant’s Current Report on Form 8-K filed with the U.S. Securities and Exchange Commission on August 23, 2022 and incorporated herein by reference).</w:t>
              </w:r>
            </w:hyperlink>
          </w:p>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jc w:val="left"/>
              <w:rPr/>
            </w:pPr>
            <w:hyperlink r:id="rId35">
              <w:r>
                <w:rPr>
                  <w:rStyle w:val="InternetLink"/>
                  <w:rFonts w:ascii="Times New Roman" w:hAnsi="Times New Roman"/>
                  <w:color w:val="0000FF"/>
                  <w:sz w:val="20"/>
                  <w:u w:val="single"/>
                </w:rPr>
                <w:t>Equity Distribution Agreement, dated November 10, 2022, by and among Fidus Investment Corporation, Fidus Investment Advisors, LLC, on the one hand, and Raymond James &amp; Associates, Inc. and B. Riley Securities, Inc. on the other hand (Filed as Exhibit 10.1 to the Registrant’s Current Report on Form 8-K filed with the U.S. Securities and Exchange Commission on November 10, 2022 and incorporated herein by reference).</w:t>
              </w:r>
            </w:hyperlink>
            <w:hyperlink r:id="rId36">
              <w:r>
                <w:rPr>
                  <w:rStyle w:val="InternetLink"/>
                  <w:rFonts w:ascii="Times New Roman" w:hAnsi="Times New Roman"/>
                  <w:color w:val="0000FF"/>
                  <w:sz w:val="20"/>
                </w:rPr>
                <w:t xml:space="preserve"> </w:t>
              </w:r>
            </w:hyperlink>
          </w:p>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r:id="rId37">
              <w:r>
                <w:rPr>
                  <w:rStyle w:val="InternetLink"/>
                  <w:rFonts w:ascii="Times New Roman" w:hAnsi="Times New Roman"/>
                  <w:color w:val="0000FF"/>
                  <w:sz w:val="20"/>
                  <w:u w:val="single"/>
                </w:rPr>
                <w:t>Amendment No. 1, dated August 11, 2023, to Equity Distribution Agreement by and among Fidus Investment Corporation and Fidus Investment Advisors, LLC, on the one hand, and Raymond James &amp; Associates, Inc. and B. Riley Securities, Inc., on the other hand (Filed as Exhibit 10.1 to the Registrant’s Current Report on Form 8-K filed with the U.S. Securities and Exchange Commission on August 11, 2023 and incorporated herein by reference).</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14_1.htm">
              <w:r>
                <w:rPr>
                  <w:rStyle w:val="InternetLink"/>
                  <w:rFonts w:ascii="Times New Roman" w:hAnsi="Times New Roman"/>
                  <w:color w:val="0000FF"/>
                  <w:sz w:val="20"/>
                  <w:u w:val="single"/>
                </w:rPr>
                <w:t>Joint Code of Ethics.*</w:t>
              </w:r>
            </w:hyperlink>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14_1.htm">
              <w:r>
                <w:rPr>
                  <w:rStyle w:val="InternetLink"/>
                  <w:rFonts w:ascii="Times New Roman" w:hAnsi="Times New Roman"/>
                  <w:color w:val="0000FF"/>
                  <w:sz w:val="20"/>
                  <w:u w:val="single"/>
                </w:rPr>
                <w:t>Insider Trading Policy and Procedures included in Joint Code of Ethics (attached as Exhibit 14.1 hereto).</w:t>
              </w:r>
            </w:hyperlink>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21_1.htm">
              <w:r>
                <w:rPr>
                  <w:rStyle w:val="InternetLink"/>
                  <w:rFonts w:ascii="Times New Roman" w:hAnsi="Times New Roman"/>
                  <w:color w:val="0000FF"/>
                  <w:sz w:val="20"/>
                  <w:u w:val="single"/>
                </w:rPr>
                <w:t>List of Subsidiaries.*</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23_1.htm">
              <w:r>
                <w:rPr>
                  <w:rStyle w:val="InternetLink"/>
                  <w:rFonts w:ascii="Times New Roman" w:hAnsi="Times New Roman"/>
                  <w:color w:val="0000FF"/>
                  <w:sz w:val="20"/>
                  <w:u w:val="single"/>
                </w:rPr>
                <w:t>Consent of Independent Registered Public Accounting Firm.*</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31_1.htm">
              <w:r>
                <w:rPr>
                  <w:rStyle w:val="InternetLink"/>
                  <w:rFonts w:ascii="Times New Roman" w:hAnsi="Times New Roman"/>
                  <w:color w:val="0000FF"/>
                  <w:sz w:val="20"/>
                  <w:u w:val="single"/>
                </w:rPr>
                <w:t>Certification of Chief Executive Officer pursuant to Rule 13a-14 of the Securities Exchange Act of 1934, as amended.*</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31_2.htm">
              <w:r>
                <w:rPr>
                  <w:rStyle w:val="InternetLink"/>
                  <w:rFonts w:ascii="Times New Roman" w:hAnsi="Times New Roman"/>
                  <w:color w:val="0000FF"/>
                  <w:sz w:val="20"/>
                  <w:u w:val="single"/>
                </w:rPr>
                <w:t>Certification of Chief Financial Officer pursuant to Rule 13a-14 of the Securities Exchange Act of 1934, as amended.*</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p>
            <w:pPr>
              <w:pStyle w:val="TableContents"/>
              <w:bidi w:val="0"/>
              <w:spacing w:before="0" w:after="20"/>
              <w:jc w:val="both"/>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473" w:type="dxa"/>
            <w:tcBorders/>
            <w:tcMar>
              <w:top w:w="0" w:type="dxa"/>
              <w:left w:w="0" w:type="dxa"/>
              <w:bottom w:w="0" w:type="dxa"/>
              <w:right w:w="0" w:type="dxa"/>
            </w:tcMar>
            <w:vAlign w:val="center"/>
          </w:tcPr>
          <w:p>
            <w:pPr>
              <w:pStyle w:val="TableContents"/>
              <w:bidi w:val="0"/>
              <w:spacing w:before="0" w:after="20"/>
              <w:jc w:val="both"/>
              <w:rPr/>
            </w:pPr>
            <w:hyperlink w:anchor="fdus-ex97_1.htm">
              <w:r>
                <w:rPr>
                  <w:rStyle w:val="InternetLink"/>
                  <w:rFonts w:ascii="Times New Roman" w:hAnsi="Times New Roman"/>
                  <w:color w:val="0000FF"/>
                  <w:sz w:val="20"/>
                  <w:u w:val="single"/>
                </w:rPr>
                <w:t>Compensation Recoupment Policy.*</w:t>
              </w:r>
            </w:hyperlink>
          </w:p>
        </w:tc>
      </w:tr>
    </w:tbl>
    <w:p>
      <w:pPr>
        <w:pStyle w:val="TextBody"/>
        <w:bidi w:val="0"/>
        <w:jc w:val="both"/>
        <w:rPr/>
      </w:pPr>
      <w:r>
        <w:rPr/>
        <w:t> </w:t>
      </w:r>
    </w:p>
    <w:tbl>
      <w:tblPr>
        <w:tblW w:w="6844" w:type="dxa"/>
        <w:jc w:val="left"/>
        <w:tblInd w:w="0" w:type="dxa"/>
        <w:tblLayout w:type="fixed"/>
        <w:tblCellMar>
          <w:top w:w="28" w:type="dxa"/>
          <w:left w:w="28" w:type="dxa"/>
          <w:bottom w:w="28" w:type="dxa"/>
          <w:right w:w="28" w:type="dxa"/>
        </w:tblCellMar>
      </w:tblPr>
      <w:tblGrid>
        <w:gridCol w:w="242"/>
        <w:gridCol w:w="6602"/>
      </w:tblGrid>
      <w:tr>
        <w:trPr/>
        <w:tc>
          <w:tcPr>
            <w:tcW w:w="242" w:type="dxa"/>
            <w:tcBorders/>
            <w:vAlign w:val="center"/>
          </w:tcPr>
          <w:p>
            <w:pPr>
              <w:pStyle w:val="TableContents"/>
              <w:bidi w:val="0"/>
              <w:spacing w:before="0" w:after="283"/>
              <w:jc w:val="left"/>
              <w:rPr>
                <w:sz w:val="4"/>
                <w:szCs w:val="4"/>
              </w:rPr>
            </w:pPr>
            <w:r>
              <w:rPr>
                <w:sz w:val="4"/>
                <w:szCs w:val="4"/>
              </w:rPr>
            </w:r>
          </w:p>
        </w:tc>
        <w:tc>
          <w:tcPr>
            <w:tcW w:w="6602" w:type="dxa"/>
            <w:tcBorders/>
            <w:vAlign w:val="center"/>
          </w:tcPr>
          <w:p>
            <w:pPr>
              <w:pStyle w:val="TableContents"/>
              <w:bidi w:val="0"/>
              <w:spacing w:before="0" w:after="283"/>
              <w:jc w:val="left"/>
              <w:rPr>
                <w:sz w:val="4"/>
                <w:szCs w:val="4"/>
              </w:rPr>
            </w:pPr>
            <w:r>
              <w:rPr>
                <w:sz w:val="4"/>
                <w:szCs w:val="4"/>
              </w:rPr>
            </w:r>
          </w:p>
        </w:tc>
      </w:tr>
      <w:tr>
        <w:trPr/>
        <w:tc>
          <w:tcPr>
            <w:tcW w:w="24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660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Filed herewith.</w:t>
            </w:r>
          </w:p>
        </w:tc>
      </w:tr>
      <w:tr>
        <w:trPr/>
        <w:tc>
          <w:tcPr>
            <w:tcW w:w="24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w:t>
            </w:r>
          </w:p>
        </w:tc>
        <w:tc>
          <w:tcPr>
            <w:tcW w:w="660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Denotes a management contract or compensatory plan, contract or arrangement.</w:t>
            </w:r>
          </w:p>
        </w:tc>
      </w:tr>
    </w:tbl>
    <w:p>
      <w:pPr>
        <w:pStyle w:val="TextBody"/>
        <w:bidi w:val="0"/>
        <w:spacing w:before="240" w:after="283"/>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637" w:type="dxa"/>
        <w:jc w:val="left"/>
        <w:tblInd w:w="0" w:type="dxa"/>
        <w:tblLayout w:type="fixed"/>
        <w:tblCellMar>
          <w:top w:w="28" w:type="dxa"/>
          <w:left w:w="28" w:type="dxa"/>
          <w:bottom w:w="28" w:type="dxa"/>
          <w:right w:w="28" w:type="dxa"/>
        </w:tblCellMar>
      </w:tblPr>
      <w:tblGrid>
        <w:gridCol w:w="2102"/>
        <w:gridCol w:w="146"/>
        <w:gridCol w:w="146"/>
        <w:gridCol w:w="146"/>
        <w:gridCol w:w="146"/>
        <w:gridCol w:w="146"/>
        <w:gridCol w:w="1150"/>
        <w:gridCol w:w="1150"/>
        <w:gridCol w:w="1505"/>
      </w:tblGrid>
      <w:tr>
        <w:trPr/>
        <w:tc>
          <w:tcPr>
            <w:tcW w:w="2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150" w:type="dxa"/>
            <w:tcBorders/>
            <w:vAlign w:val="center"/>
          </w:tcPr>
          <w:p>
            <w:pPr>
              <w:pStyle w:val="TableContents"/>
              <w:bidi w:val="0"/>
              <w:spacing w:before="0" w:after="283"/>
              <w:jc w:val="both"/>
              <w:rPr/>
            </w:pPr>
            <w:r>
              <w:rPr/>
              <w:t> </w:t>
            </w:r>
          </w:p>
        </w:tc>
        <w:tc>
          <w:tcPr>
            <w:tcW w:w="1150" w:type="dxa"/>
            <w:tcBorders/>
            <w:vAlign w:val="center"/>
          </w:tcPr>
          <w:p>
            <w:pPr>
              <w:pStyle w:val="TableContents"/>
              <w:bidi w:val="0"/>
              <w:spacing w:before="0" w:after="283"/>
              <w:jc w:val="both"/>
              <w:rPr/>
            </w:pPr>
            <w:r>
              <w:rPr/>
              <w:t> </w:t>
            </w:r>
          </w:p>
        </w:tc>
        <w:tc>
          <w:tcPr>
            <w:tcW w:w="1505" w:type="dxa"/>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805" w:type="dxa"/>
            <w:gridSpan w:val="3"/>
            <w:tcBorders/>
            <w:vAlign w:val="center"/>
          </w:tcPr>
          <w:p>
            <w:pPr>
              <w:pStyle w:val="TableContents"/>
              <w:bidi w:val="0"/>
              <w:ind w:left="0" w:right="56" w:hanging="0"/>
              <w:jc w:val="both"/>
              <w:rPr>
                <w:rFonts w:ascii="Times New Roman" w:hAnsi="Times New Roman"/>
                <w:color w:val="000000"/>
                <w:sz w:val="20"/>
              </w:rPr>
            </w:pPr>
            <w:r>
              <w:rPr>
                <w:rFonts w:ascii="Times New Roman" w:hAnsi="Times New Roman"/>
                <w:color w:val="000000"/>
                <w:sz w:val="20"/>
              </w:rPr>
              <w:t>FIDUS INVESTMENT CORPORATION</w:t>
            </w:r>
          </w:p>
          <w:p>
            <w:pPr>
              <w:pStyle w:val="TableContents"/>
              <w:bidi w:val="0"/>
              <w:spacing w:before="0" w:after="283"/>
              <w:ind w:left="0" w:right="56" w:hanging="0"/>
              <w:jc w:val="both"/>
              <w:rPr>
                <w:rFonts w:ascii="Times New Roman" w:hAnsi="Times New Roman"/>
                <w:color w:val="000000"/>
                <w:sz w:val="20"/>
              </w:rPr>
            </w:pPr>
            <w:r>
              <w:rPr>
                <w:rFonts w:ascii="Times New Roman" w:hAnsi="Times New Roman"/>
                <w:color w:val="000000"/>
                <w:sz w:val="20"/>
              </w:rPr>
              <w:t>A Maryland Corporation</w:t>
            </w:r>
          </w:p>
        </w:tc>
      </w:tr>
      <w:tr>
        <w:trPr/>
        <w:tc>
          <w:tcPr>
            <w:tcW w:w="2102" w:type="dxa"/>
            <w:tcBorders/>
            <w:vAlign w:val="center"/>
          </w:tcPr>
          <w:p>
            <w:pPr>
              <w:pStyle w:val="TableContents"/>
              <w:bidi w:val="0"/>
              <w:spacing w:before="0" w:after="283"/>
              <w:jc w:val="both"/>
              <w:rPr/>
            </w:pPr>
            <w:r>
              <w:rPr/>
              <w:t> </w:t>
            </w:r>
          </w:p>
        </w:tc>
        <w:tc>
          <w:tcPr>
            <w:tcW w:w="292" w:type="dxa"/>
            <w:gridSpan w:val="2"/>
            <w:tcBorders/>
            <w:vAlign w:val="center"/>
          </w:tcPr>
          <w:p>
            <w:pPr>
              <w:pStyle w:val="TableContents"/>
              <w:bidi w:val="0"/>
              <w:spacing w:before="0" w:after="283"/>
              <w:jc w:val="both"/>
              <w:rPr/>
            </w:pPr>
            <w:r>
              <w:rPr/>
              <w:t> </w:t>
            </w:r>
          </w:p>
        </w:tc>
        <w:tc>
          <w:tcPr>
            <w:tcW w:w="292" w:type="dxa"/>
            <w:gridSpan w:val="2"/>
            <w:tcBorders/>
            <w:vAlign w:val="center"/>
          </w:tcPr>
          <w:p>
            <w:pPr>
              <w:pStyle w:val="TableContents"/>
              <w:bidi w:val="0"/>
              <w:spacing w:before="0" w:after="283"/>
              <w:jc w:val="both"/>
              <w:rPr/>
            </w:pPr>
            <w:r>
              <w:rPr/>
              <w:t> </w:t>
            </w:r>
          </w:p>
        </w:tc>
        <w:tc>
          <w:tcPr>
            <w:tcW w:w="3951" w:type="dxa"/>
            <w:gridSpan w:val="4"/>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Date: February 29, 2024</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805" w:type="dxa"/>
            <w:gridSpan w:val="3"/>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jc w:val="both"/>
              <w:rPr/>
            </w:pPr>
            <w:r>
              <w:rPr/>
              <w:t> </w:t>
            </w:r>
          </w:p>
        </w:tc>
        <w:tc>
          <w:tcPr>
            <w:tcW w:w="292" w:type="dxa"/>
            <w:gridSpan w:val="2"/>
            <w:tcBorders/>
            <w:vAlign w:val="center"/>
          </w:tcPr>
          <w:p>
            <w:pPr>
              <w:pStyle w:val="TableContents"/>
              <w:bidi w:val="0"/>
              <w:spacing w:before="0" w:after="283"/>
              <w:jc w:val="both"/>
              <w:rPr/>
            </w:pPr>
            <w:r>
              <w:rPr/>
              <w:t> </w:t>
            </w:r>
          </w:p>
        </w:tc>
        <w:tc>
          <w:tcPr>
            <w:tcW w:w="292" w:type="dxa"/>
            <w:gridSpan w:val="2"/>
            <w:tcBorders/>
            <w:vAlign w:val="center"/>
          </w:tcPr>
          <w:p>
            <w:pPr>
              <w:pStyle w:val="TableContents"/>
              <w:bidi w:val="0"/>
              <w:spacing w:before="0" w:after="283"/>
              <w:jc w:val="both"/>
              <w:rPr/>
            </w:pPr>
            <w:r>
              <w:rPr/>
              <w:t> </w:t>
            </w:r>
          </w:p>
        </w:tc>
        <w:tc>
          <w:tcPr>
            <w:tcW w:w="3951" w:type="dxa"/>
            <w:gridSpan w:val="4"/>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805" w:type="dxa"/>
            <w:gridSpan w:val="3"/>
            <w:tcBorders/>
            <w:vAlign w:val="center"/>
          </w:tcPr>
          <w:p>
            <w:pPr>
              <w:pStyle w:val="TableContents"/>
              <w:pBdr>
                <w:bottom w:val="single" w:sz="6" w:space="1" w:color="000000"/>
              </w:pBdr>
              <w:bidi w:val="0"/>
              <w:spacing w:before="0" w:after="283"/>
              <w:ind w:left="0" w:right="56" w:hanging="0"/>
              <w:jc w:val="both"/>
              <w:rPr>
                <w:rFonts w:ascii="Times New Roman" w:hAnsi="Times New Roman"/>
                <w:color w:val="000000"/>
                <w:sz w:val="20"/>
              </w:rPr>
            </w:pPr>
            <w:r>
              <w:rPr>
                <w:rFonts w:ascii="Times New Roman" w:hAnsi="Times New Roman"/>
                <w:color w:val="000000"/>
                <w:sz w:val="20"/>
              </w:rPr>
              <w:t>/s/ EDWARD H. ROSS</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805" w:type="dxa"/>
            <w:gridSpan w:val="3"/>
            <w:tcBorders/>
            <w:vAlign w:val="center"/>
          </w:tcPr>
          <w:p>
            <w:pPr>
              <w:pStyle w:val="TableContents"/>
              <w:bidi w:val="0"/>
              <w:spacing w:before="0" w:after="283"/>
              <w:ind w:left="0" w:right="56" w:hanging="0"/>
              <w:jc w:val="both"/>
              <w:rPr>
                <w:rFonts w:ascii="Times New Roman" w:hAnsi="Times New Roman"/>
                <w:color w:val="000000"/>
                <w:sz w:val="20"/>
              </w:rPr>
            </w:pPr>
            <w:r>
              <w:rPr>
                <w:rFonts w:ascii="Times New Roman" w:hAnsi="Times New Roman"/>
                <w:color w:val="000000"/>
                <w:sz w:val="20"/>
              </w:rPr>
              <w:t>Name: Edward H. Ross</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6"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805" w:type="dxa"/>
            <w:gridSpan w:val="3"/>
            <w:tcBorders/>
            <w:vAlign w:val="center"/>
          </w:tcPr>
          <w:p>
            <w:pPr>
              <w:pStyle w:val="TableContents"/>
              <w:bidi w:val="0"/>
              <w:spacing w:before="0" w:after="283"/>
              <w:ind w:left="0" w:right="56" w:hanging="0"/>
              <w:jc w:val="both"/>
              <w:rPr>
                <w:rFonts w:ascii="Times New Roman" w:hAnsi="Times New Roman"/>
                <w:color w:val="000000"/>
                <w:sz w:val="20"/>
              </w:rPr>
            </w:pPr>
            <w:r>
              <w:rPr>
                <w:rFonts w:ascii="Times New Roman" w:hAnsi="Times New Roman"/>
                <w:color w:val="000000"/>
                <w:sz w:val="20"/>
              </w:rPr>
              <w:t>Title: Chairman and Chief Executive Officer</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8680" w:type="dxa"/>
        <w:jc w:val="left"/>
        <w:tblInd w:w="0" w:type="dxa"/>
        <w:tblLayout w:type="fixed"/>
        <w:tblCellMar>
          <w:top w:w="28" w:type="dxa"/>
          <w:left w:w="28" w:type="dxa"/>
          <w:bottom w:w="28" w:type="dxa"/>
          <w:right w:w="28" w:type="dxa"/>
        </w:tblCellMar>
      </w:tblPr>
      <w:tblGrid>
        <w:gridCol w:w="3031"/>
        <w:gridCol w:w="146"/>
        <w:gridCol w:w="3721"/>
        <w:gridCol w:w="146"/>
        <w:gridCol w:w="163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pBdr>
                <w:bottom w:val="single" w:sz="8"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Signature</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pBdr>
                <w:bottom w:val="single" w:sz="8"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Title</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pBdr>
                <w:bottom w:val="single" w:sz="8" w:space="1" w:color="000000"/>
              </w:pBdr>
              <w:bidi w:val="0"/>
              <w:spacing w:before="0" w:after="283"/>
              <w:jc w:val="center"/>
              <w:rPr>
                <w:rFonts w:ascii="Times New Roman" w:hAnsi="Times New Roman"/>
                <w:b/>
                <w:color w:val="000000"/>
                <w:sz w:val="15"/>
              </w:rPr>
            </w:pPr>
            <w:r>
              <w:rPr>
                <w:rFonts w:ascii="Times New Roman" w:hAnsi="Times New Roman"/>
                <w:b/>
                <w:color w:val="000000"/>
                <w:sz w:val="15"/>
              </w:rPr>
              <w:t>Date</w:t>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EDWARD H. ROSS</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Edward H. Ross</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Chairman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THOMAS C. LAUER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Thomas C. Lauer</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SHELBY E. SHERARD</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Shelby E. Sherard</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RAYMOND L. ANSTISS, JR.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Raymond L. Anstiss, Jr.</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7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636"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KELLY MCNAMARA CORLEY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Kelly McNamara Corley</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72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1636" w:type="dxa"/>
            <w:tcBorders/>
            <w:vAlign w:val="center"/>
          </w:tcPr>
          <w:p>
            <w:pPr>
              <w:pStyle w:val="TableContents"/>
              <w:bidi w:val="0"/>
              <w:spacing w:before="0" w:after="283"/>
              <w:jc w:val="center"/>
              <w:rPr/>
            </w:pPr>
            <w:r>
              <w:rPr/>
              <w:t> </w:t>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CHARLES D. HYMAN</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Charles D. Hyman</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3867" w:type="dxa"/>
            <w:gridSpan w:val="2"/>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vAlign w:val="center"/>
          </w:tcPr>
          <w:p>
            <w:pPr>
              <w:pStyle w:val="TableContents"/>
              <w:pBdr>
                <w:bottom w:val="single" w:sz="8" w:space="1" w:color="000000"/>
              </w:pBdr>
              <w:bidi w:val="0"/>
              <w:jc w:val="both"/>
              <w:rPr>
                <w:rFonts w:ascii="Times New Roman" w:hAnsi="Times New Roman"/>
                <w:color w:val="000000"/>
                <w:sz w:val="20"/>
              </w:rPr>
            </w:pPr>
            <w:r>
              <w:rPr>
                <w:rFonts w:ascii="Times New Roman" w:hAnsi="Times New Roman"/>
                <w:color w:val="000000"/>
                <w:sz w:val="20"/>
              </w:rPr>
              <w:t>/s/ EDWARD X. TUNE</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Edward X. Tune</w:t>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32" w:name="fdus-ex14_1.htm"/>
      <w:bookmarkStart w:id="33" w:name="ksfdusex14_1"/>
      <w:bookmarkEnd w:id="32"/>
      <w:bookmarkEnd w:id="33"/>
      <w:r>
        <w:rPr>
          <w:rFonts w:ascii="Times New Roman" w:hAnsi="Times New Roman"/>
          <w:b/>
          <w:color w:val="000000"/>
          <w:sz w:val="24"/>
        </w:rPr>
        <w:t>Exhibit 14.1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JOINT CODE OF ETHICS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w:t>
        <w:br/>
        <w:t>FIDUS INVESTMENT CORPORATION,</w:t>
        <w:br/>
        <w:t>FIDUS MEZZANINE CAPITAL, L.P., AND</w:t>
        <w:br/>
        <w:t>FIDUS INVESTMENT ADVISORS, LLC</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STATEMENT OF GENERAL FIDUCIARY PRINCIPLES</w:t>
      </w:r>
    </w:p>
    <w:p>
      <w:pPr>
        <w:pStyle w:val="TextBody"/>
        <w:bidi w:val="0"/>
        <w:spacing w:before="0" w:after="240"/>
        <w:jc w:val="both"/>
        <w:rPr>
          <w:rFonts w:ascii="Times New Roman" w:hAnsi="Times New Roman"/>
          <w:sz w:val="20"/>
        </w:rPr>
      </w:pPr>
      <w:r>
        <w:rPr>
          <w:rFonts w:ascii="Times New Roman" w:hAnsi="Times New Roman"/>
          <w:color w:val="000000"/>
          <w:sz w:val="24"/>
        </w:rPr>
        <w:t>This Joint Code of Ethics (the “Code”) has been adopted by each of Fidus Investment Corporation (the “Corporation”), Fidus Mezzanine Capital, L.P. (the “Fund”) and Fidus Investment Advisors, LLC, the Corporation’s and the Fund’s investment advisor (the “Advisor”), in compliance with Rule 17j-1 under the Investment Company Act of 1940 (the “1940 Act”). The purpose of the Code is to establish standards and procedures for the detection and prevention of activities by which persons having knowledge of the investments and investment intentions of the Corporation or of the Fund may abuse their fiduciary duty to the Corporation or to the Fund, and otherwise to deal with the types of conflict of interest situations to which Rule 17j-1 is addressed.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Code shall be applicable to subsidiaries of the Corporation or the Fund established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Code is based on the principle that the directors and officers of the Corporation, the general partner, director and officers of the Fund, and the managers, partners, officers and employees of the Advisor, who provide services respectively to the Corporation or to the Fund, owe a fiduciary duty to the Corporation or to the Fund to conduct their personal securities transactions in a manner that does not interfere with the Corporation’s or the Fund’s transactions or otherwise take unfair advantage of their relationship with the Corporation or with the Fund. All directors, managers, partners, officers and employees of the Corporation, the Fund and the Advisor (“Covered Personnel”) are expected to adhere to this general principle as well as to comply with all of the specific provisions of this Code that are applicable to them. Any Covered Personnel who is affiliated with another entity that is a registered investment advisor is, in addition, expected to comply with the provisions of the code of ethics that has been adopted by such other investment advisor.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Technical compliance with the Code will not automatically insulate any Covered Personnel from scrutiny of transactions that show a pattern of compromise or abuse of the individual’s fiduciary duty to the Corporation or the Fund. Accordingly, all Covered Personnel must seek to avoid any actual or potential conflicts between their personal interests and the interests of the Corporation and its shareholders or the interests of the Fund and its partners. In sum, all Covered Personnel shall place the interests of the Corporation or of the Fund, respectively, before their own personal interests.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All Covered Personnel must read and retain this Code.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 xml:space="preserve">Access Person” is presumed to be any director, officer, general partner or Advisory Person (as defined below) of the Corporation, the Fund or the Advisor, unless the CCO determines that the presumption can be rebutted based upon the particular facts and circumstances.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“Advisory Person” of the Corporation, the Fund or the Advisor is presumed to be, unless the CCO determines that the presumption can be rebutted based upon the particular facts and circumstances: (i) any director, officer, general partner or employee of the Corporation, the Fund or the Advisor, or any company in a Control (as defined below) relationship to the Corporation, the Fund or the Advisor, who in connection with his or her regular functions or duties makes, participates in, or obtains information regarding the purchase or sale of any Covered Security (as defined below) by the Corporation or by the Fund, or whose functions relate to the making of any recommendation with respect to such purchases or sales; and (ii) any natural person in a Control relationship to the Corporation, the Fund or the Advisor, who obtains information concerning recommendations made to the Corporation or the Fund with regard to the purchase or sale of any Covered Security by the Corporation or the Fund.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color w:val="000000"/>
        </w:rPr>
      </w:pPr>
      <w:r>
        <w:rPr>
          <w:color w:val="000000"/>
        </w:rPr>
        <w:t>“</w:t>
      </w:r>
      <w:r>
        <w:rPr>
          <w:rFonts w:ascii="Times New Roman" w:hAnsi="Times New Roman"/>
          <w:color w:val="000000"/>
          <w:sz w:val="24"/>
        </w:rPr>
        <w:t xml:space="preserve">Beneficial Interest” includes any entity, person, trust, or account with respect to which an Access Person exercises investment discretion or provides investment advice. A beneficial interest shall be presumed to include all accounts in the name of or for the benefit of the Access Person, his or her spouse, dependent children, or any person living with him or her or to whom he or she contributes economic support.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Beneficial Ownership” is interpreted in the same manner as it would be under Rule 16a-1(a)(2) under the Securities Exchange Act of 1934 (the “Exchange Act”) in determining whether a person is a beneficial owner of a security for purposes of Section 16 of the Exchange Act and the rules and regulations thereunder. This means that Access Persons should generally consider themselves to have Beneficial Ownership in any securities in which each has a direct pecuniary interest, which includes securities held by a family members of Access Persons. In addition, Access Persons should consider themselves to have Beneficial Ownership in any securities held by other persons where, by reason of any contract, arrangement, understanding or relationship, such Access Persons have sole or shared voting or investment power.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color w:val="000000"/>
        </w:rPr>
      </w:pPr>
      <w:r>
        <w:rPr>
          <w:color w:val="000000"/>
        </w:rPr>
        <w:t>“</w:t>
      </w:r>
      <w:r>
        <w:rPr>
          <w:rFonts w:ascii="Times New Roman" w:hAnsi="Times New Roman"/>
          <w:color w:val="000000"/>
          <w:sz w:val="24"/>
        </w:rPr>
        <w:t xml:space="preserve">Chief Compliance Officer” means the Chief Compliance Officer of the Corporation and of the Fund (who also may serve as the compliance officer of the Advisor and/or one or more affiliates of the Advisor).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color w:val="000000"/>
        </w:rPr>
      </w:pPr>
      <w:r>
        <w:rPr>
          <w:color w:val="000000"/>
        </w:rPr>
        <w:t>“</w:t>
      </w:r>
      <w:r>
        <w:rPr>
          <w:rFonts w:ascii="Times New Roman" w:hAnsi="Times New Roman"/>
          <w:color w:val="000000"/>
          <w:sz w:val="24"/>
        </w:rPr>
        <w:t xml:space="preserve">Control” shall have the same meaning as that set forth in Section 2(a)(9) of the 1940Act. This means that Access Persons having the power to exercise a controlling influence over the management or policies of a company, unless such power is solely the result of an official position with such company. Any person who owns beneficially, either directly or indirectly through one or more controlled companies, more than 25% of the voting securities of a company shall be presumed to control such company. Any person who does not own beneficially, either directly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indirectly through one or more controlled companies, more than 25% of the voting securities of a company shall be presumed not to control such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color w:val="000000"/>
        </w:rPr>
      </w:pPr>
      <w:r>
        <w:rPr>
          <w:color w:val="000000"/>
        </w:rPr>
        <w:t>“</w:t>
      </w:r>
      <w:r>
        <w:rPr>
          <w:rFonts w:ascii="Times New Roman" w:hAnsi="Times New Roman"/>
          <w:color w:val="000000"/>
          <w:sz w:val="24"/>
        </w:rPr>
        <w:t xml:space="preserve">Covered Security” means a security as defined in Section 2(a)(36) of the 1940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w:t>
      </w:r>
    </w:p>
    <w:p>
      <w:pPr>
        <w:pStyle w:val="TextBody"/>
        <w:bidi w:val="0"/>
        <w:spacing w:before="0" w:after="240"/>
        <w:jc w:val="both"/>
        <w:rPr>
          <w:rFonts w:ascii="Times New Roman" w:hAnsi="Times New Roman"/>
          <w:sz w:val="20"/>
        </w:rPr>
      </w:pPr>
      <w:r>
        <w:rPr>
          <w:rFonts w:ascii="Times New Roman" w:hAnsi="Times New Roman"/>
          <w:color w:val="000000"/>
          <w:sz w:val="24"/>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color w:val="000000"/>
        </w:rPr>
      </w:pPr>
      <w:r>
        <w:rPr>
          <w:color w:val="000000"/>
        </w:rPr>
        <w:t>“</w:t>
      </w:r>
      <w:r>
        <w:rPr>
          <w:rFonts w:ascii="Times New Roman" w:hAnsi="Times New Roman"/>
          <w:color w:val="000000"/>
          <w:sz w:val="24"/>
        </w:rPr>
        <w:t xml:space="preserve">Independent Director” means a director of the Corporation or the Fund who is not an “interested person” of the Corporation or of the Fund within the meaning of Section 2(a)(19) of the 1940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color w:val="000000"/>
        </w:rPr>
      </w:pPr>
      <w:r>
        <w:rPr>
          <w:color w:val="000000"/>
        </w:rPr>
        <w:t>“</w:t>
      </w:r>
      <w:r>
        <w:rPr>
          <w:rFonts w:ascii="Times New Roman" w:hAnsi="Times New Roman"/>
          <w:color w:val="000000"/>
          <w:sz w:val="24"/>
        </w:rPr>
        <w:t xml:space="preserve">Initial Public Offering” means an offering of securities registered under the Securities Act of 1933 (the “1933 Act”), the issuer of which, immediately before the registration, was not subject to the reporting requirements of Sections 13 or 15(d) of the Exchange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color w:val="000000"/>
        </w:rPr>
      </w:pPr>
      <w:r>
        <w:rPr>
          <w:color w:val="000000"/>
        </w:rPr>
        <w:t>“</w:t>
      </w:r>
      <w:r>
        <w:rPr>
          <w:rFonts w:ascii="Times New Roman" w:hAnsi="Times New Roman"/>
          <w:color w:val="000000"/>
          <w:sz w:val="24"/>
        </w:rPr>
        <w:t>Investment Personnel” of the Corporation, the Fund or the Advisor means: (i) any employee of the Corporation, the Fund or the Advisor (or of any company in a Control relationship to the Corporation, the Fund or the Advisor) who, in connection with his or her regular functions or duties, makes or participates in making recommendations regarding the purchase or sale of securities by the Corporation or the Fund; and (ii) any natural person who controls the Corporation, the Fund or the Advisor and who obtains information concerning recommendations made to the Corporation or the Fund regarding the purchase or sale of securities by the Corporation of the Fund.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color w:val="000000"/>
        </w:rPr>
      </w:pPr>
      <w:r>
        <w:rPr>
          <w:color w:val="000000"/>
        </w:rPr>
        <w:t>“</w:t>
      </w:r>
      <w:r>
        <w:rPr>
          <w:rFonts w:ascii="Times New Roman" w:hAnsi="Times New Roman"/>
          <w:color w:val="000000"/>
          <w:sz w:val="24"/>
        </w:rPr>
        <w:t xml:space="preserve">Limited Offering” means an offering that is exempt from registration under the 1933 Act pursuant to Section 4(2) or Section 4(6) thereof or pursuant to Rule 504, Rule 505, or Rule 506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color w:val="000000"/>
        </w:rPr>
      </w:pPr>
      <w:r>
        <w:rPr>
          <w:color w:val="000000"/>
        </w:rPr>
        <w:t>“</w:t>
      </w:r>
      <w:r>
        <w:rPr>
          <w:rFonts w:ascii="Times New Roman" w:hAnsi="Times New Roman"/>
          <w:color w:val="000000"/>
          <w:sz w:val="24"/>
        </w:rPr>
        <w:t>Purchase or Sale of a Covered Security” is broad and includes, among other things, the writing of an option to purchase or sell a Covered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color w:val="000000"/>
        </w:rPr>
      </w:pPr>
      <w:r>
        <w:rPr>
          <w:color w:val="000000"/>
        </w:rPr>
        <w:t>“</w:t>
      </w:r>
      <w:r>
        <w:rPr>
          <w:rFonts w:ascii="Times New Roman" w:hAnsi="Times New Roman"/>
          <w:color w:val="000000"/>
          <w:sz w:val="24"/>
        </w:rPr>
        <w:t xml:space="preserve">Security Held or to be Acquired” by the Corporation or by the Fund means: (i) any Covered Security which, within the most recent 15 days: (A) is or has been held by the Corporation or by the Fund; or (B) is being or has been considered by the Corporation, the Fund or the Advisor for purchase by the Corporation or the Fund, respectively; and (ii) any option to purchase or sell, and any security convertible into or exchangeable for a Covered Security.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color w:val="000000"/>
        </w:rPr>
      </w:pPr>
      <w:r>
        <w:rPr>
          <w:color w:val="000000"/>
        </w:rPr>
        <w:t>“</w:t>
      </w:r>
      <w:r>
        <w:rPr>
          <w:rFonts w:ascii="Times New Roman" w:hAnsi="Times New Roman"/>
          <w:color w:val="000000"/>
          <w:sz w:val="24"/>
        </w:rPr>
        <w:t xml:space="preserve">17j-1 Organization” means the Corporation, the Fund, or the Advisor, as the context requires.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III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OBJECTIVE AND GENERAL PROHIBITIONS </w:t>
      </w:r>
    </w:p>
    <w:p>
      <w:pPr>
        <w:pStyle w:val="TextBody"/>
        <w:bidi w:val="0"/>
        <w:spacing w:before="0" w:after="240"/>
        <w:jc w:val="both"/>
        <w:rPr>
          <w:rFonts w:ascii="Times New Roman" w:hAnsi="Times New Roman"/>
          <w:sz w:val="20"/>
        </w:rPr>
      </w:pPr>
      <w:r>
        <w:rPr>
          <w:rFonts w:ascii="Times New Roman" w:hAnsi="Times New Roman"/>
          <w:color w:val="000000"/>
          <w:sz w:val="24"/>
        </w:rPr>
        <w:t>Covered Personnel may not engage in any investment transaction under circumstances in which the Covered Personnel benefits from or interferes with the purchase or sale of investments by the Corporation or the Fund. In addition, Covered Personnel may not use information concerning the investments or investment intentions of the Corporation or of the Fund, or their ability to influence such investment intentions, for personal gain or in a manner detrimental to the interests of the Corporation or of the Fund.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Covered Personnel may not engage in conduct that is deceitful, fraudulent or manipulative, or that involves false or misleading statements, in connection with the purchase or sale of investments by the Corporation or by the Fund. In this regard, Covered Personnel should recognize that Rule 17j-1 makes it unlawful for any Access Person, including any affiliated person of the Corporation, the Fund or the Advisor in connection with the purchase or sale, directly or indirectly, by the person of a Security Held or to be Acquired by the Corporation or the Fund 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employ any device, scheme or artifice to defraud the Corporation or the Fund;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make any untrue statement of a material fact to the Corporation or to the Fund or omit to state to the Corporation or to the Fund a material fact necessary in order to make the statements made, in light of the circumstances under which they are made, not misleading;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engage in any act, practice or course of business that operates or would operate as a fraud or deceit upon the Corporation or upon the Fund;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engage in any manipulative practice with respect to the Corporation or the Fund. </w:t>
      </w:r>
    </w:p>
    <w:p>
      <w:pPr>
        <w:pStyle w:val="TextBody"/>
        <w:bidi w:val="0"/>
        <w:spacing w:before="0" w:after="240"/>
        <w:jc w:val="both"/>
        <w:rPr>
          <w:rFonts w:ascii="Times New Roman" w:hAnsi="Times New Roman"/>
          <w:sz w:val="20"/>
        </w:rPr>
      </w:pPr>
      <w:r>
        <w:rPr>
          <w:rFonts w:ascii="Times New Roman" w:hAnsi="Times New Roman"/>
          <w:color w:val="000000"/>
          <w:sz w:val="24"/>
        </w:rPr>
        <w:t>Covered Personnel should also recognize that a violation of this Code or of Rule 17j-1 may result in the imposition of: (1) sanctions as provided by Section IX below; or (2) administrative, civil and, in certain cases, criminal fines, sanctions or penalties.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IV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PROHIBITED TRANSACTIONS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or the Fund has purchased or sold the Covered Security within the last 15 calendar days, or is purchasing or selling or intends to purchase or sell the Covered Security in the next 15 calendar days; or (2) the Advisor has within the last 15 calendar days considered purchasing or selling the Covered Security for the Corporation or for the Fund or within the next 15 calendar days intends to consider purchasing or selling the Covered Security for the Corporation or for the Fund.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Investment Personnel of the Corporation, the Fund or the Advisor must obtain approval from the Corporation, the Fund or the Advisor, as the case may be, before directly or indirectly acquiring Beneficial Ownership in any securities in an Initial Public Offering or in a Limited Offering. Such approval must be obtained from the chief compliance officer of the Corporation, the Fund or the Advisor, as applicable (each a “CCO”) unless he or she is the person seeking such approval, in which case it must be obtained from the Chief Executive Officer of the Corporation, the Fund or the Advisor, as applicable. A sample pre-approval request form is attached hereto as </w:t>
      </w:r>
      <w:r>
        <w:rPr>
          <w:rFonts w:ascii="Times New Roman" w:hAnsi="Times New Roman"/>
          <w:color w:val="000000"/>
          <w:sz w:val="24"/>
          <w:u w:val="single"/>
        </w:rPr>
        <w:t>Schedule A</w:t>
      </w:r>
      <w:r>
        <w:rPr>
          <w:rFonts w:ascii="Times New Roman" w:hAnsi="Times New Roman"/>
          <w:color w:val="000000"/>
          <w:sz w:val="24"/>
        </w:rPr>
        <w:t xml:space="preserve">, and is available upon request from the CCO or a Compliance Representative. A record of such approval (or denial) by the CCO and a brief description of the reasoning supporting such decision will be maintained in accordance with the recordkeeping requirements of the 1940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Access Person shall recommend any transaction in any Covered Securities by the Corporation or the Fund without having disclosed to the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Access Person shall conduct a transaction in any Security issued by the Corporation during a closed trading window. Trading windows are generally closed two weeks prior to quarter end, and generally re-open three trading days following the filing of the Corporation’s quarterly report on Form 10-Q, or annual report on Form 10-K, as applicable, with the SEC. Except with the express written consent of the Corporation's or the Funds’ CCO, all Access Persons are prohibited from buying or selling options on, or futures or other derivatives related to, shares issued by the Corporation or the Fund, and are likewise prohibited from selling short shares of the Corporation or the Fund.</w:t>
      </w:r>
    </w:p>
    <w:p>
      <w:pPr>
        <w:pStyle w:val="TextBody"/>
        <w:bidi w:val="0"/>
        <w:spacing w:before="0" w:after="240"/>
        <w:jc w:val="left"/>
        <w:rPr>
          <w:rFonts w:ascii="Times New Roman" w:hAnsi="Times New Roman"/>
          <w:sz w:val="20"/>
        </w:rPr>
      </w:pPr>
      <w:r>
        <w:rPr>
          <w:rFonts w:ascii="Times New Roman" w:hAnsi="Times New Roman"/>
          <w:color w:val="000000"/>
          <w:sz w:val="24"/>
        </w:rPr>
        <w:t>During an open trading window, Access Persons must obtain approval from the Corporation before directly or indirectly acquiring Beneficial Ownership in any Security issued by the Corporation. Such approval must be obtained from the CCO of the Corporation, unless he or she is the person seeking such approval, in which case it must be obtained from the Chief Executive Officer of the Corporation. In considering whether to grant the approval, the CCO will determine whether material transactions have recently been completed by the Corporation,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whether any such transactions are imminent. A sample pre-approval request form is attached hereto as </w:t>
      </w:r>
      <w:r>
        <w:rPr>
          <w:rFonts w:ascii="Times New Roman" w:hAnsi="Times New Roman"/>
          <w:b/>
          <w:i/>
          <w:color w:val="000000"/>
          <w:sz w:val="24"/>
        </w:rPr>
        <w:t>Schedule E</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and is available upon request from the CCO or a Compliance Representative. A record of such approval (or denial) and a brief description of the reasoning supporting such decision will be maintained in accordance with the recordkeeping requirements of the Advisers Act and 1940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REPORTS BY ACCESS PERSONS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Personal Securities Holdings Reports.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Access Persons shall within 10 days of the date on which they become Access Persons (which information must be current as of a date no more than 45 days prior to the date the person becomes an Access Person), and thereafter, within 30 days after the end of each calendar year (which information must be current as of a date no more than 45 days prior to the date the person becomes an Access Person), disclose the title, number of shares and principal amount of all Covered Securities in which they have any direct or indirect Beneficial Ownership as of the date the person became an Access Person, in the case of such person’s initial report, and as of the last day of the year, as to annual reports. A form of the report required for new Access Persons, which is hereinafter called a “Personal Securities Holdings Report,” is attached as </w:t>
      </w:r>
      <w:r>
        <w:rPr>
          <w:rFonts w:ascii="Times New Roman" w:hAnsi="Times New Roman"/>
          <w:color w:val="000000"/>
          <w:sz w:val="24"/>
          <w:u w:val="single"/>
        </w:rPr>
        <w:t>Schedule B</w:t>
      </w:r>
      <w:r>
        <w:rPr>
          <w:rFonts w:ascii="Times New Roman" w:hAnsi="Times New Roman"/>
          <w:color w:val="000000"/>
          <w:sz w:val="24"/>
        </w:rPr>
        <w:t xml:space="preserve">. A form of the report required on an annual basis, which is hereinafter called an “Annual Securities Holdings Report,” is attached as </w:t>
      </w:r>
      <w:r>
        <w:rPr>
          <w:rFonts w:ascii="Times New Roman" w:hAnsi="Times New Roman"/>
          <w:color w:val="000000"/>
          <w:sz w:val="24"/>
          <w:u w:val="single"/>
        </w:rPr>
        <w:t>Schedule D</w:t>
      </w:r>
      <w:r>
        <w:rPr>
          <w:rFonts w:ascii="Times New Roman" w:hAnsi="Times New Roman"/>
          <w:color w:val="000000"/>
          <w:sz w:val="20"/>
        </w:rPr>
        <w:t xml:space="preserve"> </w:t>
      </w:r>
      <w:r>
        <w:rPr>
          <w:rFonts w:ascii="Times New Roman" w:hAnsi="Times New Roman"/>
          <w:color w:val="000000"/>
          <w:sz w:val="24"/>
        </w:rPr>
        <w:t>and is discussed in more detail below. Each Personal Securities Holdings Report and Annual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and Annual Securities Holdings Report shall state the date it is being submitted.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Quarterly Transaction Reports.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Within 30 days after the end of each calendar quarter, each Access Person shall make a written report to the CCO of all transactions occurring in the quarter in a Covered Security in which he or she had any direct or indirect Beneficial Ownership. In the report, each Access Person shall include information regarding any account established by the Access Person in which any securities were held during the quarter for the direct or indirect benefit of the Access Person. A form of such report, which is hereinafter called a “Quarterly Securities Transaction Report,” is attached as </w:t>
      </w:r>
      <w:r>
        <w:rPr>
          <w:rFonts w:ascii="Times New Roman" w:hAnsi="Times New Roman"/>
          <w:color w:val="000000"/>
          <w:sz w:val="24"/>
          <w:u w:val="single"/>
        </w:rPr>
        <w:t>Schedule 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Quarterly Securities Transaction Report shall be in the form of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or such other form approved by the CCO and must contain the following information with respect to each reportable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Date and nature of the transaction (purchase, sale or any other type of acquisition or disposition);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Title, interest rate and maturity date (if applicable), number of shares and principal amount of each Covered Security involved and the price of the Covered Security at which the transaction was effected;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Name of the broker, dealer or bank with or through whom the transaction was effected;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date the report is submitted by the Access Person.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Quarterly Securities Transaction Report in the form of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or such other form approved by the CCO must also contain the following information with respect to each reportable brokerage account: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name of the broker, dealer or bank with whom the Access Person established the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the account was established;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that the report is submitted by the Access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Annual Securities Holdings Report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Within thirty (30) days of the end of each calendar year, each Access Person must complete an Annual Securities Holdings Report (which information must be current as of a date no more than 45 days before the certification is submitted), in a form designated by the CCO, with respect to the holdings of Covered Securities. A form of such report is attached hereto as </w:t>
      </w:r>
      <w:r>
        <w:rPr>
          <w:rFonts w:ascii="Times New Roman" w:hAnsi="Times New Roman"/>
          <w:color w:val="000000"/>
          <w:sz w:val="24"/>
          <w:u w:val="single"/>
        </w:rPr>
        <w:t>Schedule 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Independent Directors.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reporting requirements set forth in this Section V, an Independent Director who would be required to make a report under this Section V solely by reason of being a director of the Corporation or of the Fund is not required to file a Personal Securities Holding Report upon becoming a director of the Corporation or of the Fund or an annual Personal Securities Holding Report. Such an Independent Director also need not file a Quarterly Securities Transaction Report unless such director knew or, in the ordinary course of fulfilling his or her official duties as a director of the Corporation or of the Fund, should have known that during the 15-day period immediately preceding or after the date of the transaction in a Covered Security by the director such Covered Security is or was purchased or sold by the Corporation, the Fund or the Advisor or the Corporation, the Fund, or the Advisor considered purchasing or selling such Covered Security.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Access Persons of the Advisor. </w:t>
      </w:r>
    </w:p>
    <w:p>
      <w:pPr>
        <w:pStyle w:val="TextBody"/>
        <w:bidi w:val="0"/>
        <w:spacing w:before="0" w:after="240"/>
        <w:jc w:val="both"/>
        <w:rPr>
          <w:rFonts w:ascii="Times New Roman" w:hAnsi="Times New Roman"/>
          <w:sz w:val="20"/>
        </w:rPr>
      </w:pPr>
      <w:r>
        <w:rPr>
          <w:rFonts w:ascii="Times New Roman" w:hAnsi="Times New Roman"/>
          <w:color w:val="000000"/>
          <w:sz w:val="24"/>
        </w:rPr>
        <w:t>An Access Person of the Advisor need not make a Personal Securities Holdings Report, Quarterly Transaction Report or an Annual Securities Holdings Report if all of the information in the report would duplicate information required to be recorded pursuant to Rule 204-2(a)(13) under the Investment Advisers Act of 1940, as amended.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Brokerage Accounts and Statements. </w:t>
      </w:r>
    </w:p>
    <w:p>
      <w:pPr>
        <w:pStyle w:val="TextBody"/>
        <w:bidi w:val="0"/>
        <w:spacing w:before="0" w:after="240"/>
        <w:jc w:val="both"/>
        <w:rPr>
          <w:rFonts w:ascii="Times New Roman" w:hAnsi="Times New Roman"/>
          <w:sz w:val="20"/>
        </w:rPr>
      </w:pPr>
      <w:r>
        <w:rPr>
          <w:rFonts w:ascii="Times New Roman" w:hAnsi="Times New Roman"/>
          <w:color w:val="000000"/>
          <w:sz w:val="24"/>
        </w:rPr>
        <w:t>An Access Person need not make a Quarterly Transaction Report if the report would duplicate information contained in broker trade confirmations or account statements received by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Corporation, the Fund or the Advisor with respect to the Access Person within 30 days after the end of each calendar quarter, if all of the information required by the Quarterly Transaction Report is contained in the broker trade confirmations or account statements, or in the records of the Corporation, the Fund or the Advisor.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of Reports. </w:t>
      </w:r>
    </w:p>
    <w:p>
      <w:pPr>
        <w:pStyle w:val="TextBody"/>
        <w:bidi w:val="0"/>
        <w:spacing w:before="0" w:after="240"/>
        <w:jc w:val="both"/>
        <w:rPr>
          <w:rFonts w:ascii="Times New Roman" w:hAnsi="Times New Roman"/>
          <w:sz w:val="20"/>
        </w:rPr>
      </w:pPr>
      <w:r>
        <w:rPr>
          <w:rFonts w:ascii="Times New Roman" w:hAnsi="Times New Roman"/>
          <w:color w:val="000000"/>
          <w:sz w:val="24"/>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Responsibility to Report. </w:t>
      </w:r>
    </w:p>
    <w:p>
      <w:pPr>
        <w:pStyle w:val="TextBody"/>
        <w:bidi w:val="0"/>
        <w:spacing w:before="0" w:after="240"/>
        <w:jc w:val="both"/>
        <w:rPr>
          <w:rFonts w:ascii="Times New Roman" w:hAnsi="Times New Roman"/>
          <w:sz w:val="20"/>
        </w:rPr>
      </w:pPr>
      <w:r>
        <w:rPr>
          <w:rFonts w:ascii="Times New Roman" w:hAnsi="Times New Roman"/>
          <w:color w:val="000000"/>
          <w:sz w:val="24"/>
        </w:rPr>
        <w:t>Access persons will be informed of their obligations to report, however, it is the responsibility of each Access Person to take the initiative to comply with the requirements of this Section V. Any effort by the Corporation, the Fund, or by the Advisor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 to File Reports. </w:t>
      </w:r>
    </w:p>
    <w:p>
      <w:pPr>
        <w:pStyle w:val="TextBody"/>
        <w:bidi w:val="0"/>
        <w:spacing w:before="0" w:after="240"/>
        <w:jc w:val="both"/>
        <w:rPr>
          <w:rFonts w:ascii="Times New Roman" w:hAnsi="Times New Roman"/>
          <w:sz w:val="20"/>
        </w:rPr>
      </w:pPr>
      <w:r>
        <w:rPr>
          <w:rFonts w:ascii="Times New Roman" w:hAnsi="Times New Roman"/>
          <w:color w:val="000000"/>
          <w:sz w:val="24"/>
        </w:rPr>
        <w:t>All Quarterly Securities Transaction Reports and Personal Securities Holdings Reports must be filed with the CCO.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Disclaimers. </w:t>
      </w:r>
    </w:p>
    <w:p>
      <w:pPr>
        <w:pStyle w:val="TextBody"/>
        <w:bidi w:val="0"/>
        <w:spacing w:before="0" w:after="240"/>
        <w:jc w:val="both"/>
        <w:rPr>
          <w:rFonts w:ascii="Times New Roman" w:hAnsi="Times New Roman"/>
          <w:sz w:val="20"/>
        </w:rPr>
      </w:pPr>
      <w:r>
        <w:rPr>
          <w:rFonts w:ascii="Times New Roman" w:hAnsi="Times New Roman"/>
          <w:color w:val="000000"/>
          <w:sz w:val="24"/>
        </w:rPr>
        <w:t>Any report required by this Section V may contain a statement that the report will not be construed as an admission that the person making the report has any direct or indirect Beneficial Ownership in the Covered Security to which the report relates.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ADDITIONAL PROHIBITIONS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Confidentiality of the Corporation’s Transactions. </w:t>
      </w:r>
    </w:p>
    <w:p>
      <w:pPr>
        <w:pStyle w:val="TextBody"/>
        <w:bidi w:val="0"/>
        <w:spacing w:before="0" w:after="240"/>
        <w:jc w:val="both"/>
        <w:rPr>
          <w:rFonts w:ascii="Times New Roman" w:hAnsi="Times New Roman"/>
          <w:sz w:val="20"/>
        </w:rPr>
      </w:pPr>
      <w:r>
        <w:rPr>
          <w:rFonts w:ascii="Times New Roman" w:hAnsi="Times New Roman"/>
          <w:color w:val="000000"/>
          <w:sz w:val="24"/>
        </w:rPr>
        <w:t>Until disclosed in a public report to shareholders or to the Securities and Exchange Commission in the normal course, all information concerning the securities “being considered for purchase or sale” by the Corporation or the Fund shall be kept confidential by all Covered Personnel and disclosed by them only on a “need to know” basis. It shall be the responsibility of the CCO to report any inadequacy found in this regard to the directors of the Corporation or the Fund,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Outside Business Activities and Directorships. </w:t>
      </w:r>
    </w:p>
    <w:p>
      <w:pPr>
        <w:pStyle w:val="TextBody"/>
        <w:bidi w:val="0"/>
        <w:spacing w:before="0" w:after="240"/>
        <w:jc w:val="both"/>
        <w:rPr>
          <w:rFonts w:ascii="Times New Roman" w:hAnsi="Times New Roman"/>
          <w:sz w:val="20"/>
        </w:rPr>
      </w:pPr>
      <w:r>
        <w:rPr>
          <w:rFonts w:ascii="Times New Roman" w:hAnsi="Times New Roman"/>
          <w:color w:val="000000"/>
          <w:sz w:val="24"/>
        </w:rPr>
        <w:t>Access Persons may not engage in any outside business activities that may give rise to conflicts of interest or jeopardize the integrity or reputation of the Corporation or the Fund. Similarly, no such outside business activities may be inconsistent with the interests of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Corporation or the Fund. All directorships of public or private companies held by Access Persons shall be reported to the CCO. Upon request, the CCO can provide an Outside Business Activity report form that may be used to notify of such activity.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Gratuities. </w:t>
      </w:r>
    </w:p>
    <w:p>
      <w:pPr>
        <w:pStyle w:val="TextBody"/>
        <w:bidi w:val="0"/>
        <w:spacing w:before="0" w:after="240"/>
        <w:jc w:val="both"/>
        <w:rPr>
          <w:rFonts w:ascii="Times New Roman" w:hAnsi="Times New Roman"/>
          <w:sz w:val="20"/>
        </w:rPr>
      </w:pPr>
      <w:r>
        <w:rPr>
          <w:rFonts w:ascii="Times New Roman" w:hAnsi="Times New Roman"/>
          <w:color w:val="000000"/>
          <w:sz w:val="24"/>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 or the Fund.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VII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PROHIBITION AGAINST INSIDER TRADING </w:t>
      </w:r>
    </w:p>
    <w:p>
      <w:pPr>
        <w:pStyle w:val="TextBody"/>
        <w:bidi w:val="0"/>
        <w:spacing w:before="0" w:after="240"/>
        <w:jc w:val="both"/>
        <w:rPr>
          <w:rFonts w:ascii="Times New Roman" w:hAnsi="Times New Roman"/>
          <w:sz w:val="20"/>
        </w:rPr>
      </w:pPr>
      <w:r>
        <w:rPr>
          <w:rFonts w:ascii="Times New Roman" w:hAnsi="Times New Roman"/>
          <w:color w:val="000000"/>
          <w:sz w:val="24"/>
        </w:rPr>
        <w:t>This Section is intended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$5,000,000 and/or twenty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fact-specific inquiry. For this reason, an Advisory Person should direct any questions about whether information is material to the CCO.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Advisory Person, before executing any trade for himself or herself, or others, including the Corporation or aFund, or other accounts managed by the Advisor or by a stockholder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Advisor, or any affiliate of the stockholder (“Client Accounts”), must determine whether he or she has material, non-public information. Any Advisory Person who believes he or she is in possession of material, non-public information must take the following steps: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Report the information and proposed trade immediately to the CCO.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Do not purchase or sell the securities on behalf of anyone, including Client Accounts.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Do not communicate the information to any person, other than to the CCO. </w:t>
      </w:r>
    </w:p>
    <w:p>
      <w:pPr>
        <w:pStyle w:val="TextBody"/>
        <w:bidi w:val="0"/>
        <w:spacing w:before="0" w:after="240"/>
        <w:jc w:val="both"/>
        <w:rPr>
          <w:rFonts w:ascii="Times New Roman" w:hAnsi="Times New Roman"/>
          <w:sz w:val="20"/>
        </w:rPr>
      </w:pPr>
      <w:r>
        <w:rPr>
          <w:rFonts w:ascii="Times New Roman" w:hAnsi="Times New Roman"/>
          <w:color w:val="000000"/>
          <w:sz w:val="24"/>
        </w:rPr>
        <w:t>After the CCO has reviewed the issue, the CCO, together with legal counsel, as appropriate will determine whether the information is material and non-public and, if so, what action the Advisory Person should take. An Advisory Person must consult with the CCO before taking any further action. This degree of caution will protect the Advisory Person and the Advisor.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prevent and detect insider trading from occurring, the CCO shall prepare and maintain a “Restricted List” in order to monitor and prevent the occurrence of insider trading in certain securities that Access Persons are prohibited or restricted from trading. The CCO manages, maintains and updates the Restricted List to actually restrict trading (no buying, no selling, no shorting, no trading, etc.) in the securities of specific issuers for personal accounts and on behalf Advisor’s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Advisor and the Corporation or the Advisor and the Fund,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Contacts with public companies will sometimes be a part of an Advisor’s research efforts. Persons providing investment advisory services to the Corporation or the Fund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Advisor must make a judgment as to its further conduct. To protect yourself, clients and the Advisor, you should contact the CCO immediately if you believe that you may have received material, non-public information.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VIII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ANNUAL CERTIFICATION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Access Persons. </w:t>
      </w:r>
    </w:p>
    <w:p>
      <w:pPr>
        <w:pStyle w:val="TextBody"/>
        <w:bidi w:val="0"/>
        <w:spacing w:before="0" w:after="240"/>
        <w:jc w:val="both"/>
        <w:rPr>
          <w:rFonts w:ascii="Times New Roman" w:hAnsi="Times New Roman"/>
          <w:sz w:val="20"/>
        </w:rPr>
      </w:pPr>
      <w:r>
        <w:rPr>
          <w:rFonts w:ascii="Times New Roman" w:hAnsi="Times New Roman"/>
          <w:color w:val="000000"/>
          <w:sz w:val="24"/>
        </w:rPr>
        <w:t>Access Persons who are directors, managers, officers or employees of the Corporation, the Fund, or the Advisor shall be required to certify annually that they have read this Code and that they understand it and recognize that they are subject to it. Further, such Access Persons shall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required to certify annually that they have complied with the requirements of this Code. A copy of the form annual acknowledgement is attached hereto as </w:t>
      </w:r>
      <w:r>
        <w:rPr>
          <w:rFonts w:ascii="Times New Roman" w:hAnsi="Times New Roman"/>
          <w:color w:val="000000"/>
          <w:sz w:val="24"/>
          <w:u w:val="single"/>
        </w:rPr>
        <w:t>Schedule 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Board Review. </w:t>
      </w:r>
    </w:p>
    <w:p>
      <w:pPr>
        <w:pStyle w:val="TextBody"/>
        <w:bidi w:val="0"/>
        <w:spacing w:before="0" w:after="240"/>
        <w:jc w:val="both"/>
        <w:rPr>
          <w:rFonts w:ascii="Times New Roman" w:hAnsi="Times New Roman"/>
          <w:sz w:val="20"/>
        </w:rPr>
      </w:pPr>
      <w:r>
        <w:rPr>
          <w:rFonts w:ascii="Times New Roman" w:hAnsi="Times New Roman"/>
          <w:color w:val="000000"/>
          <w:sz w:val="24"/>
        </w:rPr>
        <w:t>No less frequently than annually, the Corporation, the Fund, and the Advisor must furnish to the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the Fund, or the Advisor, as applicable, has adopted procedures reasonably necessary to prevent Access Persons from violating the Code.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IX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SANCTIONS </w:t>
      </w:r>
    </w:p>
    <w:p>
      <w:pPr>
        <w:pStyle w:val="TextBody"/>
        <w:bidi w:val="0"/>
        <w:spacing w:before="0" w:after="240"/>
        <w:jc w:val="both"/>
        <w:rPr>
          <w:rFonts w:ascii="Times New Roman" w:hAnsi="Times New Roman"/>
          <w:sz w:val="20"/>
        </w:rPr>
      </w:pPr>
      <w:r>
        <w:rPr>
          <w:rFonts w:ascii="Times New Roman" w:hAnsi="Times New Roman"/>
          <w:color w:val="000000"/>
          <w:sz w:val="24"/>
        </w:rPr>
        <w:t>Any violation of this Code shall be subject to the imposition of such sanctions by the 17j-1 Organization as may be deemed appropriate under the circumstances to achieve the purposes of Rule 17j-1 and this Code. The sanctions to be imposed shall be determined by the Board, including a majority of the Independent Directors, provided, however, that with respect to violations by persons who are directors, managers, officers or employees of the Advisor (or of a company that controls the Advisor), the sanctions to be imposed shall be determined by the Advisor (or the controlling person thereof). Sanctions may include, but are not limited to, suspension or termination of employment, a letter of censure and/or restitution of an amount equal to the difference between the price paid or received by the Corporation or the Fund and the more advantageous price paid or received by the offending person.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X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ADMINISTRATION AND CONSTRUCTION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administration of this Code shall be the responsibility of the CCO.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duties of the CCO are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Continuous maintenance of a current list of the names of all Access Persons with an appropriate description of their title or employment, including a notation of any directorships held by Access Persons who are officers or employees of the Advisor or of any company that controls the Advisor, and informing all Access Persons of their reporting obligations 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 an annual basis, providing all Covered Personnel a copy of this Code and informing such persons of their duties and obligations hereunder including any supplemental training that may be required from time to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Maintaining or supervising the maintenance of all records and reports required by this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Preparing listings of all transactions effected by Access Persons who are subject to the requirement to file Quarterly Securities Transaction Reports and reviewing such transactions against a listing of all transactions effected by the Corporation and the Fund;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Issuance either personally or with the assistance of counsel as may be appropriate, of any interpretation of this Code that may appear consistent with the objectives of Rule 17j-1 and this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Conduct such inspections or investigations as shall reasonably be required to detect and report, with recommendations, any apparent violations of this Code to the Board;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Submission to the Board, no less frequently than annually, of a written report that describes any issues arising under the Code since the last such report, including but not limited to the information described in Section VIII (B).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Chief Financial Officer shall maintain and cause to be maintained in an easily accessible place at the principal place of business of the 17j-1 Organization, the following records: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copy of all codes of ethics adopted by the Corporation, the Fund, or the Advisor and its affiliates, as the case may be, pursuant to Rule 17j-1 that have been in effect at any time during the past five (5) years;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record of any violation of such codes of ethics and of any action taken as a result of such violation for at least five (5) years after the end of the fiscal year in which the violation occurs;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copy of each report made by an Access Person for at least two (2) years after the end of the fiscal year in which the report is made, and for an additional three (3) years in a place that need not be easily accessible;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copy of each report made by the CCO to the Board for two (2) years from the end of the fiscal year of the Corporation in which such report is made or issued and for an additional three (3) years in a place that need not be easily accessible;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list of all persons who are, or within the past five (5) years have been, required to make reports pursuant to the Rule and this Code of Ethics, or who are or were responsible for reviewing such reports;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copy of each report required by Section VIII (B) for at least two (2) years after the end of the fiscal year in which it is made, and for an additional three (3) years in a place that need not be easily accessible;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record of any decision, and the reasons supporting the decision, to approve the acquisitions by Investment Personnel of securities in an Initial Public Offering or Limited Offering for at least five (5) years after the end of the fiscal year in which the approval is granted. </w:t>
      </w:r>
    </w:p>
    <w:p>
      <w:pPr>
        <w:pStyle w:val="TextBody"/>
        <w:bidi w:val="0"/>
        <w:spacing w:before="0" w:after="240"/>
        <w:jc w:val="both"/>
        <w:rPr>
          <w:rFonts w:ascii="Times New Roman" w:hAnsi="Times New Roman"/>
          <w:sz w:val="20"/>
        </w:rPr>
      </w:pPr>
      <w:r>
        <w:rPr>
          <w:rFonts w:ascii="Times New Roman" w:hAnsi="Times New Roman"/>
          <w:color w:val="000000"/>
          <w:sz w:val="24"/>
        </w:rPr>
        <w:t>This Code may not be amended or modified except in a written form that is specifically approved by majority vote of the Independent Directors.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fdus-ex21_1.htm"/>
      <w:bookmarkStart w:id="35" w:name="ksfdusex21_1"/>
      <w:bookmarkEnd w:id="34"/>
      <w:bookmarkEnd w:id="35"/>
      <w:r>
        <w:rPr>
          <w:rFonts w:ascii="Times New Roman" w:hAnsi="Times New Roman"/>
          <w:b/>
          <w:color w:val="000000"/>
          <w:sz w:val="20"/>
        </w:rPr>
        <w:t>Exhibit 21.1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SUBSIDIARIES OF FIDUS INVESTMENT CORPORATION</w:t>
      </w:r>
    </w:p>
    <w:p>
      <w:pPr>
        <w:pStyle w:val="TextBody"/>
        <w:bidi w:val="0"/>
        <w:spacing w:before="180" w:after="283"/>
        <w:jc w:val="center"/>
        <w:rPr/>
      </w:pPr>
      <w:r>
        <w:rPr/>
        <w:t> </w:t>
      </w:r>
    </w:p>
    <w:tbl>
      <w:tblPr>
        <w:tblW w:w="6733" w:type="dxa"/>
        <w:jc w:val="left"/>
        <w:tblInd w:w="0" w:type="dxa"/>
        <w:tblLayout w:type="fixed"/>
        <w:tblCellMar>
          <w:top w:w="28" w:type="dxa"/>
          <w:left w:w="28" w:type="dxa"/>
          <w:bottom w:w="28" w:type="dxa"/>
          <w:right w:w="28" w:type="dxa"/>
        </w:tblCellMar>
      </w:tblPr>
      <w:tblGrid>
        <w:gridCol w:w="5146"/>
        <w:gridCol w:w="162"/>
        <w:gridCol w:w="162"/>
        <w:gridCol w:w="872"/>
        <w:gridCol w:w="391"/>
      </w:tblGrid>
      <w:tr>
        <w:trPr/>
        <w:tc>
          <w:tcPr>
            <w:tcW w:w="5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283"/>
              <w:jc w:val="both"/>
              <w:rPr/>
            </w:pPr>
            <w:r>
              <w:rPr/>
              <w:t> </w:t>
            </w:r>
          </w:p>
        </w:tc>
        <w:tc>
          <w:tcPr>
            <w:tcW w:w="872" w:type="dxa"/>
            <w:tcBorders/>
            <w:vAlign w:val="center"/>
          </w:tcPr>
          <w:p>
            <w:pPr>
              <w:pStyle w:val="TableContents"/>
              <w:bidi w:val="0"/>
              <w:spacing w:before="0" w:after="283"/>
              <w:jc w:val="both"/>
              <w:rPr/>
            </w:pPr>
            <w:r>
              <w:rPr/>
              <w:t> </w:t>
            </w:r>
          </w:p>
        </w:tc>
        <w:tc>
          <w:tcPr>
            <w:tcW w:w="391" w:type="dxa"/>
            <w:tcBorders/>
            <w:vAlign w:val="center"/>
          </w:tcPr>
          <w:p>
            <w:pPr>
              <w:pStyle w:val="TableContents"/>
              <w:bidi w:val="0"/>
              <w:spacing w:before="0" w:after="283"/>
              <w:jc w:val="both"/>
              <w:rPr/>
            </w:pPr>
            <w:r>
              <w:rPr/>
              <w:t> </w:t>
            </w:r>
          </w:p>
        </w:tc>
      </w:tr>
      <w:tr>
        <w:trPr/>
        <w:tc>
          <w:tcPr>
            <w:tcW w:w="5146" w:type="dxa"/>
            <w:tcBorders>
              <w:bottom w:val="single" w:sz="4" w:space="0" w:color="000000"/>
            </w:tcBorders>
            <w:tcMar>
              <w:top w:w="0" w:type="dxa"/>
              <w:left w:w="0" w:type="dxa"/>
              <w:right w:w="0" w:type="dxa"/>
            </w:tcMar>
            <w:vAlign w:val="center"/>
          </w:tcPr>
          <w:p>
            <w:pPr>
              <w:pStyle w:val="TableContents"/>
              <w:pBdr>
                <w:bottom w:val="single" w:sz="6" w:space="1" w:color="000000"/>
              </w:pBdr>
              <w:bidi w:val="0"/>
              <w:spacing w:before="0" w:after="283"/>
              <w:ind w:left="0" w:right="4665" w:hanging="0"/>
              <w:jc w:val="both"/>
              <w:rPr>
                <w:rFonts w:ascii="Times New Roman" w:hAnsi="Times New Roman"/>
                <w:b/>
                <w:color w:val="000000"/>
                <w:sz w:val="15"/>
              </w:rPr>
            </w:pPr>
            <w:r>
              <w:rPr>
                <w:rFonts w:ascii="Times New Roman" w:hAnsi="Times New Roman"/>
                <w:b/>
                <w:color w:val="000000"/>
                <w:sz w:val="15"/>
              </w:rPr>
              <w:t>Name</w:t>
            </w:r>
          </w:p>
        </w:tc>
        <w:tc>
          <w:tcPr>
            <w:tcW w:w="162" w:type="dxa"/>
            <w:tcBorders>
              <w:bottom w:val="single" w:sz="4" w:space="0" w:color="000000"/>
            </w:tcBorders>
            <w:tcMar>
              <w:top w:w="0" w:type="dxa"/>
              <w:left w:w="0" w:type="dxa"/>
              <w:right w:w="0" w:type="dxa"/>
            </w:tcMar>
            <w:vAlign w:val="center"/>
          </w:tcPr>
          <w:p>
            <w:pPr>
              <w:pStyle w:val="TableContents"/>
              <w:bidi w:val="0"/>
              <w:spacing w:before="0" w:after="283"/>
              <w:ind w:left="0" w:right="16" w:hanging="0"/>
              <w:jc w:val="left"/>
              <w:rPr>
                <w:sz w:val="4"/>
                <w:szCs w:val="4"/>
              </w:rPr>
            </w:pPr>
            <w:r>
              <w:rPr>
                <w:sz w:val="4"/>
                <w:szCs w:val="4"/>
              </w:rPr>
            </w:r>
          </w:p>
        </w:tc>
        <w:tc>
          <w:tcPr>
            <w:tcW w:w="1034"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36" w:hanging="0"/>
              <w:jc w:val="center"/>
              <w:rPr>
                <w:rFonts w:ascii="Times New Roman" w:hAnsi="Times New Roman"/>
                <w:b/>
                <w:color w:val="000000"/>
                <w:sz w:val="15"/>
              </w:rPr>
            </w:pPr>
            <w:r>
              <w:rPr>
                <w:rFonts w:ascii="Times New Roman" w:hAnsi="Times New Roman"/>
                <w:b/>
                <w:color w:val="000000"/>
                <w:sz w:val="15"/>
              </w:rPr>
              <w:t>Jurisdiction</w:t>
            </w:r>
          </w:p>
        </w:tc>
        <w:tc>
          <w:tcPr>
            <w:tcW w:w="391" w:type="dxa"/>
            <w:tcBorders>
              <w:bottom w:val="single" w:sz="6" w:space="0" w:color="000000"/>
            </w:tcBorders>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FCDS Corp.</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both"/>
              <w:rPr/>
            </w:pPr>
            <w:r>
              <w:rPr/>
              <w:t> </w:t>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FCMH Equity Corp.</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Capital GP, LLC</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both"/>
              <w:rPr/>
            </w:pPr>
            <w:r>
              <w:rPr/>
              <w:t> </w:t>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Investment GP, LLC</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Mezzanine Capital, L.P.</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Mezzanine Capital II, L.P.</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both"/>
              <w:rPr/>
            </w:pPr>
            <w:r>
              <w:rPr/>
              <w:t> </w:t>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Mezzanine Capital III, L.P.</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both"/>
              <w:rPr/>
            </w:pPr>
            <w:r>
              <w:rPr/>
              <w:t> </w:t>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Mezzanine Capital IV, L.P.</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0" w:firstLine="200"/>
              <w:jc w:val="both"/>
              <w:rPr/>
            </w:pPr>
            <w:r>
              <w:rPr/>
              <w:t> </w:t>
            </w:r>
          </w:p>
        </w:tc>
      </w:tr>
      <w:tr>
        <w:trPr/>
        <w:tc>
          <w:tcPr>
            <w:tcW w:w="5146" w:type="dxa"/>
            <w:tcBorders/>
            <w:vAlign w:val="center"/>
          </w:tcPr>
          <w:p>
            <w:pPr>
              <w:pStyle w:val="TableContents"/>
              <w:pBdr/>
              <w:bidi w:val="0"/>
              <w:spacing w:before="0" w:after="283"/>
              <w:ind w:left="0" w:right="16" w:hanging="200"/>
              <w:jc w:val="both"/>
              <w:rPr>
                <w:rFonts w:ascii="Times New Roman" w:hAnsi="Times New Roman"/>
                <w:color w:val="000000"/>
                <w:sz w:val="20"/>
              </w:rPr>
            </w:pPr>
            <w:r>
              <w:rPr>
                <w:rFonts w:ascii="Times New Roman" w:hAnsi="Times New Roman"/>
                <w:color w:val="000000"/>
                <w:sz w:val="20"/>
              </w:rPr>
              <w:t>Fidus Investment Holdings, Inc.</w:t>
            </w:r>
          </w:p>
        </w:tc>
        <w:tc>
          <w:tcPr>
            <w:tcW w:w="162" w:type="dxa"/>
            <w:tcBorders/>
            <w:vAlign w:val="center"/>
          </w:tcPr>
          <w:p>
            <w:pPr>
              <w:pStyle w:val="TableContents"/>
              <w:bidi w:val="0"/>
              <w:spacing w:before="0" w:after="283"/>
              <w:ind w:left="0" w:right="16" w:hanging="0"/>
              <w:jc w:val="both"/>
              <w:rPr/>
            </w:pPr>
            <w:r>
              <w:rPr/>
              <w:t> </w:t>
            </w:r>
          </w:p>
        </w:tc>
        <w:tc>
          <w:tcPr>
            <w:tcW w:w="162" w:type="dxa"/>
            <w:tcBorders/>
            <w:vAlign w:val="center"/>
          </w:tcPr>
          <w:p>
            <w:pPr>
              <w:pStyle w:val="TableContents"/>
              <w:bidi w:val="0"/>
              <w:spacing w:before="0" w:after="283"/>
              <w:ind w:left="0" w:right="16" w:hanging="0"/>
              <w:jc w:val="both"/>
              <w:rPr/>
            </w:pPr>
            <w:r>
              <w:rPr/>
              <w:t> </w:t>
            </w:r>
          </w:p>
        </w:tc>
        <w:tc>
          <w:tcPr>
            <w:tcW w:w="872" w:type="dxa"/>
            <w:tcBorders/>
            <w:vAlign w:val="center"/>
          </w:tcPr>
          <w:p>
            <w:pPr>
              <w:pStyle w:val="TableContents"/>
              <w:bidi w:val="0"/>
              <w:spacing w:before="0" w:after="283"/>
              <w:ind w:left="0" w:right="16" w:hanging="0"/>
              <w:jc w:val="right"/>
              <w:rPr>
                <w:rFonts w:ascii="Times New Roman" w:hAnsi="Times New Roman"/>
                <w:color w:val="000000"/>
                <w:sz w:val="20"/>
              </w:rPr>
            </w:pPr>
            <w:r>
              <w:rPr>
                <w:rFonts w:ascii="Times New Roman" w:hAnsi="Times New Roman"/>
                <w:color w:val="000000"/>
                <w:sz w:val="20"/>
              </w:rPr>
              <w:t>Delaware</w:t>
            </w:r>
          </w:p>
        </w:tc>
        <w:tc>
          <w:tcPr>
            <w:tcW w:w="391" w:type="dxa"/>
            <w:tcBorders/>
            <w:vAlign w:val="center"/>
          </w:tcPr>
          <w:p>
            <w:pPr>
              <w:pStyle w:val="TableContents"/>
              <w:bidi w:val="0"/>
              <w:spacing w:before="0" w:after="283"/>
              <w:ind w:left="0" w:right="16" w:hanging="0"/>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fdus-ex23_1.htm"/>
      <w:bookmarkStart w:id="37" w:name="ksfdusex23_1"/>
      <w:bookmarkEnd w:id="36"/>
      <w:bookmarkEnd w:id="37"/>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consent to the incorporation by reference in the Registration Statement (333-253525) on Form N-2 of Fidus Investment Corporation of our report dated February 29, 2024, relating to the consolidated financial statements, including the senior securities table, of Fidus Investment Corporation, appearing in the Annual Report on Form 10-K of Fidus Investment Corporation for the year ended December 31, 2023. </w:t>
        <w:br/>
        <w:br/>
        <w:br/>
        <w:br/>
        <w:br/>
        <w:br/>
        <w:br/>
        <w:br/>
        <w:t>/s/ RSM US LLP</w:t>
        <w:br/>
        <w:br/>
        <w:br/>
        <w:br/>
        <w:t>Chicago, Illinois</w:t>
        <w:br/>
        <w:br/>
        <w:t>February 29, 2024</w:t>
      </w:r>
      <w:r>
        <w:rPr>
          <w:rFonts w:ascii="Times New Roman" w:hAnsi="Times New Roman"/>
          <w:b/>
          <w:color w:val="000000"/>
          <w:sz w:val="20"/>
        </w:rPr>
        <w:br/>
        <w:br/>
        <w:b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fdus-ex31_1.htm"/>
      <w:bookmarkStart w:id="39" w:name="ksfdusex31_1"/>
      <w:bookmarkEnd w:id="38"/>
      <w:bookmarkEnd w:id="39"/>
      <w:r>
        <w:rPr>
          <w:rFonts w:ascii="Times New Roman" w:hAnsi="Times New Roman"/>
          <w:b/>
          <w:color w:val="000000"/>
          <w:sz w:val="20"/>
        </w:rPr>
        <w:t>Exhibit 31.1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tbl>
      <w:tblPr>
        <w:tblW w:w="10205" w:type="dxa"/>
        <w:jc w:val="left"/>
        <w:tblInd w:w="0" w:type="dxa"/>
        <w:tblLayout w:type="fixed"/>
        <w:tblCellMar>
          <w:top w:w="28" w:type="dxa"/>
          <w:left w:w="28" w:type="dxa"/>
          <w:bottom w:w="28" w:type="dxa"/>
          <w:right w:w="28" w:type="dxa"/>
        </w:tblCellMar>
      </w:tblPr>
      <w:tblGrid>
        <w:gridCol w:w="255"/>
        <w:gridCol w:w="304"/>
        <w:gridCol w:w="9646"/>
      </w:tblGrid>
      <w:tr>
        <w:trPr/>
        <w:tc>
          <w:tcPr>
            <w:tcW w:w="2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 have reviewed this Annual Report on Form 10-K of Fidus Investment Corporation;</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3.</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4.</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5.</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Date: February 29, 2024</w:t>
      </w:r>
    </w:p>
    <w:tbl>
      <w:tblPr>
        <w:tblW w:w="3287" w:type="dxa"/>
        <w:jc w:val="left"/>
        <w:tblInd w:w="0" w:type="dxa"/>
        <w:tblLayout w:type="fixed"/>
        <w:tblCellMar>
          <w:top w:w="28" w:type="dxa"/>
          <w:left w:w="28" w:type="dxa"/>
          <w:bottom w:w="28" w:type="dxa"/>
          <w:right w:w="28" w:type="dxa"/>
        </w:tblCellMar>
      </w:tblPr>
      <w:tblGrid>
        <w:gridCol w:w="3287"/>
      </w:tblGrid>
      <w:tr>
        <w:trPr/>
        <w:tc>
          <w:tcPr>
            <w:tcW w:w="3287" w:type="dxa"/>
            <w:tcBorders/>
            <w:vAlign w:val="center"/>
          </w:tcPr>
          <w:p>
            <w:pPr>
              <w:pStyle w:val="TableContents"/>
              <w:bidi w:val="0"/>
              <w:spacing w:before="0" w:after="283"/>
              <w:jc w:val="left"/>
              <w:rPr>
                <w:sz w:val="4"/>
                <w:szCs w:val="4"/>
              </w:rPr>
            </w:pPr>
            <w:r>
              <w:rPr>
                <w:sz w:val="4"/>
                <w:szCs w:val="4"/>
              </w:rPr>
            </w:r>
          </w:p>
        </w:tc>
      </w:tr>
      <w:tr>
        <w:trPr/>
        <w:tc>
          <w:tcPr>
            <w:tcW w:w="3287" w:type="dxa"/>
            <w:tcBorders/>
            <w:vAlign w:val="center"/>
          </w:tcPr>
          <w:p>
            <w:pPr>
              <w:pStyle w:val="TableContents"/>
              <w:bidi w:val="0"/>
              <w:spacing w:before="0" w:after="283"/>
              <w:jc w:val="both"/>
              <w:rPr/>
            </w:pPr>
            <w:r>
              <w:rPr/>
              <w:t> </w:t>
            </w:r>
          </w:p>
        </w:tc>
      </w:tr>
      <w:tr>
        <w:trPr/>
        <w:tc>
          <w:tcPr>
            <w:tcW w:w="3287" w:type="dxa"/>
            <w:tcBorders/>
            <w:vAlign w:val="center"/>
          </w:tcPr>
          <w:p>
            <w:pPr>
              <w:pStyle w:val="TableContents"/>
              <w:pBdr>
                <w:bottom w:val="single" w:sz="6" w:space="1" w:color="000000"/>
              </w:pBdr>
              <w:bidi w:val="0"/>
              <w:spacing w:before="0" w:after="283"/>
              <w:ind w:left="0" w:right="16" w:hanging="0"/>
              <w:jc w:val="both"/>
              <w:rPr>
                <w:rFonts w:ascii="Times New Roman" w:hAnsi="Times New Roman"/>
                <w:color w:val="000000"/>
                <w:sz w:val="20"/>
              </w:rPr>
            </w:pPr>
            <w:r>
              <w:rPr>
                <w:rFonts w:ascii="Times New Roman" w:hAnsi="Times New Roman"/>
                <w:color w:val="000000"/>
                <w:sz w:val="20"/>
              </w:rPr>
              <w:t>/s/ EDWARD H. ROSS</w:t>
            </w:r>
          </w:p>
        </w:tc>
      </w:tr>
      <w:tr>
        <w:trPr/>
        <w:tc>
          <w:tcPr>
            <w:tcW w:w="328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Edward H. Ross</w:t>
            </w:r>
          </w:p>
        </w:tc>
      </w:tr>
      <w:tr>
        <w:trPr/>
        <w:tc>
          <w:tcPr>
            <w:tcW w:w="328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Chairman and Chief Executive Officer</w:t>
            </w:r>
          </w:p>
        </w:tc>
      </w:tr>
      <w:tr>
        <w:trPr/>
        <w:tc>
          <w:tcPr>
            <w:tcW w:w="328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fdus-ex31_2.htm"/>
      <w:bookmarkStart w:id="41" w:name="ksfdusex31_2"/>
      <w:bookmarkEnd w:id="40"/>
      <w:bookmarkEnd w:id="41"/>
      <w:r>
        <w:rPr>
          <w:rFonts w:ascii="Times New Roman" w:hAnsi="Times New Roman"/>
          <w:b/>
          <w:color w:val="000000"/>
          <w:sz w:val="20"/>
        </w:rPr>
        <w:t>Exhibit 31.2</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55"/>
        <w:gridCol w:w="304"/>
        <w:gridCol w:w="9646"/>
      </w:tblGrid>
      <w:tr>
        <w:trPr/>
        <w:tc>
          <w:tcPr>
            <w:tcW w:w="25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I have reviewed this Annual Report on Form 10-K of Fidus Investment Corporation;</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3.</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4.</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55"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5.</w:t>
            </w:r>
          </w:p>
        </w:tc>
        <w:tc>
          <w:tcPr>
            <w:tcW w:w="9950" w:type="dxa"/>
            <w:gridSpan w:val="2"/>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55" w:type="dxa"/>
            <w:tcBorders/>
            <w:vAlign w:val="center"/>
          </w:tcPr>
          <w:p>
            <w:pPr>
              <w:pStyle w:val="TableContents"/>
              <w:bidi w:val="0"/>
              <w:spacing w:before="0" w:after="283"/>
              <w:ind w:left="0" w:right="16" w:hanging="0"/>
              <w:jc w:val="left"/>
              <w:rPr>
                <w:sz w:val="4"/>
                <w:szCs w:val="4"/>
              </w:rPr>
            </w:pPr>
            <w:r>
              <w:rPr>
                <w:sz w:val="4"/>
                <w:szCs w:val="4"/>
              </w:rPr>
            </w:r>
          </w:p>
        </w:tc>
        <w:tc>
          <w:tcPr>
            <w:tcW w:w="30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(b)</w:t>
            </w:r>
          </w:p>
        </w:tc>
        <w:tc>
          <w:tcPr>
            <w:tcW w:w="9646"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Date: February 29, 2024</w:t>
      </w:r>
    </w:p>
    <w:tbl>
      <w:tblPr>
        <w:tblW w:w="3797" w:type="dxa"/>
        <w:jc w:val="left"/>
        <w:tblInd w:w="0" w:type="dxa"/>
        <w:tblLayout w:type="fixed"/>
        <w:tblCellMar>
          <w:top w:w="28" w:type="dxa"/>
          <w:left w:w="28" w:type="dxa"/>
          <w:bottom w:w="28" w:type="dxa"/>
          <w:right w:w="28" w:type="dxa"/>
        </w:tblCellMar>
      </w:tblPr>
      <w:tblGrid>
        <w:gridCol w:w="3797"/>
      </w:tblGrid>
      <w:tr>
        <w:trPr/>
        <w:tc>
          <w:tcPr>
            <w:tcW w:w="3797" w:type="dxa"/>
            <w:tcBorders/>
            <w:vAlign w:val="center"/>
          </w:tcPr>
          <w:p>
            <w:pPr>
              <w:pStyle w:val="TableContents"/>
              <w:bidi w:val="0"/>
              <w:spacing w:before="0" w:after="283"/>
              <w:jc w:val="left"/>
              <w:rPr>
                <w:sz w:val="4"/>
                <w:szCs w:val="4"/>
              </w:rPr>
            </w:pPr>
            <w:r>
              <w:rPr>
                <w:sz w:val="4"/>
                <w:szCs w:val="4"/>
              </w:rPr>
            </w:r>
          </w:p>
        </w:tc>
      </w:tr>
      <w:tr>
        <w:trPr/>
        <w:tc>
          <w:tcPr>
            <w:tcW w:w="3797" w:type="dxa"/>
            <w:tcBorders/>
            <w:vAlign w:val="center"/>
          </w:tcPr>
          <w:p>
            <w:pPr>
              <w:pStyle w:val="TableContents"/>
              <w:bidi w:val="0"/>
              <w:spacing w:before="0" w:after="283"/>
              <w:jc w:val="both"/>
              <w:rPr/>
            </w:pPr>
            <w:r>
              <w:rPr/>
              <w:t> </w:t>
            </w:r>
          </w:p>
        </w:tc>
      </w:tr>
      <w:tr>
        <w:trPr/>
        <w:tc>
          <w:tcPr>
            <w:tcW w:w="3797" w:type="dxa"/>
            <w:tcBorders/>
            <w:vAlign w:val="center"/>
          </w:tcPr>
          <w:p>
            <w:pPr>
              <w:pStyle w:val="TableContents"/>
              <w:pBdr>
                <w:bottom w:val="single" w:sz="6" w:space="1" w:color="000000"/>
              </w:pBdr>
              <w:bidi w:val="0"/>
              <w:spacing w:before="0" w:after="283"/>
              <w:ind w:left="0" w:right="16" w:hanging="0"/>
              <w:jc w:val="both"/>
              <w:rPr>
                <w:rFonts w:ascii="Times New Roman" w:hAnsi="Times New Roman"/>
                <w:color w:val="000000"/>
                <w:sz w:val="20"/>
              </w:rPr>
            </w:pPr>
            <w:r>
              <w:rPr>
                <w:rFonts w:ascii="Times New Roman" w:hAnsi="Times New Roman"/>
                <w:color w:val="000000"/>
                <w:sz w:val="20"/>
              </w:rPr>
              <w:t>/s/ SHELBY E. SHERARD</w:t>
            </w:r>
          </w:p>
        </w:tc>
      </w:tr>
      <w:tr>
        <w:trPr/>
        <w:tc>
          <w:tcPr>
            <w:tcW w:w="3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Shelby E. Sherard</w:t>
            </w:r>
          </w:p>
        </w:tc>
      </w:tr>
      <w:tr>
        <w:trPr/>
        <w:tc>
          <w:tcPr>
            <w:tcW w:w="3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Chief Financial Officer</w:t>
            </w:r>
          </w:p>
        </w:tc>
      </w:tr>
      <w:tr>
        <w:trPr/>
        <w:tc>
          <w:tcPr>
            <w:tcW w:w="379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fdus-ex32_1.htm"/>
      <w:bookmarkStart w:id="43" w:name="ksfdusex32_1"/>
      <w:bookmarkEnd w:id="42"/>
      <w:bookmarkEnd w:id="43"/>
      <w:r>
        <w:rPr>
          <w:rFonts w:ascii="Times New Roman" w:hAnsi="Times New Roman"/>
          <w:b/>
          <w:color w:val="000000"/>
          <w:sz w:val="20"/>
        </w:rPr>
        <w:t>Exhibit 32.1</w:t>
      </w:r>
      <w:r>
        <w:br w:type="page"/>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connection with the Annual Report on Form 10-K of Fidus Investment Corporation (the “Company”) for the annual period ended December 31, 2023, as filed with the U.S.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tbl>
      <w:tblPr>
        <w:tblW w:w="10205" w:type="dxa"/>
        <w:jc w:val="left"/>
        <w:tblInd w:w="0" w:type="dxa"/>
        <w:tblLayout w:type="fixed"/>
        <w:tblCellMar>
          <w:top w:w="28" w:type="dxa"/>
          <w:left w:w="28" w:type="dxa"/>
          <w:bottom w:w="28" w:type="dxa"/>
          <w:right w:w="28" w:type="dxa"/>
        </w:tblCellMar>
      </w:tblPr>
      <w:tblGrid>
        <w:gridCol w:w="124"/>
        <w:gridCol w:w="334"/>
        <w:gridCol w:w="9747"/>
      </w:tblGrid>
      <w:tr>
        <w:trPr/>
        <w:tc>
          <w:tcPr>
            <w:tcW w:w="1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4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33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(1)</w:t>
            </w:r>
          </w:p>
        </w:tc>
        <w:tc>
          <w:tcPr>
            <w:tcW w:w="974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tc>
      </w:tr>
      <w:tr>
        <w:trPr/>
        <w:tc>
          <w:tcPr>
            <w:tcW w:w="124" w:type="dxa"/>
            <w:tcBorders/>
            <w:vAlign w:val="center"/>
          </w:tcPr>
          <w:p>
            <w:pPr>
              <w:pStyle w:val="TableContents"/>
              <w:bidi w:val="0"/>
              <w:spacing w:before="0" w:after="283"/>
              <w:ind w:left="0" w:right="16" w:hanging="0"/>
              <w:jc w:val="left"/>
              <w:rPr>
                <w:sz w:val="4"/>
                <w:szCs w:val="4"/>
              </w:rPr>
            </w:pPr>
            <w:r>
              <w:rPr>
                <w:sz w:val="4"/>
                <w:szCs w:val="4"/>
              </w:rPr>
            </w:r>
          </w:p>
        </w:tc>
        <w:tc>
          <w:tcPr>
            <w:tcW w:w="334"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(2)</w:t>
            </w:r>
          </w:p>
        </w:tc>
        <w:tc>
          <w:tcPr>
            <w:tcW w:w="9747"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tbl>
      <w:tblPr>
        <w:tblW w:w="6030" w:type="dxa"/>
        <w:jc w:val="left"/>
        <w:tblInd w:w="0" w:type="dxa"/>
        <w:tblLayout w:type="fixed"/>
        <w:tblCellMar>
          <w:top w:w="28" w:type="dxa"/>
          <w:left w:w="28" w:type="dxa"/>
          <w:bottom w:w="28" w:type="dxa"/>
          <w:right w:w="28" w:type="dxa"/>
        </w:tblCellMar>
      </w:tblPr>
      <w:tblGrid>
        <w:gridCol w:w="2102"/>
        <w:gridCol w:w="146"/>
        <w:gridCol w:w="3782"/>
      </w:tblGrid>
      <w:tr>
        <w:trPr/>
        <w:tc>
          <w:tcPr>
            <w:tcW w:w="2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3782" w:type="dxa"/>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Date: February 29, 2024</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pBdr>
                <w:bottom w:val="single" w:sz="6" w:space="1" w:color="000000"/>
              </w:pBdr>
              <w:bidi w:val="0"/>
              <w:spacing w:before="0" w:after="283"/>
              <w:ind w:left="0" w:right="16" w:hanging="0"/>
              <w:jc w:val="both"/>
              <w:rPr>
                <w:rFonts w:ascii="Times New Roman" w:hAnsi="Times New Roman"/>
                <w:color w:val="000000"/>
                <w:sz w:val="20"/>
              </w:rPr>
            </w:pPr>
            <w:r>
              <w:rPr>
                <w:rFonts w:ascii="Times New Roman" w:hAnsi="Times New Roman"/>
                <w:color w:val="000000"/>
                <w:sz w:val="20"/>
              </w:rPr>
              <w:t>/s/ EDWARD H. ROSS</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Edward H. Ross</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Chairman and Chief Executive Officer</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(Principal Executive Officer)</w:t>
            </w:r>
          </w:p>
        </w:tc>
      </w:tr>
      <w:tr>
        <w:trPr/>
        <w:tc>
          <w:tcPr>
            <w:tcW w:w="2102" w:type="dxa"/>
            <w:tcBorders/>
            <w:vAlign w:val="center"/>
          </w:tcPr>
          <w:p>
            <w:pPr>
              <w:pStyle w:val="TableContents"/>
              <w:bidi w:val="0"/>
              <w:spacing w:before="0" w:after="283"/>
              <w:jc w:val="both"/>
              <w:rPr/>
            </w:pPr>
            <w:r>
              <w:rPr/>
              <w:t> </w:t>
            </w:r>
          </w:p>
        </w:tc>
        <w:tc>
          <w:tcPr>
            <w:tcW w:w="3928" w:type="dxa"/>
            <w:gridSpan w:val="2"/>
            <w:tcBorders/>
            <w:vAlign w:val="center"/>
          </w:tcPr>
          <w:p>
            <w:pPr>
              <w:pStyle w:val="TableContents"/>
              <w:bidi w:val="0"/>
              <w:spacing w:before="0" w:after="283"/>
              <w:jc w:val="both"/>
              <w:rPr/>
            </w:pPr>
            <w:r>
              <w:rPr/>
              <w:t> </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pBdr>
                <w:bottom w:val="single" w:sz="6" w:space="1" w:color="000000"/>
              </w:pBdr>
              <w:bidi w:val="0"/>
              <w:spacing w:before="0" w:after="283"/>
              <w:ind w:left="0" w:right="16" w:hanging="0"/>
              <w:jc w:val="both"/>
              <w:rPr>
                <w:rFonts w:ascii="Times New Roman" w:hAnsi="Times New Roman"/>
                <w:color w:val="000000"/>
                <w:sz w:val="20"/>
              </w:rPr>
            </w:pPr>
            <w:r>
              <w:rPr>
                <w:rFonts w:ascii="Times New Roman" w:hAnsi="Times New Roman"/>
                <w:color w:val="000000"/>
                <w:sz w:val="20"/>
              </w:rPr>
              <w:t>/s/ SHELBY E. SHERARD</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Shelby E. Sherard</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Chief Financial Officer</w:t>
            </w:r>
          </w:p>
        </w:tc>
      </w:tr>
      <w:tr>
        <w:trPr/>
        <w:tc>
          <w:tcPr>
            <w:tcW w:w="2102"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3782" w:type="dxa"/>
            <w:tcBorders/>
            <w:vAlign w:val="center"/>
          </w:tcPr>
          <w:p>
            <w:pPr>
              <w:pStyle w:val="TableContents"/>
              <w:bidi w:val="0"/>
              <w:spacing w:before="0" w:after="283"/>
              <w:ind w:left="0" w:right="16" w:hanging="0"/>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4" w:name="fdus-ex97_1.htm"/>
      <w:bookmarkStart w:id="45" w:name="ksfdusex97_1"/>
      <w:bookmarkEnd w:id="44"/>
      <w:bookmarkEnd w:id="45"/>
      <w:r>
        <w:rPr/>
        <w:t> </w:t>
      </w:r>
      <w:r>
        <w:br w:type="page"/>
      </w:r>
    </w:p>
    <w:p>
      <w:pPr>
        <w:pStyle w:val="TextBody"/>
        <w:bidi w:val="0"/>
        <w:spacing w:before="100" w:after="283"/>
        <w:jc w:val="right"/>
        <w:rPr>
          <w:rFonts w:ascii="Times New Roman" w:hAnsi="Times New Roman"/>
          <w:b/>
          <w:color w:val="000000"/>
          <w:sz w:val="24"/>
        </w:rPr>
      </w:pPr>
      <w:r>
        <w:rPr>
          <w:rFonts w:ascii="Times New Roman" w:hAnsi="Times New Roman"/>
          <w:b/>
          <w:color w:val="000000"/>
          <w:sz w:val="24"/>
        </w:rPr>
        <w:t>Exhibit 97.1</w:t>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FIDUS INVESTMENT CORPORATION</w:t>
      </w:r>
    </w:p>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COMPENSATION RECOUPMENT POLICY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Board of Directors of Fidus Investment Corporation has adopted the following Compensation Recoupment Policy effective as of December 1, 2023.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Purpose</w:t>
      </w:r>
    </w:p>
    <w:p>
      <w:pPr>
        <w:pStyle w:val="TextBody"/>
        <w:bidi w:val="0"/>
        <w:jc w:val="both"/>
        <w:rPr/>
      </w:pPr>
      <w:r>
        <w:rPr/>
        <w:t> </w:t>
      </w:r>
    </w:p>
    <w:p>
      <w:pPr>
        <w:pStyle w:val="TextBody"/>
        <w:bidi w:val="0"/>
        <w:jc w:val="both"/>
        <w:rPr>
          <w:rFonts w:ascii="Times New Roman" w:hAnsi="Times New Roman"/>
          <w:sz w:val="20"/>
        </w:rPr>
      </w:pPr>
      <w:bookmarkStart w:id="46" w:name="ole_link1"/>
      <w:bookmarkEnd w:id="46"/>
      <w:r>
        <w:rPr>
          <w:rFonts w:ascii="Times New Roman" w:hAnsi="Times New Roman"/>
          <w:color w:val="000000"/>
          <w:sz w:val="24"/>
        </w:rPr>
        <w:t>It is the intention of the Board that this Compensation Recoupment Policy be interpreted and administered in a manner consistent with applicable laws and regulations and Securities Exchange listing requirements, including Section 304 of the Sarbanes-Oxley Act of 2002, Section 954 of the Dodd-Frank Wall Street Reform and Consumer Protection Act of 2010 (including Rule 10D-1 under the Securities and Exchange Act of 1934, as amended, promulgated thereunder), and Nasdaq Rule 5608. This Compensation Recoupment Policy applies to awards of Incentive-Based Compensation, if any, received on or after the Effective Date by Executive Officers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Definitions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Board” means the Board of Directors of the Company.</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Committee” means the Compensation Committee of the Board of Directors of the Company.</w:t>
      </w:r>
    </w:p>
    <w:p>
      <w:pPr>
        <w:pStyle w:val="TextBody"/>
        <w:bidi w:val="0"/>
        <w:spacing w:before="16" w:after="283"/>
        <w:jc w:val="left"/>
        <w:rPr/>
      </w:pPr>
      <w:r>
        <w:rPr/>
        <w:t> </w:t>
      </w:r>
    </w:p>
    <w:p>
      <w:pPr>
        <w:pStyle w:val="TextBody"/>
        <w:bidi w:val="0"/>
        <w:jc w:val="both"/>
        <w:rPr>
          <w:color w:val="000000"/>
        </w:rPr>
      </w:pPr>
      <w:r>
        <w:rPr>
          <w:color w:val="000000"/>
        </w:rPr>
        <w:t>“</w:t>
      </w:r>
      <w:r>
        <w:rPr>
          <w:rFonts w:ascii="Times New Roman" w:hAnsi="Times New Roman"/>
          <w:color w:val="000000"/>
          <w:sz w:val="24"/>
        </w:rPr>
        <w:t>Company” means Fidus Investment Corporation.</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Effective Date” means October 2, 2023.</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policymaking functions for the Company.</w:t>
      </w:r>
    </w:p>
    <w:p>
      <w:pPr>
        <w:pStyle w:val="TextBody"/>
        <w:bidi w:val="0"/>
        <w:spacing w:before="16" w:after="283"/>
        <w:jc w:val="left"/>
        <w:rPr/>
      </w:pPr>
      <w:r>
        <w:rPr/>
        <w:t> </w:t>
      </w:r>
    </w:p>
    <w:p>
      <w:pPr>
        <w:pStyle w:val="TextBody"/>
        <w:bidi w:val="0"/>
        <w:jc w:val="both"/>
        <w:rPr/>
      </w:pPr>
      <w:r>
        <w:rPr>
          <w:color w:val="000000"/>
        </w:rPr>
        <w:t>“</w:t>
      </w:r>
      <w:r>
        <w:rPr>
          <w:rFonts w:ascii="Times New Roman" w:hAnsi="Times New Roman"/>
          <w:color w:val="000000"/>
          <w:sz w:val="24"/>
        </w:rPr>
        <w:t>Excess Incentive-Based Compensation” means the amount of Incentive-Based Compensation received by a current or former Executive Officer that exceeds the amount of Incentive-Based Compensation that otherwise would have been received had the amount of such Incentive-Based Compensation been determined based on the accounting restatement, computed without regard to taxes paid by the Executive Officer. With regards to Incentive-Based Compensation based on stock price or total shareholder return, where the amount of Excess Incentive-Based Compensation is not subject to mathematical recalculation directly from the information in an accounting restatement, Excess Incentive-Based Compensation means a reasonable estimate of the effect of the accounting restatement on the applicable Financial Reporting Measure.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ind w:left="40" w:right="0" w:hanging="0"/>
        <w:jc w:val="left"/>
        <w:rPr>
          <w:rFonts w:ascii="Times New Roman" w:hAnsi="Times New Roman"/>
          <w:color w:val="2F2F2F"/>
          <w:sz w:val="24"/>
        </w:rPr>
      </w:pPr>
      <w:r>
        <w:rPr>
          <w:rFonts w:ascii="Times New Roman" w:hAnsi="Times New Roman"/>
          <w:color w:val="2F2F2F"/>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color w:val="000000"/>
        </w:rPr>
      </w:pPr>
      <w:r>
        <w:rPr>
          <w:color w:val="000000"/>
        </w:rPr>
        <w:t>“</w:t>
      </w:r>
      <w:r>
        <w:rPr>
          <w:rFonts w:ascii="Times New Roman" w:hAnsi="Times New Roman"/>
          <w:color w:val="000000"/>
          <w:sz w:val="24"/>
        </w:rPr>
        <w:t>Financial Reporting Measure” means any measure that is determined and presented in accordance with the accounting principles used to preparing the Company’s financial statements, and any measures that are derived wholly or in part from such measures. “Stock price” and “total shareholder return” metrics are also Financial Reporting Measures. For the avoidance of doubt, a Financial Reporting Measure need not be presented in the Company’s financial statements or included in a filing with the U.S. Securities and Exchange Commission.</w:t>
      </w:r>
    </w:p>
    <w:p>
      <w:pPr>
        <w:pStyle w:val="TextBody"/>
        <w:bidi w:val="0"/>
        <w:spacing w:before="16" w:after="283"/>
        <w:jc w:val="left"/>
        <w:rPr/>
      </w:pPr>
      <w:r>
        <w:rPr/>
        <w:t> </w:t>
      </w:r>
    </w:p>
    <w:p>
      <w:pPr>
        <w:pStyle w:val="TextBody"/>
        <w:bidi w:val="0"/>
        <w:jc w:val="both"/>
        <w:rPr>
          <w:color w:val="000000"/>
        </w:rPr>
      </w:pPr>
      <w:r>
        <w:rPr>
          <w:color w:val="000000"/>
        </w:rPr>
        <w:t>“</w:t>
      </w:r>
      <w:r>
        <w:rPr>
          <w:rFonts w:ascii="Times New Roman" w:hAnsi="Times New Roman"/>
          <w:color w:val="000000"/>
          <w:sz w:val="24"/>
        </w:rPr>
        <w:t>Incentive-Based Compensation” means any compensation that is granted, earned, or vested based wholly or in part upon the attainment of a Financial Reporting Measure. The Company does not directly compensate any of its Executive Officers. The Executive Officers are compensated by the Company’s external investment adviser for the work they perform on behalf of the Company. Therefore, the Company does not pay compensation, including Incentive-Based Compensation, to its Executive Officers.</w:t>
      </w:r>
    </w:p>
    <w:p>
      <w:pPr>
        <w:pStyle w:val="TextBody"/>
        <w:bidi w:val="0"/>
        <w:spacing w:before="16" w:after="283"/>
        <w:jc w:val="left"/>
        <w:rPr/>
      </w:pPr>
      <w:r>
        <w:rPr/>
        <w:t> </w:t>
      </w:r>
    </w:p>
    <w:p>
      <w:pPr>
        <w:pStyle w:val="TextBody"/>
        <w:bidi w:val="0"/>
        <w:jc w:val="both"/>
        <w:rPr>
          <w:color w:val="000000"/>
        </w:rPr>
      </w:pPr>
      <w:r>
        <w:rPr>
          <w:color w:val="000000"/>
        </w:rPr>
        <w:t>“</w:t>
      </w:r>
      <w:r>
        <w:rPr>
          <w:rFonts w:ascii="Times New Roman" w:hAnsi="Times New Roman"/>
          <w:color w:val="000000"/>
          <w:sz w:val="24"/>
        </w:rPr>
        <w:t>Lookback Period” means the three-year period preceding the date on which the Company is required to prepare an accounting restatement. For purposes of this definition, the date on which the Company is required to prepare an accounting restatement shall be deemed to be the earlier of (i) the date the Board,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Securities Exchange” means The Nasdaq Global Select Market, the securities exchange upon which the Company’s shares of common stock, par value $0.001 per share, trades.</w:t>
      </w:r>
    </w:p>
    <w:p>
      <w:pPr>
        <w:pStyle w:val="TextBody"/>
        <w:bidi w:val="0"/>
        <w:spacing w:before="15" w:after="283"/>
        <w:jc w:val="left"/>
        <w:rPr/>
      </w:pPr>
      <w:r>
        <w:rPr/>
        <w:t> </w:t>
      </w:r>
    </w:p>
    <w:p>
      <w:pPr>
        <w:pStyle w:val="TextBody"/>
        <w:bidi w:val="0"/>
        <w:spacing w:before="60" w:after="283"/>
        <w:jc w:val="both"/>
        <w:rPr>
          <w:rFonts w:ascii="Times New Roman" w:hAnsi="Times New Roman"/>
          <w:b/>
          <w:color w:val="000000"/>
          <w:sz w:val="24"/>
        </w:rPr>
      </w:pPr>
      <w:r>
        <w:rPr>
          <w:rFonts w:ascii="Times New Roman" w:hAnsi="Times New Roman"/>
          <w:b/>
          <w:color w:val="000000"/>
          <w:sz w:val="24"/>
        </w:rPr>
        <w:t>Recoupment for an Accounting Restatement</w:t>
      </w:r>
    </w:p>
    <w:p>
      <w:pPr>
        <w:pStyle w:val="TextBody"/>
        <w:bidi w:val="0"/>
        <w:spacing w:before="16"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The Company shall recover reasonably promptly any Excess Incentive-Based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Incentive-Based Compensation is deemed “received” in the Company’s fiscal period during which the Financial Reporting Measure specified in the Incentive-Based Compensation is attained, even if the payment or grant of the Incentive-Based Compensation occurs after the end of that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the Company is required to recoup Excess Incentive-Based Compensation following an accounting restatement based on adjustments to stock price or total shareholder return, the</w:t>
      </w:r>
      <w:r>
        <w:rPr>
          <w:rFonts w:ascii="Times New Roman" w:hAnsi="Times New Roman"/>
          <w:color w:val="000000"/>
          <w:sz w:val="20"/>
        </w:rPr>
        <w:t xml:space="preserve"> </w:t>
      </w:r>
    </w:p>
    <w:p>
      <w:pPr>
        <w:pStyle w:val="TextBody"/>
        <w:bidi w:val="0"/>
        <w:jc w:val="left"/>
        <w:rPr/>
      </w:pPr>
      <w:r>
        <w:rPr/>
        <w:t> </w:t>
      </w:r>
    </w:p>
    <w:p>
      <w:pPr>
        <w:pStyle w:val="TextBody"/>
        <w:bidi w:val="0"/>
        <w:ind w:left="40" w:right="0" w:hanging="0"/>
        <w:jc w:val="left"/>
        <w:rPr>
          <w:rFonts w:ascii="Times New Roman" w:hAnsi="Times New Roman"/>
          <w:color w:val="2F2F2F"/>
          <w:sz w:val="24"/>
        </w:rPr>
      </w:pPr>
      <w:r>
        <w:rPr>
          <w:rFonts w:ascii="Times New Roman" w:hAnsi="Times New Roman"/>
          <w:color w:val="2F2F2F"/>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Company shall determine the amount of such Excess Incentive-Based Compensation subject to recoupment, which amount shall be a reasonable estimate of the effect of the accounting restatement on the applicable Financial Reporting Measure.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if the Committee makes a determination that recovery would be impracticable, and one of the following enumerated conditions is satisfied, the Company need not recover such Excess Incentive-Based Compensation.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u w:val="single"/>
        </w:rPr>
        <w:t>Expenses Exceed Recovery Amount</w:t>
      </w:r>
      <w:r>
        <w:rPr>
          <w:rFonts w:ascii="Times New Roman" w:hAnsi="Times New Roman"/>
          <w:color w:val="000000"/>
          <w:sz w:val="24"/>
        </w:rPr>
        <w:t>: The Company need not recover the Excess Incentive-Based Compensation at issue if the direct expense to be paid to a third party to assist in enforcing this Compensation Recoupment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u w:val="single"/>
        </w:rPr>
        <w:t>Recovery Would Violate Home Country Law</w:t>
      </w:r>
      <w:r>
        <w:rPr>
          <w:rFonts w:ascii="Times New Roman" w:hAnsi="Times New Roman"/>
          <w:color w:val="000000"/>
          <w:sz w:val="24"/>
        </w:rPr>
        <w:t>: The Company need not recover the Excess Incentive-Based Compensation at issue if recovery would violate 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u w:val="single"/>
        </w:rPr>
        <w:t>Recovery Would Violate ERISA Anti-Alienation Provisions</w:t>
      </w:r>
      <w:r>
        <w:rPr>
          <w:rFonts w:ascii="Times New Roman" w:hAnsi="Times New Roman"/>
          <w:color w:val="000000"/>
          <w:sz w:val="24"/>
        </w:rPr>
        <w:t>: The Company need not recover the Excess Incentive-Based Compensation at issue if recovery would violate the anti-alienation provisions of the Employee Retirement Income Security Act of 1974, as amended, contained in 26 U.S.C. § 401(a)(13) or 26 U.S.C. § 411(a), or regulations promulgated thereunder.</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Method of Recoupment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Committee shall have the sole discretion and authority to determine the means, timing (which shall in all circumstances be reasonably prompt) and any other requirements by which any recoupment required by this Compensation Recoupment Policy shall occur and impose any other terms, conditions or procedures (</w:t>
      </w:r>
      <w:r>
        <w:rPr>
          <w:rFonts w:ascii="Times New Roman" w:hAnsi="Times New Roman"/>
          <w:i/>
          <w:color w:val="000000"/>
          <w:sz w:val="24"/>
        </w:rPr>
        <w:t>e.g.</w:t>
      </w:r>
      <w:r>
        <w:rPr>
          <w:rFonts w:ascii="Times New Roman" w:hAnsi="Times New Roman"/>
          <w:color w:val="000000"/>
          <w:sz w:val="24"/>
        </w:rPr>
        <w:t>, the imposition of interest charges on un-repaid amounts) to govern the current or former Executive Officer’s repayment of Excess Incentive-Based Compensation.</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Other Policy Terms</w:t>
      </w:r>
    </w:p>
    <w:p>
      <w:pPr>
        <w:pStyle w:val="TextBody"/>
        <w:bidi w:val="0"/>
        <w:spacing w:before="16" w:after="283"/>
        <w:jc w:val="left"/>
        <w:rPr/>
      </w:pPr>
      <w:r>
        <w:rPr/>
        <w:t> </w:t>
      </w:r>
    </w:p>
    <w:p>
      <w:pPr>
        <w:pStyle w:val="TextBody"/>
        <w:bidi w:val="0"/>
        <w:jc w:val="both"/>
        <w:rPr>
          <w:rFonts w:ascii="Times New Roman" w:hAnsi="Times New Roman"/>
          <w:sz w:val="20"/>
        </w:rPr>
      </w:pPr>
      <w:bookmarkStart w:id="47" w:name="ole_link3"/>
      <w:bookmarkEnd w:id="47"/>
      <w:r>
        <w:rPr>
          <w:rFonts w:ascii="Times New Roman" w:hAnsi="Times New Roman"/>
          <w:color w:val="000000"/>
          <w:sz w:val="24"/>
        </w:rPr>
        <w:t xml:space="preserve">Any applicable award agreement, plan or other document setting forth the terms and conditions of any Incentive-Based Compensation or other compensation covered by this Compensation Recoupment Policy received on or after the Effective Date shall be deemed to (i) include the restrictions imposed herein; (ii) incorporate </w:t>
      </w:r>
      <w:bookmarkStart w:id="48" w:name="ole_link2"/>
      <w:bookmarkEnd w:id="48"/>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4"/>
        </w:rPr>
        <w:t>Compensation Recoupment Policy by reference;</w:t>
      </w:r>
      <w:r>
        <w:rPr>
          <w:rFonts w:ascii="Times New Roman" w:hAnsi="Times New Roman"/>
          <w:color w:val="000000"/>
          <w:sz w:val="20"/>
        </w:rPr>
        <w:t xml:space="preserve"> </w:t>
      </w:r>
    </w:p>
    <w:p>
      <w:pPr>
        <w:pStyle w:val="TextBody"/>
        <w:bidi w:val="0"/>
        <w:jc w:val="left"/>
        <w:rPr/>
      </w:pPr>
      <w:r>
        <w:rPr/>
        <w:t> </w:t>
      </w:r>
    </w:p>
    <w:p>
      <w:pPr>
        <w:pStyle w:val="TextBody"/>
        <w:bidi w:val="0"/>
        <w:ind w:left="40" w:right="0" w:hanging="0"/>
        <w:jc w:val="left"/>
        <w:rPr>
          <w:rFonts w:ascii="Times New Roman" w:hAnsi="Times New Roman"/>
          <w:color w:val="2F2F2F"/>
          <w:sz w:val="24"/>
        </w:rPr>
      </w:pPr>
      <w:r>
        <w:rPr>
          <w:rFonts w:ascii="Times New Roman" w:hAnsi="Times New Roman"/>
          <w:color w:val="2F2F2F"/>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and (iii) govern the terms of such award agreement, plan or other document in the event of any inconsistency. Eligibility for participation in and for payment under any such award agreement, plan or other document is contingent upon acceptance of the terms of this Compensation Recoupment Policy.</w:t>
      </w:r>
    </w:p>
    <w:p>
      <w:pPr>
        <w:pStyle w:val="TextBody"/>
        <w:bidi w:val="0"/>
        <w:spacing w:before="16"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recoupment under this Compensation Recoupment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 legal action or taking such other action to enforce the current or former Executive Officer’s obligations to the Company or its affiliates as it may deem appropriate in view of all of the facts and circumstances surrounding the particular case.</w:t>
      </w:r>
    </w:p>
    <w:p>
      <w:pPr>
        <w:pStyle w:val="TextBody"/>
        <w:bidi w:val="0"/>
        <w:jc w:val="both"/>
        <w:rPr/>
      </w:pPr>
      <w:r>
        <w:rPr/>
        <w:t> </w:t>
      </w:r>
    </w:p>
    <w:p>
      <w:pPr>
        <w:pStyle w:val="TextBody"/>
        <w:bidi w:val="0"/>
        <w:jc w:val="both"/>
        <w:rPr>
          <w:rFonts w:ascii="Times New Roman" w:hAnsi="Times New Roman"/>
          <w:color w:val="000000"/>
          <w:sz w:val="24"/>
        </w:rPr>
      </w:pPr>
      <w:bookmarkStart w:id="49" w:name="ole_link4"/>
      <w:bookmarkEnd w:id="49"/>
      <w:r>
        <w:rPr>
          <w:rFonts w:ascii="Times New Roman" w:hAnsi="Times New Roman"/>
          <w:color w:val="000000"/>
          <w:sz w:val="24"/>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Compensation Recoupment Policy, this policy shall govern. In addition, no Executive Officer shall be subject to recoupment more than one time with respect to the same compensation.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Current or former Executive Officers shall not be entitled to any indemnification by or from the Company or its affiliates with respect to any amounts subject to recoupment pursuant to this Compensation Recoupment Policy.</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Administration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Board has delegated the administration of this policy to the Committee. The Committee is responsible for monitoring the application of this policy with respect to all Executive Officers. The Committee shall have the sole authority to review, interpret, construe and implement the provisions of this Compensation Recoupment Policy and to delegate to one or more executive officers and/or employees certain administrative and record-keeping responsibilities, as appropriate, with respect to the implementation of this Compensation Recoupment Policy; provided, however, that no such action shall contravene the federal securities laws. Any determinations of the Board or Committee under this Compensation Recoupment Policy shall be binding on the applicable individual.</w:t>
      </w:r>
    </w:p>
    <w:p>
      <w:pPr>
        <w:pStyle w:val="TextBody"/>
        <w:bidi w:val="0"/>
        <w:jc w:val="both"/>
        <w:rPr/>
      </w:pPr>
      <w:bookmarkStart w:id="50" w:name="ole_link5"/>
      <w:bookmarkEnd w:id="50"/>
      <w:r>
        <w:rPr/>
        <w:t> </w:t>
      </w:r>
    </w:p>
    <w:p>
      <w:pPr>
        <w:pStyle w:val="TextBody"/>
        <w:bidi w:val="0"/>
        <w:jc w:val="both"/>
        <w:rPr>
          <w:rFonts w:ascii="Times New Roman" w:hAnsi="Times New Roman"/>
          <w:color w:val="000000"/>
          <w:sz w:val="24"/>
        </w:rPr>
      </w:pPr>
      <w:r>
        <w:rPr>
          <w:rFonts w:ascii="Times New Roman" w:hAnsi="Times New Roman"/>
          <w:color w:val="000000"/>
          <w:sz w:val="24"/>
        </w:rPr>
        <w:t>The Board may amend, modify or change this Compensation Recoupment Policy, as well as any related rules and procedures, at any time and from time to time as it may determine, in its sole discretion, is necessary or appropriate.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 xml:space="preserve">Adopted: </w:t>
      </w:r>
      <w:r>
        <w:rPr>
          <w:rFonts w:ascii="Times New Roman" w:hAnsi="Times New Roman"/>
          <w:color w:val="000000"/>
          <w:sz w:val="24"/>
        </w:rPr>
        <w:t>December 1, 2023</w:t>
      </w:r>
    </w:p>
    <w:p>
      <w:pPr>
        <w:pStyle w:val="TextBody"/>
        <w:bidi w:val="0"/>
        <w:spacing w:before="60" w:after="283"/>
        <w:jc w:val="both"/>
        <w:rPr/>
      </w:pPr>
      <w:r>
        <w:rPr/>
        <w:t> </w:t>
      </w:r>
    </w:p>
    <w:p>
      <w:pPr>
        <w:pStyle w:val="TextBody"/>
        <w:bidi w:val="0"/>
        <w:jc w:val="left"/>
        <w:rPr/>
      </w:pPr>
      <w:r>
        <w:rPr/>
        <w:t> </w:t>
      </w:r>
    </w:p>
    <w:p>
      <w:pPr>
        <w:pStyle w:val="TextBody"/>
        <w:bidi w:val="0"/>
        <w:ind w:left="40" w:right="0" w:hanging="0"/>
        <w:jc w:val="left"/>
        <w:rPr>
          <w:rFonts w:ascii="Times New Roman" w:hAnsi="Times New Roman"/>
          <w:color w:val="2F2F2F"/>
          <w:sz w:val="24"/>
        </w:rPr>
      </w:pPr>
      <w:r>
        <w:rPr>
          <w:rFonts w:ascii="Times New Roman" w:hAnsi="Times New Roman"/>
          <w:color w:val="2F2F2F"/>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13363/000095012311041885/w81466a2exv99wxayx1y.htm" TargetMode="External"/><Relationship Id="rId5" Type="http://schemas.openxmlformats.org/officeDocument/2006/relationships/hyperlink" Target="https://www.sec.gov/Archives/edgar/data/1513363/000095012311041885/w81466a2exv99wxayx1y.htm" TargetMode="External"/><Relationship Id="rId6" Type="http://schemas.openxmlformats.org/officeDocument/2006/relationships/hyperlink" Target="https://www.sec.gov/Archives/edgar/data/1513363/000095012311041885/w81466a2exv99wxayx1y.htm" TargetMode="External"/><Relationship Id="rId7" Type="http://schemas.openxmlformats.org/officeDocument/2006/relationships/hyperlink" Target="https://www.sec.gov/Archives/edgar/data/1513363/000095012311041885/w81466a2exv99wxbyx1y.htm" TargetMode="External"/><Relationship Id="rId8" Type="http://schemas.openxmlformats.org/officeDocument/2006/relationships/hyperlink" Target="https://www.sec.gov/Archives/edgar/data/1513363/000095012311041885/w81466a2exv99wxbyx1y.htm" TargetMode="External"/><Relationship Id="rId9" Type="http://schemas.openxmlformats.org/officeDocument/2006/relationships/hyperlink" Target="https://www.sec.gov/Archives/edgar/data/1513363/000095012311041885/w81466a2exv99wxbyx1y.htm" TargetMode="External"/><Relationship Id="rId10" Type="http://schemas.openxmlformats.org/officeDocument/2006/relationships/hyperlink" Target="https://www.sec.gov/Archives/edgar/data/1513363/000095012311041885/w81466a2exv99wxbyx1y.htm" TargetMode="External"/><Relationship Id="rId11" Type="http://schemas.openxmlformats.org/officeDocument/2006/relationships/hyperlink" Target="https://www.sec.gov/Archives/edgar/data/1513363/000095012311041885/w81466a2exv99wxdy.htm" TargetMode="External"/><Relationship Id="rId12" Type="http://schemas.openxmlformats.org/officeDocument/2006/relationships/hyperlink" Target="https://www.sec.gov/Archives/edgar/data/1513363/000095012311054001/w81466a3exv99wxfyx2y.htm" TargetMode="External"/><Relationship Id="rId13" Type="http://schemas.openxmlformats.org/officeDocument/2006/relationships/hyperlink" Target="https://www.sec.gov/Archives/edgar/data/0001513363/000119312516569246/d141023dpos8c.htm" TargetMode="External"/><Relationship Id="rId14" Type="http://schemas.openxmlformats.org/officeDocument/2006/relationships/hyperlink" Target="https://www.sec.gov/Archives/edgar/data/1513363/000119312516569246/d141023dex99d5.htm" TargetMode="External"/><Relationship Id="rId15" Type="http://schemas.openxmlformats.org/officeDocument/2006/relationships/hyperlink" Target="https://www.sec.gov/Archives/edgar/data/1513363/000119312520325989/d97521dex41.htm" TargetMode="External"/><Relationship Id="rId16" Type="http://schemas.openxmlformats.org/officeDocument/2006/relationships/hyperlink" Target="https://www.sec.gov/Archives/edgar/data/0001513363/000119312521295460/d193806dex41.htm" TargetMode="External"/><Relationship Id="rId17" Type="http://schemas.openxmlformats.org/officeDocument/2006/relationships/hyperlink" Target="https://www.sec.gov/Archives/edgar/data/0001513363/000119312521295460/d193806dex41.htm" TargetMode="External"/><Relationship Id="rId18" Type="http://schemas.openxmlformats.org/officeDocument/2006/relationships/hyperlink" Target="https://www.sec.gov/Archives/edgar/data/1513363/000095017022002806/fdus-ex4_8.htm" TargetMode="External"/><Relationship Id="rId19" Type="http://schemas.openxmlformats.org/officeDocument/2006/relationships/hyperlink" Target="https://www.sec.gov/Archives/edgar/data/1513363/000095012311041885/w81466a2exv99wxgy.htm" TargetMode="External"/><Relationship Id="rId20" Type="http://schemas.openxmlformats.org/officeDocument/2006/relationships/hyperlink" Target="https://www.sec.gov/Archives/edgar/data/1513363/000095012311041885/w81466a2exv99wxgy.htm" TargetMode="External"/><Relationship Id="rId21" Type="http://schemas.openxmlformats.org/officeDocument/2006/relationships/hyperlink" Target="https://www.sec.gov/Archives/edgar/data/1513363/000095012311041885/w81466a2exv99wxgy.htm" TargetMode="External"/><Relationship Id="rId22" Type="http://schemas.openxmlformats.org/officeDocument/2006/relationships/hyperlink" Target="https://www.sec.gov/Archives/edgar/data/1513363/000095012311054001/w81466a3exv99wxjy.htm" TargetMode="External"/><Relationship Id="rId23" Type="http://schemas.openxmlformats.org/officeDocument/2006/relationships/hyperlink" Target="https://www.sec.gov/Archives/edgar/data/1513363/000095012311041885/w81466a2exv99wxkyx1y.htm" TargetMode="External"/><Relationship Id="rId24" Type="http://schemas.openxmlformats.org/officeDocument/2006/relationships/hyperlink" Target="https://www.sec.gov/Archives/edgar/data/1513363/000095012311054001/w81466a3exv99wxkyx2y.htm" TargetMode="External"/><Relationship Id="rId25" Type="http://schemas.openxmlformats.org/officeDocument/2006/relationships/hyperlink" Target="https://www.sec.gov/Archives/edgar/data/1513363/000095012311058363/w81466a4exv99wxkyx3y.htm" TargetMode="External"/><Relationship Id="rId26" Type="http://schemas.openxmlformats.org/officeDocument/2006/relationships/hyperlink" Target="https://www.sec.gov/Archives/edgar/data/1513363/000119312512368556/d382647dex99e.htm" TargetMode="External"/><Relationship Id="rId27" Type="http://schemas.openxmlformats.org/officeDocument/2006/relationships/hyperlink" Target="https://www.sec.gov/Archives/edgar/data/1513363/000119312514086785/d685842dex107.htm" TargetMode="External"/><Relationship Id="rId28" Type="http://schemas.openxmlformats.org/officeDocument/2006/relationships/hyperlink" Target="https://www.sec.gov/Archives/edgar/data/1513363/000119312521237700/d197304dex101.htm" TargetMode="External"/><Relationship Id="rId29" Type="http://schemas.openxmlformats.org/officeDocument/2006/relationships/hyperlink" Target="https://www.sec.gov/Archives/edgar/data/1513363/000119312519117122/d737015dex101.htm" TargetMode="External"/><Relationship Id="rId30" Type="http://schemas.openxmlformats.org/officeDocument/2006/relationships/hyperlink" Target="https://www.sec.gov/Archives/edgar/data/1513363/000119312519117122/d737015dex101.htm" TargetMode="External"/><Relationship Id="rId31" Type="http://schemas.openxmlformats.org/officeDocument/2006/relationships/hyperlink" Target="https://www.sec.gov/Archives/edgar/data/1513363/000119312519117122/d737015dex101.htm" TargetMode="External"/><Relationship Id="rId32" Type="http://schemas.openxmlformats.org/officeDocument/2006/relationships/hyperlink" Target="https://www.sec.gov/Archives/edgar/data/1513363/000119312519117122/d737015dex102.htm" TargetMode="External"/><Relationship Id="rId33" Type="http://schemas.openxmlformats.org/officeDocument/2006/relationships/hyperlink" Target="https://www.sec.gov/Archives/edgar/data/0001513363/000119312520182488/d15014dex101.htm" TargetMode="External"/><Relationship Id="rId34" Type="http://schemas.openxmlformats.org/officeDocument/2006/relationships/hyperlink" Target="https://www.sec.gov/Archives/edgar/data/1513363/000119312522227509/d292743dex101.htm" TargetMode="External"/><Relationship Id="rId35" Type="http://schemas.openxmlformats.org/officeDocument/2006/relationships/hyperlink" Target="https://www.sec.gov/Archives/edgar/data/1513363/000119312522282603/d386893dex101.htm" TargetMode="External"/><Relationship Id="rId36" Type="http://schemas.openxmlformats.org/officeDocument/2006/relationships/hyperlink" Target="https://www.sec.gov/Archives/edgar/data/1513363/000119312522282603/d386893dex101.htm" TargetMode="External"/><Relationship Id="rId37" Type="http://schemas.openxmlformats.org/officeDocument/2006/relationships/hyperlink" Target="https://www.sec.gov/Archives/edgar/data/1513363/000119312512104127/d309911dex14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108861</Words>
  <Characters>583793</Characters>
  <CharactersWithSpaces>704340</CharactersWithSpaces>
  <Paragraphs>33312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