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27-5017321</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ind w:left="4164"/>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31"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859-3940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FDUS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(CFR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4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2022, Fidus Investment Corporation (the “Company”) established an “at-the-market” offering (the “ATM Program”) through which the Company may sell, from time to time through the Sales Agents (as defined below), shares of the Company’s common stock, par value $0.001 per share (the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 2026, the Company increased the maximum amount of Shares to be sold through the ATM Program to $400.0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million. In connection with the upsize of the ATM Program, the Company entered into amendment no. 3 (“Amendment No. 3”) to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agreement, dated November 10, 2022 (the “Equity Distribution Agreement”) with Fidus Investment Advisors, LLC, Raymond James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Associates, Inc. (“Raymond James”) and B. Riley Securities, Inc. (“B. Riley” and together with Raymond James, the “Sales Agents”). Under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Agreement, as amended by Amendment No. 3, the Company may, but has no obligation to, issue and sell up to $400.0 million in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Shares in the ATM Program, from time to time through the Sales Agents, or to them, as principal for their own account. As of March 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after giving effect to Amendment No. 3, up to approximately $134.8 million in aggregate amount of the Shares will remain available for sale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ATM Program.</w:t>
      </w:r>
    </w:p>
    <w:p>
      <w:pPr>
        <w:spacing w:after="0" w:line="20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Further details regarding the Equity Distribution Agreement, as amended by Amendment No. 3, and the ATM Program are set forth in the Company’s prospectus supplement, dated March 2, 2026, relating to the Shares (including the accompanying prospectus, dated February 27, 2026, and including, in each case, any information incorporated by reference therein, the “Prospectus”), filed by the Company with the Securities and Exchange Commission.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Amendment No. 3 is not complete and is qualified in its entirety by reference to the full text of Amendment No. 3, which is attached hereto as Exhibit 10.1 and is incorporated herein by reference. A copy of the opinion of Eversheds Sutherland (US) LLP relating to the legality of the issuance and sale of the Shares pursuant to the Prospectus is attached as Exhibit 5.1 hereto.</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Shares, if any, will be issued pursuant to the Company’s shelf registration statement on Form N-2 (File No. 333-293856) and the Prospectus, as supplemented from time to time.</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140" w:type="dxa"/>
            <w:vAlign w:val="bottom"/>
          </w:tcPr>
          <w:p>
            <w:pPr>
              <w:spacing w:after="0"/>
              <w:rPr>
                <w:sz w:val="16"/>
                <w:szCs w:val="16"/>
                <w:color w:val="auto"/>
              </w:rPr>
            </w:pPr>
          </w:p>
        </w:tc>
        <w:tc>
          <w:tcPr>
            <w:tcW w:w="636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Eversheds Sutherland (US) LLP</w:t>
            </w:r>
          </w:p>
        </w:tc>
      </w:tr>
      <w:tr>
        <w:trPr>
          <w:trHeight w:val="20"/>
        </w:trPr>
        <w:tc>
          <w:tcPr>
            <w:tcW w:w="14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Amendment No. 3, dated March 2, 2026, to Equity Distribution Agreement by and among Fidus Investment Corporation and Fidus</w:t>
            </w:r>
          </w:p>
        </w:tc>
        <w:tc>
          <w:tcPr>
            <w:tcW w:w="6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5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Investment Advisors, LLC, on the one hand, and Raymond James &amp; Associates, Inc. and B. Riley Securities, Inc., on the other hand</w:t>
            </w: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Eversheds Sutherland (US) LLP (contained in Exhibit 5.1 hereto)</w:t>
            </w:r>
          </w:p>
        </w:tc>
        <w:tc>
          <w:tcPr>
            <w:tcW w:w="3960" w:type="dxa"/>
            <w:vAlign w:val="bottom"/>
            <w:gridSpan w:val="2"/>
          </w:tcPr>
          <w:p>
            <w:pPr>
              <w:spacing w:after="0"/>
              <w:rPr>
                <w:sz w:val="24"/>
                <w:szCs w:val="24"/>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7"/>
          <w:szCs w:val="17"/>
          <w:b w:val="1"/>
          <w:bCs w:val="1"/>
          <w:color w:val="auto"/>
        </w:rPr>
        <w:t>Fidus Investment Corporation</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ectPr>
          <w:pgSz w:w="11900" w:h="16838" w:orient="portrait"/>
          <w:cols w:equalWidth="0" w:num="1">
            <w:col w:w="10780"/>
          </w:cols>
          <w:pgMar w:left="440" w:top="293" w:right="679" w:bottom="1440" w:gutter="0" w:footer="0" w:header="0"/>
        </w:sectPr>
      </w:pPr>
    </w:p>
    <w:bookmarkStart w:id="3" w:name="page4"/>
    <w:bookmarkEnd w:id="3"/>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4"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Eversheds Sutherland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428625" cy="1748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1748790"/>
                    </a:xfrm>
                    <a:prstGeom prst="rect">
                      <a:avLst/>
                    </a:prstGeom>
                    <a:noFill/>
                  </pic:spPr>
                </pic:pic>
              </a:graphicData>
            </a:graphic>
          </wp:anchor>
        </w:drawing>
      </w:r>
    </w:p>
    <w:p>
      <w:pPr>
        <w:spacing w:after="0" w:line="1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700 Sixth Street NW, Suite 700</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Washington, DC 2001-3980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Fidus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1603 Orrington Avenue, Suite 820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Evanston, IL 60201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to Fidus Investment Corporation, a Maryland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of the registration statement on Form N-2 (File No. 333-293856), which became automatically effective upon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27,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pursuant to Rule 462(e)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(such Registration Statement, including the exhibits and schedules thereto, and the information, if any, deemed to be part of the Registration Statement on the Effective Date pursuant to Rule 430B and Rule 424 under the Securities Act, is hereinafter referred to as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Registration Statement relates to the public offering of securities of the Company that may be offered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from time to time as set forth in the prospectus dated February 27, 2026, which forms a part of the Registration Statement, together with the information incorporated or deemed to be incorporated therein by reference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as may be set forth from time to time in one or more supplements to the Base Prospectus.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rendered in connection with the issuance and sale, from time to time, of up to $400,000,000 in aggregate offering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as described in the prospectus supplement, dated March 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Shares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included therein and the information incorporated or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incorporated by reference therein,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with the Commission pursuant to Rule 424 under the Securities Act,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$134,774,520 in aggregate amount of Shares remain available for sale pursuant to the Equity Distribution Agreement (as defined below). The Shares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sold by the Company pursuant to an equity distribution agreement, dated as of November 10, 2022, as amended on August 11, 2023, February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March 2, 2026 (collectively, the “</w:t>
      </w:r>
      <w:r>
        <w:rPr>
          <w:rFonts w:ascii="Times New Roman" w:cs="Times New Roman" w:eastAsia="Times New Roman" w:hAnsi="Times New Roman"/>
          <w:sz w:val="18"/>
          <w:szCs w:val="18"/>
          <w:b w:val="1"/>
          <w:bCs w:val="1"/>
          <w:i w:val="1"/>
          <w:iCs w:val="1"/>
          <w:color w:val="auto"/>
        </w:rPr>
        <w:t>Equity Distribution Agreement</w:t>
      </w:r>
      <w:r>
        <w:rPr>
          <w:rFonts w:ascii="Times New Roman" w:cs="Times New Roman" w:eastAsia="Times New Roman" w:hAnsi="Times New Roman"/>
          <w:sz w:val="18"/>
          <w:szCs w:val="18"/>
          <w:color w:val="auto"/>
        </w:rPr>
        <w:t>”), by and among the Company and Fidus Investment Advisors, LLC,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hand, and Raymond James &amp; Associates, Inc. and B. Riley Securities, Inc., as sales agents and/or principals thereunder, on the other hand.</w:t>
      </w:r>
    </w:p>
    <w:p>
      <w:pPr>
        <w:spacing w:after="0" w:line="20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As counsel to the Company, we have participated in the preparation of the Registration Statement and the Prospectus and have examined the originals or copies, certified or otherwise identified to our satisfaction as being true copies, of the following:</w:t>
      </w:r>
    </w:p>
    <w:p>
      <w:pPr>
        <w:spacing w:after="0" w:line="189"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w:t>
      </w:r>
    </w:p>
    <w:p>
      <w:pPr>
        <w:spacing w:after="0" w:line="252"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Amendment and Restatement of the Company, certified as of a recent date by the State Department of Assessments and Taxation of the State of Maryland (the “</w:t>
      </w:r>
      <w:r>
        <w:rPr>
          <w:rFonts w:ascii="Times New Roman" w:cs="Times New Roman" w:eastAsia="Times New Roman" w:hAnsi="Times New Roman"/>
          <w:sz w:val="18"/>
          <w:szCs w:val="18"/>
          <w:b w:val="1"/>
          <w:bCs w:val="1"/>
          <w:i w:val="1"/>
          <w:iCs w:val="1"/>
          <w:color w:val="auto"/>
        </w:rPr>
        <w:t>SDAT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certified as of the date hereof by an officer of the Company;</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issued by the SDAT as of the date hereof;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8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Eversheds Sutherland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428625" cy="1748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1748790"/>
                    </a:xfrm>
                    <a:prstGeom prst="rect">
                      <a:avLst/>
                    </a:prstGeom>
                    <a:noFill/>
                  </pic:spPr>
                </pic:pic>
              </a:graphicData>
            </a:graphic>
          </wp:anchor>
        </w:drawing>
      </w:r>
    </w:p>
    <w:p>
      <w:pPr>
        <w:spacing w:after="0" w:line="1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700 Sixth Street NW, Suite 700</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Washington, DC 2001-3980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60" w:right="42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of the board of directors of the Company relating to, among other things: (a) the authorization and approval of the preparation and filing of the Registration Statement; (b) the authorization of the issuance, offer and sale of the Shares pursuant to the Registration Statement, certified as of the date hereof by an officer of the Company; and (c) the execution and delivery of the Equity Distribution Agreement, certified as of the date hereof by an officer of the Company.</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As to certain matters of fact relevant to the opinions in this opinion letter, we have relied on certificates and/or representations of officers of the Company. We also have relied on certificates and confirmations of public officials. We have not independently established the facts or, in the case of certificates or confirmations of public officials, the other statements so relied upon.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With respect to such examination and our opinion expressed in this opinion letter,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Company officers have been properly issued and that such certificates remain accurate on the date of this letter, and (vi) the accuracy and completeness of all corporate records made available to us by the Company.</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opinion set forth below is limited to the effect of the Maryland General Corporation Law, as in effect as of the date hereof, and we express no opinion as to the applicability or effect of any other laws of such jurisdiction or the laws of any other jurisdictions. Without limiting the preceding sentence, we express no opinion as to any state securities or broker-dealer laws or regulations thereunder relating to the offer, issuance and sale of the Shares.</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and in reliance thereon, and subject to the assumptions, limitations and qualifications set forth in this opinion letter, we are of the opinion that the Shares have been duly authorized for issuance and, when issued and delivered against payment thereof in accordance with the terms and conditions of the Equity Distribution Agreement, the Shares will be validly issued, fully paid and non-assessable.</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are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80"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We hereby consent to the filing of this opinion letter as an exhibit to the Company’s Current Report on Form 8-K filed with the Commission for incorporation by reference in the Registration Statement, and to the reference to our firm in the “Legal Matters” section in the Prospectus Supplement. We do not admit by giving this consent that we are in the category of persons whose consent is required under Section 7 of the Securities Act.</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EVERSHEDS SUTHERLAND (US) LLP</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March 2, 2026</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Amendment No. 3, dated March 2, 2026 (the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to the Equity Distribution Agreement, dated November 10, 2022, as amended by Amendment No. 1 to the Equity Distribution Agreement, dated August 11, 2023, and Amendment No. 2 to the Equity Distribution Agreement, dated February 29, 2024 (as amended to date, the “</w:t>
      </w:r>
      <w:r>
        <w:rPr>
          <w:rFonts w:ascii="Times New Roman" w:cs="Times New Roman" w:eastAsia="Times New Roman" w:hAnsi="Times New Roman"/>
          <w:sz w:val="18"/>
          <w:szCs w:val="18"/>
          <w:b w:val="1"/>
          <w:bCs w:val="1"/>
          <w:u w:val="single" w:color="auto"/>
          <w:color w:val="auto"/>
        </w:rPr>
        <w:t>Equity Distribution Agreement</w:t>
      </w:r>
      <w:r>
        <w:rPr>
          <w:rFonts w:ascii="Times New Roman" w:cs="Times New Roman" w:eastAsia="Times New Roman" w:hAnsi="Times New Roman"/>
          <w:sz w:val="18"/>
          <w:szCs w:val="18"/>
          <w:color w:val="auto"/>
        </w:rPr>
        <w:t>”), by and among Fidus Investment Corporation, a Maryland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Fidus Investment Advisors, LLC, a Delaware limited liability company (the “</w:t>
      </w:r>
      <w:r>
        <w:rPr>
          <w:rFonts w:ascii="Times New Roman" w:cs="Times New Roman" w:eastAsia="Times New Roman" w:hAnsi="Times New Roman"/>
          <w:sz w:val="18"/>
          <w:szCs w:val="18"/>
          <w:b w:val="1"/>
          <w:bCs w:val="1"/>
          <w:u w:val="single" w:color="auto"/>
          <w:color w:val="auto"/>
        </w:rPr>
        <w:t>Adviser</w:t>
      </w:r>
      <w:r>
        <w:rPr>
          <w:rFonts w:ascii="Times New Roman" w:cs="Times New Roman" w:eastAsia="Times New Roman" w:hAnsi="Times New Roman"/>
          <w:sz w:val="18"/>
          <w:szCs w:val="18"/>
          <w:color w:val="auto"/>
        </w:rPr>
        <w:t>”), and each of Raymond James &amp; Associates, Inc. and B. Riley Securities, Inc. (the “</w:t>
      </w:r>
      <w:r>
        <w:rPr>
          <w:rFonts w:ascii="Times New Roman" w:cs="Times New Roman" w:eastAsia="Times New Roman" w:hAnsi="Times New Roman"/>
          <w:sz w:val="18"/>
          <w:szCs w:val="18"/>
          <w:b w:val="1"/>
          <w:bCs w:val="1"/>
          <w:u w:val="single" w:color="auto"/>
          <w:color w:val="auto"/>
        </w:rPr>
        <w:t>Sales Agents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Adviser and the Sales Agents have entered into the Equity Distribution Agreement, pursuant to which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during the term of the Equity Distribution Agreement, on the terms and subject to the conditions set forth therein, the Company may issue and sell through the Sales Agents, acting as agents and/or principals, shares of the Company’s common stock, par value $0.001 per share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having an aggregate offering price of up to $300,000,000; and</w:t>
      </w:r>
    </w:p>
    <w:p>
      <w:pPr>
        <w:spacing w:after="0" w:line="176" w:lineRule="exact"/>
        <w:rPr>
          <w:sz w:val="20"/>
          <w:szCs w:val="20"/>
          <w:color w:val="auto"/>
        </w:rPr>
      </w:pPr>
    </w:p>
    <w:p>
      <w:pPr>
        <w:jc w:val="both"/>
        <w:ind w:right="3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the Adviser and the Sales Agents desire to amend the Equity Distribution Agreement to provide that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issue and sell through the Sales Agents, acting as agents and/or principals, Securities having an aggregate offering price of up to $400,000,000.</w:t>
      </w:r>
    </w:p>
    <w:p>
      <w:pPr>
        <w:spacing w:after="0" w:line="132"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contained in this Amendment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to this Amendment, intending to be legally bound, hereby amend the Equity Distribution Agreement and agree as follows:</w:t>
      </w:r>
    </w:p>
    <w:p>
      <w:pPr>
        <w:spacing w:after="0" w:line="67"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 of Preamble</w:t>
      </w:r>
      <w:r>
        <w:rPr>
          <w:rFonts w:ascii="Times New Roman" w:cs="Times New Roman" w:eastAsia="Times New Roman" w:hAnsi="Times New Roman"/>
          <w:sz w:val="18"/>
          <w:szCs w:val="18"/>
          <w:color w:val="auto"/>
        </w:rPr>
        <w:t>. Effective as of the date hereof, the first, second and fifth paragraphs of the preamble to the Equity Distribution Agreement are replaced in their entirety with the following:</w:t>
      </w:r>
    </w:p>
    <w:p>
      <w:pPr>
        <w:spacing w:after="0" w:line="50" w:lineRule="exact"/>
        <w:rPr>
          <w:sz w:val="20"/>
          <w:szCs w:val="20"/>
          <w:color w:val="auto"/>
        </w:rPr>
      </w:pPr>
    </w:p>
    <w:p>
      <w:pPr>
        <w:ind w:left="440" w:right="40" w:firstLine="423"/>
        <w:spacing w:after="0" w:line="255" w:lineRule="auto"/>
        <w:rPr>
          <w:sz w:val="20"/>
          <w:szCs w:val="20"/>
          <w:color w:val="auto"/>
        </w:rPr>
      </w:pPr>
      <w:r>
        <w:rPr>
          <w:rFonts w:ascii="Times New Roman" w:cs="Times New Roman" w:eastAsia="Times New Roman" w:hAnsi="Times New Roman"/>
          <w:sz w:val="18"/>
          <w:szCs w:val="18"/>
          <w:color w:val="auto"/>
        </w:rPr>
        <w:t>Each of Fidus Investment Corporation, a Maryland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Fidus Investment Advisors, LLC, a Delaware limited liability company (the “</w:t>
      </w:r>
      <w:r>
        <w:rPr>
          <w:rFonts w:ascii="Times New Roman" w:cs="Times New Roman" w:eastAsia="Times New Roman" w:hAnsi="Times New Roman"/>
          <w:sz w:val="18"/>
          <w:szCs w:val="18"/>
          <w:b w:val="1"/>
          <w:bCs w:val="1"/>
          <w:u w:val="single" w:color="auto"/>
          <w:color w:val="auto"/>
        </w:rPr>
        <w:t>Adviser</w:t>
      </w:r>
      <w:r>
        <w:rPr>
          <w:rFonts w:ascii="Times New Roman" w:cs="Times New Roman" w:eastAsia="Times New Roman" w:hAnsi="Times New Roman"/>
          <w:sz w:val="18"/>
          <w:szCs w:val="18"/>
          <w:color w:val="auto"/>
        </w:rPr>
        <w:t>”), registered as an investment adviser under the Investment Advisers Act of 1940, as amended (collectively with the rules and regulations of the Commission (as defined below) promulgated thereunder, the “</w:t>
      </w:r>
      <w:r>
        <w:rPr>
          <w:rFonts w:ascii="Times New Roman" w:cs="Times New Roman" w:eastAsia="Times New Roman" w:hAnsi="Times New Roman"/>
          <w:sz w:val="18"/>
          <w:szCs w:val="18"/>
          <w:b w:val="1"/>
          <w:bCs w:val="1"/>
          <w:u w:val="single" w:color="auto"/>
          <w:color w:val="auto"/>
        </w:rPr>
        <w:t>Advisers Act</w:t>
      </w:r>
      <w:r>
        <w:rPr>
          <w:rFonts w:ascii="Times New Roman" w:cs="Times New Roman" w:eastAsia="Times New Roman" w:hAnsi="Times New Roman"/>
          <w:sz w:val="18"/>
          <w:szCs w:val="18"/>
          <w:color w:val="auto"/>
        </w:rPr>
        <w:t xml:space="preserve">”), confirms its agreement with the several sales agents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u w:val="single" w:color="auto"/>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Sales Agents</w:t>
      </w:r>
      <w:r>
        <w:rPr>
          <w:rFonts w:ascii="Times New Roman" w:cs="Times New Roman" w:eastAsia="Times New Roman" w:hAnsi="Times New Roman"/>
          <w:sz w:val="18"/>
          <w:szCs w:val="18"/>
          <w:color w:val="auto"/>
        </w:rPr>
        <w:t>”) with respect to the sale by the Company of shares of common stock, par value $0.001 per share, of the Company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having an aggregate offering price of up to $400,000,000. The shares of Common Stock to be sold by the Sales Agents are herein called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The aggregate amount of Securities that may be sold collectively pursuant to this Agreement shall not exceed the lesser of $400,000,000 and the dollar amount of Securities permitted to be sold under the Registration Statement (as defined below).</w:t>
      </w:r>
    </w:p>
    <w:p>
      <w:pPr>
        <w:sectPr>
          <w:pgSz w:w="11900" w:h="16838" w:orient="portrait"/>
          <w:cols w:equalWidth="0" w:num="1">
            <w:col w:w="11020"/>
          </w:cols>
          <w:pgMar w:left="440" w:top="117" w:right="43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 shelf registration statement on Form N-2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333-293856), relating to the registration of the Securities and certain of the Company’s other securities to be issued from time to time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under the Securities Act of 1933, as amended (collectively with the rules and regulations of the Commission (the “</w:t>
      </w:r>
      <w:r>
        <w:rPr>
          <w:rFonts w:ascii="Times New Roman" w:cs="Times New Roman" w:eastAsia="Times New Roman" w:hAnsi="Times New Roman"/>
          <w:sz w:val="18"/>
          <w:szCs w:val="18"/>
          <w:b w:val="1"/>
          <w:bCs w:val="1"/>
          <w:u w:val="single" w:color="auto"/>
          <w:color w:val="auto"/>
        </w:rPr>
        <w:t>1933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Regulations</w:t>
      </w:r>
      <w:r>
        <w:rPr>
          <w:rFonts w:ascii="Times New Roman" w:cs="Times New Roman" w:eastAsia="Times New Roman" w:hAnsi="Times New Roman"/>
          <w:sz w:val="18"/>
          <w:szCs w:val="18"/>
          <w:color w:val="auto"/>
        </w:rPr>
        <w:t>”) promulgated thereunder, the “</w:t>
      </w:r>
      <w:r>
        <w:rPr>
          <w:rFonts w:ascii="Times New Roman" w:cs="Times New Roman" w:eastAsia="Times New Roman" w:hAnsi="Times New Roman"/>
          <w:sz w:val="18"/>
          <w:szCs w:val="18"/>
          <w:b w:val="1"/>
          <w:bCs w:val="1"/>
          <w:u w:val="single" w:color="auto"/>
          <w:color w:val="auto"/>
        </w:rPr>
        <w:t>1933 Act</w:t>
      </w:r>
      <w:r>
        <w:rPr>
          <w:rFonts w:ascii="Times New Roman" w:cs="Times New Roman" w:eastAsia="Times New Roman" w:hAnsi="Times New Roman"/>
          <w:sz w:val="18"/>
          <w:szCs w:val="18"/>
          <w:color w:val="auto"/>
        </w:rPr>
        <w:t>”), which registration statement became effective automatically upon filing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on February 27, 2026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pursuant to Rule 462(e) under the 1933 Act and remains effective.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filed with the Commission a prospectus supplement, dated the date hereof, as such prospectus supplement may be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which contains a base prospectus, dated February 27, 2026, in accordance with the provisions of Rule 430B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424(b) (“</w:t>
      </w:r>
      <w:r>
        <w:rPr>
          <w:rFonts w:ascii="Times New Roman" w:cs="Times New Roman" w:eastAsia="Times New Roman" w:hAnsi="Times New Roman"/>
          <w:sz w:val="17"/>
          <w:szCs w:val="17"/>
          <w:b w:val="1"/>
          <w:bCs w:val="1"/>
          <w:u w:val="single" w:color="auto"/>
          <w:color w:val="auto"/>
        </w:rPr>
        <w:t>Rule 424(b)</w:t>
      </w:r>
      <w:r>
        <w:rPr>
          <w:rFonts w:ascii="Times New Roman" w:cs="Times New Roman" w:eastAsia="Times New Roman" w:hAnsi="Times New Roman"/>
          <w:sz w:val="17"/>
          <w:szCs w:val="17"/>
          <w:color w:val="auto"/>
        </w:rPr>
        <w:t>”) of the 1933 Act Regulations. The Company may file one or more additional registration statements from time to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will contain a base prospectus and related prospectus or prospectus supplement, if applicable (which shall be a Prospectus), with respect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information, if any, included or incorporated by reference in the Prospectus that was omitted from the registration statement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it became effective but that is deemed to be a part of the registration statement pursuant to Rule 430B is referred to as “</w:t>
      </w:r>
      <w:r>
        <w:rPr>
          <w:rFonts w:ascii="Times New Roman" w:cs="Times New Roman" w:eastAsia="Times New Roman" w:hAnsi="Times New Roman"/>
          <w:sz w:val="18"/>
          <w:szCs w:val="18"/>
          <w:b w:val="1"/>
          <w:bCs w:val="1"/>
          <w:u w:val="single" w:color="auto"/>
          <w:color w:val="auto"/>
        </w:rPr>
        <w:t>430B Information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such registration statement, including any such additional registration statements filed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Securities, all documents filed as part thereof or incorporated by reference therein and any Rule 430B Information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subsequently filed with the Commission pursuant to Rule 424(b) under the 1933 Act and deemed to be part of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is herein called the “</w:t>
      </w:r>
      <w:r>
        <w:rPr>
          <w:rFonts w:ascii="Times New Roman" w:cs="Times New Roman" w:eastAsia="Times New Roman" w:hAnsi="Times New Roman"/>
          <w:sz w:val="17"/>
          <w:szCs w:val="17"/>
          <w:b w:val="1"/>
          <w:bCs w:val="1"/>
          <w:u w:val="single" w:color="auto"/>
          <w:color w:val="auto"/>
        </w:rPr>
        <w:t>Registration Statement</w:t>
      </w:r>
      <w:r>
        <w:rPr>
          <w:rFonts w:ascii="Times New Roman" w:cs="Times New Roman" w:eastAsia="Times New Roman" w:hAnsi="Times New Roman"/>
          <w:sz w:val="17"/>
          <w:szCs w:val="17"/>
          <w:color w:val="auto"/>
        </w:rPr>
        <w:t>,” and any registration statement filed pursuant to Rule 462(b) of the 1933 Act Regulations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462(b)</w:t>
      </w:r>
      <w:r>
        <w:rPr>
          <w:rFonts w:ascii="Times New Roman" w:cs="Times New Roman" w:eastAsia="Times New Roman" w:hAnsi="Times New Roman"/>
          <w:sz w:val="18"/>
          <w:szCs w:val="18"/>
          <w:color w:val="auto"/>
        </w:rPr>
        <w:t>”), is herein called the “</w:t>
      </w:r>
      <w:r>
        <w:rPr>
          <w:rFonts w:ascii="Times New Roman" w:cs="Times New Roman" w:eastAsia="Times New Roman" w:hAnsi="Times New Roman"/>
          <w:sz w:val="18"/>
          <w:szCs w:val="18"/>
          <w:b w:val="1"/>
          <w:bCs w:val="1"/>
          <w:u w:val="single" w:color="auto"/>
          <w:color w:val="auto"/>
        </w:rPr>
        <w:t>Rule 462(b) Registration Statement</w:t>
      </w:r>
      <w:r>
        <w:rPr>
          <w:rFonts w:ascii="Times New Roman" w:cs="Times New Roman" w:eastAsia="Times New Roman" w:hAnsi="Times New Roman"/>
          <w:sz w:val="18"/>
          <w:szCs w:val="18"/>
          <w:color w:val="auto"/>
        </w:rPr>
        <w:t>” and after such filing the term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Rule 462(b) Registration Statement. All references in this Agreement to amendments or supplements to the Registration Statement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including those made pursuant to Rule 424(b) or such other rule of the 1933 Act Regulations as may be applicable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be deemed to mean and include, without limitation, the filing of any document under the Securities Exchange Act of 1934,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(collectively with the rules and regulations of the Commission (the “</w:t>
      </w:r>
      <w:r>
        <w:rPr>
          <w:rFonts w:ascii="Times New Roman" w:cs="Times New Roman" w:eastAsia="Times New Roman" w:hAnsi="Times New Roman"/>
          <w:sz w:val="18"/>
          <w:szCs w:val="18"/>
          <w:b w:val="1"/>
          <w:bCs w:val="1"/>
          <w:u w:val="single" w:color="auto"/>
          <w:color w:val="auto"/>
        </w:rPr>
        <w:t>1934 Act Regulations</w:t>
      </w:r>
      <w:r>
        <w:rPr>
          <w:rFonts w:ascii="Times New Roman" w:cs="Times New Roman" w:eastAsia="Times New Roman" w:hAnsi="Times New Roman"/>
          <w:sz w:val="18"/>
          <w:szCs w:val="18"/>
          <w:color w:val="auto"/>
        </w:rPr>
        <w:t>”) promulgated thereunder, the “</w:t>
      </w:r>
      <w:r>
        <w:rPr>
          <w:rFonts w:ascii="Times New Roman" w:cs="Times New Roman" w:eastAsia="Times New Roman" w:hAnsi="Times New Roman"/>
          <w:sz w:val="18"/>
          <w:szCs w:val="18"/>
          <w:b w:val="1"/>
          <w:bCs w:val="1"/>
          <w:u w:val="single" w:color="auto"/>
          <w:color w:val="auto"/>
        </w:rPr>
        <w:t>1934 Act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or is deemed to be incorporated by reference in or otherwise to be a part of or included in the Registration Statement or the Prospectus,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as of any specified date. For purposes of this Agreement, all references to the Registration Statement, the Prospectus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 to any of the foregoing shall be deemed to include the copy filed with the Commission pursuant to its Electronic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Analysis and Retrieval system or any successor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20" w:firstLine="423"/>
        <w:spacing w:after="0" w:line="273" w:lineRule="auto"/>
        <w:rPr>
          <w:sz w:val="20"/>
          <w:szCs w:val="20"/>
          <w:color w:val="auto"/>
        </w:rPr>
      </w:pPr>
      <w:r>
        <w:rPr>
          <w:rFonts w:ascii="Times New Roman" w:cs="Times New Roman" w:eastAsia="Times New Roman" w:hAnsi="Times New Roman"/>
          <w:sz w:val="17"/>
          <w:szCs w:val="17"/>
          <w:color w:val="auto"/>
        </w:rPr>
        <w:t>The Company owned (i) 100% of the limited partnership interests in Fidus Mezzanine Capital, L.P. (“</w:t>
      </w:r>
      <w:r>
        <w:rPr>
          <w:rFonts w:ascii="Times New Roman" w:cs="Times New Roman" w:eastAsia="Times New Roman" w:hAnsi="Times New Roman"/>
          <w:sz w:val="17"/>
          <w:szCs w:val="17"/>
          <w:b w:val="1"/>
          <w:bCs w:val="1"/>
          <w:u w:val="single" w:color="auto"/>
          <w:color w:val="auto"/>
        </w:rPr>
        <w:t>Fund I</w:t>
      </w:r>
      <w:r>
        <w:rPr>
          <w:rFonts w:ascii="Times New Roman" w:cs="Times New Roman" w:eastAsia="Times New Roman" w:hAnsi="Times New Roman"/>
          <w:sz w:val="17"/>
          <w:szCs w:val="17"/>
          <w:color w:val="auto"/>
        </w:rPr>
        <w:t>”); (ii) 100% of the limited partnership interests in Fidus Mezzanine Capital II, L.P (the “</w:t>
      </w:r>
      <w:r>
        <w:rPr>
          <w:rFonts w:ascii="Times New Roman" w:cs="Times New Roman" w:eastAsia="Times New Roman" w:hAnsi="Times New Roman"/>
          <w:sz w:val="17"/>
          <w:szCs w:val="17"/>
          <w:b w:val="1"/>
          <w:bCs w:val="1"/>
          <w:u w:val="single" w:color="auto"/>
          <w:color w:val="auto"/>
        </w:rPr>
        <w:t>Fund II</w:t>
      </w:r>
      <w:r>
        <w:rPr>
          <w:rFonts w:ascii="Times New Roman" w:cs="Times New Roman" w:eastAsia="Times New Roman" w:hAnsi="Times New Roman"/>
          <w:sz w:val="17"/>
          <w:szCs w:val="17"/>
          <w:color w:val="auto"/>
        </w:rPr>
        <w:t>”); (iii) 100% of the limited partnership interests in Fidus Mezzanine Capital III, L.P. (the “</w:t>
      </w:r>
      <w:r>
        <w:rPr>
          <w:rFonts w:ascii="Times New Roman" w:cs="Times New Roman" w:eastAsia="Times New Roman" w:hAnsi="Times New Roman"/>
          <w:sz w:val="17"/>
          <w:szCs w:val="17"/>
          <w:b w:val="1"/>
          <w:bCs w:val="1"/>
          <w:u w:val="single" w:color="auto"/>
          <w:color w:val="auto"/>
        </w:rPr>
        <w:t>SBIC Fund III</w:t>
      </w:r>
      <w:r>
        <w:rPr>
          <w:rFonts w:ascii="Times New Roman" w:cs="Times New Roman" w:eastAsia="Times New Roman" w:hAnsi="Times New Roman"/>
          <w:sz w:val="17"/>
          <w:szCs w:val="17"/>
          <w:color w:val="auto"/>
        </w:rPr>
        <w:t>”); (iv) 100% of the limited partnership interests in Fidus Mezzanine Capital IV, L.P. (the “</w:t>
      </w:r>
      <w:r>
        <w:rPr>
          <w:rFonts w:ascii="Times New Roman" w:cs="Times New Roman" w:eastAsia="Times New Roman" w:hAnsi="Times New Roman"/>
          <w:sz w:val="17"/>
          <w:szCs w:val="17"/>
          <w:b w:val="1"/>
          <w:bCs w:val="1"/>
          <w:u w:val="single" w:color="auto"/>
          <w:color w:val="auto"/>
        </w:rPr>
        <w:t>SBIC Fund IV</w:t>
      </w:r>
      <w:r>
        <w:rPr>
          <w:rFonts w:ascii="Times New Roman" w:cs="Times New Roman" w:eastAsia="Times New Roman" w:hAnsi="Times New Roman"/>
          <w:sz w:val="17"/>
          <w:szCs w:val="17"/>
          <w:color w:val="auto"/>
        </w:rPr>
        <w:t>” and, together with SBIC Fund III, the “</w:t>
      </w:r>
      <w:r>
        <w:rPr>
          <w:rFonts w:ascii="Times New Roman" w:cs="Times New Roman" w:eastAsia="Times New Roman" w:hAnsi="Times New Roman"/>
          <w:sz w:val="17"/>
          <w:szCs w:val="17"/>
          <w:b w:val="1"/>
          <w:bCs w:val="1"/>
          <w:u w:val="single" w:color="auto"/>
          <w:color w:val="auto"/>
        </w:rPr>
        <w:t>SBIC Funds</w:t>
      </w:r>
      <w:r>
        <w:rPr>
          <w:rFonts w:ascii="Times New Roman" w:cs="Times New Roman" w:eastAsia="Times New Roman" w:hAnsi="Times New Roman"/>
          <w:sz w:val="17"/>
          <w:szCs w:val="17"/>
          <w:color w:val="auto"/>
        </w:rPr>
        <w:t>”); (v) 100% of the equity interests of Fidus Capital GP, LLC (“</w:t>
      </w:r>
      <w:r>
        <w:rPr>
          <w:rFonts w:ascii="Times New Roman" w:cs="Times New Roman" w:eastAsia="Times New Roman" w:hAnsi="Times New Roman"/>
          <w:sz w:val="17"/>
          <w:szCs w:val="17"/>
          <w:b w:val="1"/>
          <w:bCs w:val="1"/>
          <w:u w:val="single" w:color="auto"/>
          <w:color w:val="auto"/>
        </w:rPr>
        <w:t>Fidus Capital</w:t>
      </w:r>
      <w:r>
        <w:rPr>
          <w:rFonts w:ascii="Times New Roman" w:cs="Times New Roman" w:eastAsia="Times New Roman" w:hAnsi="Times New Roman"/>
          <w:sz w:val="17"/>
          <w:szCs w:val="17"/>
          <w:color w:val="auto"/>
        </w:rPr>
        <w:t>”); (vi) 100% of the equity interests of Fidus Investment GP, LLC (the “</w:t>
      </w:r>
      <w:r>
        <w:rPr>
          <w:rFonts w:ascii="Times New Roman" w:cs="Times New Roman" w:eastAsia="Times New Roman" w:hAnsi="Times New Roman"/>
          <w:sz w:val="17"/>
          <w:szCs w:val="17"/>
          <w:b w:val="1"/>
          <w:bCs w:val="1"/>
          <w:u w:val="single" w:color="auto"/>
          <w:color w:val="auto"/>
        </w:rPr>
        <w:t>SBIC GP</w:t>
      </w:r>
      <w:r>
        <w:rPr>
          <w:rFonts w:ascii="Times New Roman" w:cs="Times New Roman" w:eastAsia="Times New Roman" w:hAnsi="Times New Roman"/>
          <w:sz w:val="17"/>
          <w:szCs w:val="17"/>
          <w:color w:val="auto"/>
        </w:rPr>
        <w:t>”); and (vii) 100% of the equity interests of FIC Funding, LLC (“</w:t>
      </w:r>
      <w:r>
        <w:rPr>
          <w:rFonts w:ascii="Times New Roman" w:cs="Times New Roman" w:eastAsia="Times New Roman" w:hAnsi="Times New Roman"/>
          <w:sz w:val="17"/>
          <w:szCs w:val="17"/>
          <w:b w:val="1"/>
          <w:bCs w:val="1"/>
          <w:color w:val="auto"/>
        </w:rPr>
        <w:t>FIC Funding</w:t>
      </w:r>
      <w:r>
        <w:rPr>
          <w:rFonts w:ascii="Times New Roman" w:cs="Times New Roman" w:eastAsia="Times New Roman" w:hAnsi="Times New Roman"/>
          <w:sz w:val="17"/>
          <w:szCs w:val="17"/>
          <w:color w:val="auto"/>
        </w:rPr>
        <w:t>”). The Company, together with Fund I, Fund II, the SBIC Funds, Fidus Capital, SBIC GP, and FIC Funding, are referred to in this Agreement as the “</w:t>
      </w:r>
      <w:r>
        <w:rPr>
          <w:rFonts w:ascii="Times New Roman" w:cs="Times New Roman" w:eastAsia="Times New Roman" w:hAnsi="Times New Roman"/>
          <w:sz w:val="17"/>
          <w:szCs w:val="17"/>
          <w:b w:val="1"/>
          <w:bCs w:val="1"/>
          <w:color w:val="auto"/>
        </w:rPr>
        <w:t>Fidus Entities</w:t>
      </w:r>
      <w:r>
        <w:rPr>
          <w:rFonts w:ascii="Times New Roman" w:cs="Times New Roman" w:eastAsia="Times New Roman" w:hAnsi="Times New Roman"/>
          <w:sz w:val="17"/>
          <w:szCs w:val="17"/>
          <w:color w:val="auto"/>
        </w:rPr>
        <w:t>.” The term Fidus Entities exclude tax blocker corporations that hold equity interests in one or more portfolio companies.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7" w:name="page8"/>
    <w:bookmarkEnd w:id="7"/>
    <w:p>
      <w:pPr>
        <w:ind w:right="1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Waivers for Amendment; Consent</w:t>
      </w:r>
      <w:r>
        <w:rPr>
          <w:rFonts w:ascii="Times New Roman" w:cs="Times New Roman" w:eastAsia="Times New Roman" w:hAnsi="Times New Roman"/>
          <w:sz w:val="18"/>
          <w:szCs w:val="18"/>
          <w:color w:val="auto"/>
        </w:rPr>
        <w:t>. Each of the Company, the Adviser and the Sales Agents by the execution of this Amendment, hereby consent to the amendments, modifications and supplements to the Equity Distribution Agreement contemplated herein.</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No other amendments to the Equity Distribution Agreement are intended by the parties hereto, are made, or shall be deemed to be made, pursuant to this Amendment, and all provisions of the Equity Distribution Agreement, including all Exhibits thereto, unaffected by this Amendment shall remain in full force and effect.</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Governing Law; Headings</w:t>
      </w:r>
      <w:r>
        <w:rPr>
          <w:rFonts w:ascii="Times New Roman" w:cs="Times New Roman" w:eastAsia="Times New Roman" w:hAnsi="Times New Roman"/>
          <w:sz w:val="18"/>
          <w:szCs w:val="18"/>
          <w:color w:val="auto"/>
        </w:rPr>
        <w:t>. This Amendment shall be governed by, and construed in accordance with, the laws of the State of New York, without regard to conflicts of laws principles. The section headings in this Amendment have been inserted as a matter of convenience of reference and are not a part of this Amendment.</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but not defined herein shall have the meanings assigned to such terms in the Equity Distribution Agreement.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Counterparts and Electronic Signatures</w:t>
      </w:r>
      <w:r>
        <w:rPr>
          <w:rFonts w:ascii="Times New Roman" w:cs="Times New Roman" w:eastAsia="Times New Roman" w:hAnsi="Times New Roman"/>
          <w:sz w:val="18"/>
          <w:szCs w:val="18"/>
          <w:color w:val="auto"/>
        </w:rPr>
        <w:t>. This Amendment may be signed by the parties in counterparts which together shall constitute one and the same agreement among the parties. An electronic or facsimile signature shall constitute an original signature for all purposes.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No. 3 to Equity Distribution Agreement to be executed and delivered by their duly 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Shelby E. Sherard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Chief Compliance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 and Corporate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FIDUS INVESTMENT ADVISORS,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Edward H. Ross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Amendment No. 3 to Equity Distribution Agreement]</w:t>
      </w:r>
    </w:p>
    <w:p>
      <w:pPr>
        <w:sectPr>
          <w:pgSz w:w="11900" w:h="16838" w:orient="portrait"/>
          <w:cols w:equalWidth="0" w:num="1">
            <w:col w:w="10960"/>
          </w:cols>
          <w:pgMar w:left="440" w:top="270"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 as of the date first-written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JAMES &amp; ASSOCIATES,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Larry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Larry Herman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Cavanagh</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i w:val="1"/>
          <w:iCs w:val="1"/>
          <w:color w:val="auto"/>
        </w:rPr>
        <w:t>[Signature Page to Amendment No. 3 to Equity Distribution Agreement]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2026-03-02T15:19:00Z</dcterms:created>
  <dcterms:modified xsi:type="dcterms:W3CDTF">2026-03-02T15:19:00Z</dcterms:modified>
</cp:coreProperties>
</file>