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0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5980" w:type="dxa"/>
            <w:vAlign w:val="bottom"/>
          </w:tcPr>
          <w:p>
            <w:pPr>
              <w:jc w:val="center"/>
              <w:ind w:right="3199"/>
              <w:spacing w:after="0"/>
              <w:rPr>
                <w:sz w:val="20"/>
                <w:szCs w:val="20"/>
                <w:color w:val="auto"/>
              </w:rPr>
            </w:pPr>
            <w:r>
              <w:rPr>
                <w:rFonts w:ascii="Arial" w:cs="Arial" w:eastAsia="Arial" w:hAnsi="Arial"/>
                <w:sz w:val="18"/>
                <w:szCs w:val="18"/>
                <w:b w:val="1"/>
                <w:bCs w:val="1"/>
                <w:color w:val="auto"/>
                <w:w w:val="98"/>
              </w:rPr>
              <w:t>Maryland</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27-5017321</w:t>
            </w:r>
          </w:p>
        </w:tc>
      </w:tr>
      <w:tr>
        <w:trPr>
          <w:trHeight w:val="149"/>
        </w:trPr>
        <w:tc>
          <w:tcPr>
            <w:tcW w:w="5980" w:type="dxa"/>
            <w:vAlign w:val="bottom"/>
          </w:tcPr>
          <w:p>
            <w:pPr>
              <w:jc w:val="center"/>
              <w:ind w:right="3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80" w:type="dxa"/>
            <w:vAlign w:val="bottom"/>
          </w:tcPr>
          <w:p>
            <w:pPr>
              <w:jc w:val="center"/>
              <w:ind w:right="3199"/>
              <w:spacing w:after="0"/>
              <w:rPr>
                <w:sz w:val="20"/>
                <w:szCs w:val="20"/>
                <w:color w:val="auto"/>
              </w:rPr>
            </w:pPr>
            <w:r>
              <w:rPr>
                <w:rFonts w:ascii="Arial" w:cs="Arial" w:eastAsia="Arial" w:hAnsi="Arial"/>
                <w:sz w:val="14"/>
                <w:szCs w:val="14"/>
                <w:b w:val="1"/>
                <w:bCs w:val="1"/>
                <w:color w:val="auto"/>
                <w:w w:val="95"/>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5980" w:type="dxa"/>
            <w:vAlign w:val="bottom"/>
          </w:tcPr>
          <w:p>
            <w:pPr>
              <w:jc w:val="center"/>
              <w:ind w:right="3199"/>
              <w:spacing w:after="0"/>
              <w:rPr>
                <w:sz w:val="20"/>
                <w:szCs w:val="20"/>
                <w:color w:val="auto"/>
              </w:rPr>
            </w:pPr>
            <w:r>
              <w:rPr>
                <w:rFonts w:ascii="Arial" w:cs="Arial" w:eastAsia="Arial" w:hAnsi="Arial"/>
                <w:sz w:val="18"/>
                <w:szCs w:val="18"/>
                <w:b w:val="1"/>
                <w:bCs w:val="1"/>
                <w:color w:val="auto"/>
                <w:w w:val="90"/>
              </w:rPr>
              <w:t>1603 Orrington Avenue, Suite 1005</w:t>
            </w:r>
          </w:p>
        </w:tc>
        <w:tc>
          <w:tcPr>
            <w:tcW w:w="1500" w:type="dxa"/>
            <w:vAlign w:val="bottom"/>
          </w:tcPr>
          <w:p>
            <w:pPr>
              <w:spacing w:after="0"/>
              <w:rPr>
                <w:sz w:val="24"/>
                <w:szCs w:val="24"/>
                <w:color w:val="auto"/>
              </w:rPr>
            </w:pPr>
          </w:p>
        </w:tc>
      </w:tr>
      <w:tr>
        <w:trPr>
          <w:trHeight w:val="225"/>
        </w:trPr>
        <w:tc>
          <w:tcPr>
            <w:tcW w:w="5980" w:type="dxa"/>
            <w:vAlign w:val="bottom"/>
          </w:tcPr>
          <w:p>
            <w:pPr>
              <w:jc w:val="center"/>
              <w:ind w:right="3199"/>
              <w:spacing w:after="0"/>
              <w:rPr>
                <w:sz w:val="20"/>
                <w:szCs w:val="20"/>
                <w:color w:val="auto"/>
              </w:rPr>
            </w:pPr>
            <w:r>
              <w:rPr>
                <w:rFonts w:ascii="Arial" w:cs="Arial" w:eastAsia="Arial" w:hAnsi="Arial"/>
                <w:sz w:val="18"/>
                <w:szCs w:val="18"/>
                <w:b w:val="1"/>
                <w:bCs w:val="1"/>
                <w:color w:val="auto"/>
                <w:w w:val="90"/>
              </w:rPr>
              <w:t>Evanston, Illinois</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5980" w:type="dxa"/>
            <w:vAlign w:val="bottom"/>
          </w:tcPr>
          <w:p>
            <w:pPr>
              <w:jc w:val="center"/>
              <w:ind w:right="3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980" w:type="dxa"/>
            <w:vAlign w:val="bottom"/>
          </w:tcPr>
          <w:p>
            <w:pPr>
              <w:jc w:val="right"/>
              <w:ind w:right="1259"/>
              <w:spacing w:after="0"/>
              <w:rPr>
                <w:sz w:val="20"/>
                <w:szCs w:val="20"/>
                <w:color w:val="auto"/>
              </w:rPr>
            </w:pPr>
            <w:r>
              <w:rPr>
                <w:rFonts w:ascii="Arial" w:cs="Arial" w:eastAsia="Arial" w:hAnsi="Arial"/>
                <w:sz w:val="18"/>
                <w:szCs w:val="18"/>
                <w:b w:val="1"/>
                <w:bCs w:val="1"/>
                <w:color w:val="auto"/>
              </w:rPr>
              <w:t>(847) 859-3940</w:t>
            </w:r>
          </w:p>
        </w:tc>
        <w:tc>
          <w:tcPr>
            <w:tcW w:w="1500" w:type="dxa"/>
            <w:vAlign w:val="bottom"/>
          </w:tcPr>
          <w:p>
            <w:pPr>
              <w:spacing w:after="0"/>
              <w:rPr>
                <w:sz w:val="24"/>
                <w:szCs w:val="24"/>
                <w:color w:val="auto"/>
              </w:rPr>
            </w:pPr>
          </w:p>
        </w:tc>
      </w:tr>
      <w:tr>
        <w:trPr>
          <w:trHeight w:val="186"/>
        </w:trPr>
        <w:tc>
          <w:tcPr>
            <w:tcW w:w="5980" w:type="dxa"/>
            <w:vAlign w:val="bottom"/>
          </w:tcPr>
          <w:p>
            <w:pPr>
              <w:jc w:val="right"/>
              <w:ind w:right="27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FDUS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5.875% Notes due 2023</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FDUSL</w:t>
            </w: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6.000% Notes due 2024</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FDUSZ</w:t>
            </w: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5.375% Notes due 2024</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FDUSG</w:t>
            </w:r>
          </w:p>
        </w:tc>
        <w:tc>
          <w:tcPr>
            <w:tcW w:w="354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200"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40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p>
      <w:pPr>
        <w:ind w:left="200"/>
        <w:spacing w:after="0" w:line="207" w:lineRule="exact"/>
        <w:tabs>
          <w:tab w:leader="none" w:pos="2180" w:val="left"/>
          <w:tab w:leader="none" w:pos="858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41" w:orient="portrait"/>
          <w:cols w:equalWidth="0" w:num="1">
            <w:col w:w="11240"/>
          </w:cols>
          <w:pgMar w:left="240" w:top="230" w:right="41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80"/>
            <w:col w:w="5680" w:space="720"/>
            <w:col w:w="1960" w:space="440"/>
            <w:col w:w="200"/>
          </w:cols>
          <w:pgMar w:left="440" w:top="187" w:right="459" w:bottom="1440" w:gutter="0" w:footer="0" w:header="0"/>
        </w:sectPr>
      </w:pPr>
    </w:p>
    <w:p>
      <w:pPr>
        <w:spacing w:after="0" w:line="33"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360" w:space="440"/>
            <w:col w:w="200"/>
          </w:cols>
          <w:pgMar w:left="440" w:top="187" w:right="459" w:bottom="1440" w:gutter="0" w:footer="0" w:header="0"/>
          <w:type w:val="continuous"/>
        </w:sectPr>
      </w:pPr>
    </w:p>
    <w:p>
      <w:pPr>
        <w:spacing w:after="0" w:line="4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29, 2019, the Registrant had outstanding 24,463,119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187"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6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60" w:type="dxa"/>
            <w:vAlign w:val="bottom"/>
            <w:gridSpan w:val="15"/>
          </w:tcPr>
          <w:p>
            <w:pPr>
              <w:jc w:val="center"/>
              <w:ind w:right="2620"/>
              <w:spacing w:after="0"/>
              <w:rPr>
                <w:sz w:val="20"/>
                <w:szCs w:val="20"/>
                <w:color w:val="auto"/>
              </w:rPr>
            </w:pPr>
            <w:r>
              <w:rPr>
                <w:rFonts w:ascii="Arial" w:cs="Arial" w:eastAsia="Arial" w:hAnsi="Arial"/>
                <w:sz w:val="18"/>
                <w:szCs w:val="18"/>
                <w:b w:val="1"/>
                <w:bCs w:val="1"/>
                <w:color w:val="auto"/>
              </w:rPr>
              <w:t>FIDUS INVESTMENT CORPORATION</w:t>
            </w:r>
          </w:p>
        </w:tc>
        <w:tc>
          <w:tcPr>
            <w:tcW w:w="5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80" w:type="dxa"/>
            <w:vAlign w:val="bottom"/>
            <w:gridSpan w:val="13"/>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60" w:type="dxa"/>
            <w:vAlign w:val="bottom"/>
            <w:gridSpan w:val="15"/>
          </w:tcPr>
          <w:p>
            <w:pPr>
              <w:jc w:val="center"/>
              <w:ind w:right="2640"/>
              <w:spacing w:after="0"/>
              <w:rPr>
                <w:sz w:val="20"/>
                <w:szCs w:val="20"/>
                <w:color w:val="auto"/>
              </w:rPr>
            </w:pPr>
            <w:r>
              <w:rPr>
                <w:rFonts w:ascii="Arial" w:cs="Arial" w:eastAsia="Arial" w:hAnsi="Arial"/>
                <w:sz w:val="18"/>
                <w:szCs w:val="18"/>
                <w:b w:val="1"/>
                <w:bCs w:val="1"/>
                <w:color w:val="auto"/>
                <w:w w:val="99"/>
              </w:rPr>
              <w:t>QUARTERLY REPORT ON FORM 10-Q</w:t>
            </w:r>
          </w:p>
        </w:tc>
        <w:tc>
          <w:tcPr>
            <w:tcW w:w="52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40" w:type="dxa"/>
            <w:vAlign w:val="bottom"/>
            <w:gridSpan w:val="14"/>
          </w:tcPr>
          <w:p>
            <w:pPr>
              <w:jc w:val="center"/>
              <w:ind w:right="310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20" w:type="dxa"/>
            <w:vAlign w:val="bottom"/>
          </w:tcPr>
          <w:p>
            <w:pPr>
              <w:spacing w:after="0"/>
              <w:rPr>
                <w:sz w:val="24"/>
                <w:szCs w:val="24"/>
                <w:color w:val="auto"/>
              </w:rPr>
            </w:pPr>
          </w:p>
        </w:tc>
      </w:tr>
      <w:tr>
        <w:trPr>
          <w:trHeight w:val="304"/>
        </w:trPr>
        <w:tc>
          <w:tcPr>
            <w:tcW w:w="2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1740" w:type="dxa"/>
            <w:vAlign w:val="bottom"/>
            <w:gridSpan w:val="3"/>
          </w:tcPr>
          <w:p>
            <w:pPr>
              <w:spacing w:after="0"/>
              <w:rPr>
                <w:sz w:val="24"/>
                <w:szCs w:val="24"/>
                <w:color w:val="auto"/>
              </w:rPr>
            </w:pPr>
          </w:p>
        </w:tc>
        <w:tc>
          <w:tcPr>
            <w:tcW w:w="3240" w:type="dxa"/>
            <w:vAlign w:val="bottom"/>
            <w:tcBorders>
              <w:top w:val="single" w:sz="8" w:color="0000EE"/>
            </w:tcBorders>
            <w:gridSpan w:val="7"/>
          </w:tcPr>
          <w:p>
            <w:pPr>
              <w:spacing w:after="0"/>
              <w:rPr>
                <w:sz w:val="24"/>
                <w:szCs w:val="24"/>
                <w:color w:val="auto"/>
              </w:rPr>
            </w:pPr>
          </w:p>
        </w:tc>
        <w:tc>
          <w:tcPr>
            <w:tcW w:w="310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Assets and Liabilities — September 30, 2019 (unaudited) and December 31, 2018</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Operations — Three and Nine Months Ended September 30, 2019 (unaudited) and 2018 (unaudited)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Statements of Changes in Net Assets — Three and Nine Months Ended September 30, 2019 (unaudited) and 2018</w:t>
              </w:r>
            </w:hyperlink>
          </w:p>
        </w:tc>
        <w:tc>
          <w:tcPr>
            <w:tcW w:w="5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8420" w:type="dxa"/>
            <w:vAlign w:val="bottom"/>
            <w:tcBorders>
              <w:top w:val="single" w:sz="8" w:color="0000EE"/>
            </w:tcBorders>
            <w:gridSpan w:val="20"/>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 Nine Months Ended September 30, 2019 (unaudited) and 2018 (unaudited)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 September 30, 2019 (unaudited) and December 31, 2018</w:t>
              </w:r>
            </w:hyperlink>
          </w:p>
        </w:tc>
        <w:tc>
          <w:tcPr>
            <w:tcW w:w="10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Notes to Consolidated Financial Statements (unaudited)</w:t>
              </w:r>
            </w:hyperlink>
          </w:p>
        </w:tc>
        <w:tc>
          <w:tcPr>
            <w:tcW w:w="3200" w:type="dxa"/>
            <w:vAlign w:val="bottom"/>
            <w:tcBorders>
              <w:top w:val="single" w:sz="8" w:color="0000EE"/>
            </w:tcBorders>
            <w:gridSpan w:val="6"/>
          </w:tcPr>
          <w:p>
            <w:pPr>
              <w:spacing w:after="0"/>
              <w:rPr>
                <w:sz w:val="17"/>
                <w:szCs w:val="17"/>
                <w:color w:val="auto"/>
              </w:rPr>
            </w:pPr>
          </w:p>
        </w:tc>
        <w:tc>
          <w:tcPr>
            <w:tcW w:w="236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60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14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40" w:type="dxa"/>
            <w:vAlign w:val="bottom"/>
            <w:gridSpan w:val="14"/>
          </w:tcPr>
          <w:p>
            <w:pPr>
              <w:jc w:val="center"/>
              <w:ind w:right="3080"/>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 OTHER INFORMATION</w:t>
              </w:r>
            </w:hyperlink>
          </w:p>
        </w:tc>
        <w:tc>
          <w:tcPr>
            <w:tcW w:w="5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3420" w:type="dxa"/>
            <w:vAlign w:val="bottom"/>
            <w:gridSpan w:val="1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2940" w:type="dxa"/>
            <w:vAlign w:val="bottom"/>
            <w:tcBorders>
              <w:top w:val="single" w:sz="8" w:color="0000EE"/>
            </w:tcBorders>
            <w:gridSpan w:val="4"/>
          </w:tcPr>
          <w:p>
            <w:pPr>
              <w:spacing w:after="0"/>
              <w:rPr>
                <w:sz w:val="17"/>
                <w:szCs w:val="17"/>
                <w:color w:val="auto"/>
              </w:rPr>
            </w:pPr>
          </w:p>
        </w:tc>
        <w:tc>
          <w:tcPr>
            <w:tcW w:w="324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2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Unregistered Sales of Equity Securities and Use of Proceeds</w:t>
              </w:r>
            </w:hyperlink>
          </w:p>
        </w:tc>
        <w:tc>
          <w:tcPr>
            <w:tcW w:w="524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Defaults Upon Senior Securities</w:t>
              </w:r>
            </w:hyperlink>
          </w:p>
        </w:tc>
        <w:tc>
          <w:tcPr>
            <w:tcW w:w="72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Mine Safety Disclosures</w:t>
              </w:r>
            </w:hyperlink>
          </w:p>
        </w:tc>
        <w:tc>
          <w:tcPr>
            <w:tcW w:w="782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600" w:type="dxa"/>
            <w:vAlign w:val="bottom"/>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28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00" w:type="dxa"/>
            <w:vAlign w:val="bottom"/>
          </w:tcPr>
          <w:p>
            <w:pPr>
              <w:spacing w:after="0"/>
              <w:rPr>
                <w:sz w:val="17"/>
                <w:szCs w:val="17"/>
                <w:color w:val="auto"/>
              </w:rPr>
            </w:pPr>
          </w:p>
        </w:tc>
        <w:tc>
          <w:tcPr>
            <w:tcW w:w="860" w:type="dxa"/>
            <w:vAlign w:val="bottom"/>
            <w:gridSpan w:val="2"/>
          </w:tcPr>
          <w:p>
            <w:pPr>
              <w:spacing w:after="0" w:line="196"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Signatures</w:t>
              </w:r>
            </w:hyperlink>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700" w:type="dxa"/>
            <w:vAlign w:val="bottom"/>
            <w:gridSpan w:val="2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10460" w:type="dxa"/>
            <w:vAlign w:val="bottom"/>
            <w:gridSpan w:val="26"/>
          </w:tcPr>
          <w:p>
            <w:pPr>
              <w:spacing w:after="0"/>
              <w:rPr>
                <w:sz w:val="20"/>
                <w:szCs w:val="20"/>
                <w:color w:val="auto"/>
              </w:rPr>
            </w:pPr>
            <w:r>
              <w:rPr>
                <w:rFonts w:ascii="Arial" w:cs="Arial" w:eastAsia="Arial" w:hAnsi="Arial"/>
                <w:sz w:val="18"/>
                <w:szCs w:val="18"/>
                <w:color w:val="auto"/>
              </w:rPr>
              <w:t>Exhibit Index</w:t>
            </w:r>
          </w:p>
        </w:tc>
        <w:tc>
          <w:tcPr>
            <w:tcW w:w="520" w:type="dxa"/>
            <w:vAlign w:val="bottom"/>
          </w:tcPr>
          <w:p>
            <w:pPr>
              <w:spacing w:after="0"/>
              <w:rPr>
                <w:sz w:val="20"/>
                <w:szCs w:val="20"/>
                <w:color w:val="auto"/>
              </w:rPr>
            </w:pPr>
          </w:p>
        </w:tc>
      </w:tr>
      <w:tr>
        <w:trPr>
          <w:trHeight w:val="365"/>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15"/>
          </w:tcPr>
          <w:p>
            <w:pPr>
              <w:jc w:val="center"/>
              <w:ind w:left="285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20" w:type="dxa"/>
            <w:vAlign w:val="bottom"/>
          </w:tcPr>
          <w:p>
            <w:pPr>
              <w:jc w:val="center"/>
              <w:ind w:left="1250"/>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20" w:type="dxa"/>
            <w:vAlign w:val="bottom"/>
          </w:tcPr>
          <w:p>
            <w:pPr>
              <w:jc w:val="center"/>
              <w:ind w:left="1250"/>
              <w:spacing w:after="0"/>
              <w:rPr>
                <w:sz w:val="20"/>
                <w:szCs w:val="20"/>
                <w:color w:val="auto"/>
              </w:rPr>
            </w:pPr>
            <w:r>
              <w:rPr>
                <w:rFonts w:ascii="Arial" w:cs="Arial" w:eastAsia="Arial" w:hAnsi="Arial"/>
                <w:sz w:val="18"/>
                <w:szCs w:val="18"/>
                <w:b w:val="1"/>
                <w:bCs w:val="1"/>
                <w:color w:val="auto"/>
              </w:rPr>
              <w:t>FIDUS INVESTMENT CORPORATION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20" w:type="dxa"/>
            <w:vAlign w:val="bottom"/>
          </w:tcPr>
          <w:p>
            <w:pPr>
              <w:jc w:val="center"/>
              <w:ind w:left="12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20" w:type="dxa"/>
            <w:vAlign w:val="bottom"/>
          </w:tcPr>
          <w:p>
            <w:pPr>
              <w:jc w:val="center"/>
              <w:ind w:left="1230"/>
              <w:spacing w:after="0"/>
              <w:rPr>
                <w:sz w:val="20"/>
                <w:szCs w:val="20"/>
                <w:color w:val="auto"/>
              </w:rPr>
            </w:pPr>
            <w:r>
              <w:rPr>
                <w:rFonts w:ascii="Arial" w:cs="Arial" w:eastAsia="Arial" w:hAnsi="Arial"/>
                <w:sz w:val="18"/>
                <w:szCs w:val="18"/>
                <w:b w:val="1"/>
                <w:bCs w:val="1"/>
                <w:color w:val="auto"/>
                <w:w w:val="88"/>
              </w:rPr>
              <w:t>(in thousands, except shares and per share data)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September 30, 2019</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7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(unaudited)</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Control investments (cost: $27,279 and $22,697, respectively)</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15,132</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ind w:left="340"/>
              <w:spacing w:after="0"/>
              <w:rPr>
                <w:sz w:val="20"/>
                <w:szCs w:val="20"/>
                <w:color w:val="auto"/>
              </w:rPr>
            </w:pPr>
            <w:r>
              <w:rPr>
                <w:rFonts w:ascii="Arial" w:cs="Arial" w:eastAsia="Arial" w:hAnsi="Arial"/>
                <w:sz w:val="18"/>
                <w:szCs w:val="18"/>
                <w:color w:val="auto"/>
              </w:rPr>
              <w:t>Affiliate investments (cost: $56,160 and $70,924,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111,872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(cost: $608,077 and $505,129, respectively)</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3"/>
          </w:tcPr>
          <w:p>
            <w:pPr>
              <w:spacing w:after="0"/>
              <w:rPr>
                <w:sz w:val="20"/>
                <w:szCs w:val="20"/>
                <w:color w:val="auto"/>
              </w:rPr>
            </w:pPr>
            <w:r>
              <w:rPr>
                <w:rFonts w:ascii="Arial" w:cs="Arial" w:eastAsia="Arial" w:hAnsi="Arial"/>
                <w:sz w:val="18"/>
                <w:szCs w:val="18"/>
                <w:color w:val="auto"/>
              </w:rPr>
              <w:t>Total investments, at fair value (cost: $691,516 and $598,750, respectively)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729,442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8"/>
              </w:rPr>
              <w:t>Total assets</w:t>
            </w:r>
          </w:p>
        </w:tc>
        <w:tc>
          <w:tcPr>
            <w:tcW w:w="7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754,740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60" w:type="dxa"/>
            <w:vAlign w:val="bottom"/>
            <w:gridSpan w:val="3"/>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153,662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186,734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Notes, net of deferred financing costs (Note 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Base management fee payable – due to affiliate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incentive fee payable – due to affiliate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351,908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(100,000,000 shares authorized, 24,463,119 shares issued and outstanding at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 and December 31, 2018,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366,278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402,832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754,740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060"/>
              <w:spacing w:after="0"/>
              <w:rPr>
                <w:sz w:val="20"/>
                <w:szCs w:val="20"/>
                <w:color w:val="auto"/>
              </w:rPr>
            </w:pPr>
            <w:r>
              <w:rPr>
                <w:rFonts w:ascii="Arial" w:cs="Arial" w:eastAsia="Arial" w:hAnsi="Arial"/>
                <w:sz w:val="18"/>
                <w:szCs w:val="18"/>
                <w:color w:val="auto"/>
              </w:rPr>
              <w:t>Total interest income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Payment-in-kind interest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payment-in-kind interest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060"/>
              <w:spacing w:after="0"/>
              <w:rPr>
                <w:sz w:val="20"/>
                <w:szCs w:val="20"/>
                <w:color w:val="auto"/>
              </w:rPr>
            </w:pPr>
            <w:r>
              <w:rPr>
                <w:rFonts w:ascii="Arial" w:cs="Arial" w:eastAsia="Arial" w:hAnsi="Arial"/>
                <w:sz w:val="18"/>
                <w:szCs w:val="18"/>
                <w:color w:val="auto"/>
              </w:rPr>
              <w:t>Total dividend income</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fee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Interest on idle funds and other income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Base management fee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fee -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Incentive fee - capital gains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(losses):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(7,345)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realized gain (loss) on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Income tax (provision) benefit from realized gains on investments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gain (loss) on investments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increase in net assets resulting from operations per share — 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24,474,632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240"/>
          </w:cols>
          <w:pgMar w:left="240" w:top="459" w:right="419" w:bottom="611"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59" w:right="419" w:bottom="61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0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3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0"/>
                <w:szCs w:val="10"/>
                <w:color w:val="auto"/>
              </w:rPr>
            </w:pP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distributable</w:t>
            </w: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24,507,940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$ 370,796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$ 393,273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$ 370,214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$ 398,158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(15,197)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$ 370,214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$ 396,261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(6,896)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30,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$ 370,214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$ 401,522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$ 402,985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$ 404,816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(6,029)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$ 398,478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(3,822)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$ 366,278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$ 402,832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28,469</w:t>
            </w: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Adjustments to reconcile net increase in net assets resulting from operations to net cash provided by (used for)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Interest and dividend income paid-in-kind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Accretion of loan origination fees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Proceeds from sales and repayments of 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loan origination fees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Realized losses on extinguishment of debt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interest and fees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060"/>
              <w:spacing w:after="0"/>
              <w:rPr>
                <w:sz w:val="20"/>
                <w:szCs w:val="20"/>
                <w:color w:val="auto"/>
              </w:rPr>
            </w:pPr>
            <w:r>
              <w:rPr>
                <w:rFonts w:ascii="Arial" w:cs="Arial" w:eastAsia="Arial" w:hAnsi="Arial"/>
                <w:sz w:val="18"/>
                <w:szCs w:val="18"/>
                <w:color w:val="auto"/>
              </w:rPr>
              <w:t>Base management fee payable – due to affiliate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incentive fee payable – due to affiliate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060"/>
              <w:spacing w:after="0"/>
              <w:rPr>
                <w:sz w:val="20"/>
                <w:szCs w:val="20"/>
                <w:color w:val="auto"/>
              </w:rPr>
            </w:pPr>
            <w:r>
              <w:rPr>
                <w:rFonts w:ascii="Arial" w:cs="Arial" w:eastAsia="Arial" w:hAnsi="Arial"/>
                <w:sz w:val="18"/>
                <w:szCs w:val="18"/>
                <w:color w:val="auto"/>
              </w:rPr>
              <w:t>Capital gains incentive fee payable – due to affiliate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Administration fee payable and other – due to affiliate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060"/>
              <w:spacing w:after="0"/>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Proceeds received from SBA debentures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SBA debentures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Proceeds received from issuance of Public Notes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received from (repayments of) borrowings under Credit Facility,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Payment of deferred financing costs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Dividends paid to stockholders, including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Repurchases of common stock under Stock Repurchase Program</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14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 of period</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payments for interest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Cash payments for taxes, net of tax refunds received</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6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b w:val="1"/>
                <w:bCs w:val="1"/>
                <w:color w:val="auto"/>
              </w:rPr>
              <w:t>Principal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73"/>
        </w:trPr>
        <w:tc>
          <w:tcPr>
            <w:tcW w:w="3160" w:type="dxa"/>
            <w:vAlign w:val="bottom"/>
            <w:gridSpan w:val="4"/>
          </w:tcPr>
          <w:p>
            <w:pPr>
              <w:spacing w:after="0"/>
              <w:rPr>
                <w:sz w:val="20"/>
                <w:szCs w:val="20"/>
                <w:color w:val="auto"/>
              </w:rPr>
            </w:pPr>
            <w:r>
              <w:rPr>
                <w:rFonts w:ascii="Arial" w:cs="Arial" w:eastAsia="Arial" w:hAnsi="Arial"/>
                <w:sz w:val="13"/>
                <w:szCs w:val="13"/>
                <w:b w:val="1"/>
                <w:bCs w:val="1"/>
                <w:color w:val="auto"/>
              </w:rPr>
              <w:t>Investment Type (c)</w:t>
            </w:r>
          </w:p>
        </w:tc>
        <w:tc>
          <w:tcPr>
            <w:tcW w:w="192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Cost</w:t>
            </w:r>
          </w:p>
        </w:tc>
        <w:tc>
          <w:tcPr>
            <w:tcW w:w="600" w:type="dxa"/>
            <w:vAlign w:val="bottom"/>
            <w:gridSpan w:val="3"/>
          </w:tcPr>
          <w:p>
            <w:pPr>
              <w:jc w:val="right"/>
              <w:spacing w:after="0"/>
              <w:rPr>
                <w:sz w:val="20"/>
                <w:szCs w:val="20"/>
                <w:color w:val="auto"/>
              </w:rPr>
            </w:pPr>
            <w:r>
              <w:rPr>
                <w:rFonts w:ascii="Arial" w:cs="Arial" w:eastAsia="Arial" w:hAnsi="Arial"/>
                <w:sz w:val="13"/>
                <w:szCs w:val="13"/>
                <w:b w:val="1"/>
                <w:bCs w:val="1"/>
                <w:color w:val="auto"/>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top w:val="single" w:sz="8" w:color="auto"/>
              <w:right w:val="single" w:sz="8" w:color="CCEEFF"/>
            </w:tcBorders>
            <w:shd w:val="clear" w:color="auto" w:fill="CCEEFF"/>
          </w:tcPr>
          <w:p>
            <w:pPr>
              <w:spacing w:after="0" w:line="95" w:lineRule="exact"/>
              <w:rPr>
                <w:sz w:val="20"/>
                <w:szCs w:val="20"/>
                <w:color w:val="auto"/>
              </w:rPr>
            </w:pPr>
            <w:r>
              <w:rPr>
                <w:rFonts w:ascii="Arial" w:cs="Arial" w:eastAsia="Arial" w:hAnsi="Arial"/>
                <w:sz w:val="11"/>
                <w:szCs w:val="11"/>
                <w:b w:val="1"/>
                <w:bCs w:val="1"/>
                <w:color w:val="auto"/>
              </w:rPr>
              <w:t>Control Investments (t)</w:t>
            </w:r>
          </w:p>
        </w:tc>
        <w:tc>
          <w:tcPr>
            <w:tcW w:w="1820" w:type="dxa"/>
            <w:vAlign w:val="bottom"/>
            <w:tcBorders>
              <w:top w:val="single" w:sz="8" w:color="CCEEFF"/>
            </w:tcBorders>
            <w:shd w:val="clear" w:color="auto" w:fill="CCEEFF"/>
          </w:tcPr>
          <w:p>
            <w:pPr>
              <w:spacing w:after="0"/>
              <w:rPr>
                <w:sz w:val="8"/>
                <w:szCs w:val="8"/>
                <w:color w:val="auto"/>
              </w:rPr>
            </w:pPr>
          </w:p>
        </w:tc>
        <w:tc>
          <w:tcPr>
            <w:tcW w:w="19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FDS Avionics Corp. (dba Flight Display Systems)</w:t>
            </w:r>
          </w:p>
        </w:tc>
        <w:tc>
          <w:tcPr>
            <w:tcW w:w="1920" w:type="dxa"/>
            <w:vAlign w:val="bottom"/>
          </w:tcPr>
          <w:p>
            <w:pPr>
              <w:ind w:left="40"/>
              <w:spacing w:after="0" w:line="129" w:lineRule="exact"/>
              <w:rPr>
                <w:sz w:val="20"/>
                <w:szCs w:val="20"/>
                <w:color w:val="auto"/>
              </w:rPr>
            </w:pPr>
            <w:r>
              <w:rPr>
                <w:rFonts w:ascii="Arial" w:cs="Arial" w:eastAsia="Arial" w:hAnsi="Arial"/>
                <w:sz w:val="13"/>
                <w:szCs w:val="13"/>
                <w:color w:val="auto"/>
                <w:w w:val="87"/>
              </w:rPr>
              <w:t>Aerospace &amp; Defense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4.00%/11.00%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11/5/2014</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7/1/2020</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6,735</w:t>
            </w:r>
          </w:p>
        </w:tc>
        <w:tc>
          <w:tcPr>
            <w:tcW w:w="10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6,732</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5,802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Revolving Loan ($30 commitment)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4.00%/11.00%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7/1/2020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(7,478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11/10/2017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7,734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6,056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 (k)(p)</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7.00%/6.00%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7/3/2014</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8/30/2024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14,363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14,359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4,476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7.50%/7.50%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11/9/2018</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8/30/2024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(2,522 units) (h)(j)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7/3/2014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585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(425,508 units)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8/30/2019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19,545</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9,076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Control Investments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27,279</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15,132</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31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Affiliate Investments (l)</w:t>
            </w: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60" w:type="dxa"/>
            <w:vAlign w:val="bottom"/>
            <w:gridSpan w:val="4"/>
            <w:vMerge w:val="continue"/>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00" w:type="dxa"/>
            <w:vAlign w:val="bottom"/>
            <w:tcBorders>
              <w:top w:val="single" w:sz="8" w:color="auto"/>
              <w:right w:val="single" w:sz="8" w:color="CCEEFF"/>
            </w:tcBorders>
            <w:shd w:val="clear" w:color="auto" w:fill="CCEEFF"/>
          </w:tcPr>
          <w:p>
            <w:pPr>
              <w:spacing w:after="0" w:line="129" w:lineRule="exact"/>
              <w:rPr>
                <w:sz w:val="20"/>
                <w:szCs w:val="20"/>
                <w:color w:val="auto"/>
              </w:rPr>
            </w:pPr>
            <w:r>
              <w:rPr>
                <w:rFonts w:ascii="Arial" w:cs="Arial" w:eastAsia="Arial" w:hAnsi="Arial"/>
                <w:sz w:val="13"/>
                <w:szCs w:val="13"/>
                <w:i w:val="1"/>
                <w:iCs w:val="1"/>
                <w:color w:val="auto"/>
                <w:w w:val="97"/>
              </w:rPr>
              <w:t>FAR Research Inc. (n)</w:t>
            </w: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Specialty Chemicals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(1,396 units)</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3/31/2014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Fiber Materials, Inc.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(10 units)</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11/30/2016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645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3,916</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Medsurant Holdings,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12/18/2015</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6/30/2020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8,823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8,809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8,823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(126,662 units) (h)</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4/12/2011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Warrant (505,176 units) (h)(m)</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4/12/2011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4,516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7,472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14,671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18,369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11.00%/1.50%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5/13/2015</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3/13/2022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8,897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8,886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8,897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(1,625,731 units)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5/13/2015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1,940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2,439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10,826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11,336</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Utility Equipment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(L + 11.50%) / (1.00%)</w:t>
            </w: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13.59%/1.50%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11/25/2015</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9"/>
              </w:rPr>
              <w:t>11/25/2020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6,178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6,158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6,178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(2,500,000 shares) (o)</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11/25/2015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2,182</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1,039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8,340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7,217</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10.50%/0.00%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3/29/2013</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9/29/2022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(8,500 units)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3/29/2013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850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18,946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25,154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Oil &amp; Gas Services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 Class A-2 (42,500 units)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10/13/2016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33,771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 Class B (1,000 units) (k)</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10/13/2016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36,771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5"/>
              </w:rPr>
              <w:t>Steward Holding LLC (dba Steward Advanced Materials)</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11/12/2015</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5/12/2021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7,638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7,628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7,638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Common Equity (1,000,000 units)</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11/12/2015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8,628</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9,060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3160" w:type="dxa"/>
            <w:vAlign w:val="bottom"/>
            <w:gridSpan w:val="4"/>
          </w:tcPr>
          <w:p>
            <w:pPr>
              <w:spacing w:after="0" w:line="143" w:lineRule="exact"/>
              <w:rPr>
                <w:sz w:val="20"/>
                <w:szCs w:val="20"/>
                <w:color w:val="auto"/>
              </w:rPr>
            </w:pPr>
            <w:r>
              <w:rPr>
                <w:rFonts w:ascii="Arial" w:cs="Arial" w:eastAsia="Arial" w:hAnsi="Arial"/>
                <w:sz w:val="13"/>
                <w:szCs w:val="13"/>
                <w:b w:val="1"/>
                <w:bCs w:val="1"/>
                <w:color w:val="auto"/>
              </w:rPr>
              <w:t>Total Affiliate Investments</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56,160</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111,872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22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0"/>
              </w:rPr>
              <w:t>Variable Index</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Investment</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53"/>
        </w:trPr>
        <w:tc>
          <w:tcPr>
            <w:tcW w:w="3220" w:type="dxa"/>
            <w:vAlign w:val="bottom"/>
            <w:gridSpan w:val="4"/>
          </w:tcPr>
          <w:p>
            <w:pPr>
              <w:spacing w:after="0"/>
              <w:rPr>
                <w:sz w:val="20"/>
                <w:szCs w:val="20"/>
                <w:color w:val="auto"/>
              </w:rPr>
            </w:pPr>
            <w:r>
              <w:rPr>
                <w:rFonts w:ascii="Arial" w:cs="Arial" w:eastAsia="Arial" w:hAnsi="Arial"/>
                <w:sz w:val="13"/>
                <w:szCs w:val="13"/>
                <w:b w:val="1"/>
                <w:bCs w:val="1"/>
                <w:color w:val="auto"/>
              </w:rPr>
              <w:t>Investment Type (c)</w:t>
            </w:r>
          </w:p>
        </w:tc>
        <w:tc>
          <w:tcPr>
            <w:tcW w:w="1840" w:type="dxa"/>
            <w:vAlign w:val="bottom"/>
          </w:tcPr>
          <w:p>
            <w:pPr>
              <w:ind w:left="68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6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rPr>
              <w:t>Cost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gridSpan w:val="3"/>
            <w:shd w:val="clear" w:color="auto" w:fill="CCEEFF"/>
          </w:tcPr>
          <w:p>
            <w:pPr>
              <w:spacing w:after="0" w:line="95" w:lineRule="exact"/>
              <w:rPr>
                <w:sz w:val="20"/>
                <w:szCs w:val="20"/>
                <w:color w:val="auto"/>
              </w:rPr>
            </w:pPr>
            <w:r>
              <w:rPr>
                <w:rFonts w:ascii="Arial" w:cs="Arial" w:eastAsia="Arial" w:hAnsi="Arial"/>
                <w:sz w:val="11"/>
                <w:szCs w:val="11"/>
                <w:b w:val="1"/>
                <w:bCs w:val="1"/>
                <w:color w:val="auto"/>
              </w:rPr>
              <w:t>Non-control/Non-affiliate Investments</w:t>
            </w:r>
          </w:p>
        </w:tc>
        <w:tc>
          <w:tcPr>
            <w:tcW w:w="1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118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ind w:left="40"/>
              <w:spacing w:after="0" w:line="129" w:lineRule="exact"/>
              <w:rPr>
                <w:sz w:val="20"/>
                <w:szCs w:val="20"/>
                <w:color w:val="auto"/>
              </w:rPr>
            </w:pPr>
            <w:r>
              <w:rPr>
                <w:rFonts w:ascii="Arial" w:cs="Arial" w:eastAsia="Arial" w:hAnsi="Arial"/>
                <w:sz w:val="13"/>
                <w:szCs w:val="13"/>
                <w:color w:val="auto"/>
                <w:w w:val="89"/>
              </w:rPr>
              <w:t>Vending Equipment Manufacturing</w:t>
            </w:r>
          </w:p>
        </w:tc>
        <w:tc>
          <w:tcPr>
            <w:tcW w:w="10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(k)(x)</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0.00%/15.00%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11/30/2016</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5/30/2022</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  33,842</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$ 33,759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$ 33,104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0.00%/17.00%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6/28/2019</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6"/>
              </w:rPr>
              <w:t>5/30/2022</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1,567</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1,567</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1,503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11/30/2016</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36,126</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35,032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9%</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11.25%/0.00%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7/31/2019</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6"/>
              </w:rPr>
              <w:t>5/26/2023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21,500</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21,397</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21,397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11/26/2014</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22,647</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22,846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6%</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 LLC</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color w:val="auto"/>
                <w:w w:val="90"/>
              </w:rPr>
              <w:t>(L + 5.75%) / (2.00%)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8.07%/0.00%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10/23/2018</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10/23/2023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6,500</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6,459</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10/23/2018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7,459</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7,779</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88"/>
              </w:rPr>
              <w:t>American AllWaste LLC (dba WasteWater Transport Services)</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Environmental Industries</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30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9"/>
              </w:rPr>
              <w:t>(L + 11.00%) / (2.00%)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13.10%/0.00%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5/31/2018</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11/30/2023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17,503</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17,405</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17,503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5/31/2018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8/6/2019</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18,155</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18,288</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(L + 9.75%) / (2.00%)</w:t>
            </w: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12.08%/0.00%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12/26/2018</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6/28/2023</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14,438</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14,375</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14,438</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AVC Investors, LLC (dba Auveco)</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1/3/2018</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7/3/2023</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22,422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1/3/2018</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745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22,912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23,245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10.50%/3.50%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2/27/2018</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8/27/2023</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10,400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10,360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9,553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2/27/2018</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10,860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9,735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Retail</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(L + 6.00%) / (2.25%)</w:t>
            </w: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8/9/2019</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8/9/2024</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9,594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9,594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(439,531 units) (j)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8/9/2019</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10,344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10,344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w w:val="94"/>
              </w:rPr>
              <w:t>Information Technology Services</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11.00%/1.00%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1/28/2019</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4/11/2023</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18,122</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17,971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(451 shares)</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1/28/2019</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(14 shares)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1/28/2019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18,346</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18,434</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5%</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Information Technology Services</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1/3/2019</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7/3/2024</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27,000</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26,882</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(2,286 shares)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1/3/2019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(133 shares)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1/3/2019</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28,214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28,493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(L + 6.25%) / (2.00%)</w:t>
            </w: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8.38%/0.00%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3/12/2019</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3/12/2024</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4,967</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(500,000 units) (h)(j)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3/12/2019</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5,467</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5,525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Cardboard Box LLC (dba Anthony’s Coal Fired Pizza)</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rPr>
              <w:t>Restaurants</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12/15/2015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20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ControlScan, Inc.</w:t>
            </w:r>
          </w:p>
        </w:tc>
        <w:tc>
          <w:tcPr>
            <w:tcW w:w="1840" w:type="dxa"/>
            <w:vAlign w:val="bottom"/>
          </w:tcPr>
          <w:p>
            <w:pPr>
              <w:ind w:left="40"/>
              <w:spacing w:after="0" w:line="135" w:lineRule="exact"/>
              <w:rPr>
                <w:sz w:val="20"/>
                <w:szCs w:val="20"/>
                <w:color w:val="auto"/>
              </w:rPr>
            </w:pPr>
            <w:r>
              <w:rPr>
                <w:rFonts w:ascii="Arial" w:cs="Arial" w:eastAsia="Arial" w:hAnsi="Arial"/>
                <w:sz w:val="13"/>
                <w:szCs w:val="13"/>
                <w:color w:val="auto"/>
                <w:w w:val="94"/>
              </w:rPr>
              <w:t>Information Technology Services</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7/28/2017</w:t>
            </w:r>
          </w:p>
        </w:tc>
        <w:tc>
          <w:tcPr>
            <w:tcW w:w="6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6"/>
              </w:rPr>
              <w:t>1/28/2023</w:t>
            </w: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6,750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6,730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6,750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(3,704 shares)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7/28/2017</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7/28/2017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7,730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8,328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10.50%/1.00%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3/14/2018</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6"/>
              </w:rPr>
              <w:t>9/14/2023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9,142</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9,110</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9,142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3/14/2018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9,860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9,950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color w:val="auto"/>
                <w:w w:val="90"/>
              </w:rPr>
              <w:t>(L + 5.75%) / (1.75%)</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8.05%/0.00%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2/7/2019</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2/7/2024</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15,155</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14,926</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15,155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2/7/2019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15,518</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15,809</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7/13/2017</w:t>
            </w:r>
          </w:p>
        </w:tc>
        <w:tc>
          <w:tcPr>
            <w:tcW w:w="6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6"/>
              </w:rPr>
              <w:t>1/13/2023</w:t>
            </w:r>
          </w:p>
        </w:tc>
        <w:tc>
          <w:tcPr>
            <w:tcW w:w="5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9,460</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9,405</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9,460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7/13/2017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10,155</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10,120</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2%</w:t>
            </w: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8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73"/>
        </w:trPr>
        <w:tc>
          <w:tcPr>
            <w:tcW w:w="318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92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Spread / Floor (d)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French Transit, LLC</w:t>
            </w:r>
          </w:p>
        </w:tc>
        <w:tc>
          <w:tcPr>
            <w:tcW w:w="1840" w:type="dxa"/>
            <w:vAlign w:val="bottom"/>
            <w:tcBorders>
              <w:top w:val="single" w:sz="8" w:color="CCEEFF"/>
            </w:tcBorders>
            <w:shd w:val="clear" w:color="auto" w:fill="CCEEFF"/>
          </w:tcPr>
          <w:p>
            <w:pPr>
              <w:spacing w:after="0"/>
              <w:rPr>
                <w:sz w:val="10"/>
                <w:szCs w:val="10"/>
                <w:color w:val="auto"/>
              </w:rPr>
            </w:pPr>
          </w:p>
        </w:tc>
        <w:tc>
          <w:tcPr>
            <w:tcW w:w="1920" w:type="dxa"/>
            <w:vAlign w:val="bottom"/>
            <w:tcBorders>
              <w:top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rPr>
              <w:t>Consumer Products</w:t>
            </w: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2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+ 9.00%) / (2.25%)</w:t>
            </w: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11.32%/0.00%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6/21/2019</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6/21/2024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8,000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$ 7,962</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7,962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($1,000 commitment) (j)(u)</w:t>
            </w:r>
          </w:p>
        </w:tc>
        <w:tc>
          <w:tcPr>
            <w:tcW w:w="19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91"/>
              </w:rPr>
              <w:t>(L + 9.00%) / (2.25%)</w:t>
            </w: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11.32%/0.00%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6/21/2019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6/21/2024</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7,957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7,962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Component Manufacturing</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192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+ 5.00%) / (2.00%)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7.33%/0.00%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9/21/2018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9/21/2023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7,071</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7,009</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7,071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(947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9/21/2018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(947 shares)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9/21/2018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7,384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7,628</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12/19/2017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3,289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1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Hilco Plastics Holdings, LLC (dba Hilco Technologies)</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Component Manufacturing</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11.50%/1.50%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9/23/2016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9"/>
              </w:rPr>
              <w:t>12/31/2019</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10,071</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10,066</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9,897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4/18/2018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9/23/2016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11,539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10,828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92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+ 9.25%) / (2.25%)</w:t>
            </w: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11.57%/0.00%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6/7/2019</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6/7/2024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7,165</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7,120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7,120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(610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6/20/2019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1/1/2022</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7,370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7,370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Promotional products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3/23/2016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9/23/2021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24,940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25,203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26,424</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7%</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8"/>
              </w:rPr>
              <w:t>Aerospace &amp; Defense Manufacturing</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2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+ 7.00%) / (1.00%)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9.10%/0.00%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9/27/2018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3/29/2023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9,494</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9,416</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9,494</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IBH Holdings, LLC (fka Inflexxion, Inc.)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(150,000 units)</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6/20/2018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21"/>
        </w:trPr>
        <w:tc>
          <w:tcPr>
            <w:tcW w:w="20" w:type="dxa"/>
            <w:vAlign w:val="bottom"/>
          </w:tcPr>
          <w:p>
            <w:pPr>
              <w:spacing w:after="0"/>
              <w:rPr>
                <w:sz w:val="10"/>
                <w:szCs w:val="10"/>
                <w:color w:val="auto"/>
              </w:rPr>
            </w:pPr>
          </w:p>
        </w:tc>
        <w:tc>
          <w:tcPr>
            <w:tcW w:w="31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K2 Merger Agreement Agent, LLC (fka K2 Industrial</w:t>
            </w:r>
          </w:p>
        </w:tc>
        <w:tc>
          <w:tcPr>
            <w:tcW w:w="1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i w:val="1"/>
                <w:iCs w:val="1"/>
                <w:color w:val="auto"/>
              </w:rPr>
              <w:t>Services,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Inc.) (n)</w:t>
            </w:r>
          </w:p>
        </w:tc>
        <w:tc>
          <w:tcPr>
            <w:tcW w:w="1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Industrial Cleaning &amp; Coatings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0.00%/10.00%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1/28/2019</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1/28/2021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2,632</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2,632</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2,632</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Kyjen Company, LLC (dba Outward Hound)</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Consumer Products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12/8/2017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6/8/2024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14,946</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14,435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12/8/2017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15,711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15,178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Oil &amp; Gas Distribution</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11.50%/0.00%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12/28/2016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9"/>
              </w:rPr>
              <w:t>11/12/2021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4,989</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12/28/2016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1,166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5,989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6,166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Industrial Cleaning &amp; Coatings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10.50%/0.75%</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7/21/2017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1/21/2023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12,202</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12,166</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12,202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(960,482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7/21/2017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930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13,126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13,132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Utilities: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10.50%/1.50%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11/30/2017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8/1/2024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17,148</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17,055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17,148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w w:val="92"/>
              </w:rPr>
              <w:t>Delayed Draw Commitment ($2,160 commitment) (i)(j)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10.50%/1.00%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11/30/2017</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9"/>
              </w:rPr>
              <w:t>12/31/2019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(833 shares)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11/30/2017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1,305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18,052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18,453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20" w:type="dxa"/>
            <w:vAlign w:val="bottom"/>
          </w:tcPr>
          <w:p>
            <w:pPr>
              <w:spacing w:after="0"/>
              <w:rPr>
                <w:sz w:val="11"/>
                <w:szCs w:val="11"/>
                <w:color w:val="auto"/>
              </w:rPr>
            </w:pPr>
          </w:p>
        </w:tc>
        <w:tc>
          <w:tcPr>
            <w:tcW w:w="31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Transportation services</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(14,384 shares) (j)(m)</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6/23/2017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7"/>
              </w:rPr>
              <w:t>Warrant (9.59% of Junior Subordinated Notes) (j)(q)</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6/23/2017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1,474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1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5"/>
              </w:rPr>
              <w:t>NGT Acquisition Holdings, LLC (dba Techniks Industries)</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Component Manufacturing</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5/24/2017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21"/>
        </w:trPr>
        <w:tc>
          <w:tcPr>
            <w:tcW w:w="20" w:type="dxa"/>
            <w:vAlign w:val="bottom"/>
          </w:tcPr>
          <w:p>
            <w:pPr>
              <w:spacing w:after="0"/>
              <w:rPr>
                <w:sz w:val="10"/>
                <w:szCs w:val="10"/>
                <w:color w:val="auto"/>
              </w:rPr>
            </w:pPr>
          </w:p>
        </w:tc>
        <w:tc>
          <w:tcPr>
            <w:tcW w:w="316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rPr>
              <w:t>Oaktree Medical Centre, P.C. (dba Pain Management</w:t>
            </w: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3"/>
        </w:trPr>
        <w:tc>
          <w:tcPr>
            <w:tcW w:w="3180" w:type="dxa"/>
            <w:vAlign w:val="bottom"/>
            <w:gridSpan w:val="3"/>
          </w:tcPr>
          <w:p>
            <w:pPr>
              <w:spacing w:after="0"/>
              <w:rPr>
                <w:sz w:val="20"/>
                <w:szCs w:val="20"/>
                <w:color w:val="auto"/>
              </w:rPr>
            </w:pPr>
            <w:r>
              <w:rPr>
                <w:rFonts w:ascii="Arial" w:cs="Arial" w:eastAsia="Arial" w:hAnsi="Arial"/>
                <w:sz w:val="13"/>
                <w:szCs w:val="13"/>
                <w:i w:val="1"/>
                <w:iCs w:val="1"/>
                <w:color w:val="auto"/>
              </w:rPr>
              <w:t>Associates)</w:t>
            </w:r>
          </w:p>
        </w:tc>
        <w:tc>
          <w:tcPr>
            <w:tcW w:w="1920" w:type="dxa"/>
            <w:vAlign w:val="bottom"/>
          </w:tcPr>
          <w:p>
            <w:pPr>
              <w:ind w:left="20"/>
              <w:spacing w:after="0"/>
              <w:rPr>
                <w:sz w:val="20"/>
                <w:szCs w:val="20"/>
                <w:color w:val="auto"/>
              </w:rPr>
            </w:pPr>
            <w:r>
              <w:rPr>
                <w:rFonts w:ascii="Arial" w:cs="Arial" w:eastAsia="Arial" w:hAnsi="Arial"/>
                <w:sz w:val="13"/>
                <w:szCs w:val="13"/>
                <w:color w:val="auto"/>
              </w:rPr>
              <w:t>Healthcare Services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11.50%/3.00%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5/6/2014</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5/31/2019</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548</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(j)(p)</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7.00%/15.00%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5/6/2014</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5/31/2019</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7,558</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8,146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7.00%/0.00%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3/15/2019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1/1/2020</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Revolving Loan (j)(p)</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11.50%/3.00%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5/6/2014</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5/31/2019</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2,398</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2,597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11.50%/3.00%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12/31/2018</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5/31/2019</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194</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Revolving Loan (j)(p)</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11.50%/3.00%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3/11/2019</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5/31/2019</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1,742</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1,742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11.50%/3.00%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8/6/2019</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8/6/2019</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13,842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OMC Investors, LLC (dba Ohio Medical Corporation)</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Healthcare Products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1/15/2016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7/15/2021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9,967</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1/15/2016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10,467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10,464</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2%</w:t>
            </w: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22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73"/>
        </w:trPr>
        <w:tc>
          <w:tcPr>
            <w:tcW w:w="322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92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Spread /Floor (d)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i w:val="1"/>
                <w:iCs w:val="1"/>
                <w:color w:val="auto"/>
                <w:w w:val="92"/>
              </w:rPr>
              <w:t>Palisade Company, LLC</w:t>
            </w:r>
          </w:p>
        </w:tc>
        <w:tc>
          <w:tcPr>
            <w:tcW w:w="1880" w:type="dxa"/>
            <w:vAlign w:val="bottom"/>
            <w:tcBorders>
              <w:top w:val="single" w:sz="8" w:color="CCEEFF"/>
            </w:tcBorders>
            <w:shd w:val="clear" w:color="auto" w:fill="CCEEFF"/>
          </w:tcPr>
          <w:p>
            <w:pPr>
              <w:spacing w:after="0"/>
              <w:rPr>
                <w:sz w:val="10"/>
                <w:szCs w:val="10"/>
                <w:color w:val="auto"/>
              </w:rPr>
            </w:pPr>
          </w:p>
        </w:tc>
        <w:tc>
          <w:tcPr>
            <w:tcW w:w="1920" w:type="dxa"/>
            <w:vAlign w:val="bottom"/>
            <w:tcBorders>
              <w:top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w w:val="99"/>
              </w:rPr>
              <w:t>Information Technology Services</w:t>
            </w: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11.75%/0.00%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11/15/2018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5/15/2024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6,500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$ 6,473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6,500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11/15/2018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7,473</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7,412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11.50%/2.50%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11/3/2016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9"/>
              </w:rPr>
              <w:t>10/31/2021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5,089</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5,073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5,089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5,566</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5,124</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11.00%/1.00%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4/12/2018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5/20/2023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11,368</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11,328</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11,368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4/12/2018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(9,695 shares)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4/12/2018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358</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12,078</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12,239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2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11/10/2016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5/10/2022</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23,581</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23,516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23,581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(6,125 units) (h)(j)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11/10/2016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1,152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24,096</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24,733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0" w:type="dxa"/>
            <w:vAlign w:val="bottom"/>
          </w:tcPr>
          <w:p>
            <w:pPr>
              <w:spacing w:after="0"/>
              <w:rPr>
                <w:sz w:val="11"/>
                <w:szCs w:val="11"/>
                <w:color w:val="auto"/>
              </w:rPr>
            </w:pPr>
          </w:p>
        </w:tc>
        <w:tc>
          <w:tcPr>
            <w:tcW w:w="32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(2,250,000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1/4/2017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4,737</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2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1920" w:type="dxa"/>
            <w:vAlign w:val="bottom"/>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8/11/2017</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2/11/2023</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11,410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11,370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10,495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7"/>
              </w:rPr>
              <w:t>Delayed Draw Commitment ($875 commitment) (i)(j)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8/11/2017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5/17/2022</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(8,864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8/11/2017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944</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12,314</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11,461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11.25%/1.50%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9/18/2018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3/18/2024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10,183</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10,143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9,696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9/18/2018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10,764</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10,329</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Packaging</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10.50%/1.00%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10/1/2018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13,839</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13,783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13,839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7/18/2016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14,563</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14,648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SES Investors, LLC (dba SES Foam)</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Building Products Manufacturing</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9/8/2016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9"/>
              </w:rPr>
              <w:t>12/29/2020</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3,095</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3,079</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9/8/2016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825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3,679</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3,920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Simplex Manufacturing Co.</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8"/>
              </w:rPr>
              <w:t>Aerospace &amp; Defense Manufacturing</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14.00%/0.00%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10/31/2007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2/15/2020</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4,050</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(29 shares) (m)</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10/31/2007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1,155</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3,857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5,205</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7,907</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12/23/2016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6/23/2023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9,970</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1,291</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1,518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11,261</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11,518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Specialized Elevator Services Holdings,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192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+ 5.25%) / (2.00%)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7.58%/0.00%</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5/7/2019</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7,080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6,980</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6,980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5/8/2019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7,480</w:t>
            </w:r>
          </w:p>
        </w:tc>
        <w:tc>
          <w:tcPr>
            <w:tcW w:w="12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7,480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9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11.00%/0.75%</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1/8/2018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7/8/2023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10,469</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10,431</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10,469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1/8/2018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11,431</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11,679</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3"/>
                <w:szCs w:val="13"/>
                <w:b w:val="1"/>
                <w:bCs w:val="1"/>
                <w:color w:val="auto"/>
              </w:rPr>
              <w:t>Principal</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53"/>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76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4"/>
              </w:rPr>
              <w:t>Maturity</w:t>
            </w:r>
          </w:p>
        </w:tc>
        <w:tc>
          <w:tcPr>
            <w:tcW w:w="80" w:type="dxa"/>
            <w:vAlign w:val="bottom"/>
          </w:tcPr>
          <w:p>
            <w:pPr>
              <w:spacing w:after="0"/>
              <w:rPr>
                <w:sz w:val="13"/>
                <w:szCs w:val="13"/>
                <w:color w:val="auto"/>
              </w:rPr>
            </w:pPr>
          </w:p>
        </w:tc>
        <w:tc>
          <w:tcPr>
            <w:tcW w:w="660" w:type="dxa"/>
            <w:vAlign w:val="bottom"/>
            <w:gridSpan w:val="5"/>
          </w:tcPr>
          <w:p>
            <w:pPr>
              <w:jc w:val="right"/>
              <w:ind w:right="174"/>
              <w:spacing w:after="0"/>
              <w:rPr>
                <w:sz w:val="20"/>
                <w:szCs w:val="20"/>
                <w:color w:val="auto"/>
              </w:rPr>
            </w:pPr>
            <w:r>
              <w:rPr>
                <w:rFonts w:ascii="Arial" w:cs="Arial" w:eastAsia="Arial" w:hAnsi="Arial"/>
                <w:sz w:val="13"/>
                <w:szCs w:val="13"/>
                <w:b w:val="1"/>
                <w:bCs w:val="1"/>
                <w:color w:val="auto"/>
                <w:w w:val="89"/>
              </w:rPr>
              <w:t>Amount</w:t>
            </w:r>
          </w:p>
        </w:tc>
        <w:tc>
          <w:tcPr>
            <w:tcW w:w="42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Cost</w:t>
            </w:r>
          </w:p>
        </w:tc>
        <w:tc>
          <w:tcPr>
            <w:tcW w:w="600" w:type="dxa"/>
            <w:vAlign w:val="bottom"/>
            <w:gridSpan w:val="3"/>
          </w:tcPr>
          <w:p>
            <w:pPr>
              <w:jc w:val="right"/>
              <w:spacing w:after="0"/>
              <w:rPr>
                <w:sz w:val="20"/>
                <w:szCs w:val="20"/>
                <w:color w:val="auto"/>
              </w:rPr>
            </w:pPr>
            <w:r>
              <w:rPr>
                <w:rFonts w:ascii="Arial" w:cs="Arial" w:eastAsia="Arial" w:hAnsi="Arial"/>
                <w:sz w:val="13"/>
                <w:szCs w:val="13"/>
                <w:b w:val="1"/>
                <w:bCs w:val="1"/>
                <w:color w:val="auto"/>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336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i w:val="1"/>
                <w:iCs w:val="1"/>
                <w:color w:val="auto"/>
              </w:rPr>
              <w:t>Thermoforming Technology Group LLC (dba Brown Machine</w:t>
            </w:r>
          </w:p>
        </w:tc>
        <w:tc>
          <w:tcPr>
            <w:tcW w:w="1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Group) (n)</w:t>
            </w: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Capital Equipment Manufacturing</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(3,760 units) (h)(j)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3/14/2016</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1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Component Manufacturing</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2/28/2017</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998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1,004</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Tranzonic Companies</w:t>
            </w:r>
          </w:p>
        </w:tc>
        <w:tc>
          <w:tcPr>
            <w:tcW w:w="1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10.00%/1.50%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3/27/2018</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3/27/2025</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6,896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6,841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6,896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3/27/2018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3/27/2018</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7,406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7,539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760" w:type="dxa"/>
            <w:vAlign w:val="bottom"/>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4/3/2018</w:t>
            </w:r>
          </w:p>
        </w:tc>
        <w:tc>
          <w:tcPr>
            <w:tcW w:w="5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6"/>
              </w:rPr>
              <w:t>10/3/2024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13,893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13,788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13,637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(705,000 units) (h)(j)</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4/3/2018</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705</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779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14,493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14,416</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1760" w:type="dxa"/>
            <w:vAlign w:val="bottom"/>
          </w:tcPr>
          <w:p>
            <w:pPr>
              <w:ind w:left="20"/>
              <w:spacing w:after="0" w:line="135" w:lineRule="exact"/>
              <w:rPr>
                <w:sz w:val="20"/>
                <w:szCs w:val="20"/>
                <w:color w:val="auto"/>
              </w:rPr>
            </w:pPr>
            <w:r>
              <w:rPr>
                <w:rFonts w:ascii="Arial" w:cs="Arial" w:eastAsia="Arial" w:hAnsi="Arial"/>
                <w:sz w:val="13"/>
                <w:szCs w:val="13"/>
                <w:color w:val="auto"/>
              </w:rPr>
              <w:t>Healthcare Services</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4/1/2012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Warrant (57,469 units) (m)</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3/5/2012</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US Pack Logistics LLC</w:t>
            </w:r>
          </w:p>
        </w:tc>
        <w:tc>
          <w:tcPr>
            <w:tcW w:w="1760" w:type="dxa"/>
            <w:vAlign w:val="bottom"/>
          </w:tcPr>
          <w:p>
            <w:pPr>
              <w:ind w:left="20"/>
              <w:spacing w:after="0" w:line="135" w:lineRule="exact"/>
              <w:rPr>
                <w:sz w:val="20"/>
                <w:szCs w:val="20"/>
                <w:color w:val="auto"/>
              </w:rPr>
            </w:pPr>
            <w:r>
              <w:rPr>
                <w:rFonts w:ascii="Arial" w:cs="Arial" w:eastAsia="Arial" w:hAnsi="Arial"/>
                <w:sz w:val="13"/>
                <w:szCs w:val="13"/>
                <w:color w:val="auto"/>
              </w:rPr>
              <w:t>Transportation services</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12.00%/3.75%</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3/27/2015</w:t>
            </w:r>
          </w:p>
        </w:tc>
        <w:tc>
          <w:tcPr>
            <w:tcW w:w="5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6"/>
              </w:rPr>
              <w:t>3/28/2023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7,587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7,587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(9,458 units) (h)(j)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9/28/2017</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944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(5,833 units) (h)(j)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3/27/2015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9,005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8,531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 (n)</w:t>
            </w:r>
          </w:p>
        </w:tc>
        <w:tc>
          <w:tcPr>
            <w:tcW w:w="1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7/30/2015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(2,380 units) (j)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2/2/2018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31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Virginia Tile Company, LLC</w:t>
            </w:r>
          </w:p>
        </w:tc>
        <w:tc>
          <w:tcPr>
            <w:tcW w:w="1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12/19/2014</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8"/>
              </w:rPr>
              <w:t>4/7/2022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0"/>
              </w:rPr>
              <w:t>12,000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11,987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12/19/2014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962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12,329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12,962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1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6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+ 8.50%) / (0.00%)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10.54%/0.00%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5/17/2019</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8"/>
              </w:rPr>
              <w:t>4/4/2026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0"/>
              </w:rPr>
              <w:t>20,000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19,811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19,811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(694,444 units) (j)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5/15/2019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21,311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21,311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Transportation services</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60" w:type="dxa"/>
            <w:vAlign w:val="bottom"/>
          </w:tcPr>
          <w:p>
            <w:pPr>
              <w:spacing w:after="0"/>
              <w:rPr>
                <w:sz w:val="11"/>
                <w:szCs w:val="11"/>
                <w:color w:val="auto"/>
              </w:rPr>
            </w:pPr>
          </w:p>
        </w:tc>
        <w:tc>
          <w:tcPr>
            <w:tcW w:w="1240" w:type="dxa"/>
            <w:vAlign w:val="bottom"/>
            <w:gridSpan w:val="2"/>
          </w:tcPr>
          <w:p>
            <w:pPr>
              <w:jc w:val="center"/>
              <w:ind w:left="37"/>
              <w:spacing w:after="0" w:line="135" w:lineRule="exact"/>
              <w:rPr>
                <w:sz w:val="20"/>
                <w:szCs w:val="20"/>
                <w:color w:val="auto"/>
              </w:rPr>
            </w:pPr>
            <w:r>
              <w:rPr>
                <w:rFonts w:ascii="Arial" w:cs="Arial" w:eastAsia="Arial" w:hAnsi="Arial"/>
                <w:sz w:val="13"/>
                <w:szCs w:val="13"/>
                <w:color w:val="auto"/>
                <w:w w:val="91"/>
              </w:rPr>
              <w:t>(L + 8.00%) / (1.00%)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10.17%/0.00%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2/27/2017</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8"/>
              </w:rPr>
              <w:t>2/3/2025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0"/>
              </w:rPr>
              <w:t>20,000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19,727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20,000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2/27/2017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2,956</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4,231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22,683</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24,231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608,077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602,438</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line="20" w:lineRule="exact"/>
              <w:rPr>
                <w:sz w:val="1"/>
                <w:szCs w:val="1"/>
                <w:color w:val="auto"/>
              </w:rPr>
            </w:pPr>
          </w:p>
        </w:tc>
      </w:tr>
      <w:tr>
        <w:trPr>
          <w:trHeight w:val="129"/>
        </w:trPr>
        <w:tc>
          <w:tcPr>
            <w:tcW w:w="33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691,516</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729,442</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640" w:hanging="436"/>
        <w:spacing w:after="0" w:line="221" w:lineRule="auto"/>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640" w:hanging="436"/>
        <w:spacing w:after="0" w:line="221" w:lineRule="auto"/>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640" w:right="160" w:hanging="436"/>
        <w:spacing w:after="0" w:line="238" w:lineRule="auto"/>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September 30, 2019.</w:t>
      </w:r>
    </w:p>
    <w:p>
      <w:pPr>
        <w:ind w:left="640" w:right="160" w:hanging="436"/>
        <w:spacing w:after="0" w:line="221" w:lineRule="auto"/>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September 30, 2019. Generally, payment-in-kind interest can be paid-in-kind or all in cash.</w:t>
      </w:r>
    </w:p>
    <w:p>
      <w:pPr>
        <w:ind w:left="640" w:hanging="436"/>
        <w:spacing w:after="0" w:line="221" w:lineRule="auto"/>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ind w:left="640" w:right="20" w:hanging="436"/>
        <w:spacing w:after="0" w:line="232" w:lineRule="auto"/>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w:t>
      </w:r>
    </w:p>
    <w:p>
      <w:pPr>
        <w:spacing w:after="0" w:line="139"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ind w:left="640" w:right="42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September 30, 2019. The Company is earning 0.50% interest on the unfunded balance of the commitment. The interest rate disclosed represents the rate which will be earned if the commitment is funded.</w:t>
      </w:r>
    </w:p>
    <w:p>
      <w:pPr>
        <w:ind w:left="6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640" w:right="220" w:hanging="436"/>
        <w:spacing w:after="0" w:line="238" w:lineRule="auto"/>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640" w:right="8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640" w:right="1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6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6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6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Investment was on non-accrual status as of September 30, 2019, meaning the Company has ceased recognizing interest income on the investment.</w:t>
      </w:r>
    </w:p>
    <w:p>
      <w:pPr>
        <w:ind w:left="6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Warrant entitles the Company to purchase 9.59% of the outstanding principal of Junior Subordinated Notes prior to exercise, and is non-income producing.</w:t>
      </w:r>
    </w:p>
    <w:p>
      <w:pPr>
        <w:ind w:left="640" w:right="6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right="6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right="12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640" w:right="42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September 30, 2019. The Company is earning 0.75% interest on the unfunded balance of the commitment. The interest rate disclosed represents the rate earned on the outstanding, funded balance of the commitment.</w:t>
      </w:r>
    </w:p>
    <w:p>
      <w:pPr>
        <w:ind w:left="640" w:right="6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right="6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nine months ended September 30, 2019, all interest was treated as PIK interest and capitalized to the principal balance of the investment.</w:t>
      </w:r>
    </w:p>
    <w:p>
      <w:pPr>
        <w:ind w:left="640" w:right="60" w:hanging="436"/>
        <w:spacing w:after="0" w:line="22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right="60" w:hanging="436"/>
        <w:spacing w:after="0" w:line="232"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60" w:type="dxa"/>
            <w:vAlign w:val="bottom"/>
            <w:gridSpan w:val="5"/>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gridSpan w:val="3"/>
          </w:tcPr>
          <w:p>
            <w:pPr>
              <w:ind w:left="60"/>
              <w:spacing w:after="0"/>
              <w:rPr>
                <w:sz w:val="20"/>
                <w:szCs w:val="20"/>
                <w:color w:val="auto"/>
              </w:rPr>
            </w:pPr>
            <w:r>
              <w:rPr>
                <w:rFonts w:ascii="Arial" w:cs="Arial" w:eastAsia="Arial" w:hAnsi="Arial"/>
                <w:sz w:val="13"/>
                <w:szCs w:val="13"/>
                <w:b w:val="1"/>
                <w:bCs w:val="1"/>
                <w:color w:val="auto"/>
                <w:w w:val="87"/>
              </w:rPr>
              <w:t>Principal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73"/>
        </w:trPr>
        <w:tc>
          <w:tcPr>
            <w:tcW w:w="3160" w:type="dxa"/>
            <w:vAlign w:val="bottom"/>
            <w:gridSpan w:val="5"/>
          </w:tcPr>
          <w:p>
            <w:pPr>
              <w:spacing w:after="0"/>
              <w:rPr>
                <w:sz w:val="20"/>
                <w:szCs w:val="20"/>
                <w:color w:val="auto"/>
              </w:rPr>
            </w:pPr>
            <w:r>
              <w:rPr>
                <w:rFonts w:ascii="Arial" w:cs="Arial" w:eastAsia="Arial" w:hAnsi="Arial"/>
                <w:sz w:val="13"/>
                <w:szCs w:val="13"/>
                <w:b w:val="1"/>
                <w:bCs w:val="1"/>
                <w:color w:val="auto"/>
              </w:rPr>
              <w:t>Investment Type (c)</w:t>
            </w:r>
          </w:p>
        </w:tc>
        <w:tc>
          <w:tcPr>
            <w:tcW w:w="192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Cost</w:t>
            </w:r>
          </w:p>
        </w:tc>
        <w:tc>
          <w:tcPr>
            <w:tcW w:w="600" w:type="dxa"/>
            <w:vAlign w:val="bottom"/>
            <w:gridSpan w:val="3"/>
          </w:tcPr>
          <w:p>
            <w:pPr>
              <w:ind w:left="100"/>
              <w:spacing w:after="0"/>
              <w:rPr>
                <w:sz w:val="20"/>
                <w:szCs w:val="20"/>
                <w:color w:val="auto"/>
              </w:rPr>
            </w:pPr>
            <w:r>
              <w:rPr>
                <w:rFonts w:ascii="Arial" w:cs="Arial" w:eastAsia="Arial" w:hAnsi="Arial"/>
                <w:sz w:val="13"/>
                <w:szCs w:val="13"/>
                <w:b w:val="1"/>
                <w:bCs w:val="1"/>
                <w:color w:val="auto"/>
                <w:w w:val="87"/>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top w:val="single" w:sz="8" w:color="auto"/>
            </w:tcBorders>
            <w:gridSpan w:val="2"/>
            <w:shd w:val="clear" w:color="auto" w:fill="CCEEFF"/>
          </w:tcPr>
          <w:p>
            <w:pPr>
              <w:spacing w:after="0" w:line="95" w:lineRule="exact"/>
              <w:rPr>
                <w:sz w:val="20"/>
                <w:szCs w:val="20"/>
                <w:color w:val="auto"/>
              </w:rPr>
            </w:pPr>
            <w:r>
              <w:rPr>
                <w:rFonts w:ascii="Arial" w:cs="Arial" w:eastAsia="Arial" w:hAnsi="Arial"/>
                <w:sz w:val="11"/>
                <w:szCs w:val="11"/>
                <w:b w:val="1"/>
                <w:bCs w:val="1"/>
                <w:color w:val="auto"/>
              </w:rPr>
              <w:t>Control Investments (s)</w:t>
            </w:r>
          </w:p>
        </w:tc>
        <w:tc>
          <w:tcPr>
            <w:tcW w:w="1800" w:type="dxa"/>
            <w:vAlign w:val="bottom"/>
            <w:tcBorders>
              <w:top w:val="single" w:sz="8" w:color="CCEEFF"/>
            </w:tcBorders>
            <w:shd w:val="clear" w:color="auto" w:fill="CCEEFF"/>
          </w:tcPr>
          <w:p>
            <w:pPr>
              <w:spacing w:after="0"/>
              <w:rPr>
                <w:sz w:val="8"/>
                <w:szCs w:val="8"/>
                <w:color w:val="auto"/>
              </w:rPr>
            </w:pPr>
          </w:p>
        </w:tc>
        <w:tc>
          <w:tcPr>
            <w:tcW w:w="19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FDS Avionics Corp. (dba Flight Display Systems)</w:t>
            </w:r>
          </w:p>
        </w:tc>
        <w:tc>
          <w:tcPr>
            <w:tcW w:w="1920" w:type="dxa"/>
            <w:vAlign w:val="bottom"/>
          </w:tcPr>
          <w:p>
            <w:pPr>
              <w:ind w:left="40"/>
              <w:spacing w:after="0" w:line="129" w:lineRule="exact"/>
              <w:rPr>
                <w:sz w:val="20"/>
                <w:szCs w:val="20"/>
                <w:color w:val="auto"/>
              </w:rPr>
            </w:pPr>
            <w:r>
              <w:rPr>
                <w:rFonts w:ascii="Arial" w:cs="Arial" w:eastAsia="Arial" w:hAnsi="Arial"/>
                <w:sz w:val="13"/>
                <w:szCs w:val="13"/>
                <w:color w:val="auto"/>
                <w:w w:val="87"/>
              </w:rPr>
              <w:t>Aerospace &amp; Defense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4.00%/11.00%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11/5/2014</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4/1/2020</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6,203</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6,196</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5,397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Revolving Loan ($50 commitment)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4.00%/11.00%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(7,478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11/10/2017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7,159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5,612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K2 Industrial Services, Inc.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Second Lien Debt (p)</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0.00%/15.00%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10/25/2016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6/25/2020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5"/>
              </w:rPr>
              <w:t>10,453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10,423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10,453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0.00%/12.00%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10/25/2016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6/25/2020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Second Lien Debt (p)</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0.00%/19.00%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10/17/2018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6/25/2020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1,600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1,592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1,600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(1,673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9/30/2016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1,268</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15,538</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13,208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Control Investments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22,697</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18,820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316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Affiliate Investments (l)</w:t>
            </w: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60" w:type="dxa"/>
            <w:vAlign w:val="bottom"/>
            <w:gridSpan w:val="5"/>
            <w:vMerge w:val="continue"/>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40" w:type="dxa"/>
            <w:vAlign w:val="bottom"/>
            <w:tcBorders>
              <w:top w:val="single" w:sz="8" w:color="auto"/>
              <w:right w:val="single" w:sz="8" w:color="CCEEFF"/>
            </w:tcBorders>
            <w:shd w:val="clear" w:color="auto" w:fill="CCEEFF"/>
          </w:tcPr>
          <w:p>
            <w:pPr>
              <w:spacing w:after="0" w:line="129" w:lineRule="exact"/>
              <w:rPr>
                <w:sz w:val="20"/>
                <w:szCs w:val="20"/>
                <w:color w:val="auto"/>
              </w:rPr>
            </w:pPr>
            <w:r>
              <w:rPr>
                <w:rFonts w:ascii="Arial" w:cs="Arial" w:eastAsia="Arial" w:hAnsi="Arial"/>
                <w:sz w:val="13"/>
                <w:szCs w:val="13"/>
                <w:i w:val="1"/>
                <w:iCs w:val="1"/>
                <w:color w:val="auto"/>
                <w:w w:val="92"/>
              </w:rPr>
              <w:t>FAR Research Inc. (n)</w:t>
            </w:r>
          </w:p>
        </w:tc>
        <w:tc>
          <w:tcPr>
            <w:tcW w:w="1880" w:type="dxa"/>
            <w:vAlign w:val="bottom"/>
            <w:gridSpan w:val="2"/>
            <w:shd w:val="clear" w:color="auto" w:fill="CCEEFF"/>
          </w:tcPr>
          <w:p>
            <w:pPr>
              <w:spacing w:after="0"/>
              <w:rPr>
                <w:sz w:val="11"/>
                <w:szCs w:val="11"/>
                <w:color w:val="auto"/>
              </w:rPr>
            </w:pP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Specialty Chemicals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Common Equity (1,396 units)</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3/31/2014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Fiber Materials, Inc.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11/30/2016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5/30/2022</w:t>
            </w:r>
          </w:p>
        </w:tc>
        <w:tc>
          <w:tcPr>
            <w:tcW w:w="1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4,044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4,032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4,044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11/30/2016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2,104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5,032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6,148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Medsurant Holdings,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12/18/2015</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6/30/2020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8,823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8,795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8,823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Preferred Equity (126,662 units) (h)</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4/12/2011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Warrant (505,176 units) (h)(m)</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4/12/2011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4,516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9,820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14,657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21,346</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11.00%/1.50%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5/13/2015</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3/13/2022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8,798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8,783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Common Equity (1,625,731 units)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5/13/2015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1,938</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10,721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10,046</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Utility Equipment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(L + 11.50%) / (1.00%)</w:t>
            </w: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13.85%/1.50%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11/25/2015</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9"/>
              </w:rPr>
              <w:t>11/25/2020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6,109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6,075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6,109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Common Equity (2,500,000 shares) (o)</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11/25/2015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2,179</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3,174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8,254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9,283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10.50%/0.00%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3/29/2013</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9/29/2022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6,197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Common Equity (8,500 units)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3/29/2013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850</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7,047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20,023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Oil &amp; Gas Services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10/13/2016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1/24/2020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Common Equity - Class A-2 (42,500 units)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10/13/2016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33,878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 Class B (1,000 units)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10/13/2016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9,993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40,878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Steward Holding LLC (dba Steward Advanced</w:t>
            </w:r>
          </w:p>
        </w:tc>
        <w:tc>
          <w:tcPr>
            <w:tcW w:w="1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Materials)</w:t>
            </w:r>
          </w:p>
        </w:tc>
        <w:tc>
          <w:tcPr>
            <w:tcW w:w="19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7"/>
              </w:rPr>
              <w:t>Aerospace &amp; Defense Manufacturing</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12.00%/1.50%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11/12/2015</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5/12/2021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7,553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7,538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7,553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(1,000,000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11/12/2015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1,357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3"/>
                <w:szCs w:val="13"/>
                <w:color w:val="auto"/>
              </w:rPr>
              <w:t>8,538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8,910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Trantech Radiator Products, Inc.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Utility Equipment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Second Lien Debt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13.75%/0.00%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11/4/2011</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9"/>
              </w:rPr>
              <w:t>12/31/2019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5,994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5,994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5,994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Common Equity (6,875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11/4/2011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688</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6,682</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6,301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70,924</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u w:val="single" w:color="auto"/>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123,051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6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53"/>
        </w:trPr>
        <w:tc>
          <w:tcPr>
            <w:tcW w:w="2960" w:type="dxa"/>
            <w:vAlign w:val="bottom"/>
            <w:gridSpan w:val="4"/>
          </w:tcPr>
          <w:p>
            <w:pPr>
              <w:spacing w:after="0"/>
              <w:rPr>
                <w:sz w:val="20"/>
                <w:szCs w:val="20"/>
                <w:color w:val="auto"/>
              </w:rPr>
            </w:pPr>
            <w:r>
              <w:rPr>
                <w:rFonts w:ascii="Arial" w:cs="Arial" w:eastAsia="Arial" w:hAnsi="Arial"/>
                <w:sz w:val="13"/>
                <w:szCs w:val="13"/>
                <w:b w:val="1"/>
                <w:bCs w:val="1"/>
                <w:color w:val="auto"/>
              </w:rPr>
              <w:t>Investment Type (c)</w:t>
            </w:r>
          </w:p>
        </w:tc>
        <w:tc>
          <w:tcPr>
            <w:tcW w:w="1960" w:type="dxa"/>
            <w:vAlign w:val="bottom"/>
            <w:gridSpan w:val="2"/>
          </w:tcPr>
          <w:p>
            <w:pPr>
              <w:ind w:left="680"/>
              <w:spacing w:after="0"/>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2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gridSpan w:val="3"/>
            <w:shd w:val="clear" w:color="auto" w:fill="CCEEFF"/>
          </w:tcPr>
          <w:p>
            <w:pPr>
              <w:spacing w:after="0" w:line="95" w:lineRule="exact"/>
              <w:rPr>
                <w:sz w:val="20"/>
                <w:szCs w:val="20"/>
                <w:color w:val="auto"/>
              </w:rPr>
            </w:pPr>
            <w:r>
              <w:rPr>
                <w:rFonts w:ascii="Arial" w:cs="Arial" w:eastAsia="Arial" w:hAnsi="Arial"/>
                <w:sz w:val="11"/>
                <w:szCs w:val="11"/>
                <w:b w:val="1"/>
                <w:bCs w:val="1"/>
                <w:color w:val="auto"/>
              </w:rPr>
              <w:t>Non-control/Non-affiliate Investments</w:t>
            </w:r>
          </w:p>
        </w:tc>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920" w:type="dxa"/>
            <w:vAlign w:val="bottom"/>
            <w:tcBorders>
              <w:top w:val="single" w:sz="8" w:color="CCEEFF"/>
            </w:tcBorders>
          </w:tcPr>
          <w:p>
            <w:pPr>
              <w:spacing w:after="0"/>
              <w:rPr>
                <w:sz w:val="11"/>
                <w:szCs w:val="11"/>
                <w:color w:val="auto"/>
              </w:rPr>
            </w:pPr>
          </w:p>
        </w:tc>
        <w:tc>
          <w:tcPr>
            <w:tcW w:w="1960" w:type="dxa"/>
            <w:vAlign w:val="bottom"/>
            <w:tcBorders>
              <w:top w:val="single" w:sz="8" w:color="CCEEFF"/>
            </w:tcBorders>
            <w:gridSpan w:val="2"/>
          </w:tcPr>
          <w:p>
            <w:pPr>
              <w:ind w:left="40"/>
              <w:spacing w:after="0" w:line="129" w:lineRule="exact"/>
              <w:rPr>
                <w:sz w:val="20"/>
                <w:szCs w:val="20"/>
                <w:color w:val="auto"/>
              </w:rPr>
            </w:pPr>
            <w:r>
              <w:rPr>
                <w:rFonts w:ascii="Arial" w:cs="Arial" w:eastAsia="Arial" w:hAnsi="Arial"/>
                <w:sz w:val="13"/>
                <w:szCs w:val="13"/>
                <w:color w:val="auto"/>
                <w:w w:val="95"/>
              </w:rPr>
              <w:t>Vending Equipment Manufacturing</w:t>
            </w:r>
          </w:p>
        </w:tc>
        <w:tc>
          <w:tcPr>
            <w:tcW w:w="1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10.00%/5.00%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11/30/2016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5/30/2022</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30,312</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$30,205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$ 28,879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11/30/2016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31,005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29,341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r>
      <w:tr>
        <w:trPr>
          <w:trHeight w:val="135"/>
        </w:trPr>
        <w:tc>
          <w:tcPr>
            <w:tcW w:w="20" w:type="dxa"/>
            <w:vAlign w:val="bottom"/>
          </w:tcPr>
          <w:p>
            <w:pPr>
              <w:spacing w:after="0"/>
              <w:rPr>
                <w:sz w:val="11"/>
                <w:szCs w:val="11"/>
                <w:color w:val="auto"/>
              </w:rPr>
            </w:pPr>
          </w:p>
        </w:tc>
        <w:tc>
          <w:tcPr>
            <w:tcW w:w="29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19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11/26/2014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1,744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29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w:t>
            </w:r>
          </w:p>
        </w:tc>
        <w:tc>
          <w:tcPr>
            <w:tcW w:w="19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(L + 5.75%) / (2.00%)</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8.23%/0.00%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10/23/2018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9"/>
              </w:rPr>
              <w:t>10/23/2023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6,451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6,451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10/23/2018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7,451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7,451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21"/>
        </w:trPr>
        <w:tc>
          <w:tcPr>
            <w:tcW w:w="20" w:type="dxa"/>
            <w:vAlign w:val="bottom"/>
          </w:tcPr>
          <w:p>
            <w:pPr>
              <w:spacing w:after="0"/>
              <w:rPr>
                <w:sz w:val="10"/>
                <w:szCs w:val="10"/>
                <w:color w:val="auto"/>
              </w:rPr>
            </w:pPr>
          </w:p>
        </w:tc>
        <w:tc>
          <w:tcPr>
            <w:tcW w:w="2940" w:type="dxa"/>
            <w:vAlign w:val="bottom"/>
            <w:gridSpan w:val="3"/>
          </w:tcPr>
          <w:p>
            <w:pPr>
              <w:spacing w:after="0" w:line="121" w:lineRule="exact"/>
              <w:rPr>
                <w:sz w:val="20"/>
                <w:szCs w:val="20"/>
                <w:color w:val="auto"/>
              </w:rPr>
            </w:pPr>
            <w:r>
              <w:rPr>
                <w:rFonts w:ascii="Arial" w:cs="Arial" w:eastAsia="Arial" w:hAnsi="Arial"/>
                <w:sz w:val="13"/>
                <w:szCs w:val="13"/>
                <w:i w:val="1"/>
                <w:iCs w:val="1"/>
                <w:color w:val="auto"/>
              </w:rPr>
              <w:t>American AllWaste LLC (dba WasteWater</w:t>
            </w: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3"/>
        </w:trPr>
        <w:tc>
          <w:tcPr>
            <w:tcW w:w="2960" w:type="dxa"/>
            <w:vAlign w:val="bottom"/>
            <w:gridSpan w:val="4"/>
          </w:tcPr>
          <w:p>
            <w:pPr>
              <w:spacing w:after="0"/>
              <w:rPr>
                <w:sz w:val="20"/>
                <w:szCs w:val="20"/>
                <w:color w:val="auto"/>
              </w:rPr>
            </w:pPr>
            <w:r>
              <w:rPr>
                <w:rFonts w:ascii="Arial" w:cs="Arial" w:eastAsia="Arial" w:hAnsi="Arial"/>
                <w:sz w:val="13"/>
                <w:szCs w:val="13"/>
                <w:i w:val="1"/>
                <w:iCs w:val="1"/>
                <w:color w:val="auto"/>
              </w:rPr>
              <w:t>Transport Services)</w:t>
            </w: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Environmental Industries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11.00%/1.50%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5/31/2018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9"/>
              </w:rPr>
              <w:t>11/30/2023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11,826</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11,765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11,826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900" w:type="dxa"/>
            <w:vAlign w:val="bottom"/>
            <w:gridSpan w:val="5"/>
          </w:tcPr>
          <w:p>
            <w:pPr>
              <w:ind w:left="240"/>
              <w:spacing w:after="0" w:line="135" w:lineRule="exact"/>
              <w:rPr>
                <w:sz w:val="20"/>
                <w:szCs w:val="20"/>
                <w:color w:val="auto"/>
              </w:rPr>
            </w:pPr>
            <w:r>
              <w:rPr>
                <w:rFonts w:ascii="Arial" w:cs="Arial" w:eastAsia="Arial" w:hAnsi="Arial"/>
                <w:sz w:val="13"/>
                <w:szCs w:val="13"/>
                <w:color w:val="auto"/>
              </w:rPr>
              <w:t>Delayed Draw Commitment ($2,276 commitment) (i)(j)</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11.00%/1.50%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5/31/2018</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w w:val="89"/>
              </w:rPr>
              <w:t>11/30/2019</w:t>
            </w:r>
          </w:p>
        </w:tc>
        <w:tc>
          <w:tcPr>
            <w:tcW w:w="10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5/31/2018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12,258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12,441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(L + 9.75%) / (2.00%)</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12.56%/0.00%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12/26/2018</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6/28/2023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14,925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14,925</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AVC Investors, LLC (dba Auveco)</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1/3/2018</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7/3/2023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22,406</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1/3/2018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22,906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23,182</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6%</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10.50%/1.50%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2/27/2018</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8/27/2023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10,129</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10,080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9,524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900" w:type="dxa"/>
            <w:vAlign w:val="bottom"/>
            <w:gridSpan w:val="5"/>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(50,000 units) ($133 commitment) (h)(j)</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2/27/2018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10,580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9,828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4"/>
              </w:rPr>
              <w:t>Cardboard Box LLC (dba Anthony’s Coal Fired Pizza)</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Restaurants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12/15/2015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521</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108</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Consolidated Infrastructure Group Holdings, LP</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(298 units)</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11/30/2017</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378</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ControlScan, Inc.</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7/28/2017</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1/28/2023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6,750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6,725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6,750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(3,704 shares)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7/28/2017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7/28/2017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996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7,725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8,366</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21"/>
        </w:trPr>
        <w:tc>
          <w:tcPr>
            <w:tcW w:w="20" w:type="dxa"/>
            <w:vAlign w:val="bottom"/>
          </w:tcPr>
          <w:p>
            <w:pPr>
              <w:spacing w:after="0"/>
              <w:rPr>
                <w:sz w:val="10"/>
                <w:szCs w:val="10"/>
                <w:color w:val="auto"/>
              </w:rPr>
            </w:pPr>
          </w:p>
        </w:tc>
        <w:tc>
          <w:tcPr>
            <w:tcW w:w="2940" w:type="dxa"/>
            <w:vAlign w:val="bottom"/>
            <w:gridSpan w:val="3"/>
          </w:tcPr>
          <w:p>
            <w:pPr>
              <w:spacing w:after="0" w:line="121" w:lineRule="exact"/>
              <w:rPr>
                <w:sz w:val="20"/>
                <w:szCs w:val="20"/>
                <w:color w:val="auto"/>
              </w:rPr>
            </w:pPr>
            <w:r>
              <w:rPr>
                <w:rFonts w:ascii="Arial" w:cs="Arial" w:eastAsia="Arial" w:hAnsi="Arial"/>
                <w:sz w:val="13"/>
                <w:szCs w:val="13"/>
                <w:i w:val="1"/>
                <w:iCs w:val="1"/>
                <w:color w:val="auto"/>
                <w:w w:val="90"/>
              </w:rPr>
              <w:t>CRS Solutions Holdings, LLC (dba CRS Texas) Second</w:t>
            </w: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3"/>
        </w:trPr>
        <w:tc>
          <w:tcPr>
            <w:tcW w:w="2960" w:type="dxa"/>
            <w:vAlign w:val="bottom"/>
            <w:gridSpan w:val="4"/>
          </w:tcPr>
          <w:p>
            <w:pPr>
              <w:spacing w:after="0"/>
              <w:rPr>
                <w:sz w:val="20"/>
                <w:szCs w:val="20"/>
                <w:color w:val="auto"/>
              </w:rPr>
            </w:pPr>
            <w:r>
              <w:rPr>
                <w:rFonts w:ascii="Arial" w:cs="Arial" w:eastAsia="Arial" w:hAnsi="Arial"/>
                <w:sz w:val="13"/>
                <w:szCs w:val="13"/>
                <w:i w:val="1"/>
                <w:iCs w:val="1"/>
                <w:color w:val="auto"/>
              </w:rPr>
              <w:t>Lien Debt</w:t>
            </w: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Business Services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10.50%/1.00%</w:t>
            </w:r>
          </w:p>
        </w:tc>
        <w:tc>
          <w:tcPr>
            <w:tcW w:w="10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3/14/2018</w:t>
            </w:r>
          </w:p>
        </w:tc>
        <w:tc>
          <w:tcPr>
            <w:tcW w:w="1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9/14/2023</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9,073</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9,035</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9,073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3/14/2018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9,785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9,830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Retail</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7/13/2017</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1/13/2023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9,389</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9,321</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9,389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7/13/2017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10,071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10,131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19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(j)(u)</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(L + 5.00%) / (2.00%)</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7.40%/0.00%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9/21/2018</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9/21/2023</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8,703</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8,629</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8,629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(947 shares) (j)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9/21/2018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(947 shares) (j)</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9/21/2018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9,004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9,004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29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19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12/19/2017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6/19/2023</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19,920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20,400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 shares)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12/19/2017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21,420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22,723</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0" w:type="dxa"/>
            <w:vAlign w:val="bottom"/>
          </w:tcPr>
          <w:p>
            <w:pPr>
              <w:spacing w:after="0"/>
              <w:rPr>
                <w:sz w:val="11"/>
                <w:szCs w:val="11"/>
                <w:color w:val="auto"/>
              </w:rPr>
            </w:pPr>
          </w:p>
        </w:tc>
        <w:tc>
          <w:tcPr>
            <w:tcW w:w="29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w w:val="94"/>
              </w:rPr>
              <w:t>Hilco Plastics Holdings, LLC (dba Hilco Technologies)</w:t>
            </w:r>
          </w:p>
        </w:tc>
        <w:tc>
          <w:tcPr>
            <w:tcW w:w="19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11.50%/1.50%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9/23/2016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9"/>
              </w:rPr>
              <w:t>12/31/2019</w:t>
            </w: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9,940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9,922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9,439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4/18/2018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9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9/23/2016</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11,395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10,778</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Variable Index</w:t>
            </w:r>
          </w:p>
        </w:tc>
        <w:tc>
          <w:tcPr>
            <w:tcW w:w="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53"/>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94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Hub Acquisition Sub, LLC (dba Hub Pen)</w:t>
            </w:r>
          </w:p>
        </w:tc>
        <w:tc>
          <w:tcPr>
            <w:tcW w:w="19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Promotional products</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3/23/2016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9/23/2021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9"/>
              </w:rPr>
              <w:t>$  25,000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$24,918</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$ 25,000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 units)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25,167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26,417</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7%</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8"/>
              </w:rPr>
              <w:t>Aerospace &amp; Defense Manufacturing</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40" w:type="dxa"/>
            <w:vAlign w:val="bottom"/>
          </w:tcPr>
          <w:p>
            <w:pPr>
              <w:spacing w:after="0"/>
              <w:rPr>
                <w:sz w:val="11"/>
                <w:szCs w:val="11"/>
                <w:color w:val="auto"/>
              </w:rPr>
            </w:pPr>
          </w:p>
        </w:tc>
        <w:tc>
          <w:tcPr>
            <w:tcW w:w="124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0"/>
              </w:rPr>
              <w:t>(L + 7.00%) / (1.00%)</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9.80%/0.00%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9/27/2018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3/29/2023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9,747</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9,653</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9,653</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IBH Holdings, LLC (fka Inflexxion, Inc.)</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(150,000 units)</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6/20/2018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inthinc Technology Solutions, Inc. (n)</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Royalty Rights</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10/15/2015</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4/24/2020</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Kyjen Company, LLC (dba Outward Hound)</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Consumer Products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12.00%/0.00%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12/8/2017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6/8/2024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14,937</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13,950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12/8/2017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15,702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14,704</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Oil &amp; Gas Distribution</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12/28/2016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9/28/2021</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4,985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12/28/2016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1,561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5,985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6,561</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10.50%/0.75%</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7/21/2017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1/21/2023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12,133</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12,089</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12,133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7/21/2017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12,839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12,933</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Utilities: Services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10.50%/0.50%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11/30/2017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5/31/2023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10,014</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9,963</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10,014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3080" w:type="dxa"/>
            <w:vAlign w:val="bottom"/>
            <w:gridSpan w:val="2"/>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Delayed Draw Commitment ($3,160 commitment) (i)</w:t>
            </w: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(j)</w:t>
            </w: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7"/>
              </w:rPr>
              <w:t>10.50%/0.50%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92"/>
              </w:rPr>
              <w:t>11/30/2017</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5/31/2019</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shares) (j)</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11/30/2017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10,459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10,690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0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1940" w:type="dxa"/>
            <w:vAlign w:val="bottom"/>
          </w:tcPr>
          <w:p>
            <w:pPr>
              <w:ind w:left="40"/>
              <w:spacing w:after="0" w:line="135" w:lineRule="exact"/>
              <w:rPr>
                <w:sz w:val="20"/>
                <w:szCs w:val="20"/>
                <w:color w:val="auto"/>
              </w:rPr>
            </w:pPr>
            <w:r>
              <w:rPr>
                <w:rFonts w:ascii="Arial" w:cs="Arial" w:eastAsia="Arial" w:hAnsi="Arial"/>
                <w:sz w:val="13"/>
                <w:szCs w:val="13"/>
                <w:color w:val="auto"/>
              </w:rPr>
              <w:t>Transportation services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(14,384 shares) (j)(m)</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6/23/2017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4"/>
              </w:rPr>
              <w:t>Warrant (9.59% of Junior Subordinated Notes) (j)(q)</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6/23/2017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834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0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New Era Technology, Inc.</w:t>
            </w:r>
          </w:p>
        </w:tc>
        <w:tc>
          <w:tcPr>
            <w:tcW w:w="1940" w:type="dxa"/>
            <w:vAlign w:val="bottom"/>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(197,369 shares)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3/3/2017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0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3"/>
              </w:rPr>
              <w:t>NGT Acquisition Holdings, LLC (dba Techniks Industries)</w:t>
            </w:r>
          </w:p>
        </w:tc>
        <w:tc>
          <w:tcPr>
            <w:tcW w:w="1940" w:type="dxa"/>
            <w:vAlign w:val="bottom"/>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12.50%/2.00%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5/24/2017</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3/21/2022</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11,579</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11,542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10,460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5/24/2017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12,042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10,532</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21"/>
        </w:trPr>
        <w:tc>
          <w:tcPr>
            <w:tcW w:w="20" w:type="dxa"/>
            <w:vAlign w:val="bottom"/>
          </w:tcPr>
          <w:p>
            <w:pPr>
              <w:spacing w:after="0"/>
              <w:rPr>
                <w:sz w:val="10"/>
                <w:szCs w:val="10"/>
                <w:color w:val="auto"/>
              </w:rPr>
            </w:pPr>
          </w:p>
        </w:tc>
        <w:tc>
          <w:tcPr>
            <w:tcW w:w="308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w w:val="99"/>
              </w:rPr>
              <w:t>Oaktree Medical Centre, P.C. (dba Pain Management</w:t>
            </w: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3100" w:type="dxa"/>
            <w:vAlign w:val="bottom"/>
            <w:gridSpan w:val="3"/>
          </w:tcPr>
          <w:p>
            <w:pPr>
              <w:spacing w:after="0"/>
              <w:rPr>
                <w:sz w:val="20"/>
                <w:szCs w:val="20"/>
                <w:color w:val="auto"/>
              </w:rPr>
            </w:pPr>
            <w:r>
              <w:rPr>
                <w:rFonts w:ascii="Arial" w:cs="Arial" w:eastAsia="Arial" w:hAnsi="Arial"/>
                <w:sz w:val="13"/>
                <w:szCs w:val="13"/>
                <w:i w:val="1"/>
                <w:iCs w:val="1"/>
                <w:color w:val="auto"/>
              </w:rPr>
              <w:t>Associates)</w:t>
            </w:r>
          </w:p>
        </w:tc>
        <w:tc>
          <w:tcPr>
            <w:tcW w:w="1940" w:type="dxa"/>
            <w:vAlign w:val="bottom"/>
          </w:tcPr>
          <w:p>
            <w:pPr>
              <w:ind w:left="40"/>
              <w:spacing w:after="0"/>
              <w:rPr>
                <w:sz w:val="20"/>
                <w:szCs w:val="20"/>
                <w:color w:val="auto"/>
              </w:rPr>
            </w:pPr>
            <w:r>
              <w:rPr>
                <w:rFonts w:ascii="Arial" w:cs="Arial" w:eastAsia="Arial" w:hAnsi="Arial"/>
                <w:sz w:val="13"/>
                <w:szCs w:val="13"/>
                <w:color w:val="auto"/>
              </w:rPr>
              <w:t>Healthcare Services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(j)(t)</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14.50%/0.00%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5/6/2014</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1/1/2018</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571</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(j)(t)</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10.00%/12.00%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5/6/2014</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1/1/2018</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7,751</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8,338</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8,133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(j)(t)</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14.50%/0.00%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5/6/2014</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1/1/2018</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2,699</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2,490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Revolving Loan (j)(t)</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14.50%/0.00%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12/31/2018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1/31/2019</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11,886</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11,389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0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OMC Investors, LLC (dba Ohio Medical Corporation)</w:t>
            </w:r>
          </w:p>
        </w:tc>
        <w:tc>
          <w:tcPr>
            <w:tcW w:w="1940" w:type="dxa"/>
            <w:vAlign w:val="bottom"/>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12.00%/0.00%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1/15/2016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7/15/2021</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9,954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8,748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1/15/2016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10,454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8,887</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0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Palisade Company, LLC</w:t>
            </w:r>
          </w:p>
        </w:tc>
        <w:tc>
          <w:tcPr>
            <w:tcW w:w="1940" w:type="dxa"/>
            <w:vAlign w:val="bottom"/>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11.75%/0.00%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11/15/2018</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5/15/2024</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6,468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6,468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 shares) (j)</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11/15/2018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7,468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7,468</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0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940" w:type="dxa"/>
            <w:vAlign w:val="bottom"/>
          </w:tcPr>
          <w:p>
            <w:pPr>
              <w:ind w:left="40"/>
              <w:spacing w:after="0" w:line="135" w:lineRule="exact"/>
              <w:rPr>
                <w:sz w:val="20"/>
                <w:szCs w:val="20"/>
                <w:color w:val="auto"/>
              </w:rPr>
            </w:pPr>
            <w:r>
              <w:rPr>
                <w:rFonts w:ascii="Arial" w:cs="Arial" w:eastAsia="Arial" w:hAnsi="Arial"/>
                <w:sz w:val="13"/>
                <w:szCs w:val="13"/>
                <w:color w:val="auto"/>
              </w:rPr>
              <w:t>Retail</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11.50%/2.50%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11/3/2016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9"/>
              </w:rPr>
              <w:t>10/31/2021</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5,512</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5,490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5,512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11/3/2016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5,984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5,620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2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r>
      <w:tr>
        <w:trPr>
          <w:trHeight w:val="153"/>
        </w:trPr>
        <w:tc>
          <w:tcPr>
            <w:tcW w:w="312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92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1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Power Grid Components, Inc.</w:t>
            </w: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Specialty Distribution</w:t>
            </w: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5/20/2023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9"/>
              </w:rPr>
              <w:t>$  11,282</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$ 11,234</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5"/>
              </w:rPr>
              <w:t>$  11,282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4/12/2018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(9,695 shares)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11,984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11,964</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11/10/2016</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5/10/2022</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18,581</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18,523</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18,581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(6,125 units) (h)(j)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11/10/2016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19,135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19,581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w w:val="98"/>
              </w:rPr>
              <w:t>Information Technology Services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(2,250,000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1/4/2017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2,250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3,888</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8/11/2017</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2/11/2023</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11,324</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11,275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4"/>
              </w:rPr>
              <w:t>Delayed Draw Commitment ($875 commitment) (i)(j)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8/11/2017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5/17/2022</w:t>
            </w:r>
          </w:p>
        </w:tc>
        <w:tc>
          <w:tcPr>
            <w:tcW w:w="6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(8,864 units) (j)(r)</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8/11/2017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945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12,220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12,596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11.25%/1.50%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9/18/2018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3/18/2024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10,068</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10,022</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9/18/2018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10,643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10,643</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Packaging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10.50%/1.00%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10/1/2018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13,735</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13,670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13,670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7/18/2016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14,450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14,394</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SES Investors, LLC (dba SES Foam)</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15.00%/0.00%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9/8/2016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9"/>
              </w:rPr>
              <w:t>12/29/2020</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3,095</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3,069</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2,703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9/8/2016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3,669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2,870</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Simplex Manufacturing Co.</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14.00%/0.00%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10/31/2007</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7/31/2019</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4,050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(29 shares) (m)</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10/31/2007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1,155</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3,036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5,205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7,086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Information Technology Services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12/23/2016</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6/23/2023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9,964</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 shares)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12/23/2016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1,291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11,255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11,364</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11.00%/1.00%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1/8/2018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7/8/2023</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10,401</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10,355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10,401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1/8/2018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11,355</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11,580</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Wolf Organization,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(175 shares)</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5/29/2015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753</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3,711</w:t>
            </w: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Thermoforming Technology Group LLC (dba</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Brown Machine Group) (n)</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w w:val="96"/>
              </w:rPr>
              <w:t>Capital Equipment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(3,760 units) (h)(j)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3/14/2016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Tile Redi,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9"/>
              </w:rPr>
              <w:t>(L + 10.00%) / (1.00%)</w:t>
            </w: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12.80%/0.00%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7/18/2017</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6/16/2022</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10,194</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10,122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10,156</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13.25%/0.00%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2/28/2017</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8/28/2022</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9,468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2/28/2017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905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10,466</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10,405</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The Tranzonic Companies</w:t>
            </w:r>
          </w:p>
        </w:tc>
        <w:tc>
          <w:tcPr>
            <w:tcW w:w="192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10.00%/1.50%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3/27/2018</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3/27/2025</w:t>
            </w: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5,664</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5,614</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4,997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(5,000 units)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3/27/2018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6,114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5,388</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9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4/3/2018</w:t>
            </w: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10/3/2024</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13,100</w:t>
            </w: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12,979</w:t>
            </w: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2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Delayed Draw Commitment ($1,500 commitment) (j)(i)(w)</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11.00%/0.00%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11/7/2018</w:t>
            </w:r>
          </w:p>
        </w:tc>
        <w:tc>
          <w:tcPr>
            <w:tcW w:w="6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8/7/2019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(705,000 units) (j)</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4/3/2018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1,027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13,672</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14,127</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Variable Index</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6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3"/>
                <w:szCs w:val="13"/>
                <w:b w:val="1"/>
                <w:bCs w:val="1"/>
                <w:color w:val="auto"/>
              </w:rPr>
              <w:t>Principal</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73"/>
        </w:trPr>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580" w:type="dxa"/>
            <w:vAlign w:val="bottom"/>
          </w:tcPr>
          <w:p>
            <w:pPr>
              <w:spacing w:after="0"/>
              <w:rPr>
                <w:sz w:val="15"/>
                <w:szCs w:val="15"/>
                <w:color w:val="auto"/>
              </w:rPr>
            </w:pPr>
          </w:p>
        </w:tc>
        <w:tc>
          <w:tcPr>
            <w:tcW w:w="1700" w:type="dxa"/>
            <w:vAlign w:val="bottom"/>
          </w:tcPr>
          <w:p>
            <w:pPr>
              <w:ind w:left="620"/>
              <w:spacing w:after="0"/>
              <w:rPr>
                <w:sz w:val="20"/>
                <w:szCs w:val="20"/>
                <w:color w:val="auto"/>
              </w:rPr>
            </w:pPr>
            <w:r>
              <w:rPr>
                <w:rFonts w:ascii="Arial" w:cs="Arial" w:eastAsia="Arial" w:hAnsi="Arial"/>
                <w:sz w:val="13"/>
                <w:szCs w:val="13"/>
                <w:b w:val="1"/>
                <w:bCs w:val="1"/>
                <w:color w:val="auto"/>
              </w:rPr>
              <w:t>Industry</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Date (f)</w:t>
            </w:r>
          </w:p>
        </w:tc>
        <w:tc>
          <w:tcPr>
            <w:tcW w:w="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4"/>
              </w:rPr>
              <w:t>Maturity</w:t>
            </w:r>
          </w:p>
        </w:tc>
        <w:tc>
          <w:tcPr>
            <w:tcW w:w="80" w:type="dxa"/>
            <w:vAlign w:val="bottom"/>
          </w:tcPr>
          <w:p>
            <w:pPr>
              <w:spacing w:after="0"/>
              <w:rPr>
                <w:sz w:val="15"/>
                <w:szCs w:val="15"/>
                <w:color w:val="auto"/>
              </w:rPr>
            </w:pPr>
          </w:p>
        </w:tc>
        <w:tc>
          <w:tcPr>
            <w:tcW w:w="660" w:type="dxa"/>
            <w:vAlign w:val="bottom"/>
            <w:gridSpan w:val="5"/>
          </w:tcPr>
          <w:p>
            <w:pPr>
              <w:jc w:val="right"/>
              <w:ind w:right="174"/>
              <w:spacing w:after="0"/>
              <w:rPr>
                <w:sz w:val="20"/>
                <w:szCs w:val="20"/>
                <w:color w:val="auto"/>
              </w:rPr>
            </w:pPr>
            <w:r>
              <w:rPr>
                <w:rFonts w:ascii="Arial" w:cs="Arial" w:eastAsia="Arial" w:hAnsi="Arial"/>
                <w:sz w:val="13"/>
                <w:szCs w:val="13"/>
                <w:b w:val="1"/>
                <w:bCs w:val="1"/>
                <w:color w:val="auto"/>
                <w:w w:val="89"/>
              </w:rPr>
              <w:t>Amount</w:t>
            </w:r>
          </w:p>
        </w:tc>
        <w:tc>
          <w:tcPr>
            <w:tcW w:w="42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Cost</w:t>
            </w:r>
          </w:p>
        </w:tc>
        <w:tc>
          <w:tcPr>
            <w:tcW w:w="600" w:type="dxa"/>
            <w:vAlign w:val="bottom"/>
            <w:gridSpan w:val="3"/>
          </w:tcPr>
          <w:p>
            <w:pPr>
              <w:jc w:val="right"/>
              <w:spacing w:after="0"/>
              <w:rPr>
                <w:sz w:val="20"/>
                <w:szCs w:val="20"/>
                <w:color w:val="auto"/>
              </w:rPr>
            </w:pPr>
            <w:r>
              <w:rPr>
                <w:rFonts w:ascii="Arial" w:cs="Arial" w:eastAsia="Arial" w:hAnsi="Arial"/>
                <w:sz w:val="13"/>
                <w:szCs w:val="13"/>
                <w:b w:val="1"/>
                <w:bCs w:val="1"/>
                <w:color w:val="auto"/>
              </w:rPr>
              <w:t>Value (g)</w:t>
            </w: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United Biologics, LLC</w:t>
            </w:r>
          </w:p>
        </w:tc>
        <w:tc>
          <w:tcPr>
            <w:tcW w:w="15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Healthcare Services</w:t>
            </w:r>
          </w:p>
        </w:tc>
        <w:tc>
          <w:tcPr>
            <w:tcW w:w="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4/1/2012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(m)</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3/5/2012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566</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1,574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117</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22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w w:val="89"/>
              </w:rPr>
              <w:t>Building Products Manufacturing</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12.00%/2.00%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7/3/2014</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5/31/2019</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0"/>
              </w:rPr>
              <w:t>14,363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14,359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6,549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(p)</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0.00%/16.00%</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11/9/2018</w:t>
            </w:r>
          </w:p>
        </w:tc>
        <w:tc>
          <w:tcPr>
            <w:tcW w:w="5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6"/>
              </w:rPr>
              <w:t>5/31/2019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7/3/2014</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7,549</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US Pack Logistics LLC</w:t>
            </w:r>
          </w:p>
        </w:tc>
        <w:tc>
          <w:tcPr>
            <w:tcW w:w="228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Transportation services</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12.00%/1.75%</w:t>
            </w: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3/27/2015</w:t>
            </w:r>
          </w:p>
        </w:tc>
        <w:tc>
          <w:tcPr>
            <w:tcW w:w="5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6"/>
              </w:rPr>
              <w:t>3/28/2023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7,412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7,412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(5,833 units) (h)(j)</w:t>
            </w: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3/27/2015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178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(9,458 units) (h)(j)</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9/28/2017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927</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1,046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8,878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8,636</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w:t>
            </w:r>
          </w:p>
        </w:tc>
        <w:tc>
          <w:tcPr>
            <w:tcW w:w="22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Business Services</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7/30/2015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851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(2,380 units) (j)</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2/2/2018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327</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481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1,189</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Virginia Tile Company, LLC</w:t>
            </w:r>
          </w:p>
        </w:tc>
        <w:tc>
          <w:tcPr>
            <w:tcW w:w="22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Specialty Distribution</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2"/>
              </w:rPr>
              <w:t>12/19/2014</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8"/>
              </w:rPr>
              <w:t>4/7/2022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0"/>
              </w:rPr>
              <w:t>12,000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11,980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12/19/2014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12,322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13,455</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228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Transportation services</w:t>
            </w: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1"/>
              </w:rPr>
              <w:t>(L + 8.00%) /(1.00%)</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10.86%/0.00%</w:t>
            </w: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2/27/2017</w:t>
            </w:r>
          </w:p>
        </w:tc>
        <w:tc>
          <w:tcPr>
            <w:tcW w:w="5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8"/>
              </w:rPr>
              <w:t>2/3/2025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w w:val="90"/>
              </w:rPr>
              <w:t>20,000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19,690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20,000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2/27/2017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2,956</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3,823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22,646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23,823</w:t>
            </w:r>
          </w:p>
        </w:tc>
        <w:tc>
          <w:tcPr>
            <w:tcW w:w="82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5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505,129</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501,111</w:t>
            </w:r>
          </w:p>
        </w:tc>
        <w:tc>
          <w:tcPr>
            <w:tcW w:w="8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line="20" w:lineRule="exact"/>
              <w:rPr>
                <w:sz w:val="1"/>
                <w:szCs w:val="1"/>
                <w:color w:val="auto"/>
              </w:rPr>
            </w:pPr>
          </w:p>
        </w:tc>
      </w:tr>
      <w:tr>
        <w:trPr>
          <w:trHeight w:val="129"/>
        </w:trPr>
        <w:tc>
          <w:tcPr>
            <w:tcW w:w="294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598,750</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642,982</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640" w:right="160" w:hanging="436"/>
        <w:spacing w:after="0" w:line="238" w:lineRule="auto"/>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2018.</w:t>
      </w:r>
    </w:p>
    <w:p>
      <w:pPr>
        <w:ind w:left="640" w:right="18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2018. Generally, payment-in-kind interest can be paid-in-kind or all in cash.</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ind w:left="640" w:right="2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ind w:left="640" w:right="46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2018. The Company is earning 0.50% interest on the unfunded balance of the commitment. The interest rate disclosed represents the rate which will be earned if the commitment is funded.</w:t>
      </w:r>
    </w:p>
    <w:p>
      <w:pPr>
        <w:ind w:left="640" w:right="2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640" w:right="240" w:hanging="436"/>
        <w:spacing w:after="0" w:line="238" w:lineRule="auto"/>
        <w:tabs>
          <w:tab w:leader="none" w:pos="6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640" w:right="10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640" w:right="16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was on non-accrual status as of December 31, 2018, meaning the Company has ceased recognizing interest income on the investment.</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 entitles the Company to purchase 9.59% of the outstanding principal of Junior Subordinated Notes prior to exercise, and is non-income producing.</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portion of the investment is held by a wholly-owned subsidiary of the Company, other than the Funds.</w:t>
      </w:r>
    </w:p>
    <w:p>
      <w:pPr>
        <w:ind w:left="640" w:right="1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64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debt investment continues to pay interest, including the default rate, while the portfolio company pursues refinancing options.</w:t>
      </w:r>
    </w:p>
    <w:p>
      <w:pPr>
        <w:ind w:left="640" w:right="8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right="80" w:hanging="436"/>
        <w:spacing w:after="0" w:line="221"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640" w:hanging="436"/>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maturity date presented represents the final termination date of the commitment. $707 of the commitment expires on May 7, 2019.</w:t>
      </w:r>
    </w:p>
    <w:p>
      <w:pPr>
        <w:spacing w:after="0" w:line="19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200" w:right="280" w:firstLine="992"/>
        <w:spacing w:after="0" w:line="302" w:lineRule="auto"/>
        <w:rPr>
          <w:sz w:val="20"/>
          <w:szCs w:val="20"/>
          <w:color w:val="auto"/>
        </w:rPr>
      </w:pPr>
      <w:r>
        <w:rPr>
          <w:rFonts w:ascii="Arial" w:cs="Arial" w:eastAsia="Arial" w:hAnsi="Arial"/>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54" w:lineRule="exact"/>
        <w:rPr>
          <w:sz w:val="20"/>
          <w:szCs w:val="20"/>
          <w:color w:val="auto"/>
        </w:rPr>
      </w:pPr>
    </w:p>
    <w:p>
      <w:pPr>
        <w:ind w:left="200" w:firstLine="992"/>
        <w:spacing w:after="0" w:line="270"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three wholly-owned investment company subsidiaries, Fidus Mezzanine Capital, L.P. (“Fund I”), Fidus Mezzanine Capital II, L.P. (“Fund II”) and Fidus Mezzanine Capital III, L.P. (“Fund III”) (collectively Fund I,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 As of September 9, 2019, Fund I has completed a wind-down plan and has relinquished its SBIC license and can no longer issue additional SBA debentures.</w:t>
      </w:r>
    </w:p>
    <w:p>
      <w:pPr>
        <w:spacing w:after="0" w:line="182" w:lineRule="exact"/>
        <w:rPr>
          <w:sz w:val="20"/>
          <w:szCs w:val="20"/>
          <w:color w:val="auto"/>
        </w:rPr>
      </w:pPr>
    </w:p>
    <w:p>
      <w:pPr>
        <w:ind w:left="200" w:right="120" w:firstLine="992"/>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color w:val="auto"/>
        </w:rPr>
        <w:t>Fund I has also elected to be regulated as a BDC under the 1940 Act. 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200" w:right="100" w:firstLine="992"/>
        <w:spacing w:after="0" w:line="277"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(the “Investment Advisor”) under an investment advisory agreement (the “Investment Advisory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200" w:right="20" w:firstLine="992"/>
        <w:spacing w:after="0" w:line="25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consolidated financial statements of the Company have been prepared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generally accepted accounting principles in the United States of America (“GAAP”) pursuant to the requirements for reporting on Form 10-Q, Accounting Standards Codification (“ASC”) 946,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2018.</w:t>
      </w:r>
    </w:p>
    <w:p>
      <w:pPr>
        <w:spacing w:after="0" w:line="192"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GAAP requires management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7" w:lineRule="exact"/>
        <w:rPr>
          <w:sz w:val="20"/>
          <w:szCs w:val="20"/>
          <w:color w:val="auto"/>
        </w:rPr>
      </w:pPr>
    </w:p>
    <w:p>
      <w:pPr>
        <w:ind w:left="200" w:right="360" w:firstLine="992"/>
        <w:spacing w:after="0" w:line="279" w:lineRule="auto"/>
        <w:rPr>
          <w:sz w:val="20"/>
          <w:szCs w:val="20"/>
          <w:color w:val="auto"/>
        </w:rPr>
      </w:pP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Pursuant to Article 6 of Regulation S-X and ASC 946, the Company will generally not consolidate its investments in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2600" w:hanging="424"/>
        <w:spacing w:after="0" w:line="291" w:lineRule="auto"/>
        <w:tabs>
          <w:tab w:leader="none" w:pos="26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Market risk - </w:t>
      </w:r>
      <w:r>
        <w:rPr>
          <w:rFonts w:ascii="Arial" w:cs="Arial" w:eastAsia="Arial" w:hAnsi="Arial"/>
          <w:sz w:val="16"/>
          <w:szCs w:val="16"/>
          <w:color w:val="auto"/>
        </w:rPr>
        <w:t>In contrast to investment-grade bonds (the market prices of which change primarily as a reaction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w:t>
      </w:r>
    </w:p>
    <w:p>
      <w:pPr>
        <w:sectPr>
          <w:pgSz w:w="11900" w:h="16838" w:orient="portrait"/>
          <w:cols w:equalWidth="0" w:num="1">
            <w:col w:w="11220"/>
          </w:cols>
          <w:pgMar w:left="240" w:top="459" w:right="439" w:bottom="1440" w:gutter="0" w:footer="0" w:header="0"/>
        </w:sectPr>
      </w:pP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620" w:right="120"/>
        <w:spacing w:after="0" w:line="259" w:lineRule="auto"/>
        <w:rPr>
          <w:sz w:val="20"/>
          <w:szCs w:val="20"/>
          <w:color w:val="auto"/>
        </w:rPr>
      </w:pPr>
      <w:r>
        <w:rPr>
          <w:rFonts w:ascii="Arial" w:cs="Arial" w:eastAsia="Arial" w:hAnsi="Arial"/>
          <w:sz w:val="18"/>
          <w:szCs w:val="18"/>
          <w:color w:val="auto"/>
        </w:rPr>
        <w:t>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92" w:lineRule="exact"/>
        <w:rPr>
          <w:sz w:val="20"/>
          <w:szCs w:val="20"/>
          <w:color w:val="auto"/>
        </w:rPr>
      </w:pPr>
    </w:p>
    <w:p>
      <w:pPr>
        <w:ind w:left="2600" w:right="40" w:hanging="424"/>
        <w:spacing w:after="0" w:line="286" w:lineRule="auto"/>
        <w:tabs>
          <w:tab w:leader="none" w:pos="26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Credit risk - </w:t>
      </w:r>
      <w:r>
        <w:rPr>
          <w:rFonts w:ascii="Arial" w:cs="Arial" w:eastAsia="Arial" w:hAnsi="Arial"/>
          <w:sz w:val="17"/>
          <w:szCs w:val="17"/>
          <w:color w:val="auto"/>
        </w:rPr>
        <w:t>Credit risk represents the risk that the Company would incur if the counterparties failed to perform</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terms of their agreements with the Company. Issues of high-yield debt securities in which the Company invests are more likely to default on interest or principal than are issues of investment-grade securities.</w:t>
      </w:r>
    </w:p>
    <w:p>
      <w:pPr>
        <w:spacing w:after="0" w:line="70" w:lineRule="exact"/>
        <w:rPr>
          <w:rFonts w:ascii="Arial" w:cs="Arial" w:eastAsia="Arial" w:hAnsi="Arial"/>
          <w:sz w:val="17"/>
          <w:szCs w:val="17"/>
          <w:color w:val="auto"/>
        </w:rPr>
      </w:pPr>
    </w:p>
    <w:p>
      <w:pPr>
        <w:ind w:left="2600" w:right="560" w:hanging="424"/>
        <w:spacing w:after="0" w:line="277"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or at a reasonable price (given the lack of an established market).</w:t>
      </w:r>
    </w:p>
    <w:p>
      <w:pPr>
        <w:spacing w:after="0" w:line="75" w:lineRule="exact"/>
        <w:rPr>
          <w:rFonts w:ascii="Arial" w:cs="Arial" w:eastAsia="Arial" w:hAnsi="Arial"/>
          <w:sz w:val="18"/>
          <w:szCs w:val="18"/>
          <w:color w:val="auto"/>
        </w:rPr>
      </w:pPr>
    </w:p>
    <w:p>
      <w:pPr>
        <w:ind w:left="2600" w:right="500" w:hanging="424"/>
        <w:spacing w:after="0" w:line="277"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the fair value of an interest-bearing financial instrument.</w:t>
      </w:r>
    </w:p>
    <w:p>
      <w:pPr>
        <w:spacing w:after="0" w:line="75" w:lineRule="exact"/>
        <w:rPr>
          <w:rFonts w:ascii="Arial" w:cs="Arial" w:eastAsia="Arial" w:hAnsi="Arial"/>
          <w:sz w:val="18"/>
          <w:szCs w:val="18"/>
          <w:color w:val="auto"/>
        </w:rPr>
      </w:pPr>
    </w:p>
    <w:p>
      <w:pPr>
        <w:ind w:left="2600" w:right="380" w:hanging="424"/>
        <w:spacing w:after="0" w:line="259"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 </w:t>
      </w:r>
      <w:r>
        <w:rPr>
          <w:rFonts w:ascii="Arial" w:cs="Arial" w:eastAsia="Arial" w:hAnsi="Arial"/>
          <w:sz w:val="18"/>
          <w:szCs w:val="18"/>
          <w:color w:val="auto"/>
        </w:rPr>
        <w:t>Certain of the Company’s debt investments allow for prepayment of principal without penalty.</w:t>
      </w:r>
      <w:r>
        <w:rPr>
          <w:rFonts w:ascii="Arial" w:cs="Arial" w:eastAsia="Arial" w:hAnsi="Arial"/>
          <w:sz w:val="18"/>
          <w:szCs w:val="18"/>
          <w:i w:val="1"/>
          <w:iCs w:val="1"/>
          <w:color w:val="auto"/>
        </w:rPr>
        <w:t xml:space="preserve"> </w:t>
      </w:r>
      <w:r>
        <w:rPr>
          <w:rFonts w:ascii="Arial" w:cs="Arial" w:eastAsia="Arial" w:hAnsi="Arial"/>
          <w:sz w:val="18"/>
          <w:szCs w:val="18"/>
          <w:color w:val="auto"/>
        </w:rPr>
        <w:t>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92" w:lineRule="exact"/>
        <w:rPr>
          <w:rFonts w:ascii="Arial" w:cs="Arial" w:eastAsia="Arial" w:hAnsi="Arial"/>
          <w:sz w:val="18"/>
          <w:szCs w:val="18"/>
          <w:color w:val="auto"/>
        </w:rPr>
      </w:pPr>
    </w:p>
    <w:p>
      <w:pPr>
        <w:jc w:val="both"/>
        <w:ind w:left="2600" w:right="80" w:hanging="424"/>
        <w:spacing w:after="0" w:line="264"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represent future commitments to purchase other financial instruments at defined terms at defined future dates. See Note 7 for further details.</w:t>
      </w:r>
    </w:p>
    <w:p>
      <w:pPr>
        <w:spacing w:after="0" w:line="181" w:lineRule="exact"/>
        <w:rPr>
          <w:sz w:val="20"/>
          <w:szCs w:val="20"/>
          <w:color w:val="auto"/>
        </w:rPr>
      </w:pPr>
    </w:p>
    <w:p>
      <w:pPr>
        <w:ind w:left="200" w:right="300" w:firstLine="992"/>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instruments in 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200" w:right="40" w:firstLine="992"/>
        <w:spacing w:after="0" w:line="276" w:lineRule="auto"/>
        <w:rPr>
          <w:sz w:val="20"/>
          <w:szCs w:val="20"/>
          <w:color w:val="auto"/>
        </w:rPr>
      </w:pPr>
      <w:r>
        <w:rPr>
          <w:rFonts w:ascii="Arial" w:cs="Arial" w:eastAsia="Arial" w:hAnsi="Arial"/>
          <w:sz w:val="17"/>
          <w:szCs w:val="17"/>
          <w:i w:val="1"/>
          <w:iCs w:val="1"/>
          <w:color w:val="auto"/>
        </w:rPr>
        <w:t xml:space="preserve">Investment classification: </w:t>
      </w:r>
      <w:r>
        <w:rPr>
          <w:rFonts w:ascii="Arial" w:cs="Arial" w:eastAsia="Arial" w:hAnsi="Arial"/>
          <w:sz w:val="17"/>
          <w:szCs w:val="17"/>
          <w:color w:val="auto"/>
        </w:rPr>
        <w:t>The Company classifies its investments in accordance with the requirements of the 1940 Act. Under the 1940</w:t>
      </w:r>
      <w:r>
        <w:rPr>
          <w:rFonts w:ascii="Arial" w:cs="Arial" w:eastAsia="Arial" w:hAnsi="Arial"/>
          <w:sz w:val="17"/>
          <w:szCs w:val="17"/>
          <w:i w:val="1"/>
          <w:iCs w:val="1"/>
          <w:color w:val="auto"/>
        </w:rPr>
        <w:t xml:space="preserve"> </w:t>
      </w:r>
      <w:r>
        <w:rPr>
          <w:rFonts w:ascii="Arial" w:cs="Arial" w:eastAsia="Arial" w:hAnsi="Arial"/>
          <w:sz w:val="17"/>
          <w:szCs w:val="17"/>
          <w:color w:val="auto"/>
        </w:rPr>
        <w:t>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73" w:lineRule="exact"/>
        <w:rPr>
          <w:sz w:val="20"/>
          <w:szCs w:val="20"/>
          <w:color w:val="auto"/>
        </w:rPr>
      </w:pPr>
    </w:p>
    <w:p>
      <w:pPr>
        <w:ind w:left="200" w:right="180" w:firstLine="992"/>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operating unit structure.</w:t>
      </w:r>
    </w:p>
    <w:p>
      <w:pPr>
        <w:spacing w:after="0" w:line="17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6" w:lineRule="exact"/>
        <w:rPr>
          <w:sz w:val="20"/>
          <w:szCs w:val="20"/>
          <w:color w:val="auto"/>
        </w:rPr>
      </w:pPr>
    </w:p>
    <w:p>
      <w:pPr>
        <w:ind w:left="200" w:right="180" w:firstLine="992"/>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Note 6) 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200" w:firstLine="992"/>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8" w:lineRule="exact"/>
        <w:rPr>
          <w:sz w:val="20"/>
          <w:szCs w:val="20"/>
          <w:color w:val="auto"/>
        </w:rPr>
      </w:pPr>
    </w:p>
    <w:p>
      <w:pPr>
        <w:ind w:left="200" w:right="60" w:firstLine="992"/>
        <w:spacing w:after="0" w:line="276" w:lineRule="auto"/>
        <w:rPr>
          <w:sz w:val="20"/>
          <w:szCs w:val="20"/>
          <w:color w:val="auto"/>
        </w:rPr>
      </w:pPr>
      <w:r>
        <w:rPr>
          <w:rFonts w:ascii="Arial" w:cs="Arial" w:eastAsia="Arial" w:hAnsi="Arial"/>
          <w:sz w:val="17"/>
          <w:szCs w:val="17"/>
          <w:i w:val="1"/>
          <w:iCs w:val="1"/>
          <w:color w:val="auto"/>
        </w:rPr>
        <w:t xml:space="preserve">Deferred offering costs: </w:t>
      </w:r>
      <w:r>
        <w:rPr>
          <w:rFonts w:ascii="Arial" w:cs="Arial" w:eastAsia="Arial" w:hAnsi="Arial"/>
          <w:sz w:val="17"/>
          <w:szCs w:val="17"/>
          <w:color w:val="auto"/>
        </w:rPr>
        <w:t>Deferred offering costs include registration expenses related to shelf filings. These expenses primarily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220"/>
          </w:cols>
          <w:pgMar w:left="240" w:top="459" w:right="439" w:bottom="1440" w:gutter="0" w:footer="0" w:header="0"/>
        </w:sectPr>
      </w:pP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0" w:firstLine="992"/>
        <w:spacing w:after="0" w:line="293" w:lineRule="auto"/>
        <w:rPr>
          <w:sz w:val="20"/>
          <w:szCs w:val="20"/>
          <w:color w:val="auto"/>
        </w:rPr>
      </w:pPr>
      <w:r>
        <w:rPr>
          <w:rFonts w:ascii="Arial" w:cs="Arial" w:eastAsia="Arial" w:hAnsi="Arial"/>
          <w:sz w:val="16"/>
          <w:szCs w:val="16"/>
          <w:i w:val="1"/>
          <w:iCs w:val="1"/>
          <w:color w:val="auto"/>
        </w:rPr>
        <w:t xml:space="preserve">Realized gains or losses and unrealized appreciation or depreciation on investments: </w:t>
      </w:r>
      <w:r>
        <w:rPr>
          <w:rFonts w:ascii="Arial" w:cs="Arial" w:eastAsia="Arial" w:hAnsi="Arial"/>
          <w:sz w:val="16"/>
          <w:szCs w:val="16"/>
          <w:color w:val="auto"/>
        </w:rPr>
        <w:t>Realized gains or losses on investments are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65"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w:t>
      </w:r>
      <w:r>
        <w:rPr>
          <w:rFonts w:ascii="Arial" w:cs="Arial" w:eastAsia="Arial" w:hAnsi="Arial"/>
          <w:sz w:val="17"/>
          <w:szCs w:val="17"/>
          <w:i w:val="1"/>
          <w:iCs w:val="1"/>
          <w:color w:val="auto"/>
        </w:rPr>
        <w:t xml:space="preserve"> </w:t>
      </w:r>
      <w:r>
        <w:rPr>
          <w:rFonts w:ascii="Arial" w:cs="Arial" w:eastAsia="Arial" w:hAnsi="Arial"/>
          <w:sz w:val="17"/>
          <w:szCs w:val="17"/>
          <w:color w:val="auto"/>
        </w:rPr>
        <w:t>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200" w:right="100" w:firstLine="992"/>
        <w:spacing w:after="0" w:line="270"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the Company’s investments contain a payment-in-kind (“PIK”) income provision. The PIK income, computed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82"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non-accrual status when principal, interest or dividend payments become materially past due, or when there is reasonable doubt that principal,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or dividends will be collected. Interest and dividend payments received on non-accrual investments may be recognized as interest or dividend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or may be applied to the investment principal balance based on management’s judgment. Non-accrual investments are restored to accrual status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 past due principal, interest or dividends are paid and, in management’s judgment, payments are likely to remain current.</w:t>
      </w:r>
    </w:p>
    <w:p>
      <w:pPr>
        <w:spacing w:after="0" w:line="211" w:lineRule="exact"/>
        <w:rPr>
          <w:sz w:val="20"/>
          <w:szCs w:val="20"/>
          <w:color w:val="auto"/>
        </w:rPr>
      </w:pPr>
    </w:p>
    <w:p>
      <w:pPr>
        <w:ind w:left="200" w:right="300" w:firstLine="992"/>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3" w:lineRule="exact"/>
        <w:rPr>
          <w:sz w:val="20"/>
          <w:szCs w:val="20"/>
          <w:color w:val="auto"/>
        </w:rPr>
      </w:pPr>
    </w:p>
    <w:p>
      <w:pPr>
        <w:ind w:left="200" w:right="40" w:firstLine="992"/>
        <w:spacing w:after="0" w:line="279"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1" w:lineRule="exact"/>
        <w:rPr>
          <w:sz w:val="20"/>
          <w:szCs w:val="20"/>
          <w:color w:val="auto"/>
        </w:rPr>
      </w:pPr>
    </w:p>
    <w:p>
      <w:pPr>
        <w:ind w:left="200" w:right="100" w:firstLine="992"/>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200"/>
          </w:cols>
          <w:pgMar w:left="240" w:top="459" w:right="459" w:bottom="1440" w:gutter="0" w:footer="0" w:header="0"/>
        </w:sectPr>
      </w:pP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24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firstLine="99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from 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2" w:lineRule="exact"/>
        <w:rPr>
          <w:sz w:val="20"/>
          <w:szCs w:val="20"/>
          <w:color w:val="auto"/>
        </w:rPr>
      </w:pPr>
    </w:p>
    <w:p>
      <w:pPr>
        <w:ind w:left="200" w:right="640" w:firstLine="992"/>
        <w:spacing w:after="0" w:line="342" w:lineRule="auto"/>
        <w:rPr>
          <w:sz w:val="20"/>
          <w:szCs w:val="20"/>
          <w:color w:val="auto"/>
        </w:rPr>
      </w:pPr>
      <w:r>
        <w:rPr>
          <w:rFonts w:ascii="Arial" w:cs="Arial" w:eastAsia="Arial" w:hAnsi="Arial"/>
          <w:sz w:val="16"/>
          <w:szCs w:val="16"/>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24" w:lineRule="exact"/>
        <w:rPr>
          <w:sz w:val="20"/>
          <w:szCs w:val="20"/>
          <w:color w:val="auto"/>
        </w:rPr>
      </w:pPr>
    </w:p>
    <w:p>
      <w:pPr>
        <w:ind w:left="200" w:right="20" w:firstLine="992"/>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6" w:lineRule="exact"/>
        <w:rPr>
          <w:sz w:val="20"/>
          <w:szCs w:val="20"/>
          <w:color w:val="auto"/>
        </w:rPr>
      </w:pPr>
    </w:p>
    <w:p>
      <w:pPr>
        <w:jc w:val="both"/>
        <w:ind w:left="200" w:right="20" w:firstLine="992"/>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200" w:right="100" w:firstLine="992"/>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2019 and December 31, 2018. The Company’s tax returns are generally subject to examination by U.S. federal and most state tax authorities for a period of three years from the date the respective returns are filed, and, accordingly, the Company’s 2016 through 2018 tax years remain subject to examination.</w:t>
      </w:r>
    </w:p>
    <w:p>
      <w:pPr>
        <w:spacing w:after="0" w:line="179" w:lineRule="exact"/>
        <w:rPr>
          <w:sz w:val="20"/>
          <w:szCs w:val="20"/>
          <w:color w:val="auto"/>
        </w:rPr>
      </w:pPr>
    </w:p>
    <w:p>
      <w:pPr>
        <w:ind w:left="200" w:right="160" w:firstLine="992"/>
        <w:spacing w:after="0" w:line="312"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w:t>
      </w:r>
      <w:r>
        <w:rPr>
          <w:rFonts w:ascii="Arial" w:cs="Arial" w:eastAsia="Arial" w:hAnsi="Arial"/>
          <w:sz w:val="16"/>
          <w:szCs w:val="16"/>
          <w:i w:val="1"/>
          <w:iCs w:val="1"/>
          <w:color w:val="auto"/>
        </w:rPr>
        <w:t xml:space="preserve"> </w:t>
      </w:r>
      <w:r>
        <w:rPr>
          <w:rFonts w:ascii="Arial" w:cs="Arial" w:eastAsia="Arial" w:hAnsi="Arial"/>
          <w:sz w:val="16"/>
          <w:szCs w:val="16"/>
          <w:color w:val="auto"/>
        </w:rPr>
        <w:t>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7" w:lineRule="exact"/>
        <w:rPr>
          <w:sz w:val="20"/>
          <w:szCs w:val="20"/>
          <w:color w:val="auto"/>
        </w:rPr>
      </w:pPr>
    </w:p>
    <w:p>
      <w:pPr>
        <w:ind w:left="200" w:right="40" w:firstLine="992"/>
        <w:spacing w:after="0" w:line="276"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3" w:lineRule="exact"/>
        <w:rPr>
          <w:sz w:val="20"/>
          <w:szCs w:val="20"/>
          <w:color w:val="auto"/>
        </w:rPr>
      </w:pPr>
    </w:p>
    <w:p>
      <w:pPr>
        <w:ind w:left="200" w:right="200" w:firstLine="992"/>
        <w:spacing w:after="0" w:line="257" w:lineRule="auto"/>
        <w:rPr>
          <w:sz w:val="20"/>
          <w:szCs w:val="20"/>
          <w:color w:val="auto"/>
        </w:rPr>
      </w:pPr>
      <w:r>
        <w:rPr>
          <w:rFonts w:ascii="Arial" w:cs="Arial" w:eastAsia="Arial" w:hAnsi="Arial"/>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87" w:lineRule="exact"/>
        <w:rPr>
          <w:sz w:val="20"/>
          <w:szCs w:val="20"/>
          <w:color w:val="auto"/>
        </w:rPr>
      </w:pPr>
    </w:p>
    <w:p>
      <w:pPr>
        <w:jc w:val="both"/>
        <w:ind w:left="200" w:right="140" w:firstLine="992"/>
        <w:spacing w:after="0" w:line="264"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nine months ended September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computed utilizing the weighted average shares outstanding for the period. Net asset value per share is calculated using the number of shares outstanding as of the end of the period.</w:t>
      </w:r>
    </w:p>
    <w:p>
      <w:pPr>
        <w:spacing w:after="0" w:line="181" w:lineRule="exact"/>
        <w:rPr>
          <w:sz w:val="20"/>
          <w:szCs w:val="20"/>
          <w:color w:val="auto"/>
        </w:rPr>
      </w:pPr>
    </w:p>
    <w:p>
      <w:pPr>
        <w:ind w:left="200" w:right="80" w:firstLine="992"/>
        <w:spacing w:after="0" w:line="268" w:lineRule="auto"/>
        <w:rPr>
          <w:sz w:val="20"/>
          <w:szCs w:val="20"/>
          <w:color w:val="auto"/>
        </w:rPr>
      </w:pPr>
      <w:r>
        <w:rPr>
          <w:rFonts w:ascii="Arial" w:cs="Arial" w:eastAsia="Arial" w:hAnsi="Arial"/>
          <w:sz w:val="17"/>
          <w:szCs w:val="17"/>
          <w:i w:val="1"/>
          <w:iCs w:val="1"/>
          <w:color w:val="auto"/>
        </w:rPr>
        <w:t xml:space="preserve">Stock Repurchase Program: </w:t>
      </w:r>
      <w:r>
        <w:rPr>
          <w:rFonts w:ascii="Arial" w:cs="Arial" w:eastAsia="Arial" w:hAnsi="Arial"/>
          <w:sz w:val="17"/>
          <w:szCs w:val="17"/>
          <w:color w:val="auto"/>
        </w:rPr>
        <w:t>The Company has an open market stock repurchase program (the “Stock Repurchase Program”) under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nine months ended September 30, 2019. During the three and nine months ended September 30, 2018, the Company repurchased zero and 44,821 shares, respectively, of common stock on the open market for zero and $582, respectively. Refer to Note 8 for additional information concerning stock repurchases.</w:t>
      </w:r>
    </w:p>
    <w:p>
      <w:pPr>
        <w:spacing w:after="0" w:line="296"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which modifies the disclosure requirements on fair value measurements. The guidance is effective for annual and interim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beginning after December 15, 2019. The Company is currently evaluating the impact this ASU will have on the Company’s consolidated financial position or disclosures.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200" w:right="120" w:firstLine="992"/>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8" w:lineRule="exact"/>
        <w:rPr>
          <w:sz w:val="20"/>
          <w:szCs w:val="20"/>
          <w:color w:val="auto"/>
        </w:rPr>
      </w:pPr>
    </w:p>
    <w:p>
      <w:pPr>
        <w:ind w:left="200" w:right="20" w:firstLine="992"/>
        <w:spacing w:after="0" w:line="297" w:lineRule="auto"/>
        <w:rPr>
          <w:sz w:val="20"/>
          <w:szCs w:val="20"/>
          <w:color w:val="auto"/>
        </w:rPr>
      </w:pPr>
      <w:r>
        <w:rPr>
          <w:rFonts w:ascii="Arial" w:cs="Arial" w:eastAsia="Arial" w:hAnsi="Arial"/>
          <w:sz w:val="16"/>
          <w:szCs w:val="16"/>
          <w:color w:val="auto"/>
        </w:rPr>
        <w:t>As of September 30, 2019, the Company had active investments in 62 portfolio companies and residual investments in four portfolio companies that have sold its underlying operations. The aggregate fair value of the total portfolio was $729,442 and the weighted average effective yield on the Company’s debt investments was 12.3% as of such date. As of September 30, 2019, the Company held equity investments in 92.4% of its portfolio companies and the weighted average fully diluted equity ownership in those portfolio companies was 5.9%. The weighted average fully diluted equity ownership was computed using the fully diluted equity ownership for equity investments (including warrants) at cost as of September 30, 2019.</w:t>
      </w:r>
    </w:p>
    <w:p>
      <w:pPr>
        <w:spacing w:after="0" w:line="158" w:lineRule="exact"/>
        <w:rPr>
          <w:sz w:val="20"/>
          <w:szCs w:val="20"/>
          <w:color w:val="auto"/>
        </w:rPr>
      </w:pPr>
    </w:p>
    <w:p>
      <w:pPr>
        <w:ind w:left="200" w:right="20" w:firstLine="992"/>
        <w:spacing w:after="0" w:line="297" w:lineRule="auto"/>
        <w:rPr>
          <w:sz w:val="20"/>
          <w:szCs w:val="20"/>
          <w:color w:val="auto"/>
        </w:rPr>
      </w:pPr>
      <w:r>
        <w:rPr>
          <w:rFonts w:ascii="Arial" w:cs="Arial" w:eastAsia="Arial" w:hAnsi="Arial"/>
          <w:sz w:val="16"/>
          <w:szCs w:val="16"/>
          <w:color w:val="auto"/>
        </w:rPr>
        <w:t>As of December 31, 2018, the Company had active investments in 60 portfolio companies and residual investments in three portfolio companies that have sold their underlying operations. The aggregate fair value of the total portfolio was $642,982 and the weighted average effective yield on the Company’s debt investments was 12.6% as of such date. As of December 31, 2018, the Company held equity investments in 93.7% of its portfolio companies and the weighted average fully diluted equity ownership in those portfolio companies was 6.6%. The weighted average fully diluted equity ownership was computed using the fully diluted equity ownership for equity investments (including warrants) at cost as of December 31, 2018.</w:t>
      </w:r>
    </w:p>
    <w:p>
      <w:pPr>
        <w:spacing w:after="0" w:line="158" w:lineRule="exact"/>
        <w:rPr>
          <w:sz w:val="20"/>
          <w:szCs w:val="20"/>
          <w:color w:val="auto"/>
        </w:rPr>
      </w:pPr>
    </w:p>
    <w:p>
      <w:pPr>
        <w:ind w:left="200" w:right="220" w:firstLine="992"/>
        <w:spacing w:after="0" w:line="302" w:lineRule="auto"/>
        <w:rPr>
          <w:sz w:val="20"/>
          <w:szCs w:val="20"/>
          <w:color w:val="auto"/>
        </w:rPr>
      </w:pPr>
      <w:r>
        <w:rPr>
          <w:rFonts w:ascii="Arial" w:cs="Arial" w:eastAsia="Arial" w:hAnsi="Arial"/>
          <w:sz w:val="16"/>
          <w:szCs w:val="16"/>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September 30, 2019 and December 31, 2018, including accretion of OID and debt investment origination fees, but excluding investments on non-accrual status, if any.</w:t>
      </w:r>
    </w:p>
    <w:p>
      <w:pPr>
        <w:sectPr>
          <w:pgSz w:w="11900" w:h="16838" w:orient="portrait"/>
          <w:cols w:equalWidth="0" w:num="1">
            <w:col w:w="11220"/>
          </w:cols>
          <w:pgMar w:left="240" w:top="459" w:right="439" w:bottom="1440" w:gutter="0" w:footer="0" w:header="0"/>
        </w:sectPr>
      </w:pP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color w:val="auto"/>
        </w:rPr>
        <w:t>Purchases of debt and equity investments for the nine months ended September 30, 2019 and 2018 totaled $175,535 and $144,614, respectively. Proceeds from sales and repayments, including principal, return of capital distributions and realized gains, of portfolio investments for the nine months ended September 30, 2019 and 2018 totaled $98,805 and $92,052, respectively.</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5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48"/>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$377,887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$391,104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$379,973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Subordinated Debt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144,799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104,225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144,576</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105,900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79,965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93,305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Equity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113,960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106,707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55,552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53,482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Royalty Rights</w:t>
            </w:r>
          </w:p>
        </w:tc>
        <w:tc>
          <w:tcPr>
            <w:tcW w:w="1660" w:type="dxa"/>
            <w:vAlign w:val="bottom"/>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642,982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691,516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598,750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All investments made by the Company as of September 30, 2019 and December 31, 2018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48"/>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$177,467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$152,607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149,490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176,819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143,730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155,271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150,469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145,227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86,428</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62,824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81,673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54,469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165,588</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162,702</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152,157</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729,442</w:t>
            </w: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642,982</w:t>
            </w: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691,516</w:t>
            </w:r>
          </w:p>
        </w:tc>
        <w:tc>
          <w:tcPr>
            <w:tcW w:w="160" w:type="dxa"/>
            <w:vAlign w:val="bottom"/>
          </w:tcPr>
          <w:p>
            <w:pPr>
              <w:spacing w:after="0"/>
              <w:rPr>
                <w:sz w:val="19"/>
                <w:szCs w:val="19"/>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100.0%</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598,750</w:t>
            </w: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360"/>
              <w:spacing w:after="0"/>
              <w:rPr>
                <w:sz w:val="20"/>
                <w:szCs w:val="20"/>
                <w:color w:val="auto"/>
              </w:rPr>
            </w:pPr>
            <w:r>
              <w:rPr>
                <w:rFonts w:ascii="Arial" w:cs="Arial" w:eastAsia="Arial" w:hAnsi="Arial"/>
                <w:sz w:val="14"/>
                <w:szCs w:val="14"/>
                <w:b w:val="1"/>
                <w:bCs w:val="1"/>
                <w:color w:val="auto"/>
              </w:rPr>
              <w:t>By Type</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By Geographic Region</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3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2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Midwest</w:t>
            </w: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Subordinated Debt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Southeast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Northeast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Equity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West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Southwest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Royalty Rights</w:t>
            </w:r>
          </w:p>
        </w:tc>
        <w:tc>
          <w:tcPr>
            <w:tcW w:w="1180" w:type="dxa"/>
            <w:vAlign w:val="bottom"/>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181.1%</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159.6%</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181.1%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992"/>
        <w:spacing w:after="0" w:line="277" w:lineRule="auto"/>
        <w:rPr>
          <w:sz w:val="20"/>
          <w:szCs w:val="20"/>
          <w:color w:val="auto"/>
        </w:rPr>
      </w:pPr>
      <w:r>
        <w:rPr>
          <w:rFonts w:ascii="Arial" w:cs="Arial" w:eastAsia="Arial" w:hAnsi="Arial"/>
          <w:sz w:val="18"/>
          <w:szCs w:val="18"/>
          <w:color w:val="auto"/>
        </w:rPr>
        <w:t>As of September 30, 2019 and December 31, 2018, the Company had no portfolio company investments that represented more than 10% of the total investment portfolio on a fair value or cost basis.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 of September 30, 2019 and December 31, 2018, the Company had debt investments in two portfolio companies on non-accrual status,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ind w:left="10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4"/>
                <w:szCs w:val="14"/>
                <w:color w:val="auto"/>
              </w:rPr>
            </w:pPr>
          </w:p>
        </w:tc>
        <w:tc>
          <w:tcPr>
            <w:tcW w:w="19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3"/>
              <w:spacing w:after="0" w:line="158"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3"/>
                <w:szCs w:val="13"/>
                <w:color w:val="auto"/>
              </w:rPr>
            </w:pPr>
          </w:p>
        </w:tc>
        <w:tc>
          <w:tcPr>
            <w:tcW w:w="8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6"/>
              </w:rPr>
              <w:t>(1)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6"/>
              </w:rPr>
              <w:t>(1)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$13,208</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$14,270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Oaktree Medical Centre, P.C. (dba Pain Management Associates)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13,842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9,076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18,959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9,076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32,801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20,757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29,629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jc w:val="both"/>
        <w:ind w:left="200" w:right="200" w:firstLine="992"/>
        <w:spacing w:after="0" w:line="264"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2018 and any additions and reductions made to such investments during the nine months ended September 30, 2019, the ending fair value as of September 30, 2019, and the total investment income earned on such investments during the period.</w:t>
      </w:r>
    </w:p>
    <w:p>
      <w:pPr>
        <w:spacing w:after="0" w:line="200"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6350</wp:posOffset>
            </wp:positionV>
            <wp:extent cx="25730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82"/>
              </w:rPr>
              <w:t>2019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jc w:val="center"/>
              <w:ind w:right="40"/>
              <w:spacing w:after="0" w:line="121" w:lineRule="exact"/>
              <w:rPr>
                <w:sz w:val="20"/>
                <w:szCs w:val="20"/>
                <w:color w:val="auto"/>
              </w:rPr>
            </w:pPr>
            <w:r>
              <w:rPr>
                <w:rFonts w:ascii="Arial" w:cs="Arial" w:eastAsia="Arial" w:hAnsi="Arial"/>
                <w:sz w:val="13"/>
                <w:szCs w:val="13"/>
                <w:b w:val="1"/>
                <w:bCs w:val="1"/>
                <w:color w:val="auto"/>
                <w:w w:val="86"/>
              </w:rPr>
              <w:t>Net Change 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Principal</w:t>
            </w:r>
          </w:p>
        </w:tc>
        <w:tc>
          <w:tcPr>
            <w:tcW w:w="840" w:type="dxa"/>
            <w:vAlign w:val="bottom"/>
            <w:gridSpan w:val="3"/>
          </w:tcPr>
          <w:p>
            <w:pPr>
              <w:jc w:val="center"/>
              <w:ind w:left="37"/>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86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8"/>
              </w:rPr>
              <w:t>Net 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8"/>
              </w:rPr>
              <w:t>Payment-in-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9"/>
              </w:rPr>
              <w:t>Amount - Debt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2018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17"/>
              <w:spacing w:after="0" w:line="131"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20"/>
              <w:spacing w:after="0" w:line="131"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216"/>
              <w:spacing w:after="0" w:line="131"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80"/>
              <w:spacing w:after="0" w:line="131" w:lineRule="exact"/>
              <w:rPr>
                <w:sz w:val="20"/>
                <w:szCs w:val="20"/>
                <w:color w:val="auto"/>
              </w:rPr>
            </w:pPr>
            <w:r>
              <w:rPr>
                <w:rFonts w:ascii="Arial" w:cs="Arial" w:eastAsia="Arial" w:hAnsi="Arial"/>
                <w:sz w:val="13"/>
                <w:szCs w:val="13"/>
                <w:b w:val="1"/>
                <w:bCs w:val="1"/>
                <w:color w:val="auto"/>
                <w:w w:val="99"/>
              </w:rPr>
              <w:t>Gains</w:t>
            </w:r>
          </w:p>
        </w:tc>
        <w:tc>
          <w:tcPr>
            <w:tcW w:w="60" w:type="dxa"/>
            <w:vAlign w:val="bottom"/>
          </w:tcPr>
          <w:p>
            <w:pPr>
              <w:spacing w:after="0"/>
              <w:rPr>
                <w:sz w:val="11"/>
                <w:szCs w:val="11"/>
                <w:color w:val="auto"/>
              </w:rPr>
            </w:pPr>
          </w:p>
        </w:tc>
        <w:tc>
          <w:tcPr>
            <w:tcW w:w="86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0"/>
              </w:rPr>
              <w:t>Appreciation</w:t>
            </w:r>
          </w:p>
        </w:tc>
        <w:tc>
          <w:tcPr>
            <w:tcW w:w="480" w:type="dxa"/>
            <w:vAlign w:val="bottom"/>
            <w:gridSpan w:val="3"/>
          </w:tcPr>
          <w:p>
            <w:pPr>
              <w:jc w:val="right"/>
              <w:spacing w:after="0" w:line="131" w:lineRule="exact"/>
              <w:rPr>
                <w:sz w:val="20"/>
                <w:szCs w:val="20"/>
                <w:color w:val="auto"/>
              </w:rPr>
            </w:pPr>
            <w:r>
              <w:rPr>
                <w:rFonts w:ascii="Arial" w:cs="Arial" w:eastAsia="Arial" w:hAnsi="Arial"/>
                <w:sz w:val="13"/>
                <w:szCs w:val="13"/>
                <w:b w:val="1"/>
                <w:bCs w:val="1"/>
                <w:color w:val="auto"/>
                <w:w w:val="93"/>
              </w:rPr>
              <w:t>Interest</w:t>
            </w:r>
          </w:p>
        </w:tc>
        <w:tc>
          <w:tcPr>
            <w:tcW w:w="780" w:type="dxa"/>
            <w:vAlign w:val="bottom"/>
            <w:gridSpan w:val="3"/>
          </w:tcPr>
          <w:p>
            <w:pPr>
              <w:ind w:left="80"/>
              <w:spacing w:after="0" w:line="131" w:lineRule="exact"/>
              <w:rPr>
                <w:sz w:val="20"/>
                <w:szCs w:val="20"/>
                <w:color w:val="auto"/>
              </w:rPr>
            </w:pPr>
            <w:r>
              <w:rPr>
                <w:rFonts w:ascii="Arial" w:cs="Arial" w:eastAsia="Arial" w:hAnsi="Arial"/>
                <w:sz w:val="13"/>
                <w:szCs w:val="13"/>
                <w:b w:val="1"/>
                <w:bCs w:val="1"/>
                <w:color w:val="auto"/>
                <w:w w:val="87"/>
              </w:rPr>
              <w:t>kind Interest</w:t>
            </w:r>
          </w:p>
        </w:tc>
        <w:tc>
          <w:tcPr>
            <w:tcW w:w="600" w:type="dxa"/>
            <w:vAlign w:val="bottom"/>
            <w:gridSpan w:val="3"/>
          </w:tcPr>
          <w:p>
            <w:pPr>
              <w:ind w:left="100"/>
              <w:spacing w:after="0" w:line="131" w:lineRule="exact"/>
              <w:rPr>
                <w:sz w:val="20"/>
                <w:szCs w:val="20"/>
                <w:color w:val="auto"/>
              </w:rPr>
            </w:pPr>
            <w:r>
              <w:rPr>
                <w:rFonts w:ascii="Arial" w:cs="Arial" w:eastAsia="Arial" w:hAnsi="Arial"/>
                <w:sz w:val="13"/>
                <w:szCs w:val="13"/>
                <w:b w:val="1"/>
                <w:bCs w:val="1"/>
                <w:color w:val="auto"/>
                <w:w w:val="87"/>
              </w:rPr>
              <w:t>Dividend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78"/>
        </w:trPr>
        <w:tc>
          <w:tcPr>
            <w:tcW w:w="234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0"/>
                <w:szCs w:val="10"/>
                <w:b w:val="1"/>
                <w:bCs w:val="1"/>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Investments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780" w:type="dxa"/>
            <w:vAlign w:val="bottom"/>
            <w:gridSpan w:val="3"/>
          </w:tcPr>
          <w:p>
            <w:pPr>
              <w:jc w:val="right"/>
              <w:spacing w:after="0"/>
              <w:rPr>
                <w:sz w:val="20"/>
                <w:szCs w:val="20"/>
                <w:color w:val="auto"/>
              </w:rPr>
            </w:pPr>
            <w:r>
              <w:rPr>
                <w:rFonts w:ascii="Arial" w:cs="Arial" w:eastAsia="Arial" w:hAnsi="Arial"/>
                <w:sz w:val="13"/>
                <w:szCs w:val="13"/>
                <w:b w:val="1"/>
                <w:bCs w:val="1"/>
                <w:color w:val="auto"/>
              </w:rPr>
              <w:t xml:space="preserve">Additions </w:t>
            </w:r>
            <w:r>
              <w:rPr>
                <w:rFonts w:ascii="Arial" w:cs="Arial" w:eastAsia="Arial" w:hAnsi="Arial"/>
                <w:sz w:val="10"/>
                <w:szCs w:val="10"/>
                <w:b w:val="1"/>
                <w:bCs w:val="1"/>
                <w:color w:val="auto"/>
              </w:rPr>
              <w:t>(2)</w:t>
            </w:r>
          </w:p>
        </w:tc>
        <w:tc>
          <w:tcPr>
            <w:tcW w:w="9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6"/>
              </w:rPr>
              <w:t xml:space="preserve">Reductions </w:t>
            </w:r>
            <w:r>
              <w:rPr>
                <w:rFonts w:ascii="Arial" w:cs="Arial" w:eastAsia="Arial" w:hAnsi="Arial"/>
                <w:sz w:val="10"/>
                <w:szCs w:val="10"/>
                <w:b w:val="1"/>
                <w:bCs w:val="1"/>
                <w:color w:val="auto"/>
                <w:w w:val="96"/>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9"/>
              </w:rPr>
              <w:t xml:space="preserve">(Losses) </w:t>
            </w:r>
            <w:r>
              <w:rPr>
                <w:rFonts w:ascii="Arial" w:cs="Arial" w:eastAsia="Arial" w:hAnsi="Arial"/>
                <w:sz w:val="10"/>
                <w:szCs w:val="10"/>
                <w:b w:val="1"/>
                <w:bCs w:val="1"/>
                <w:color w:val="auto"/>
                <w:w w:val="89"/>
              </w:rPr>
              <w:t>(4)</w:t>
            </w:r>
          </w:p>
        </w:tc>
        <w:tc>
          <w:tcPr>
            <w:tcW w:w="9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6"/>
              </w:rPr>
              <w:t>(Depreciation)</w:t>
            </w:r>
          </w:p>
        </w:tc>
        <w:tc>
          <w:tcPr>
            <w:tcW w:w="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83"/>
              </w:rPr>
              <w:t>Income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w w:val="96"/>
              </w:rPr>
              <w:t>Income</w:t>
            </w:r>
          </w:p>
        </w:tc>
        <w:tc>
          <w:tcPr>
            <w:tcW w:w="540" w:type="dxa"/>
            <w:vAlign w:val="bottom"/>
            <w:gridSpan w:val="4"/>
          </w:tcPr>
          <w:p>
            <w:pPr>
              <w:ind w:left="100"/>
              <w:spacing w:after="0"/>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Control Investments</w:t>
            </w:r>
          </w:p>
        </w:tc>
        <w:tc>
          <w:tcPr>
            <w:tcW w:w="1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gridSpan w:val="2"/>
          </w:tcPr>
          <w:p>
            <w:pPr>
              <w:spacing w:after="0" w:line="121" w:lineRule="exact"/>
              <w:rPr>
                <w:sz w:val="20"/>
                <w:szCs w:val="20"/>
                <w:color w:val="auto"/>
              </w:rPr>
            </w:pPr>
            <w:r>
              <w:rPr>
                <w:rFonts w:ascii="Arial" w:cs="Arial" w:eastAsia="Arial" w:hAnsi="Arial"/>
                <w:sz w:val="13"/>
                <w:szCs w:val="13"/>
                <w:color w:val="auto"/>
              </w:rPr>
              <w:t>FDS Avionics Corp. (dba Flight Display</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rPr>
                <w:sz w:val="20"/>
                <w:szCs w:val="20"/>
                <w:color w:val="auto"/>
              </w:rPr>
            </w:pPr>
            <w:r>
              <w:rPr>
                <w:rFonts w:ascii="Arial" w:cs="Arial" w:eastAsia="Arial" w:hAnsi="Arial"/>
                <w:sz w:val="13"/>
                <w:szCs w:val="13"/>
                <w:color w:val="auto"/>
              </w:rPr>
              <w:t>Systems)</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6,989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5,612</w:t>
            </w:r>
          </w:p>
        </w:tc>
        <w:tc>
          <w:tcPr>
            <w:tcW w:w="22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575</w:t>
            </w:r>
          </w:p>
        </w:tc>
        <w:tc>
          <w:tcPr>
            <w:tcW w:w="24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(131)</w:t>
            </w:r>
          </w:p>
        </w:tc>
        <w:tc>
          <w:tcPr>
            <w:tcW w:w="100" w:type="dxa"/>
            <w:vAlign w:val="bottom"/>
            <w:gridSpan w:val="2"/>
          </w:tcPr>
          <w:p>
            <w:pPr>
              <w:ind w:left="40"/>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6,056</w:t>
            </w:r>
          </w:p>
        </w:tc>
        <w:tc>
          <w:tcPr>
            <w:tcW w:w="2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203</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tcPr>
          <w:p>
            <w:pPr>
              <w:ind w:left="420"/>
              <w:spacing w:after="0"/>
              <w:rPr>
                <w:sz w:val="20"/>
                <w:szCs w:val="20"/>
                <w:color w:val="auto"/>
              </w:rPr>
            </w:pPr>
            <w:r>
              <w:rPr>
                <w:rFonts w:ascii="Arial" w:cs="Arial" w:eastAsia="Arial" w:hAnsi="Arial"/>
                <w:sz w:val="13"/>
                <w:szCs w:val="13"/>
                <w:color w:val="auto"/>
                <w:w w:val="73"/>
              </w:rPr>
              <w:t>551</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K2 Industrial Services,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(16,643)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(1,268)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349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GreenFiber, LLC </w:t>
            </w:r>
            <w:r>
              <w:rPr>
                <w:rFonts w:ascii="Arial" w:cs="Arial" w:eastAsia="Arial" w:hAnsi="Arial"/>
                <w:sz w:val="10"/>
                <w:szCs w:val="10"/>
                <w:color w:val="auto"/>
              </w:rPr>
              <w:t>(5)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18,963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19,549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(10,473)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9,076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(10,469)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Control Investments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25,952</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18,820</w:t>
            </w:r>
          </w:p>
        </w:tc>
        <w:tc>
          <w:tcPr>
            <w:tcW w:w="22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23,559</w:t>
            </w:r>
          </w:p>
        </w:tc>
        <w:tc>
          <w:tcPr>
            <w:tcW w:w="24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(27,247)</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15,132</w:t>
            </w: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(1,268)</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(8,270)</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420</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1,611</w:t>
            </w:r>
          </w:p>
        </w:tc>
        <w:tc>
          <w:tcPr>
            <w:tcW w:w="2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349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Affiliate Investments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FAR Research Inc.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w:t>
            </w:r>
          </w:p>
        </w:tc>
        <w:tc>
          <w:tcPr>
            <w:tcW w:w="22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(68)</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Arial" w:cs="Arial" w:eastAsia="Arial" w:hAnsi="Arial"/>
                <w:sz w:val="13"/>
                <w:szCs w:val="13"/>
                <w:color w:val="auto"/>
              </w:rPr>
              <w:t>Fiber Materials,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6,148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2,167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(4,399)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3,916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Medsurant Holdings, LLC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(2,990)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18,369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(2,990)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Arial" w:cs="Arial" w:eastAsia="Arial" w:hAnsi="Arial"/>
                <w:sz w:val="13"/>
                <w:szCs w:val="13"/>
                <w:color w:val="auto"/>
              </w:rPr>
              <w:t>Microbiology Research Associates,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8,897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10,046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11,336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Mirage Trailers LLC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6,178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(2,152)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(2,152)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2"/>
              </w:rPr>
              <w:t>76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tcPr>
          <w:p>
            <w:pPr>
              <w:spacing w:after="0" w:line="135" w:lineRule="exact"/>
              <w:rPr>
                <w:sz w:val="20"/>
                <w:szCs w:val="20"/>
                <w:color w:val="auto"/>
              </w:rPr>
            </w:pPr>
            <w:r>
              <w:rPr>
                <w:rFonts w:ascii="Arial" w:cs="Arial" w:eastAsia="Arial" w:hAnsi="Arial"/>
                <w:sz w:val="13"/>
                <w:szCs w:val="13"/>
                <w:color w:val="auto"/>
              </w:rPr>
              <w:t>Pfanstiehl,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6,208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20,023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5,131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25,154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5,127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490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3"/>
                <w:szCs w:val="13"/>
                <w:color w:val="auto"/>
                <w:w w:val="82"/>
              </w:rPr>
              <w:t>366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Pinnergy, Ltd.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(4,115)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36,771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gridSpan w:val="2"/>
          </w:tcPr>
          <w:p>
            <w:pPr>
              <w:spacing w:after="0" w:line="121" w:lineRule="exact"/>
              <w:rPr>
                <w:sz w:val="20"/>
                <w:szCs w:val="20"/>
                <w:color w:val="auto"/>
              </w:rPr>
            </w:pPr>
            <w:r>
              <w:rPr>
                <w:rFonts w:ascii="Arial" w:cs="Arial" w:eastAsia="Arial" w:hAnsi="Arial"/>
                <w:sz w:val="13"/>
                <w:szCs w:val="13"/>
                <w:color w:val="auto"/>
              </w:rPr>
              <w:t>Steward Holding LLC (dba Steward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rPr>
                <w:sz w:val="20"/>
                <w:szCs w:val="20"/>
                <w:color w:val="auto"/>
              </w:rPr>
            </w:pPr>
            <w:r>
              <w:rPr>
                <w:rFonts w:ascii="Arial" w:cs="Arial" w:eastAsia="Arial" w:hAnsi="Arial"/>
                <w:sz w:val="13"/>
                <w:szCs w:val="13"/>
                <w:color w:val="auto"/>
              </w:rPr>
              <w:t>Advanced Materials)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Trantech Radiator Products,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(6,681)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3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Affiliate Investments</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37,744</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123,051</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9,225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(20,404)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111,872</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4,126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ind w:left="420"/>
              <w:spacing w:after="0" w:line="143" w:lineRule="exact"/>
              <w:rPr>
                <w:sz w:val="20"/>
                <w:szCs w:val="20"/>
                <w:color w:val="auto"/>
              </w:rPr>
            </w:pPr>
            <w:r>
              <w:rPr>
                <w:rFonts w:ascii="Arial" w:cs="Arial" w:eastAsia="Arial" w:hAnsi="Arial"/>
                <w:sz w:val="13"/>
                <w:szCs w:val="13"/>
                <w:color w:val="auto"/>
                <w:w w:val="73"/>
              </w:rPr>
              <w:t>254</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ind w:left="120"/>
              <w:spacing w:after="0" w:line="143" w:lineRule="exact"/>
              <w:rPr>
                <w:sz w:val="20"/>
                <w:szCs w:val="20"/>
                <w:color w:val="auto"/>
              </w:rPr>
            </w:pPr>
            <w:r>
              <w:rPr>
                <w:rFonts w:ascii="Arial" w:cs="Arial" w:eastAsia="Arial" w:hAnsi="Arial"/>
                <w:sz w:val="13"/>
                <w:szCs w:val="13"/>
                <w:color w:val="auto"/>
                <w:w w:val="82"/>
              </w:rPr>
              <w:t>942</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80" w:hanging="436"/>
        <w:spacing w:after="0" w:line="25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type, industry, ownership detail for equity investments, and if the investment is income producing is disclosed in the consolidated schedule of investments.</w:t>
      </w:r>
    </w:p>
    <w:p>
      <w:pPr>
        <w:spacing w:after="0" w:line="1" w:lineRule="exact"/>
        <w:rPr>
          <w:rFonts w:ascii="Arial" w:cs="Arial" w:eastAsia="Arial" w:hAnsi="Arial"/>
          <w:sz w:val="18"/>
          <w:szCs w:val="18"/>
          <w:color w:val="auto"/>
        </w:rPr>
      </w:pPr>
    </w:p>
    <w:p>
      <w:pPr>
        <w:ind w:left="640" w:right="180" w:hanging="436"/>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2" w:lineRule="exact"/>
        <w:rPr>
          <w:rFonts w:ascii="Arial" w:cs="Arial" w:eastAsia="Arial" w:hAnsi="Arial"/>
          <w:sz w:val="16"/>
          <w:szCs w:val="16"/>
          <w:color w:val="auto"/>
        </w:rPr>
      </w:pPr>
    </w:p>
    <w:p>
      <w:pPr>
        <w:ind w:left="640" w:right="12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spacing w:after="0" w:line="1"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8"/>
          <w:szCs w:val="18"/>
          <w:color w:val="auto"/>
        </w:rPr>
      </w:pPr>
    </w:p>
    <w:p>
      <w:pPr>
        <w:ind w:left="640" w:right="1000" w:hanging="436"/>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Portfolio company was transferred to Control investments from Non-control/Non-affiliate investments during the nine months ended September 30, 2019.</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firstLine="992"/>
        <w:spacing w:after="0" w:line="272" w:lineRule="auto"/>
        <w:rPr>
          <w:sz w:val="20"/>
          <w:szCs w:val="20"/>
          <w:color w:val="auto"/>
        </w:rPr>
      </w:pPr>
      <w:r>
        <w:rPr>
          <w:rFonts w:ascii="Arial" w:cs="Arial" w:eastAsia="Arial" w:hAnsi="Arial"/>
          <w:sz w:val="17"/>
          <w:szCs w:val="17"/>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left="200" w:right="340" w:firstLine="99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that are not active and inputs that are observable, either directly or indirectly, for substantially the full term, if applicable, of the investment.</w:t>
      </w:r>
    </w:p>
    <w:p>
      <w:pPr>
        <w:sectPr>
          <w:pgSz w:w="11900" w:h="16838" w:orient="portrait"/>
          <w:cols w:equalWidth="0" w:num="1">
            <w:col w:w="11200"/>
          </w:cols>
          <w:pgMar w:left="240" w:top="459" w:right="459" w:bottom="0" w:gutter="0" w:footer="0" w:header="0"/>
        </w:sectPr>
      </w:pPr>
    </w:p>
    <w:bookmarkStart w:id="25" w:name="page26"/>
    <w:bookmarkEnd w:id="25"/>
    <w:p>
      <w:pPr>
        <w:ind w:left="10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25"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125"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73" w:lineRule="exact"/>
        <w:rPr>
          <w:sz w:val="20"/>
          <w:szCs w:val="20"/>
          <w:color w:val="auto"/>
        </w:rPr>
      </w:pPr>
    </w:p>
    <w:p>
      <w:pPr>
        <w:ind w:left="200" w:right="320" w:firstLine="992"/>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620" w:right="720" w:hanging="43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the Investment Advisor;</w:t>
      </w:r>
    </w:p>
    <w:p>
      <w:pPr>
        <w:spacing w:after="0" w:line="153" w:lineRule="exact"/>
        <w:rPr>
          <w:rFonts w:ascii="Arial" w:cs="Arial" w:eastAsia="Arial" w:hAnsi="Arial"/>
          <w:sz w:val="16"/>
          <w:szCs w:val="16"/>
          <w:color w:val="auto"/>
        </w:rPr>
      </w:pPr>
    </w:p>
    <w:p>
      <w:pPr>
        <w:ind w:left="1620" w:right="80" w:hanging="430"/>
        <w:spacing w:after="0" w:line="269" w:lineRule="auto"/>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13 and 16 of its portfolio company investments representing 26.8% and 36.0% of the total portfolio investments at fair value (exclusive of new portfolio company investments made during the three months ended September 30, 2019 and December 31, 2018, respectively) as of September 30, 2019 and December 31, 2018, respectively.</w:t>
      </w:r>
    </w:p>
    <w:p>
      <w:pPr>
        <w:spacing w:after="0" w:line="88" w:lineRule="exact"/>
        <w:rPr>
          <w:rFonts w:ascii="Arial" w:cs="Arial" w:eastAsia="Arial" w:hAnsi="Arial"/>
          <w:sz w:val="17"/>
          <w:szCs w:val="17"/>
          <w:color w:val="auto"/>
        </w:rPr>
      </w:pPr>
    </w:p>
    <w:p>
      <w:pPr>
        <w:ind w:left="1620" w:right="340" w:hanging="430"/>
        <w:spacing w:after="0" w:line="308" w:lineRule="auto"/>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620" w:right="320" w:hanging="43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200" w:right="320" w:firstLine="992"/>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89" w:lineRule="exact"/>
        <w:rPr>
          <w:sz w:val="20"/>
          <w:szCs w:val="20"/>
          <w:color w:val="auto"/>
        </w:rPr>
      </w:pPr>
    </w:p>
    <w:p>
      <w:pPr>
        <w:ind w:left="200" w:right="220" w:firstLine="992"/>
        <w:spacing w:after="0" w:line="264"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firstLine="992"/>
        <w:spacing w:after="0" w:line="288" w:lineRule="auto"/>
        <w:rPr>
          <w:sz w:val="20"/>
          <w:szCs w:val="20"/>
          <w:color w:val="auto"/>
        </w:rPr>
      </w:pPr>
      <w:r>
        <w:rPr>
          <w:rFonts w:ascii="Arial" w:cs="Arial" w:eastAsia="Arial" w:hAnsi="Arial"/>
          <w:sz w:val="16"/>
          <w:szCs w:val="16"/>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w:t>
      </w:r>
    </w:p>
    <w:p>
      <w:pPr>
        <w:sectPr>
          <w:pgSz w:w="11900" w:h="16838" w:orient="portrait"/>
          <w:cols w:equalWidth="0" w:num="1">
            <w:col w:w="11200"/>
          </w:cols>
          <w:pgMar w:left="240" w:top="459" w:right="459" w:bottom="1440" w:gutter="0" w:footer="0" w:header="0"/>
        </w:sectPr>
      </w:pP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00"/>
          </w:cols>
          <w:pgMar w:left="24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88" w:lineRule="exact"/>
        <w:rPr>
          <w:sz w:val="20"/>
          <w:szCs w:val="20"/>
          <w:color w:val="auto"/>
        </w:rPr>
      </w:pPr>
    </w:p>
    <w:p>
      <w:pPr>
        <w:ind w:left="200" w:right="40" w:firstLine="992"/>
        <w:spacing w:after="0" w:line="271"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the Company considers the Company’s ability to influence the capital structure of the portfolio company, as well as the timing of a potential exit.</w:t>
      </w:r>
    </w:p>
    <w:p>
      <w:pPr>
        <w:spacing w:after="0" w:line="179" w:lineRule="exact"/>
        <w:rPr>
          <w:sz w:val="20"/>
          <w:szCs w:val="20"/>
          <w:color w:val="auto"/>
        </w:rPr>
      </w:pPr>
    </w:p>
    <w:p>
      <w:pPr>
        <w:ind w:left="200" w:right="60" w:firstLine="992"/>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5" w:lineRule="exact"/>
        <w:rPr>
          <w:sz w:val="20"/>
          <w:szCs w:val="20"/>
          <w:color w:val="auto"/>
        </w:rPr>
      </w:pPr>
    </w:p>
    <w:p>
      <w:pPr>
        <w:ind w:left="200" w:right="80" w:firstLine="992"/>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nine months ended September 30, 2019 and 2018.</w:t>
      </w:r>
    </w:p>
    <w:p>
      <w:pPr>
        <w:spacing w:after="0" w:line="181" w:lineRule="exact"/>
        <w:rPr>
          <w:sz w:val="20"/>
          <w:szCs w:val="20"/>
          <w:color w:val="auto"/>
        </w:rPr>
      </w:pPr>
    </w:p>
    <w:p>
      <w:pPr>
        <w:ind w:left="200" w:right="140" w:firstLine="992"/>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nine months ended September 30, 2019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Second Lien</w:t>
            </w:r>
          </w:p>
        </w:tc>
        <w:tc>
          <w:tcPr>
            <w:tcW w:w="1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Subordinated</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First Lien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Warrants</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Royalty</w:t>
            </w:r>
          </w:p>
        </w:tc>
        <w:tc>
          <w:tcPr>
            <w:tcW w:w="10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$ 341,279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$ 28,911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6"/>
              </w:rPr>
              <w:t>$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$596,308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5,362</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change in unrealized appreciation (depreciation) on</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13,950</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(30,102)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(10,514)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Transfers between classifications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(6,823)</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$ 386,401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$ 46,403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116,815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15,991</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2018</w:t>
            </w: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$ 366,517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$ 51,790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w w:val="96"/>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$642,982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9"/>
              </w:rPr>
              <w:t>Net change in unrealized appreciation (depreciation) on</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1,898</w:t>
            </w:r>
          </w:p>
        </w:tc>
        <w:tc>
          <w:tcPr>
            <w:tcW w:w="14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(12,899)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5,183</w:t>
            </w:r>
          </w:p>
        </w:tc>
        <w:tc>
          <w:tcPr>
            <w:tcW w:w="14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(912)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Proceeds from sales and repayments of investments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(39,475)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(32,045)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(13,433)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(13,852)</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 paid-in-kind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Proceeds from loan origination fees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Accretion of loan origination fees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$ 377,887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144,799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$ 79,965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113,960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12,831</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729,442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992"/>
        <w:spacing w:after="0" w:line="286" w:lineRule="auto"/>
        <w:rPr>
          <w:sz w:val="20"/>
          <w:szCs w:val="20"/>
          <w:color w:val="auto"/>
        </w:rPr>
      </w:pPr>
      <w:r>
        <w:rPr>
          <w:rFonts w:ascii="Arial" w:cs="Arial" w:eastAsia="Arial" w:hAnsi="Arial"/>
          <w:sz w:val="17"/>
          <w:szCs w:val="17"/>
          <w:color w:val="auto"/>
        </w:rPr>
        <w:t>Net change in unrealized (depreciation) of $(10,334) and $(14,655) for the three and nine months ended September 30, 2019, respectively, was attributable to Level 3 investments held at September 30, 2019. Net change in unrealized appreciation of $9,125 and $23,971 for the three and nine months ended September 30, 2018, respectively, was attributable to Level 3 investments held at September 30, 2018.</w:t>
      </w:r>
    </w:p>
    <w:p>
      <w:pPr>
        <w:sectPr>
          <w:pgSz w:w="11900" w:h="16838" w:orient="portrait"/>
          <w:cols w:equalWidth="0" w:num="1">
            <w:col w:w="11240"/>
          </w:cols>
          <w:pgMar w:left="240" w:top="459" w:right="419" w:bottom="919" w:gutter="0" w:footer="0" w:header="0"/>
        </w:sectPr>
      </w:pP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240" w:top="459" w:right="419" w:bottom="919"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220" w:firstLine="992"/>
        <w:spacing w:after="0" w:line="264"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September 30, 2019 and December 31, 2018. The tables are not intended to be all-inclusive, but instead capture the significant unobservable inputs relevant to the Company’s determination of fair values.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Fair Value at</w:t>
            </w:r>
          </w:p>
        </w:tc>
        <w:tc>
          <w:tcPr>
            <w:tcW w:w="3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2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center"/>
              <w:ind w:right="276"/>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366,179</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Weighted average cost of capital</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w w:val="99"/>
              </w:rPr>
              <w:t>10.5% - 24.0% (13.3%)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0.2x</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- 0.2x (0.2x)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2,632</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Asset Coverage</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1.1x</w:t>
            </w:r>
          </w:p>
        </w:tc>
        <w:tc>
          <w:tcPr>
            <w:tcW w:w="1540" w:type="dxa"/>
            <w:vAlign w:val="bottom"/>
          </w:tcPr>
          <w:p>
            <w:pPr>
              <w:ind w:left="20"/>
              <w:spacing w:after="0"/>
              <w:rPr>
                <w:sz w:val="20"/>
                <w:szCs w:val="20"/>
                <w:color w:val="auto"/>
              </w:rPr>
            </w:pPr>
            <w:r>
              <w:rPr>
                <w:rFonts w:ascii="Arial" w:cs="Arial" w:eastAsia="Arial" w:hAnsi="Arial"/>
                <w:sz w:val="18"/>
                <w:szCs w:val="18"/>
                <w:color w:val="auto"/>
              </w:rPr>
              <w:t>- 1.1x (1.1x)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Subordinated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144,799</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cost of capital</w:t>
            </w:r>
          </w:p>
        </w:tc>
        <w:tc>
          <w:tcPr>
            <w:tcW w:w="2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10.9% - 18.1% (12.0%)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Asset Coverage</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rPr>
              <w:t>50.0% - 50.0% (n/a)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72,846</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cost of capital</w:t>
            </w:r>
          </w:p>
        </w:tc>
        <w:tc>
          <w:tcPr>
            <w:tcW w:w="2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9.4% - 14.8% (12.3%)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7,119</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4.4x</w:t>
            </w:r>
          </w:p>
        </w:tc>
        <w:tc>
          <w:tcPr>
            <w:tcW w:w="1540" w:type="dxa"/>
            <w:vAlign w:val="bottom"/>
          </w:tcPr>
          <w:p>
            <w:pPr>
              <w:ind w:left="20"/>
              <w:spacing w:after="0"/>
              <w:rPr>
                <w:sz w:val="20"/>
                <w:szCs w:val="20"/>
                <w:color w:val="auto"/>
              </w:rPr>
            </w:pPr>
            <w:r>
              <w:rPr>
                <w:rFonts w:ascii="Arial" w:cs="Arial" w:eastAsia="Arial" w:hAnsi="Arial"/>
                <w:sz w:val="18"/>
                <w:szCs w:val="18"/>
                <w:color w:val="auto"/>
              </w:rPr>
              <w:t>- 4.4x (4.4x)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 Coverage</w:t>
            </w:r>
          </w:p>
        </w:tc>
        <w:tc>
          <w:tcPr>
            <w:tcW w:w="2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50.0% - 50.0% (n/a)</w:t>
            </w: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113,710</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3.4x</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- 16.8x (7.3x)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1.2x</w:t>
            </w:r>
          </w:p>
        </w:tc>
        <w:tc>
          <w:tcPr>
            <w:tcW w:w="1540" w:type="dxa"/>
            <w:vAlign w:val="bottom"/>
          </w:tcPr>
          <w:p>
            <w:pPr>
              <w:ind w:left="20"/>
              <w:spacing w:after="0"/>
              <w:rPr>
                <w:sz w:val="20"/>
                <w:szCs w:val="20"/>
                <w:color w:val="auto"/>
              </w:rPr>
            </w:pPr>
            <w:r>
              <w:rPr>
                <w:rFonts w:ascii="Arial" w:cs="Arial" w:eastAsia="Arial" w:hAnsi="Arial"/>
                <w:sz w:val="18"/>
                <w:szCs w:val="18"/>
                <w:color w:val="auto"/>
              </w:rPr>
              <w:t>- 4.4x (4.4x)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4.0x</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- 7.0x (6.8x)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Fair Value at</w:t>
            </w:r>
          </w:p>
        </w:tc>
        <w:tc>
          <w:tcPr>
            <w:tcW w:w="3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jc w:val="center"/>
              <w:ind w:right="276"/>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2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Second Lien Debt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357,813</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Weighted average cost of capital</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w w:val="99"/>
              </w:rPr>
              <w:t>11.2% - 30.0% (13.5%)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5.0x</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- 5.9x (5.1x)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w w:val="97"/>
              </w:rPr>
              <w:t>Subordinated 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104,225</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Weighted average cost of capital</w:t>
            </w:r>
          </w:p>
        </w:tc>
        <w:tc>
          <w:tcPr>
            <w:tcW w:w="2080" w:type="dxa"/>
            <w:vAlign w:val="bottom"/>
            <w:gridSpan w:val="3"/>
          </w:tcPr>
          <w:p>
            <w:pPr>
              <w:ind w:left="200"/>
              <w:spacing w:after="0"/>
              <w:rPr>
                <w:sz w:val="20"/>
                <w:szCs w:val="20"/>
                <w:color w:val="auto"/>
              </w:rPr>
            </w:pPr>
            <w:r>
              <w:rPr>
                <w:rFonts w:ascii="Arial" w:cs="Arial" w:eastAsia="Arial" w:hAnsi="Arial"/>
                <w:sz w:val="18"/>
                <w:szCs w:val="18"/>
                <w:color w:val="auto"/>
                <w:w w:val="99"/>
              </w:rPr>
              <w:t>10.9% - 16.5% (12.5%)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cost of capital</w:t>
            </w:r>
          </w:p>
        </w:tc>
        <w:tc>
          <w:tcPr>
            <w:tcW w:w="2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10.2% - 20.7% (12.3%)</w:t>
            </w: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106,707</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3.5x</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- 17.3x (7.0x)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13,743</w:t>
            </w:r>
          </w:p>
        </w:tc>
        <w:tc>
          <w:tcPr>
            <w:tcW w:w="2300" w:type="dxa"/>
            <w:vAlign w:val="bottom"/>
            <w:gridSpan w:val="2"/>
          </w:tcPr>
          <w:p>
            <w:pPr>
              <w:ind w:left="320"/>
              <w:spacing w:after="0"/>
              <w:rPr>
                <w:sz w:val="20"/>
                <w:szCs w:val="20"/>
                <w:color w:val="auto"/>
              </w:rPr>
            </w:pPr>
            <w:r>
              <w:rPr>
                <w:rFonts w:ascii="Arial" w:cs="Arial" w:eastAsia="Arial" w:hAnsi="Arial"/>
                <w:sz w:val="18"/>
                <w:szCs w:val="18"/>
                <w:color w:val="auto"/>
              </w:rPr>
              <w:t>Enterprise value</w:t>
            </w:r>
          </w:p>
        </w:tc>
        <w:tc>
          <w:tcPr>
            <w:tcW w:w="3200" w:type="dxa"/>
            <w:vAlign w:val="bottom"/>
            <w:gridSpan w:val="2"/>
          </w:tcPr>
          <w:p>
            <w:pPr>
              <w:ind w:left="22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4.0x</w:t>
            </w:r>
          </w:p>
        </w:tc>
        <w:tc>
          <w:tcPr>
            <w:tcW w:w="1540" w:type="dxa"/>
            <w:vAlign w:val="bottom"/>
          </w:tcPr>
          <w:p>
            <w:pPr>
              <w:ind w:left="20"/>
              <w:spacing w:after="0"/>
              <w:rPr>
                <w:sz w:val="20"/>
                <w:szCs w:val="20"/>
                <w:color w:val="auto"/>
              </w:rPr>
            </w:pPr>
            <w:r>
              <w:rPr>
                <w:rFonts w:ascii="Arial" w:cs="Arial" w:eastAsia="Arial" w:hAnsi="Arial"/>
                <w:sz w:val="18"/>
                <w:szCs w:val="18"/>
                <w:color w:val="auto"/>
              </w:rPr>
              <w:t>- 8.0x (7.2x)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Rights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Discounted cash flow</w:t>
            </w: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cost of capital</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992"/>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jc w:val="both"/>
        <w:ind w:left="200" w:right="720" w:firstLine="992"/>
        <w:spacing w:after="0" w:line="264" w:lineRule="auto"/>
        <w:rPr>
          <w:sz w:val="20"/>
          <w:szCs w:val="20"/>
          <w:color w:val="auto"/>
        </w:rPr>
      </w:pPr>
      <w:r>
        <w:rPr>
          <w:rFonts w:ascii="Arial" w:cs="Arial" w:eastAsia="Arial" w:hAnsi="Arial"/>
          <w:sz w:val="18"/>
          <w:szCs w:val="18"/>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200" w:right="120" w:firstLine="992"/>
        <w:spacing w:after="0" w:line="302" w:lineRule="auto"/>
        <w:rPr>
          <w:sz w:val="20"/>
          <w:szCs w:val="20"/>
          <w:color w:val="auto"/>
        </w:rPr>
      </w:pPr>
      <w:r>
        <w:rPr>
          <w:rFonts w:ascii="Arial" w:cs="Arial" w:eastAsia="Arial" w:hAnsi="Arial"/>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540" w:firstLine="992"/>
        <w:spacing w:after="0" w:line="277" w:lineRule="auto"/>
        <w:rPr>
          <w:sz w:val="20"/>
          <w:szCs w:val="20"/>
          <w:color w:val="auto"/>
        </w:rPr>
      </w:pPr>
      <w:r>
        <w:rPr>
          <w:rFonts w:ascii="Arial" w:cs="Arial" w:eastAsia="Arial" w:hAnsi="Arial"/>
          <w:sz w:val="18"/>
          <w:szCs w:val="18"/>
          <w:color w:val="auto"/>
        </w:rPr>
        <w:t>The following tables summarize the carrying value and fair value of the Company’s debt obligations as of September 30, 2019 and December 31, 2018.</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September 30, 2019</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20" w:type="dxa"/>
            <w:vAlign w:val="bottom"/>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 xml:space="preserve">Carrying Value </w:t>
            </w:r>
            <w:r>
              <w:rPr>
                <w:rFonts w:ascii="Arial" w:cs="Arial" w:eastAsia="Arial" w:hAnsi="Arial"/>
                <w:sz w:val="12"/>
                <w:szCs w:val="12"/>
                <w:b w:val="1"/>
                <w:bCs w:val="1"/>
                <w:color w:val="auto"/>
                <w:w w:val="95"/>
              </w:rPr>
              <w:t>(1)</w:t>
            </w:r>
          </w:p>
        </w:tc>
        <w:tc>
          <w:tcPr>
            <w:tcW w:w="4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4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 xml:space="preserve">Carrying Value </w:t>
            </w:r>
            <w:r>
              <w:rPr>
                <w:rFonts w:ascii="Arial" w:cs="Arial" w:eastAsia="Arial" w:hAnsi="Arial"/>
                <w:sz w:val="12"/>
                <w:szCs w:val="12"/>
                <w:b w:val="1"/>
                <w:bCs w:val="1"/>
                <w:color w:val="auto"/>
                <w:w w:val="95"/>
              </w:rPr>
              <w:t>(1)</w:t>
            </w:r>
          </w:p>
        </w:tc>
        <w:tc>
          <w:tcPr>
            <w:tcW w:w="4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$ 157,500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$ 191,000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66,500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1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73,388</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$ 349,508</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$ 278,992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211" w:lineRule="exact"/>
        <w:rPr>
          <w:sz w:val="20"/>
          <w:szCs w:val="20"/>
          <w:color w:val="auto"/>
        </w:rPr>
      </w:pPr>
    </w:p>
    <w:p>
      <w:pPr>
        <w:ind w:left="200" w:right="280" w:firstLine="992"/>
        <w:spacing w:after="0" w:line="277"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September 30, 2019 and December 31,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Valuation Inputs</w:t>
            </w:r>
          </w:p>
        </w:tc>
        <w:tc>
          <w:tcPr>
            <w:tcW w:w="5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38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60" w:type="dxa"/>
            <w:vAlign w:val="bottom"/>
            <w:gridSpan w:val="2"/>
            <w:vMerge w:val="continue"/>
          </w:tcPr>
          <w:p>
            <w:pPr>
              <w:spacing w:after="0"/>
              <w:rPr>
                <w:sz w:val="15"/>
                <w:szCs w:val="15"/>
                <w:color w:val="auto"/>
              </w:rPr>
            </w:pPr>
          </w:p>
        </w:tc>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0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6"/>
              </w:rPr>
              <w:t>125,508</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51,492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224,000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6"/>
              </w:rPr>
              <w:t>349,508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278,992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jc w:val="both"/>
        <w:ind w:left="200" w:right="320" w:firstLine="992"/>
        <w:spacing w:after="0" w:line="302"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w:t>
      </w:r>
      <w:r>
        <w:rPr>
          <w:rFonts w:ascii="Arial" w:cs="Arial" w:eastAsia="Arial" w:hAnsi="Arial"/>
          <w:sz w:val="16"/>
          <w:szCs w:val="16"/>
          <w:i w:val="1"/>
          <w:iCs w:val="1"/>
          <w:color w:val="auto"/>
        </w:rPr>
        <w:t xml:space="preserve"> </w:t>
      </w:r>
      <w:r>
        <w:rPr>
          <w:rFonts w:ascii="Arial" w:cs="Arial" w:eastAsia="Arial" w:hAnsi="Arial"/>
          <w:sz w:val="16"/>
          <w:szCs w:val="16"/>
          <w:color w:val="auto"/>
        </w:rPr>
        <w:t>June 6, 2019, the Board approved the renewal of the Investment Advisory Agreement through June 20, 2020.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4" w:lineRule="exact"/>
        <w:rPr>
          <w:sz w:val="20"/>
          <w:szCs w:val="20"/>
          <w:color w:val="auto"/>
        </w:rPr>
      </w:pPr>
    </w:p>
    <w:p>
      <w:pPr>
        <w:ind w:left="200" w:right="260" w:firstLine="992"/>
        <w:spacing w:after="0" w:line="297" w:lineRule="auto"/>
        <w:rPr>
          <w:sz w:val="20"/>
          <w:szCs w:val="20"/>
          <w:color w:val="auto"/>
        </w:rPr>
      </w:pPr>
      <w:r>
        <w:rPr>
          <w:rFonts w:ascii="Arial" w:cs="Arial" w:eastAsia="Arial" w:hAnsi="Arial"/>
          <w:sz w:val="16"/>
          <w:szCs w:val="16"/>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$3,179 and $9,066, for the three and nine months ended September 30, 2019, respectively, and $2,932 and $8,438 for the three and nine months ended September 30, 2018, respectively. As of September 30, 2019 and December 31, 2018, the base management fee payable was $3,179 and $2,927, respectively.</w:t>
      </w:r>
    </w:p>
    <w:p>
      <w:pPr>
        <w:spacing w:after="0" w:line="158" w:lineRule="exact"/>
        <w:rPr>
          <w:sz w:val="20"/>
          <w:szCs w:val="20"/>
          <w:color w:val="auto"/>
        </w:rPr>
      </w:pPr>
    </w:p>
    <w:p>
      <w:pPr>
        <w:ind w:left="200" w:firstLine="992"/>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0" w:firstLine="992"/>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left="200" w:right="20" w:firstLine="992"/>
        <w:spacing w:after="0" w:line="276"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3" w:lineRule="exact"/>
        <w:rPr>
          <w:sz w:val="20"/>
          <w:szCs w:val="20"/>
          <w:color w:val="auto"/>
        </w:rPr>
      </w:pPr>
    </w:p>
    <w:p>
      <w:pPr>
        <w:ind w:left="200" w:right="440" w:firstLine="992"/>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1620" w:right="380" w:hanging="430"/>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rate of 2.0%;</w:t>
      </w:r>
    </w:p>
    <w:p>
      <w:pPr>
        <w:spacing w:after="0" w:line="75" w:lineRule="exact"/>
        <w:rPr>
          <w:rFonts w:ascii="Arial" w:cs="Arial" w:eastAsia="Arial" w:hAnsi="Arial"/>
          <w:sz w:val="18"/>
          <w:szCs w:val="18"/>
          <w:color w:val="auto"/>
        </w:rPr>
      </w:pPr>
    </w:p>
    <w:p>
      <w:pPr>
        <w:ind w:left="1620" w:right="20" w:hanging="430"/>
        <w:spacing w:after="0" w:line="276" w:lineRule="auto"/>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77" w:lineRule="exact"/>
        <w:rPr>
          <w:rFonts w:ascii="Arial" w:cs="Arial" w:eastAsia="Arial" w:hAnsi="Arial"/>
          <w:sz w:val="17"/>
          <w:szCs w:val="17"/>
          <w:color w:val="auto"/>
        </w:rPr>
      </w:pPr>
    </w:p>
    <w:p>
      <w:pPr>
        <w:ind w:left="1620" w:hanging="430"/>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20.0% of the amount of the Company’s pre-incentive fee net investment income, if any, that exceeds 2.5% in any calendar quarter.</w:t>
      </w:r>
    </w:p>
    <w:p>
      <w:pPr>
        <w:spacing w:after="0" w:line="248" w:lineRule="exact"/>
        <w:rPr>
          <w:sz w:val="20"/>
          <w:szCs w:val="20"/>
          <w:color w:val="auto"/>
        </w:rPr>
      </w:pPr>
    </w:p>
    <w:p>
      <w:pPr>
        <w:ind w:left="200" w:firstLine="992"/>
        <w:spacing w:after="0" w:line="302" w:lineRule="auto"/>
        <w:rPr>
          <w:sz w:val="20"/>
          <w:szCs w:val="20"/>
          <w:color w:val="auto"/>
        </w:rPr>
      </w:pPr>
      <w:r>
        <w:rPr>
          <w:rFonts w:ascii="Arial" w:cs="Arial" w:eastAsia="Arial" w:hAnsi="Arial"/>
          <w:sz w:val="16"/>
          <w:szCs w:val="16"/>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$2,163 and $5,947, for the three and nine months ended September 30, 2019 , respectively, and $2,234 and $6,628 for the three and nine months ended September 30, 2018, respectively. As of September 30, 2019 and December 31, 2018, the income incentive fee payable was $2,163 and $2,785, respectively.</w:t>
      </w:r>
    </w:p>
    <w:p>
      <w:pPr>
        <w:spacing w:after="0" w:line="154" w:lineRule="exact"/>
        <w:rPr>
          <w:sz w:val="20"/>
          <w:szCs w:val="20"/>
          <w:color w:val="auto"/>
        </w:rPr>
      </w:pPr>
    </w:p>
    <w:p>
      <w:pPr>
        <w:ind w:left="200" w:right="20" w:firstLine="992"/>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20.0% of such amount, less the aggregate amount of any capital gains incentive fees paid in all prior years. As of September 30, 2019 and December 31, 2018,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September 30, 2019 was $348.</w:t>
      </w:r>
    </w:p>
    <w:p>
      <w:pPr>
        <w:spacing w:after="0" w:line="177" w:lineRule="exact"/>
        <w:rPr>
          <w:sz w:val="20"/>
          <w:szCs w:val="20"/>
          <w:color w:val="auto"/>
        </w:rPr>
      </w:pPr>
    </w:p>
    <w:p>
      <w:pPr>
        <w:ind w:left="200" w:right="100" w:firstLine="992"/>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2" w:lineRule="exact"/>
        <w:rPr>
          <w:sz w:val="20"/>
          <w:szCs w:val="20"/>
          <w:color w:val="auto"/>
        </w:rPr>
      </w:pPr>
    </w:p>
    <w:p>
      <w:pPr>
        <w:ind w:left="200" w:right="120" w:firstLine="4"/>
        <w:spacing w:after="0" w:line="273" w:lineRule="auto"/>
        <w:tabs>
          <w:tab w:leader="none" w:pos="4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realized gains/(losses) on investments plus (ii) net unrealized appreciation/(depreciation) on investments plus (iii) realized losses on extinguishment of debt. The capital gains incentive fee accrued (reversed) during the three and nine months ended September 30, 2019 was $1,307 and $373, respectively, and $1,464 and $2,731 for the three and nine months ended September 30, 2018, respectively. As of September 30, 2019 and December 31, 2018, the accrued capital gains incentive fee payable was $9,788 and $9,415, respectively.</w:t>
      </w:r>
    </w:p>
    <w:p>
      <w:pPr>
        <w:spacing w:after="0" w:line="177" w:lineRule="exact"/>
        <w:rPr>
          <w:sz w:val="20"/>
          <w:szCs w:val="20"/>
          <w:color w:val="auto"/>
        </w:rPr>
      </w:pPr>
    </w:p>
    <w:p>
      <w:pPr>
        <w:ind w:left="200" w:right="100" w:firstLine="992"/>
        <w:spacing w:after="0" w:line="255" w:lineRule="auto"/>
        <w:rPr>
          <w:sz w:val="20"/>
          <w:szCs w:val="20"/>
          <w:color w:val="auto"/>
        </w:rPr>
      </w:pPr>
      <w:r>
        <w:rPr>
          <w:rFonts w:ascii="Arial" w:cs="Arial" w:eastAsia="Arial" w:hAnsi="Arial"/>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ectPr>
          <w:pgSz w:w="11900" w:h="16838" w:orient="portrait"/>
          <w:cols w:equalWidth="0" w:num="1">
            <w:col w:w="11200"/>
          </w:cols>
          <w:pgMar w:left="240" w:top="459" w:right="459" w:bottom="1440" w:gutter="0" w:footer="0" w:header="0"/>
        </w:sectPr>
      </w:pP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00"/>
          </w:cols>
          <w:pgMar w:left="24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firstLine="992"/>
        <w:spacing w:after="0" w:line="287"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The Company also entered into an administration agreement (the “Administration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Advisor. On June 6, 2019, the Board approved the renewal of the Administration Agreement through June 20, 2020.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for the three and nine months ended September 30, 2019 were $422 and $1,199, respectively, and $366 and $1,112 for the three and nine months ended September 30, 2018. As of September 30, 2019 and December 31, 2018, the accrued administrative service expense was $199 and $474, respectively.</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200" w:firstLine="992"/>
        <w:spacing w:after="0" w:line="29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w:t>
      </w:r>
    </w:p>
    <w:p>
      <w:pPr>
        <w:spacing w:after="0" w:line="158" w:lineRule="exact"/>
        <w:rPr>
          <w:sz w:val="20"/>
          <w:szCs w:val="20"/>
          <w:color w:val="auto"/>
        </w:rPr>
      </w:pPr>
    </w:p>
    <w:p>
      <w:pPr>
        <w:ind w:left="200" w:firstLine="992"/>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200" w:right="40" w:firstLine="4"/>
        <w:spacing w:after="0" w:line="271" w:lineRule="auto"/>
        <w:tabs>
          <w:tab w:leader="none" w:pos="4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The Credit Facility is secured by a first priority security interest in all of our assets, excluding the assets of our SBIC subsidiaries.</w:t>
      </w:r>
    </w:p>
    <w:p>
      <w:pPr>
        <w:spacing w:after="0" w:line="179" w:lineRule="exact"/>
        <w:rPr>
          <w:sz w:val="20"/>
          <w:szCs w:val="20"/>
          <w:color w:val="auto"/>
        </w:rPr>
      </w:pPr>
    </w:p>
    <w:p>
      <w:pPr>
        <w:ind w:left="200" w:right="80" w:firstLine="992"/>
        <w:spacing w:after="0" w:line="257" w:lineRule="auto"/>
        <w:rPr>
          <w:sz w:val="20"/>
          <w:szCs w:val="20"/>
          <w:color w:val="auto"/>
        </w:rPr>
      </w:pPr>
      <w:r>
        <w:rPr>
          <w:rFonts w:ascii="Arial" w:cs="Arial" w:eastAsia="Arial" w:hAnsi="Arial"/>
          <w:sz w:val="18"/>
          <w:szCs w:val="18"/>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88"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2019 and December 31, 2018, the Company was in compliance in all material respect with the terms of the Credit Facility.</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i w:val="1"/>
          <w:iCs w:val="1"/>
          <w:color w:val="auto"/>
        </w:rPr>
        <w:t xml:space="preserve">SBA debentures: </w:t>
      </w:r>
      <w:r>
        <w:rPr>
          <w:rFonts w:ascii="Arial" w:cs="Arial" w:eastAsia="Arial" w:hAnsi="Arial"/>
          <w:sz w:val="17"/>
          <w:szCs w:val="17"/>
          <w:color w:val="auto"/>
        </w:rPr>
        <w:t>The Company uses debenture leverage provided through the SBA to fund a portion of its investment purchases.</w:t>
      </w:r>
    </w:p>
    <w:p>
      <w:pPr>
        <w:spacing w:after="0" w:line="237" w:lineRule="exact"/>
        <w:rPr>
          <w:sz w:val="20"/>
          <w:szCs w:val="20"/>
          <w:color w:val="auto"/>
        </w:rPr>
      </w:pPr>
    </w:p>
    <w:p>
      <w:pPr>
        <w:ind w:left="200" w:firstLine="992"/>
        <w:spacing w:after="0" w:line="276"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2019 and December 31, 2018, approved and unused SBA debenture commitments were $17,500 and zero, respectively. The SBA may limit the amount that may be drawn each year under these commitments, and each issuance of leverage is conditioned on the Company’s full compliance, as determined by the SBA, with the terms and conditions set forth in the SBIC Act.</w:t>
      </w:r>
    </w:p>
    <w:p>
      <w:pPr>
        <w:sectPr>
          <w:pgSz w:w="11900" w:h="16838" w:orient="portrait"/>
          <w:cols w:equalWidth="0" w:num="1">
            <w:col w:w="11200"/>
          </w:cols>
          <w:pgMar w:left="240" w:top="459" w:right="459" w:bottom="1440" w:gutter="0" w:footer="0" w:header="0"/>
        </w:sectPr>
      </w:pP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00"/>
          </w:cols>
          <w:pgMar w:left="24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As of September 30, 2019 and December 31, 2018, the Company’s issued and outstanding SBA debentures mature as follows: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Pooling</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116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Fixed</w:t>
            </w: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(1)</w:t>
            </w: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Date</w:t>
            </w:r>
          </w:p>
        </w:tc>
        <w:tc>
          <w:tcPr>
            <w:tcW w:w="264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4"/>
              </w:rPr>
              <w:t>Interest Rate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9/21/2011</w:t>
            </w:r>
          </w:p>
        </w:tc>
        <w:tc>
          <w:tcPr>
            <w:tcW w:w="11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9/1/2021</w:t>
            </w:r>
          </w:p>
        </w:tc>
        <w:tc>
          <w:tcPr>
            <w:tcW w:w="11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3.594%</w:t>
            </w:r>
          </w:p>
        </w:tc>
        <w:tc>
          <w:tcPr>
            <w:tcW w:w="5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3/21/2012</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3/1/2022</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3.051</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9/19/2012</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9/1/2022</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2.530</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9/19/2012</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9/1/2022</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3.049</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3/27/2013</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3/1/2023</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3.155</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9/24/2014</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9/1/2024</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3.775</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3/25/2015</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3/1/2025</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3.321</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3/25/2015</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3/1/2025</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3.277</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9/23/2015</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9/1/2025</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3.571</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3/23/2016</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3/1/2026</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3.267</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3/23/2016</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3/1/2026</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3.249</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9/21/2016</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9/1/2026</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2.793</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3/29/2017</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3/1/2027</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3.587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9/20/2017</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9/1/2027</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3.260</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9/20/2017</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9/1/2027</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3.190</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3/21/2018</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3/1/2028</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3.859</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3/21/2018</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3/1/2028</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3.534</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9/19/2018</w:t>
            </w:r>
          </w:p>
        </w:tc>
        <w:tc>
          <w:tcPr>
            <w:tcW w:w="112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9/1/2028</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3.895</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9/19/2018</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9/1/2028</w:t>
            </w:r>
          </w:p>
        </w:tc>
        <w:tc>
          <w:tcPr>
            <w:tcW w:w="19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84"/>
              </w:rPr>
              <w:t>4.220</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9/25/2019</w:t>
            </w:r>
          </w:p>
        </w:tc>
        <w:tc>
          <w:tcPr>
            <w:tcW w:w="112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91"/>
              </w:rPr>
              <w:t>9/1/2029</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2.377</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SBA debentures</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1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4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200" w:firstLine="992"/>
        <w:spacing w:after="0" w:line="279" w:lineRule="auto"/>
        <w:rPr>
          <w:sz w:val="20"/>
          <w:szCs w:val="20"/>
          <w:color w:val="auto"/>
        </w:rPr>
      </w:pPr>
      <w:r>
        <w:rPr>
          <w:rFonts w:ascii="Arial" w:cs="Arial" w:eastAsia="Arial" w:hAnsi="Arial"/>
          <w:sz w:val="17"/>
          <w:szCs w:val="17"/>
          <w:i w:val="1"/>
          <w:iCs w:val="1"/>
          <w:color w:val="auto"/>
        </w:rPr>
        <w:t xml:space="preserve">Public Notes: </w:t>
      </w:r>
      <w:r>
        <w:rPr>
          <w:rFonts w:ascii="Arial" w:cs="Arial" w:eastAsia="Arial" w:hAnsi="Arial"/>
          <w:sz w:val="17"/>
          <w:szCs w:val="17"/>
          <w:color w:val="auto"/>
        </w:rPr>
        <w:t>On February 2, 2018, the Company closed the public offering of approximately $43,478 in aggregate principal amount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71" w:lineRule="exact"/>
        <w:rPr>
          <w:sz w:val="20"/>
          <w:szCs w:val="20"/>
          <w:color w:val="auto"/>
        </w:rPr>
      </w:pPr>
    </w:p>
    <w:p>
      <w:pPr>
        <w:ind w:left="200" w:right="40" w:firstLine="992"/>
        <w:spacing w:after="0" w:line="312"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7"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On February 8, 2019, the Company closed the public offering of approximately $60,000 in aggregate principal amount of its 6.000% notes due 2024, or the “February 2024 Notes” (and collectively with the 2023 Notes, the “Public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w:t>
      </w:r>
    </w:p>
    <w:p>
      <w:pPr>
        <w:spacing w:after="0" w:line="188"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0" w:firstLine="992"/>
        <w:spacing w:after="0" w:line="259"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200" w:right="220" w:firstLine="992"/>
        <w:spacing w:after="0" w:line="277" w:lineRule="auto"/>
        <w:rPr>
          <w:sz w:val="20"/>
          <w:szCs w:val="20"/>
          <w:color w:val="auto"/>
        </w:rPr>
      </w:pPr>
      <w:r>
        <w:rPr>
          <w:rFonts w:ascii="Arial" w:cs="Arial" w:eastAsia="Arial" w:hAnsi="Arial"/>
          <w:sz w:val="18"/>
          <w:szCs w:val="18"/>
          <w:color w:val="auto"/>
        </w:rPr>
        <w:t>Interest and fees related to the Company’s debt for the three and nine months ended September 30, 2019 and 2018 which are included in interest and financing expenses on the consolidated statements of operations,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96"/>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56"/>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SBA</w:t>
            </w:r>
          </w:p>
        </w:tc>
        <w:tc>
          <w:tcPr>
            <w:tcW w:w="240" w:type="dxa"/>
            <w:vAlign w:val="bottom"/>
          </w:tcPr>
          <w:p>
            <w:pPr>
              <w:spacing w:after="0"/>
              <w:rPr>
                <w:sz w:val="10"/>
                <w:szCs w:val="10"/>
                <w:color w:val="auto"/>
              </w:rPr>
            </w:pPr>
          </w:p>
        </w:tc>
        <w:tc>
          <w:tcPr>
            <w:tcW w:w="4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Credit</w:t>
            </w:r>
          </w:p>
        </w:tc>
        <w:tc>
          <w:tcPr>
            <w:tcW w:w="24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Public</w:t>
            </w:r>
          </w:p>
        </w:tc>
        <w:tc>
          <w:tcPr>
            <w:tcW w:w="240" w:type="dxa"/>
            <w:vAlign w:val="bottom"/>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SBA</w:t>
            </w:r>
          </w:p>
        </w:tc>
        <w:tc>
          <w:tcPr>
            <w:tcW w:w="240" w:type="dxa"/>
            <w:vAlign w:val="bottom"/>
          </w:tcPr>
          <w:p>
            <w:pPr>
              <w:spacing w:after="0"/>
              <w:rPr>
                <w:sz w:val="10"/>
                <w:szCs w:val="10"/>
                <w:color w:val="auto"/>
              </w:rPr>
            </w:pPr>
          </w:p>
        </w:tc>
        <w:tc>
          <w:tcPr>
            <w:tcW w:w="4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Credit</w:t>
            </w:r>
          </w:p>
        </w:tc>
        <w:tc>
          <w:tcPr>
            <w:tcW w:w="24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Public</w:t>
            </w:r>
          </w:p>
        </w:tc>
        <w:tc>
          <w:tcPr>
            <w:tcW w:w="240" w:type="dxa"/>
            <w:vAlign w:val="bottom"/>
          </w:tcPr>
          <w:p>
            <w:pPr>
              <w:spacing w:after="0"/>
              <w:rPr>
                <w:sz w:val="10"/>
                <w:szCs w:val="10"/>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0"/>
              </w:rPr>
              <w:t>debentures</w:t>
            </w:r>
          </w:p>
        </w:tc>
        <w:tc>
          <w:tcPr>
            <w:tcW w:w="72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Facility</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debentures</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Facility</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2"/>
              </w:rPr>
              <w:t>Notes</w:t>
            </w:r>
          </w:p>
        </w:tc>
        <w:tc>
          <w:tcPr>
            <w:tcW w:w="2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756</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$1,769</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$3,964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223</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$ 734</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1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354"/>
              <w:spacing w:after="0"/>
              <w:rPr>
                <w:sz w:val="20"/>
                <w:szCs w:val="20"/>
                <w:color w:val="auto"/>
              </w:rPr>
            </w:pPr>
            <w:r>
              <w:rPr>
                <w:rFonts w:ascii="Arial" w:cs="Arial" w:eastAsia="Arial" w:hAnsi="Arial"/>
                <w:sz w:val="14"/>
                <w:szCs w:val="14"/>
                <w:b w:val="1"/>
                <w:bCs w:val="1"/>
                <w:color w:val="auto"/>
              </w:rPr>
              <w:t>Nine Months Ended September 30,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1"/>
          </w:tcPr>
          <w:p>
            <w:pPr>
              <w:jc w:val="right"/>
              <w:ind w:right="294"/>
              <w:spacing w:after="0"/>
              <w:rPr>
                <w:sz w:val="20"/>
                <w:szCs w:val="20"/>
                <w:color w:val="auto"/>
              </w:rPr>
            </w:pPr>
            <w:r>
              <w:rPr>
                <w:rFonts w:ascii="Arial" w:cs="Arial" w:eastAsia="Arial" w:hAnsi="Arial"/>
                <w:sz w:val="14"/>
                <w:szCs w:val="14"/>
                <w:b w:val="1"/>
                <w:bCs w:val="1"/>
                <w:color w:val="auto"/>
              </w:rPr>
              <w:t>Nine Months Ended September 30,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Notes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debentures</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$4,852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$10,882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$8,070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5,455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12,197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2,202</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stated interest rate, period end</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5.749%</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0.500%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During the nine months ended September 30, 2019 and 2018, the Company prepaid $41,000 and $43,800 of SBA debentures, respectively, which were scheduled to mature on dates ranging from 2021 to 2025 and 2019 to 2022, respectively. As a result of the prepayments, the Company recognized realized losses on extinguishment of debt of $399 and $150, respectively, equal to the write-off of the related unamortized deferred financing costs, during the nine months ended September 30, 2019 and 2018.</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200" w:right="200" w:firstLine="992"/>
        <w:spacing w:after="0" w:line="264"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Public Notes as of September 30, 2019 and December 31, 2018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4"/>
              </w:rPr>
              <w:t>September 30, 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68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6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6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Facility</w:t>
            </w: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Notes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4,417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12,881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(1,710)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(4,394)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(1,459)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(7,818)</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992"/>
        <w:spacing w:after="0" w:line="264"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September 30, 2019 and December 31,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debentures</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$191,000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unamortized deferred financing costs</w:t>
            </w:r>
          </w:p>
        </w:tc>
        <w:tc>
          <w:tcPr>
            <w:tcW w:w="5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(3,838)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(1,184)</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(3,465)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(8,487)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(4,266)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(142)</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(1,589)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153,662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65,316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115,535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334,513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186,734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36,358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240" w:top="459" w:right="4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As of September 30, 2019, the Company’s debt liabilities are scheduled to mature as follows </w:t>
      </w:r>
      <w:r>
        <w:rPr>
          <w:rFonts w:ascii="Arial" w:cs="Arial" w:eastAsia="Arial" w:hAnsi="Arial"/>
          <w:sz w:val="15"/>
          <w:szCs w:val="15"/>
          <w:color w:val="auto"/>
        </w:rPr>
        <w:t>(1)</w:t>
      </w:r>
      <w:r>
        <w:rPr>
          <w:rFonts w:ascii="Arial" w:cs="Arial" w:eastAsia="Arial" w:hAnsi="Arial"/>
          <w:sz w:val="18"/>
          <w:szCs w:val="18"/>
          <w:color w:val="auto"/>
        </w:rPr>
        <w: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SBA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Credit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Public</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00" w:type="dxa"/>
            <w:vAlign w:val="bottom"/>
            <w:gridSpan w:val="3"/>
            <w:vMerge w:val="continue"/>
          </w:tcPr>
          <w:p>
            <w:pPr>
              <w:spacing w:after="0"/>
              <w:rPr>
                <w:sz w:val="13"/>
                <w:szCs w:val="13"/>
                <w:color w:val="auto"/>
              </w:rPr>
            </w:pPr>
          </w:p>
        </w:tc>
        <w:tc>
          <w:tcPr>
            <w:tcW w:w="35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debentures</w:t>
            </w:r>
          </w:p>
        </w:tc>
        <w:tc>
          <w:tcPr>
            <w:tcW w:w="340" w:type="dxa"/>
            <w:vAlign w:val="bottom"/>
          </w:tcPr>
          <w:p>
            <w:pPr>
              <w:spacing w:after="0"/>
              <w:rPr>
                <w:sz w:val="13"/>
                <w:szCs w:val="13"/>
                <w:color w:val="auto"/>
              </w:rPr>
            </w:pPr>
          </w:p>
        </w:tc>
        <w:tc>
          <w:tcPr>
            <w:tcW w:w="6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Facility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Notes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28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2020</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2022</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66,500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116,500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157,500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226,500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66,500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343,000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20" w:hanging="436"/>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left="200" w:right="220" w:firstLine="992"/>
        <w:spacing w:after="0" w:line="264"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$6,917 and $10,846 as of September 30, 2019 and December 31, 2018, respectively. Such outstanding commitments are summarized in the following table:</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660"/>
              <w:spacing w:after="0" w:line="133"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91"/>
              </w:rPr>
              <w:t>Unfunded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400" w:type="dxa"/>
            <w:vAlign w:val="bottom"/>
            <w:gridSpan w:val="3"/>
            <w:vMerge w:val="continue"/>
          </w:tcPr>
          <w:p>
            <w:pPr>
              <w:spacing w:after="0"/>
              <w:rPr>
                <w:sz w:val="13"/>
                <w:szCs w:val="13"/>
                <w:color w:val="auto"/>
              </w:rPr>
            </w:pPr>
          </w:p>
        </w:tc>
        <w:tc>
          <w:tcPr>
            <w:tcW w:w="158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Commitment</w:t>
            </w:r>
          </w:p>
        </w:tc>
        <w:tc>
          <w:tcPr>
            <w:tcW w:w="144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Commitment</w:t>
            </w:r>
          </w:p>
        </w:tc>
        <w:tc>
          <w:tcPr>
            <w:tcW w:w="144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Commitment</w:t>
            </w:r>
          </w:p>
        </w:tc>
        <w:tc>
          <w:tcPr>
            <w:tcW w:w="128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American AllWaste LLC (dba WasteWater Transport</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 Delayed Draw Commitment - Term Loan-B</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B&amp;B Roadway and Security Solutions, LLC - Common</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Equity (Units)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FDS Avionics Corp. (dba Flight Display Systems) -</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French Transit, LLC - Revolving Loan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Mesa Line Services, LLC - Delayed Draw Term Loan</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Rhino Assembly Company, LLC - Delayed Draw</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Products Group, LLC - Common Equity (Units)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2,852</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UBEO, LLC - Delayed Draw Term Loan Commitment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80" w:hanging="436"/>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200" w:right="500" w:firstLine="992"/>
        <w:spacing w:after="0" w:line="264" w:lineRule="auto"/>
        <w:rPr>
          <w:sz w:val="20"/>
          <w:szCs w:val="20"/>
          <w:color w:val="auto"/>
        </w:rPr>
      </w:pPr>
      <w:r>
        <w:rPr>
          <w:rFonts w:ascii="Arial" w:cs="Arial" w:eastAsia="Arial" w:hAnsi="Arial"/>
          <w:sz w:val="18"/>
          <w:szCs w:val="18"/>
          <w:color w:val="auto"/>
        </w:rPr>
        <w:t>The commitments are generally subject to the borrowers meeting certain criteria such as compliance with financial and nonfinancial covenants. Since commitments may expire without being drawn upon, the total commitment amount does not necessarily represent future cash requirements.</w:t>
      </w:r>
    </w:p>
    <w:p>
      <w:pPr>
        <w:spacing w:after="0" w:line="181" w:lineRule="exact"/>
        <w:rPr>
          <w:sz w:val="20"/>
          <w:szCs w:val="20"/>
          <w:color w:val="auto"/>
        </w:rPr>
      </w:pPr>
    </w:p>
    <w:p>
      <w:pPr>
        <w:ind w:left="200" w:firstLine="992"/>
        <w:spacing w:after="0" w:line="255"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89" w:lineRule="exact"/>
        <w:rPr>
          <w:sz w:val="20"/>
          <w:szCs w:val="20"/>
          <w:color w:val="auto"/>
        </w:rPr>
      </w:pPr>
    </w:p>
    <w:p>
      <w:pPr>
        <w:ind w:left="200" w:right="60" w:firstLine="992"/>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ectPr>
          <w:pgSz w:w="11900" w:h="16838" w:orient="portrait"/>
          <w:cols w:equalWidth="0" w:num="1">
            <w:col w:w="11200"/>
          </w:cols>
          <w:pgMar w:left="240" w:top="459" w:right="459" w:bottom="1440" w:gutter="0" w:footer="0" w:header="0"/>
        </w:sectPr>
      </w:pP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00"/>
          </w:cols>
          <w:pgMar w:left="240" w:top="459"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200" w:right="240" w:firstLine="992"/>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Cumulative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7"/>
              </w:rPr>
              <w:t>Underwriting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Cumulative</w:t>
            </w:r>
          </w:p>
        </w:tc>
        <w:tc>
          <w:tcPr>
            <w:tcW w:w="17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1"/>
              </w:rPr>
              <w:t>Cumulative 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Fees and</w:t>
            </w:r>
          </w:p>
        </w:tc>
        <w:tc>
          <w:tcPr>
            <w:tcW w:w="17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00" w:type="dxa"/>
            <w:vAlign w:val="bottom"/>
            <w:gridSpan w:val="3"/>
          </w:tcPr>
          <w:p>
            <w:pPr>
              <w:jc w:val="center"/>
              <w:ind w:left="528"/>
              <w:spacing w:after="0" w:line="149" w:lineRule="exact"/>
              <w:rPr>
                <w:sz w:val="20"/>
                <w:szCs w:val="20"/>
                <w:color w:val="auto"/>
              </w:rPr>
            </w:pPr>
            <w:r>
              <w:rPr>
                <w:rFonts w:ascii="Arial" w:cs="Arial" w:eastAsia="Arial" w:hAnsi="Arial"/>
                <w:sz w:val="14"/>
                <w:szCs w:val="14"/>
                <w:b w:val="1"/>
                <w:bCs w:val="1"/>
                <w:color w:val="auto"/>
                <w:w w:val="91"/>
              </w:rPr>
              <w:t>Commissions and</w:t>
            </w: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22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Number of Shares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w w:val="98"/>
              </w:rPr>
              <w:t>Proceeds</w:t>
            </w:r>
          </w:p>
        </w:tc>
        <w:tc>
          <w:tcPr>
            <w:tcW w:w="600" w:type="dxa"/>
            <w:vAlign w:val="bottom"/>
          </w:tcPr>
          <w:p>
            <w:pPr>
              <w:spacing w:after="0"/>
              <w:rPr>
                <w:sz w:val="13"/>
                <w:szCs w:val="13"/>
                <w:color w:val="auto"/>
              </w:rPr>
            </w:pPr>
          </w:p>
        </w:tc>
        <w:tc>
          <w:tcPr>
            <w:tcW w:w="11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Offering Costs </w:t>
            </w:r>
            <w:r>
              <w:rPr>
                <w:rFonts w:ascii="Arial" w:cs="Arial" w:eastAsia="Arial" w:hAnsi="Arial"/>
                <w:sz w:val="12"/>
                <w:szCs w:val="12"/>
                <w:b w:val="1"/>
                <w:bCs w:val="1"/>
                <w:color w:val="auto"/>
                <w:w w:val="93"/>
              </w:rPr>
              <w:t>(1)</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Cumulative since IPO</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14,388,414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236,597</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8,989</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81" w:lineRule="exact"/>
        <w:rPr>
          <w:sz w:val="20"/>
          <w:szCs w:val="20"/>
          <w:color w:val="auto"/>
        </w:rPr>
      </w:pPr>
    </w:p>
    <w:p>
      <w:pPr>
        <w:ind w:left="200" w:right="240" w:firstLine="992"/>
        <w:spacing w:after="0" w:line="308" w:lineRule="auto"/>
        <w:rPr>
          <w:sz w:val="20"/>
          <w:szCs w:val="20"/>
          <w:color w:val="auto"/>
        </w:rPr>
      </w:pPr>
      <w:r>
        <w:rPr>
          <w:rFonts w:ascii="Arial" w:cs="Arial" w:eastAsia="Arial" w:hAnsi="Arial"/>
          <w:sz w:val="17"/>
          <w:szCs w:val="17"/>
          <w:color w:val="auto"/>
        </w:rPr>
        <w:t>The following table summarizes the cumulative total shares issued, net proceeds received, and weighted average offering price in public offerings of the Company’s common stock during the last two fiscal years and for the nine months ended September 30, 2019.</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Underwriting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 Gross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Fees and</w:t>
            </w:r>
          </w:p>
        </w:tc>
        <w:tc>
          <w:tcPr>
            <w:tcW w:w="1680" w:type="dxa"/>
            <w:vAlign w:val="bottom"/>
            <w:gridSpan w:val="4"/>
            <w:vMerge w:val="restart"/>
          </w:tcPr>
          <w:p>
            <w:pPr>
              <w:jc w:val="center"/>
              <w:ind w:left="336"/>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28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580" w:type="dxa"/>
            <w:vAlign w:val="bottom"/>
            <w:gridSpan w:val="3"/>
          </w:tcPr>
          <w:p>
            <w:pPr>
              <w:jc w:val="center"/>
              <w:ind w:left="416"/>
              <w:spacing w:after="0" w:line="149" w:lineRule="exact"/>
              <w:rPr>
                <w:sz w:val="20"/>
                <w:szCs w:val="20"/>
                <w:color w:val="auto"/>
              </w:rPr>
            </w:pPr>
            <w:r>
              <w:rPr>
                <w:rFonts w:ascii="Arial" w:cs="Arial" w:eastAsia="Arial" w:hAnsi="Arial"/>
                <w:sz w:val="14"/>
                <w:szCs w:val="14"/>
                <w:b w:val="1"/>
                <w:bCs w:val="1"/>
                <w:color w:val="auto"/>
                <w:w w:val="89"/>
              </w:rPr>
              <w:t>Commissions and</w:t>
            </w: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gridSpan w:val="3"/>
            <w:vMerge w:val="continue"/>
          </w:tcPr>
          <w:p>
            <w:pPr>
              <w:spacing w:after="0"/>
              <w:rPr>
                <w:sz w:val="13"/>
                <w:szCs w:val="13"/>
                <w:color w:val="auto"/>
              </w:rPr>
            </w:pPr>
          </w:p>
        </w:tc>
        <w:tc>
          <w:tcPr>
            <w:tcW w:w="1420" w:type="dxa"/>
            <w:vAlign w:val="bottom"/>
          </w:tcPr>
          <w:p>
            <w:pPr>
              <w:spacing w:after="0"/>
              <w:rPr>
                <w:sz w:val="13"/>
                <w:szCs w:val="13"/>
                <w:color w:val="auto"/>
              </w:rPr>
            </w:pPr>
          </w:p>
        </w:tc>
        <w:tc>
          <w:tcPr>
            <w:tcW w:w="86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of Shares</w:t>
            </w:r>
          </w:p>
        </w:tc>
        <w:tc>
          <w:tcPr>
            <w:tcW w:w="5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5"/>
              </w:rPr>
              <w:t>Proceeds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Offering Costs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Fiscal year ended December 31, 2017</w:t>
            </w: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2,012,500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33,810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center"/>
              <w:ind w:left="514"/>
              <w:spacing w:after="0" w:line="203" w:lineRule="exact"/>
              <w:rPr>
                <w:sz w:val="20"/>
                <w:szCs w:val="20"/>
                <w:color w:val="auto"/>
              </w:rPr>
            </w:pPr>
            <w:r>
              <w:rPr>
                <w:rFonts w:ascii="Arial" w:cs="Arial" w:eastAsia="Arial" w:hAnsi="Arial"/>
                <w:sz w:val="18"/>
                <w:szCs w:val="18"/>
                <w:color w:val="auto"/>
                <w:w w:val="93"/>
              </w:rPr>
              <w:t>16.80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Fiscal year ended December 31, 2018</w:t>
            </w:r>
          </w:p>
        </w:tc>
        <w:tc>
          <w:tcPr>
            <w:tcW w:w="1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4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2019</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4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200" w:right="200" w:firstLine="992"/>
        <w:spacing w:after="0" w:line="279" w:lineRule="auto"/>
        <w:rPr>
          <w:sz w:val="20"/>
          <w:szCs w:val="20"/>
          <w:color w:val="auto"/>
        </w:rPr>
      </w:pPr>
      <w:r>
        <w:rPr>
          <w:rFonts w:ascii="Arial" w:cs="Arial" w:eastAsia="Arial" w:hAnsi="Arial"/>
          <w:sz w:val="17"/>
          <w:szCs w:val="17"/>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nine months ended September 30, 2019.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80" w:firstLine="992"/>
        <w:spacing w:after="0" w:line="273" w:lineRule="auto"/>
        <w:rPr>
          <w:sz w:val="20"/>
          <w:szCs w:val="20"/>
          <w:color w:val="auto"/>
        </w:rPr>
      </w:pPr>
      <w:r>
        <w:rPr>
          <w:rFonts w:ascii="Arial" w:cs="Arial" w:eastAsia="Arial" w:hAnsi="Arial"/>
          <w:sz w:val="17"/>
          <w:szCs w:val="17"/>
          <w:color w:val="auto"/>
        </w:rPr>
        <w:t>As described in Note 2, the Company has a Stock Repurchase Program under which the Company may acquire up to $5,000 of its outstanding common stock. The Company did not make any repurchases of common stock during the three and nine months ended September 30, 2019. During the three and nine months ended September 30, 2018, the Company repurchased zero and 44,821 shares of common stock, respectively, on the open market for zero and $582, respectively. The Company’s NAV per share increased by approximately zero and $0.01 for the three and nine months ended September 30, 2018, respectively, as a result of the share repurchases. The following table summarizes the Company’s share repurchases under the Stock Repurchase Program for the three and nine months ended September 30, 2019 and 2018:</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Repurchases of Common Stock</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40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shares repurchased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44,821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6"/>
              </w:rPr>
              <w:t>Cost of shares repurchased, including commissions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discount to net asset value at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3"/>
          </w:tcPr>
          <w:p>
            <w:pPr>
              <w:spacing w:after="0"/>
              <w:rPr>
                <w:sz w:val="20"/>
                <w:szCs w:val="20"/>
                <w:color w:val="auto"/>
              </w:rPr>
            </w:pPr>
            <w:r>
              <w:rPr>
                <w:rFonts w:ascii="Arial" w:cs="Arial" w:eastAsia="Arial" w:hAnsi="Arial"/>
                <w:sz w:val="18"/>
                <w:szCs w:val="18"/>
                <w:color w:val="auto"/>
              </w:rPr>
              <w:t>quarter end prior to repurchases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99"/>
              </w:rPr>
              <w:t>N/A</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99"/>
              </w:rPr>
              <w:t>N/A</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99"/>
              </w:rPr>
              <w:t>N/A</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Company had 24,463,119 shares of common stock outstanding as of September 30, 2019 and December 31, 2018.</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240" w:top="459" w:right="4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200" w:right="60" w:firstLine="992"/>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nine months ended September 30,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Record</w:t>
            </w: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Payment</w:t>
            </w:r>
          </w:p>
        </w:tc>
        <w:tc>
          <w:tcPr>
            <w:tcW w:w="18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DRIP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380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3"/>
          </w:tcPr>
          <w:p>
            <w:pPr>
              <w:ind w:left="180"/>
              <w:spacing w:after="0"/>
              <w:rPr>
                <w:sz w:val="20"/>
                <w:szCs w:val="20"/>
                <w:color w:val="auto"/>
              </w:rPr>
            </w:pPr>
            <w:r>
              <w:rPr>
                <w:rFonts w:ascii="Arial" w:cs="Arial" w:eastAsia="Arial" w:hAnsi="Arial"/>
                <w:sz w:val="14"/>
                <w:szCs w:val="14"/>
                <w:b w:val="1"/>
                <w:bCs w:val="1"/>
                <w:color w:val="auto"/>
                <w:w w:val="91"/>
              </w:rPr>
              <w:t>Per Share</w:t>
            </w: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Distribution</w:t>
            </w: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Issue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2017:</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2/14/2017</w:t>
            </w:r>
          </w:p>
        </w:tc>
        <w:tc>
          <w:tcPr>
            <w:tcW w:w="860" w:type="dxa"/>
            <w:vAlign w:val="bottom"/>
          </w:tcPr>
          <w:p>
            <w:pPr>
              <w:jc w:val="right"/>
              <w:spacing w:after="0"/>
              <w:rPr>
                <w:sz w:val="20"/>
                <w:szCs w:val="20"/>
                <w:color w:val="auto"/>
              </w:rPr>
            </w:pPr>
            <w:r>
              <w:rPr>
                <w:rFonts w:ascii="Arial" w:cs="Arial" w:eastAsia="Arial" w:hAnsi="Arial"/>
                <w:sz w:val="18"/>
                <w:szCs w:val="18"/>
                <w:color w:val="auto"/>
              </w:rPr>
              <w:t>3/10/2017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3/24/2017</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8,754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8,556</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$ 198</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11,500</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176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7/31/2017</w:t>
            </w:r>
          </w:p>
        </w:tc>
        <w:tc>
          <w:tcPr>
            <w:tcW w:w="860" w:type="dxa"/>
            <w:vAlign w:val="bottom"/>
          </w:tcPr>
          <w:p>
            <w:pPr>
              <w:jc w:val="right"/>
              <w:spacing w:after="0"/>
              <w:rPr>
                <w:sz w:val="20"/>
                <w:szCs w:val="20"/>
                <w:color w:val="auto"/>
              </w:rPr>
            </w:pPr>
            <w:r>
              <w:rPr>
                <w:rFonts w:ascii="Arial" w:cs="Arial" w:eastAsia="Arial" w:hAnsi="Arial"/>
                <w:sz w:val="18"/>
                <w:szCs w:val="18"/>
                <w:color w:val="auto"/>
              </w:rPr>
              <w:t>9/8/2017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9/22/2017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9,353</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86"/>
              </w:rPr>
              <w:t>195</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12,256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12/20/2017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12/27/2017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209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 xml:space="preserve">10/30/2017 </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12/20/2017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12/27/2017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36,793</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$ 799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2/13/2018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3/9/2018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3/23/2018</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4/30/2018</w:t>
            </w:r>
          </w:p>
        </w:tc>
        <w:tc>
          <w:tcPr>
            <w:tcW w:w="860" w:type="dxa"/>
            <w:vAlign w:val="bottom"/>
          </w:tcPr>
          <w:p>
            <w:pPr>
              <w:jc w:val="right"/>
              <w:spacing w:after="0"/>
              <w:rPr>
                <w:sz w:val="20"/>
                <w:szCs w:val="20"/>
                <w:color w:val="auto"/>
              </w:rPr>
            </w:pPr>
            <w:r>
              <w:rPr>
                <w:rFonts w:ascii="Arial" w:cs="Arial" w:eastAsia="Arial" w:hAnsi="Arial"/>
                <w:sz w:val="18"/>
                <w:szCs w:val="18"/>
                <w:color w:val="auto"/>
              </w:rPr>
              <w:t>6/8/2018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6/22/2018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2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9/7/2018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9/21/2018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10/30/2018</w:t>
            </w:r>
          </w:p>
        </w:tc>
        <w:tc>
          <w:tcPr>
            <w:tcW w:w="860" w:type="dxa"/>
            <w:vAlign w:val="bottom"/>
          </w:tcPr>
          <w:p>
            <w:pPr>
              <w:jc w:val="right"/>
              <w:spacing w:after="0"/>
              <w:rPr>
                <w:sz w:val="20"/>
                <w:szCs w:val="20"/>
                <w:color w:val="auto"/>
              </w:rPr>
            </w:pPr>
            <w:r>
              <w:rPr>
                <w:rFonts w:ascii="Arial" w:cs="Arial" w:eastAsia="Arial" w:hAnsi="Arial"/>
                <w:sz w:val="18"/>
                <w:szCs w:val="18"/>
                <w:color w:val="auto"/>
              </w:rPr>
              <w:t>12/7/2018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12/21/2018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2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12/21/2018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1/31/2019</w:t>
            </w:r>
          </w:p>
        </w:tc>
        <w:tc>
          <w:tcPr>
            <w:tcW w:w="860" w:type="dxa"/>
            <w:vAlign w:val="bottom"/>
          </w:tcPr>
          <w:p>
            <w:pPr>
              <w:jc w:val="right"/>
              <w:spacing w:after="0"/>
              <w:rPr>
                <w:sz w:val="20"/>
                <w:szCs w:val="20"/>
                <w:color w:val="auto"/>
              </w:rPr>
            </w:pPr>
            <w:r>
              <w:rPr>
                <w:rFonts w:ascii="Arial" w:cs="Arial" w:eastAsia="Arial" w:hAnsi="Arial"/>
                <w:sz w:val="18"/>
                <w:szCs w:val="18"/>
                <w:color w:val="auto"/>
              </w:rPr>
              <w:t>3/8/2019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3/22/2019</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5"/>
                <w:szCs w:val="15"/>
                <w:color w:val="auto"/>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6/21/2019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7/29/2019</w:t>
            </w:r>
          </w:p>
        </w:tc>
        <w:tc>
          <w:tcPr>
            <w:tcW w:w="860" w:type="dxa"/>
            <w:vAlign w:val="bottom"/>
          </w:tcPr>
          <w:p>
            <w:pPr>
              <w:jc w:val="right"/>
              <w:spacing w:after="0"/>
              <w:rPr>
                <w:sz w:val="20"/>
                <w:szCs w:val="20"/>
                <w:color w:val="auto"/>
              </w:rPr>
            </w:pPr>
            <w:r>
              <w:rPr>
                <w:rFonts w:ascii="Arial" w:cs="Arial" w:eastAsia="Arial" w:hAnsi="Arial"/>
                <w:sz w:val="18"/>
                <w:szCs w:val="18"/>
                <w:color w:val="auto"/>
              </w:rPr>
              <w:t>9/6/2019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9/20/2019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2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w:t>
            </w:r>
          </w:p>
        </w:tc>
        <w:tc>
          <w:tcPr>
            <w:tcW w:w="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640" w:right="140" w:hanging="436"/>
        <w:spacing w:after="0" w:line="277"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During the nine months ended September 30, 2019 and the year ended December 31,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00" w:type="dxa"/>
            <w:vAlign w:val="bottom"/>
            <w:gridSpan w:val="4"/>
            <w:vMerge w:val="continue"/>
          </w:tcPr>
          <w:p>
            <w:pPr>
              <w:spacing w:after="0"/>
              <w:rPr>
                <w:sz w:val="13"/>
                <w:szCs w:val="13"/>
                <w:color w:val="auto"/>
              </w:rPr>
            </w:pPr>
          </w:p>
        </w:tc>
        <w:tc>
          <w:tcPr>
            <w:tcW w:w="196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19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April 1, 2018 through June 30, 2018</w:t>
            </w:r>
          </w:p>
        </w:tc>
        <w:tc>
          <w:tcPr>
            <w:tcW w:w="3300" w:type="dxa"/>
            <w:vAlign w:val="bottom"/>
            <w:gridSpan w:val="3"/>
          </w:tcPr>
          <w:p>
            <w:pPr>
              <w:jc w:val="right"/>
              <w:ind w:right="520"/>
              <w:spacing w:after="0"/>
              <w:rPr>
                <w:sz w:val="20"/>
                <w:szCs w:val="20"/>
                <w:color w:val="auto"/>
              </w:rPr>
            </w:pPr>
            <w:r>
              <w:rPr>
                <w:rFonts w:ascii="Arial" w:cs="Arial" w:eastAsia="Arial" w:hAnsi="Arial"/>
                <w:sz w:val="18"/>
                <w:szCs w:val="18"/>
                <w:color w:val="auto"/>
              </w:rPr>
              <w:t>16,216</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3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16,207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October 1, 2018 through December 31, 2018</w:t>
            </w:r>
          </w:p>
        </w:tc>
        <w:tc>
          <w:tcPr>
            <w:tcW w:w="19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29,152</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78,078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19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00" w:type="dxa"/>
            <w:vAlign w:val="bottom"/>
            <w:gridSpan w:val="4"/>
            <w:vMerge w:val="continue"/>
          </w:tcPr>
          <w:p>
            <w:pPr>
              <w:spacing w:after="0"/>
              <w:rPr>
                <w:sz w:val="13"/>
                <w:szCs w:val="13"/>
                <w:color w:val="auto"/>
              </w:rPr>
            </w:pPr>
          </w:p>
        </w:tc>
        <w:tc>
          <w:tcPr>
            <w:tcW w:w="196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19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April 1, 2019 through June 30, 2019</w:t>
            </w:r>
          </w:p>
        </w:tc>
        <w:tc>
          <w:tcPr>
            <w:tcW w:w="3300" w:type="dxa"/>
            <w:vAlign w:val="bottom"/>
            <w:gridSpan w:val="3"/>
          </w:tcPr>
          <w:p>
            <w:pPr>
              <w:jc w:val="right"/>
              <w:ind w:right="520"/>
              <w:spacing w:after="0"/>
              <w:rPr>
                <w:sz w:val="20"/>
                <w:szCs w:val="20"/>
                <w:color w:val="auto"/>
              </w:rPr>
            </w:pPr>
            <w:r>
              <w:rPr>
                <w:rFonts w:ascii="Arial" w:cs="Arial" w:eastAsia="Arial" w:hAnsi="Arial"/>
                <w:sz w:val="18"/>
                <w:szCs w:val="18"/>
                <w:color w:val="auto"/>
              </w:rPr>
              <w:t>14,067</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3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15,289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3900" w:type="dxa"/>
            <w:vAlign w:val="bottom"/>
            <w:gridSpan w:val="4"/>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51,211</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vMerge w:val="restart"/>
          </w:tcPr>
          <w:p>
            <w:pPr>
              <w:jc w:val="right"/>
              <w:ind w:right="1050"/>
              <w:spacing w:after="0"/>
              <w:rPr>
                <w:sz w:val="20"/>
                <w:szCs w:val="20"/>
                <w:color w:val="auto"/>
              </w:rPr>
            </w:pPr>
            <w:r>
              <w:rPr>
                <w:rFonts w:ascii="Arial" w:cs="Arial" w:eastAsia="Arial" w:hAnsi="Arial"/>
                <w:sz w:val="18"/>
                <w:szCs w:val="18"/>
                <w:color w:val="auto"/>
              </w:rPr>
              <w:t>35</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schedule of financial highlights for the nine months ended September 30, 2019 and 2018:</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16.47</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Net realized gain (loss) on investments, net of tax (provision)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Market value at end of period</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24,463,119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24,463,119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24,463,119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24,474,632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402,832</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402,278</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397,304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307,625</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270,075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jc w:val="both"/>
        <w:ind w:left="640" w:right="100" w:hanging="436"/>
        <w:spacing w:after="0" w:line="265"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640" w:right="70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caption as presented on the consolidated statements of operations, which includes incentive fee and excludes the income tax provision.</w:t>
      </w:r>
    </w:p>
    <w:p>
      <w:pPr>
        <w:ind w:left="640" w:right="48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640" w:hanging="43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640" w:right="22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640" w:hanging="436"/>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29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5460" w:type="dxa"/>
            <w:vAlign w:val="bottom"/>
            <w:gridSpan w:val="3"/>
            <w:vMerge w:val="continue"/>
          </w:tcPr>
          <w:p>
            <w:pPr>
              <w:spacing w:after="0"/>
              <w:rPr>
                <w:sz w:val="11"/>
                <w:szCs w:val="11"/>
                <w:color w:val="auto"/>
              </w:rPr>
            </w:pPr>
          </w:p>
        </w:tc>
        <w:tc>
          <w:tcPr>
            <w:tcW w:w="8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1900" w:type="dxa"/>
            <w:vAlign w:val="bottom"/>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rPr>
              <w:t>8.2%</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 xml:space="preserve">Incentive fee </w:t>
            </w:r>
            <w:r>
              <w:rPr>
                <w:rFonts w:ascii="Arial" w:cs="Arial" w:eastAsia="Arial" w:hAnsi="Arial"/>
                <w:sz w:val="15"/>
                <w:szCs w:val="15"/>
                <w:color w:val="auto"/>
              </w:rPr>
              <w:t>(3)</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200" w:right="120" w:firstLine="992"/>
        <w:spacing w:after="0" w:line="342" w:lineRule="auto"/>
        <w:rPr>
          <w:sz w:val="20"/>
          <w:szCs w:val="20"/>
          <w:color w:val="auto"/>
        </w:rPr>
      </w:pPr>
      <w:r>
        <w:rPr>
          <w:rFonts w:ascii="Arial" w:cs="Arial" w:eastAsia="Arial" w:hAnsi="Arial"/>
          <w:sz w:val="16"/>
          <w:szCs w:val="16"/>
          <w:color w:val="auto"/>
        </w:rPr>
        <w:t>On October 1, 2019, the Company exited its debt and equity investments in Simplex Manufacturing Co. The Company received payment in full of $4,050 on its subordinated debt investment. The Company sold its warrant investment for a realized gain of approximately $2,933.</w:t>
      </w:r>
    </w:p>
    <w:p>
      <w:pPr>
        <w:spacing w:after="0" w:line="124" w:lineRule="exact"/>
        <w:rPr>
          <w:sz w:val="20"/>
          <w:szCs w:val="20"/>
          <w:color w:val="auto"/>
        </w:rPr>
      </w:pPr>
    </w:p>
    <w:p>
      <w:pPr>
        <w:ind w:left="200" w:right="220" w:firstLine="992"/>
        <w:spacing w:after="0" w:line="308" w:lineRule="auto"/>
        <w:rPr>
          <w:sz w:val="20"/>
          <w:szCs w:val="20"/>
          <w:color w:val="auto"/>
        </w:rPr>
      </w:pPr>
      <w:r>
        <w:rPr>
          <w:rFonts w:ascii="Arial" w:cs="Arial" w:eastAsia="Arial" w:hAnsi="Arial"/>
          <w:sz w:val="17"/>
          <w:szCs w:val="17"/>
          <w:color w:val="auto"/>
        </w:rPr>
        <w:t>On October 11, 2019, the Company invested $6,000 in first lien debt and common equity of Haematologic Technologies, Inc., a leading provider of biologic products and GMP compliant assay development and testing services to the biopharmaceutical industry.</w:t>
      </w:r>
    </w:p>
    <w:p>
      <w:pPr>
        <w:spacing w:after="0" w:line="147"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On October 16, 2019, the Company closed the public offering of approximately $55,000 in aggregate principal amount of its 5.375% notes due 2024, or the “November 2024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$400, were approximately $60,953.</w:t>
      </w:r>
    </w:p>
    <w:p>
      <w:pPr>
        <w:spacing w:after="0" w:line="188" w:lineRule="exact"/>
        <w:rPr>
          <w:sz w:val="20"/>
          <w:szCs w:val="20"/>
          <w:color w:val="auto"/>
        </w:rPr>
      </w:pPr>
    </w:p>
    <w:p>
      <w:pPr>
        <w:ind w:left="200" w:right="80" w:firstLine="992"/>
        <w:spacing w:after="0" w:line="270" w:lineRule="auto"/>
        <w:rPr>
          <w:sz w:val="20"/>
          <w:szCs w:val="20"/>
          <w:color w:val="auto"/>
        </w:rPr>
      </w:pPr>
      <w:r>
        <w:rPr>
          <w:rFonts w:ascii="Arial" w:cs="Arial" w:eastAsia="Arial" w:hAnsi="Arial"/>
          <w:sz w:val="17"/>
          <w:szCs w:val="17"/>
          <w:color w:val="auto"/>
        </w:rPr>
        <w:t>The November 2024 Notes will mature on November 1, 2024 and bear interest at a rate of 5.375%. The November 2024 Notes are unsecured obligations and rank pari passu with the Company’s future unsecured indebtedness, including the Company’s Public Notes;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 The Company may from time to time repurchase November 2024 Notes in accordance with the 1940 Act and the rules promulgated thereunder. As of October 29, 2019, the outstanding principal balance of the November 2024 Notes was approximately $63,250.</w:t>
      </w:r>
    </w:p>
    <w:p>
      <w:pPr>
        <w:spacing w:after="0" w:line="178" w:lineRule="exact"/>
        <w:rPr>
          <w:sz w:val="20"/>
          <w:szCs w:val="20"/>
          <w:color w:val="auto"/>
        </w:rPr>
      </w:pPr>
    </w:p>
    <w:p>
      <w:pPr>
        <w:ind w:left="200" w:right="40" w:firstLine="992"/>
        <w:spacing w:after="0" w:line="283" w:lineRule="auto"/>
        <w:rPr>
          <w:sz w:val="20"/>
          <w:szCs w:val="20"/>
          <w:color w:val="auto"/>
        </w:rPr>
      </w:pPr>
      <w:r>
        <w:rPr>
          <w:rFonts w:ascii="Arial" w:cs="Arial" w:eastAsia="Arial" w:hAnsi="Arial"/>
          <w:sz w:val="16"/>
          <w:szCs w:val="16"/>
          <w:color w:val="auto"/>
        </w:rPr>
        <w:t>The indenture governing the November 2024 Notes, or the “Indenture,” contains certain covenants, including certain covenants requiring the Company (i) to comply with the asset coverage requirements set forth in Section 18(a)(1)(A) as modified by such provisions of Section 61(a) of the 1940 Act, as may be applicable to the Company from time to time or any successor provisions, whether or not the Company continues to be subject to such provisions of the 1940 Act, but giving effect, in either case, to any exemptive relief granted to the Company by the SEC; (ii) to comply, under certain circumstances, with a modified version of the requirements set forth in Section 18(a)(1)(B) as modified by such provisions of Section 61(a) of the 1940 Act as may be applicable to the Company from time to time or any successor provisions, whether or not the Company continues to be subject to such provisions of the 1940 Act, prohibiting the declaration of any cash dividend or distribution upon any class of our capital stock (except to the extent necessary for the Company to maintain its treatment as a “regulated investment company” under Subchapter M of the Internal Revenue Code), or purchasing any such capital stock, if the Company’ asset coverage, as defined in the 1940 Act, were below 200% (or 150% on and after April 29, 2020) at the time of the declaration of the dividend or distribution or the purchase and after deducting the amount of such dividend, distribution, or purchase;</w:t>
      </w:r>
    </w:p>
    <w:p>
      <w:pPr>
        <w:spacing w:after="0" w:line="6" w:lineRule="exact"/>
        <w:rPr>
          <w:sz w:val="20"/>
          <w:szCs w:val="20"/>
          <w:color w:val="auto"/>
        </w:rPr>
      </w:pPr>
    </w:p>
    <w:p>
      <w:pPr>
        <w:ind w:left="200" w:right="40" w:firstLine="4"/>
        <w:spacing w:after="0" w:line="253" w:lineRule="auto"/>
        <w:tabs>
          <w:tab w:leader="none" w:pos="5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financial information to the holders of the November 2024 Notes and the Trustee if the Company is no longer subject to the reporting requirements under the Securities Exchange Act of 1934, as amended; and (iv) to use its reasonable best efforts to effect, within 30 days of issuance and delivery of the November 2024 Notes, the listing of the November 2024 Notes on the Nasdaq Stock Market LLC and to maintain the listing of the November 2024 Notes on the Nasdaq Stock Market LLC or another national securities exchange. These covenants are subject to important limitations and exceptions that are described in the Indenture.</w:t>
      </w:r>
    </w:p>
    <w:p>
      <w:pPr>
        <w:spacing w:after="0" w:line="191"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On October 29, 2019, the Board declared a regular quarterly dividend of $0.39 per share payable on December 20, 2019 to stockholders of record as of December 6, 2019. In addition, the Board declared a special dividend of $0.04 per share payable on December 20, 2019 to stockholders of record as of December 6, 2019.</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2018, filed with the U.S. Securities and Exchange Commission (“SEC”) on February 28, 2019. The information contained in this section should also be read in conjunction with our unaudited consolidated financial statements and related notes thereto appearing elsewhere in this quarterly report on Form 10-Q.</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9" w:lineRule="exact"/>
        <w:rPr>
          <w:sz w:val="20"/>
          <w:szCs w:val="20"/>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left="200" w:right="160" w:firstLine="992"/>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7" w:lineRule="exact"/>
        <w:rPr>
          <w:sz w:val="20"/>
          <w:szCs w:val="20"/>
          <w:color w:val="auto"/>
        </w:rPr>
      </w:pPr>
    </w:p>
    <w:p>
      <w:pPr>
        <w:ind w:left="1620" w:right="120" w:hanging="43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contraction of available credit and/or an inability to access the equity markets could impair our lending and investment activities;</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rate volatility could adversely affect our results, particularly because we use leverage as part of our investment strategy;</w:t>
      </w:r>
    </w:p>
    <w:p>
      <w:pPr>
        <w:spacing w:after="0" w:line="153" w:lineRule="exact"/>
        <w:rPr>
          <w:rFonts w:ascii="Arial" w:cs="Arial" w:eastAsia="Arial" w:hAnsi="Arial"/>
          <w:sz w:val="16"/>
          <w:szCs w:val="16"/>
          <w:color w:val="auto"/>
        </w:rPr>
      </w:pPr>
    </w:p>
    <w:p>
      <w:pPr>
        <w:ind w:left="1620" w:right="260" w:hanging="430"/>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1620" w:hanging="430"/>
        <w:spacing w:after="0" w:line="308"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2018, elsewhere in this Quarterly Report on Form 10-Q and in our other filings with the SEC.</w:t>
      </w:r>
    </w:p>
    <w:p>
      <w:pPr>
        <w:spacing w:after="0" w:line="147" w:lineRule="exact"/>
        <w:rPr>
          <w:sz w:val="20"/>
          <w:szCs w:val="20"/>
          <w:color w:val="auto"/>
        </w:rPr>
      </w:pPr>
    </w:p>
    <w:p>
      <w:pPr>
        <w:ind w:left="200" w:right="20" w:firstLine="992"/>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 xml:space="preserve">Item 1.A – Risk Factors </w:t>
      </w:r>
      <w:r>
        <w:rPr>
          <w:rFonts w:ascii="Arial" w:cs="Arial" w:eastAsia="Arial" w:hAnsi="Arial"/>
          <w:sz w:val="16"/>
          <w:szCs w:val="16"/>
          <w:color w:val="auto"/>
        </w:rPr>
        <w:t>contained in our Annual Report on Form 10-K for the year ended December 31, 2018, filed with the SEC on February 28, 2019.</w:t>
      </w:r>
      <w:r>
        <w:rPr>
          <w:rFonts w:ascii="Arial" w:cs="Arial" w:eastAsia="Arial" w:hAnsi="Arial"/>
          <w:sz w:val="16"/>
          <w:szCs w:val="16"/>
          <w:i w:val="1"/>
          <w:iCs w:val="1"/>
          <w:color w:val="auto"/>
        </w:rPr>
        <w:t xml:space="preserve"> </w:t>
      </w:r>
      <w:r>
        <w:rPr>
          <w:rFonts w:ascii="Arial" w:cs="Arial" w:eastAsia="Arial" w:hAnsi="Arial"/>
          <w:sz w:val="16"/>
          <w:szCs w:val="16"/>
          <w:color w:val="auto"/>
        </w:rPr>
        <w:t>You should not place undue reliance on these forward-looking statements, which apply only as of the date of this Quarterly Report on Form 10-Q.</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FIC was formed as a Maryland corporation on February 14, 2011. We completed our initial public offering, or IPO, in June 2011.</w:t>
      </w:r>
    </w:p>
    <w:p>
      <w:pPr>
        <w:spacing w:after="0" w:line="237"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 Fund I, Fund II and Fund III are collectively referred to as the “Funds.”</w:t>
      </w:r>
    </w:p>
    <w:p>
      <w:pPr>
        <w:spacing w:after="0" w:line="178" w:lineRule="exact"/>
        <w:rPr>
          <w:sz w:val="20"/>
          <w:szCs w:val="20"/>
          <w:color w:val="auto"/>
        </w:rPr>
      </w:pPr>
    </w:p>
    <w:p>
      <w:pPr>
        <w:ind w:left="200" w:right="100" w:firstLine="992"/>
        <w:spacing w:after="0" w:line="276" w:lineRule="auto"/>
        <w:rPr>
          <w:sz w:val="20"/>
          <w:szCs w:val="20"/>
          <w:color w:val="auto"/>
        </w:rPr>
      </w:pPr>
      <w:r>
        <w:rPr>
          <w:rFonts w:ascii="Arial" w:cs="Arial" w:eastAsia="Arial" w:hAnsi="Arial"/>
          <w:sz w:val="17"/>
          <w:szCs w:val="17"/>
          <w:color w:val="auto"/>
        </w:rPr>
        <w:t>Fund I, Fund II and Fund III received their SBIC licenses on October 22, 2007, May 28, 2013, and March 21, 2019, respectively. We plan to continue to operate the Funds as SBICs, subject to SBA approval, and to utilize the proceeds of the sale of SBA-guaranteed debentures to enhance returns to our stockholders. As of September 9, 2019, Fund I has completed a wind-down plan and has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73" w:lineRule="exact"/>
        <w:rPr>
          <w:sz w:val="20"/>
          <w:szCs w:val="20"/>
          <w:color w:val="auto"/>
        </w:rPr>
      </w:pPr>
    </w:p>
    <w:p>
      <w:pPr>
        <w:ind w:left="200" w:right="100" w:firstLine="992"/>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the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right="140" w:firstLine="992"/>
        <w:spacing w:after="0" w:line="297"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58" w:lineRule="exact"/>
        <w:rPr>
          <w:sz w:val="20"/>
          <w:szCs w:val="20"/>
          <w:color w:val="auto"/>
        </w:rPr>
      </w:pPr>
    </w:p>
    <w:p>
      <w:pPr>
        <w:ind w:left="200" w:right="40" w:firstLine="992"/>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i w:val="1"/>
          <w:iCs w:val="1"/>
          <w:color w:val="auto"/>
        </w:rPr>
        <w:t xml:space="preserve">Subordinated Debt. </w:t>
      </w:r>
      <w:r>
        <w:rPr>
          <w:rFonts w:ascii="Arial" w:cs="Arial" w:eastAsia="Arial" w:hAnsi="Arial"/>
          <w:sz w:val="18"/>
          <w:szCs w:val="18"/>
          <w:color w:val="auto"/>
        </w:rPr>
        <w:t>These investments are typically structured as unsecured, subordinated notes. Structurally, subordinated debt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6" w:lineRule="auto"/>
        <w:rPr>
          <w:sz w:val="20"/>
          <w:szCs w:val="20"/>
          <w:color w:val="auto"/>
        </w:rPr>
      </w:pPr>
      <w:r>
        <w:rPr>
          <w:rFonts w:ascii="Arial" w:cs="Arial" w:eastAsia="Arial" w:hAnsi="Arial"/>
          <w:sz w:val="17"/>
          <w:szCs w:val="17"/>
          <w:color w:val="auto"/>
        </w:rPr>
        <w:t>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73" w:lineRule="exact"/>
        <w:rPr>
          <w:sz w:val="20"/>
          <w:szCs w:val="20"/>
          <w:color w:val="auto"/>
        </w:rPr>
      </w:pPr>
    </w:p>
    <w:p>
      <w:pPr>
        <w:ind w:left="200" w:firstLine="992"/>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w:t>
      </w:r>
      <w:r>
        <w:rPr>
          <w:rFonts w:ascii="Arial" w:cs="Arial" w:eastAsia="Arial" w:hAnsi="Arial"/>
          <w:sz w:val="17"/>
          <w:szCs w:val="17"/>
          <w:i w:val="1"/>
          <w:iCs w:val="1"/>
          <w:color w:val="auto"/>
        </w:rPr>
        <w:t xml:space="preserve"> </w:t>
      </w:r>
      <w:r>
        <w:rPr>
          <w:rFonts w:ascii="Arial" w:cs="Arial" w:eastAsia="Arial" w:hAnsi="Arial"/>
          <w:sz w:val="17"/>
          <w:szCs w:val="17"/>
          <w:color w:val="auto"/>
        </w:rPr>
        <w:t>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8" w:lineRule="exact"/>
        <w:rPr>
          <w:sz w:val="20"/>
          <w:szCs w:val="20"/>
          <w:color w:val="auto"/>
        </w:rPr>
      </w:pPr>
    </w:p>
    <w:p>
      <w:pPr>
        <w:ind w:left="200" w:right="20" w:firstLine="992"/>
        <w:spacing w:after="0" w:line="286" w:lineRule="auto"/>
        <w:rPr>
          <w:sz w:val="20"/>
          <w:szCs w:val="20"/>
          <w:color w:val="auto"/>
        </w:rPr>
      </w:pPr>
      <w:r>
        <w:rPr>
          <w:rFonts w:ascii="Arial" w:cs="Arial" w:eastAsia="Arial" w:hAnsi="Arial"/>
          <w:sz w:val="17"/>
          <w:szCs w:val="17"/>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66" w:lineRule="exact"/>
        <w:rPr>
          <w:sz w:val="20"/>
          <w:szCs w:val="20"/>
          <w:color w:val="auto"/>
        </w:rPr>
      </w:pPr>
    </w:p>
    <w:p>
      <w:pPr>
        <w:ind w:left="200" w:right="20" w:firstLine="992"/>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82" w:lineRule="exact"/>
        <w:rPr>
          <w:sz w:val="20"/>
          <w:szCs w:val="20"/>
          <w:color w:val="auto"/>
        </w:rPr>
      </w:pPr>
    </w:p>
    <w:p>
      <w:pPr>
        <w:ind w:left="200" w:right="20" w:firstLine="992"/>
        <w:spacing w:after="0" w:line="285"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Our debt 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992"/>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200" w:right="200" w:firstLine="992"/>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620" w:right="40" w:hanging="430"/>
        <w:spacing w:after="0" w:line="259"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620" w:right="20" w:hanging="430"/>
        <w:spacing w:after="0" w:line="279"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76" w:lineRule="exact"/>
        <w:rPr>
          <w:rFonts w:ascii="Arial" w:cs="Arial" w:eastAsia="Arial" w:hAnsi="Arial"/>
          <w:sz w:val="17"/>
          <w:szCs w:val="17"/>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620" w:right="80" w:hanging="43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During the nine months ended September 30, 2019 and 2018, we invested $175.5 million and $144.6 million, respectively, in debt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equity investments including 10 and 12 new portfolio companies, respectively. During the nine months ended September 30, 2019 and 2018, we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received proceeds from sales or repayments, including principal, return of capital dividends and net realized gains (losses), of $98.8 million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$92.1 million, respectively, including exits of seven and nine portfolio companies, respectively. The following table summarizes investment purchases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sales and repayments of investments by type for the nine months ended September 30, 2019 and 2018 (dollars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7"/>
              </w:rPr>
              <w:t>Purchases of Investments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2"/>
              </w:rPr>
              <w:t>Sales and Repayments of Investments</w:t>
            </w: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$ 39.5</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$ 49.9</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Subordinated Debt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Royalty Rights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175.5</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240" w:top="459" w:right="4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992"/>
        <w:spacing w:after="0" w:line="273" w:lineRule="auto"/>
        <w:rPr>
          <w:sz w:val="20"/>
          <w:szCs w:val="20"/>
          <w:color w:val="auto"/>
        </w:rPr>
      </w:pPr>
      <w:r>
        <w:rPr>
          <w:rFonts w:ascii="Arial" w:cs="Arial" w:eastAsia="Arial" w:hAnsi="Arial"/>
          <w:sz w:val="17"/>
          <w:szCs w:val="17"/>
          <w:color w:val="auto"/>
        </w:rPr>
        <w:t>As of September 30, 2019, the fair value of our investment portfolio totaled $729.4 million and consisted of 62 active portfolio companies and four portfolio companies that have sold their underlying operations. As of September 30, 2019, 14 portfolio companies’ debt investments bore interest at a variable rate, which represented $152.8 million, or 25.4%, of our debt investment portfolio on a fair value basis, and the remainder of our debt investment portfolio was comprised of fixed rate investments. Overall, the portfolio had net unrealized appreciation of $37.9 million as of September 30, 2019. As of September 30, 2019, our average active portfolio company investment at amortized cost was $11.1 million, which excludes investments in the four portfolio companies that have sold their underlying operations.</w:t>
      </w:r>
    </w:p>
    <w:p>
      <w:pPr>
        <w:spacing w:after="0" w:line="178" w:lineRule="exact"/>
        <w:rPr>
          <w:sz w:val="20"/>
          <w:szCs w:val="20"/>
          <w:color w:val="auto"/>
        </w:rPr>
      </w:pPr>
    </w:p>
    <w:p>
      <w:pPr>
        <w:ind w:left="200" w:right="120" w:firstLine="992"/>
        <w:spacing w:after="0" w:line="273" w:lineRule="auto"/>
        <w:rPr>
          <w:sz w:val="20"/>
          <w:szCs w:val="20"/>
          <w:color w:val="auto"/>
        </w:rPr>
      </w:pPr>
      <w:r>
        <w:rPr>
          <w:rFonts w:ascii="Arial" w:cs="Arial" w:eastAsia="Arial" w:hAnsi="Arial"/>
          <w:sz w:val="17"/>
          <w:szCs w:val="17"/>
          <w:color w:val="auto"/>
        </w:rPr>
        <w:t>As of December 31, 2018, the fair value of our investment portfolio totaled $643.0 million and consisted of 60 active portfolio companies and three portfolio companies that have sold their underlying operations. As of December 31, 2018, seven portfolio companies’ debt investments bore interest at a variable rate, which represented $75.9 million, or 14.5%, of our debt investment portfolio on a fair value basis, and the remainder of our debt investment portfolio was comprised of fixed rate investments. Overall, the portfolio had net unrealized appreciation of $44.2 million as of December 31, 2018. As of December 31, 2018, our average active portfolio company investment at amortized cost was $10.0 million, which excludes investments in the three portfolio companies that have sold their underlying operations.</w:t>
      </w:r>
    </w:p>
    <w:p>
      <w:pPr>
        <w:spacing w:after="0" w:line="178" w:lineRule="exact"/>
        <w:rPr>
          <w:sz w:val="20"/>
          <w:szCs w:val="20"/>
          <w:color w:val="auto"/>
        </w:rPr>
      </w:pPr>
    </w:p>
    <w:p>
      <w:pPr>
        <w:ind w:left="200" w:right="140" w:firstLine="992"/>
        <w:spacing w:after="0" w:line="297" w:lineRule="auto"/>
        <w:rPr>
          <w:sz w:val="20"/>
          <w:szCs w:val="20"/>
          <w:color w:val="auto"/>
        </w:rPr>
      </w:pPr>
      <w:r>
        <w:rPr>
          <w:rFonts w:ascii="Arial" w:cs="Arial" w:eastAsia="Arial" w:hAnsi="Arial"/>
          <w:sz w:val="16"/>
          <w:szCs w:val="16"/>
          <w:color w:val="auto"/>
        </w:rPr>
        <w:t>The weighted average yield on debt investments as of September 30, 2019 and December 31, 2018 was 12.3% and 12.6%,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September 30, 2019 and December 31, 2018, respectively, including the accretion of OID and debt investment origination fees, but excluding investments on non-accrual status, if any.</w:t>
      </w:r>
    </w:p>
    <w:p>
      <w:pPr>
        <w:spacing w:after="0" w:line="158" w:lineRule="exact"/>
        <w:rPr>
          <w:sz w:val="20"/>
          <w:szCs w:val="20"/>
          <w:color w:val="auto"/>
        </w:rPr>
      </w:pPr>
    </w:p>
    <w:p>
      <w:pPr>
        <w:ind w:left="200" w:right="380" w:firstLine="992"/>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1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tcPr>
          <w:p>
            <w:pPr>
              <w:jc w:val="center"/>
              <w:ind w:right="22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 w:type="dxa"/>
            <w:vAlign w:val="bottom"/>
          </w:tcPr>
          <w:p>
            <w:pPr>
              <w:spacing w:after="0"/>
              <w:rPr>
                <w:sz w:val="10"/>
                <w:szCs w:val="10"/>
                <w:color w:val="auto"/>
              </w:rPr>
            </w:pPr>
          </w:p>
        </w:tc>
        <w:tc>
          <w:tcPr>
            <w:tcW w:w="11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$ 380.0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Subordinated Debt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Equity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Royalty Rights</w:t>
            </w:r>
          </w:p>
        </w:tc>
        <w:tc>
          <w:tcPr>
            <w:tcW w:w="1920" w:type="dxa"/>
            <w:vAlign w:val="bottom"/>
          </w:tcPr>
          <w:p>
            <w:pPr>
              <w:spacing w:after="0"/>
              <w:rPr>
                <w:sz w:val="19"/>
                <w:szCs w:val="19"/>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$ 643.0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$ 598.8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All investments made by us as of September 30, 2019 and December 31, 2018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11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tcPr>
          <w:p>
            <w:pPr>
              <w:jc w:val="center"/>
              <w:ind w:right="22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 w:type="dxa"/>
            <w:vAlign w:val="bottom"/>
          </w:tcPr>
          <w:p>
            <w:pPr>
              <w:spacing w:after="0"/>
              <w:rPr>
                <w:sz w:val="10"/>
                <w:szCs w:val="10"/>
                <w:color w:val="auto"/>
              </w:rPr>
            </w:pPr>
          </w:p>
        </w:tc>
        <w:tc>
          <w:tcPr>
            <w:tcW w:w="11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Southeast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143.7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West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$ 729.4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$ 643.0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$ 691.5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$ 598.8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80" w:type="dxa"/>
            <w:vAlign w:val="bottom"/>
            <w:gridSpan w:val="2"/>
          </w:tcPr>
          <w:p>
            <w:pPr>
              <w:jc w:val="right"/>
              <w:ind w:right="78"/>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shows the detailed industry composition of our portfolio at fair value and cost as a percentage of total investments:</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3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Healthcare Products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Healthcare Services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Component Manufacturing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Retail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Utilities: Services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Packaging</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Building Products Manufacturing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 Manufacturing</w:t>
            </w:r>
          </w:p>
        </w:tc>
        <w:tc>
          <w:tcPr>
            <w:tcW w:w="2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Restaurants</w:t>
            </w:r>
          </w:p>
        </w:tc>
        <w:tc>
          <w:tcPr>
            <w:tcW w:w="2400" w:type="dxa"/>
            <w:vAlign w:val="bottom"/>
            <w:gridSpan w:val="3"/>
          </w:tcPr>
          <w:p>
            <w:pPr>
              <w:jc w:val="right"/>
              <w:ind w:right="50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Specialty Chemicals</w:t>
            </w:r>
          </w:p>
        </w:tc>
        <w:tc>
          <w:tcPr>
            <w:tcW w:w="8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520" w:type="dxa"/>
            <w:vAlign w:val="bottom"/>
            <w:vMerge w:val="continue"/>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1620" w:right="620" w:hanging="430"/>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6" w:lineRule="exact"/>
        <w:rPr>
          <w:rFonts w:ascii="Arial" w:cs="Arial" w:eastAsia="Arial" w:hAnsi="Arial"/>
          <w:sz w:val="18"/>
          <w:szCs w:val="18"/>
          <w:color w:val="auto"/>
        </w:rPr>
      </w:pPr>
    </w:p>
    <w:p>
      <w:pPr>
        <w:ind w:left="1620" w:right="320" w:hanging="430"/>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1620" w:hanging="430"/>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1620" w:right="300" w:hanging="430"/>
        <w:spacing w:after="0" w:line="308" w:lineRule="auto"/>
        <w:tabs>
          <w:tab w:leader="none" w:pos="1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620" w:right="860" w:hanging="430"/>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December 31, 2018 (dollars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Investment Rating</w:t>
            </w: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5"/>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118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5"/>
          </w:tcPr>
          <w:p>
            <w:pPr>
              <w:jc w:val="center"/>
              <w:ind w:right="368"/>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1060" w:type="dxa"/>
            <w:vAlign w:val="bottom"/>
            <w:gridSpan w:val="4"/>
          </w:tcPr>
          <w:p>
            <w:pPr>
              <w:jc w:val="center"/>
              <w:ind w:right="1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60" w:type="dxa"/>
            <w:vAlign w:val="bottom"/>
            <w:gridSpan w:val="2"/>
            <w:vMerge w:val="continue"/>
          </w:tcPr>
          <w:p>
            <w:pPr>
              <w:spacing w:after="0"/>
              <w:rPr>
                <w:sz w:val="13"/>
                <w:szCs w:val="13"/>
                <w:color w:val="auto"/>
              </w:rPr>
            </w:pPr>
          </w:p>
        </w:tc>
        <w:tc>
          <w:tcPr>
            <w:tcW w:w="4780" w:type="dxa"/>
            <w:vAlign w:val="bottom"/>
            <w:gridSpan w:val="5"/>
          </w:tcPr>
          <w:p>
            <w:pPr>
              <w:jc w:val="right"/>
              <w:ind w:right="20"/>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4"/>
          </w:tcPr>
          <w:p>
            <w:pPr>
              <w:jc w:val="right"/>
              <w:ind w:right="20"/>
              <w:spacing w:after="0" w:line="158"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060" w:type="dxa"/>
            <w:vAlign w:val="bottom"/>
            <w:gridSpan w:val="2"/>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406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$ 112.8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15.5%</w:t>
            </w:r>
          </w:p>
        </w:tc>
        <w:tc>
          <w:tcPr>
            <w:tcW w:w="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$ 123.8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19.2%</w:t>
            </w: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8"/>
              <w:spacing w:after="0" w:line="203"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600" w:type="dxa"/>
            <w:vAlign w:val="bottom"/>
            <w:gridSpan w:val="3"/>
          </w:tcPr>
          <w:p>
            <w:pPr>
              <w:jc w:val="right"/>
              <w:spacing w:after="0"/>
              <w:rPr>
                <w:sz w:val="20"/>
                <w:szCs w:val="20"/>
                <w:color w:val="auto"/>
              </w:rPr>
            </w:pPr>
            <w:r>
              <w:rPr>
                <w:rFonts w:ascii="Arial" w:cs="Arial" w:eastAsia="Arial" w:hAnsi="Arial"/>
                <w:sz w:val="18"/>
                <w:szCs w:val="18"/>
                <w:color w:val="auto"/>
              </w:rPr>
              <w:t>547.2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396.2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60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6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$ 729.4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$ 643.0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691.5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598.8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992"/>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September 30, 2019 and December 31, 2018 was 1.9 and 2.0, respectively, on a fair value basis and 2.2 and 2.2, respectively, on a cost basis.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200" w:right="920" w:firstLine="992"/>
        <w:spacing w:after="0" w:line="277" w:lineRule="auto"/>
        <w:rPr>
          <w:sz w:val="20"/>
          <w:szCs w:val="20"/>
          <w:color w:val="auto"/>
        </w:rPr>
      </w:pPr>
      <w:r>
        <w:rPr>
          <w:rFonts w:ascii="Arial" w:cs="Arial" w:eastAsia="Arial" w:hAnsi="Arial"/>
          <w:sz w:val="18"/>
          <w:szCs w:val="18"/>
          <w:color w:val="auto"/>
        </w:rPr>
        <w:t>As of September 30, 2019 and December 31, 2018, we had debt investments in two portfolio companies on non-accrual status, respectively (dollars in millions):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right"/>
              <w:ind w:right="363"/>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1"/>
                <w:szCs w:val="11"/>
                <w:color w:val="auto"/>
              </w:rPr>
            </w:pPr>
          </w:p>
        </w:tc>
        <w:tc>
          <w:tcPr>
            <w:tcW w:w="720" w:type="dxa"/>
            <w:vAlign w:val="bottom"/>
            <w:tcBorders>
              <w:top w:val="single" w:sz="8" w:color="auto"/>
            </w:tcBorders>
            <w:gridSpan w:val="3"/>
          </w:tcPr>
          <w:p>
            <w:pPr>
              <w:jc w:val="center"/>
              <w:ind w:right="263"/>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ind w:right="283"/>
              <w:spacing w:after="0" w:line="158"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83"/>
              <w:spacing w:after="0" w:line="158" w:lineRule="exact"/>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3"/>
                <w:szCs w:val="13"/>
                <w:color w:val="auto"/>
              </w:rPr>
            </w:pPr>
          </w:p>
        </w:tc>
        <w:tc>
          <w:tcPr>
            <w:tcW w:w="7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3"/>
                <w:szCs w:val="13"/>
                <w:color w:val="auto"/>
              </w:rPr>
            </w:pPr>
          </w:p>
        </w:tc>
        <w:tc>
          <w:tcPr>
            <w:tcW w:w="6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K2 Industrial Services, Inc.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87"/>
              </w:rPr>
              <w:t>(1)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$ 13.2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$ 14.3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Oaktree Medical Centre, P.C. (dba Pain Management Associates)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13.8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32.8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$ 20.8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2019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Below is a summary of the changes in total investment income for the three months ended September 30, 2019 as compared to the same period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(dollars in millions):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5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three months ended September 30, 2019, total investment income was $19.2 million, an increase of $1.3 million, or 7.4%, from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$17.9 million of total investment income for the three months ended September 30, 2018. As reflected in the table above, changes across periods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primarily attributable to the following:</w:t>
      </w:r>
    </w:p>
    <w:p>
      <w:pPr>
        <w:spacing w:after="0" w:line="116" w:lineRule="exact"/>
        <w:rPr>
          <w:sz w:val="20"/>
          <w:szCs w:val="20"/>
          <w:color w:val="auto"/>
        </w:rPr>
      </w:pPr>
    </w:p>
    <w:p>
      <w:pPr>
        <w:ind w:left="2280" w:right="260" w:hanging="645"/>
        <w:spacing w:after="0" w:line="264" w:lineRule="auto"/>
        <w:tabs>
          <w:tab w:leader="none" w:pos="2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 million increase in total interest income (including payment-in-kind interest income) resulting from higher average debt investment balances outstanding, partially offset by a small decrease in weighted average debt yield, during 2019 as compared to 2018.</w:t>
      </w:r>
    </w:p>
    <w:p>
      <w:pPr>
        <w:spacing w:after="0" w:line="86" w:lineRule="exact"/>
        <w:rPr>
          <w:rFonts w:ascii="Arial" w:cs="Arial" w:eastAsia="Arial" w:hAnsi="Arial"/>
          <w:sz w:val="18"/>
          <w:szCs w:val="18"/>
          <w:color w:val="auto"/>
        </w:rPr>
      </w:pPr>
    </w:p>
    <w:p>
      <w:pPr>
        <w:ind w:left="2280" w:right="520" w:hanging="645"/>
        <w:spacing w:after="0" w:line="277" w:lineRule="auto"/>
        <w:tabs>
          <w:tab w:leader="none" w:pos="2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$0.2 million increase in fee income resulting from an increase in structuring fees on new investments, during 2019 as compared to 2018.</w:t>
      </w:r>
    </w:p>
    <w:p>
      <w:pPr>
        <w:spacing w:after="0" w:line="75" w:lineRule="exact"/>
        <w:rPr>
          <w:rFonts w:ascii="Arial" w:cs="Arial" w:eastAsia="Arial" w:hAnsi="Arial"/>
          <w:sz w:val="18"/>
          <w:szCs w:val="18"/>
          <w:color w:val="auto"/>
        </w:rPr>
      </w:pPr>
    </w:p>
    <w:p>
      <w:pPr>
        <w:ind w:left="2280" w:right="460" w:hanging="645"/>
        <w:spacing w:after="0" w:line="277" w:lineRule="auto"/>
        <w:tabs>
          <w:tab w:leader="none" w:pos="2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$(0.4) million decrease in dividend income, during 2019 as compared to 2018, due to decreased levels of distributions received from equity investments.</w:t>
      </w:r>
    </w:p>
    <w:p>
      <w:pPr>
        <w:sectPr>
          <w:pgSz w:w="11900" w:h="16838" w:orient="portrait"/>
          <w:cols w:equalWidth="0" w:num="1">
            <w:col w:w="11240"/>
          </w:cols>
          <w:pgMar w:left="240" w:top="459" w:right="419" w:bottom="865" w:gutter="0" w:footer="0" w:header="0"/>
        </w:sect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240" w:top="459" w:right="419" w:bottom="865"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992"/>
        <w:spacing w:after="0" w:line="277" w:lineRule="auto"/>
        <w:rPr>
          <w:sz w:val="20"/>
          <w:szCs w:val="20"/>
          <w:color w:val="auto"/>
        </w:rPr>
      </w:pPr>
      <w:r>
        <w:rPr>
          <w:rFonts w:ascii="Arial" w:cs="Arial" w:eastAsia="Arial" w:hAnsi="Arial"/>
          <w:sz w:val="18"/>
          <w:szCs w:val="18"/>
          <w:color w:val="auto"/>
        </w:rPr>
        <w:t>Below is a summary of the changes in total investment income for the nine months ended September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6"/>
              </w:rPr>
              <w:t>Nine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5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Fee income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57.6</w:t>
            </w: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54.2</w:t>
            </w: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For the nine months ended September 30, 2019, total investment income was $57.6 million, an increase of $3.4 million or 6.2%, from the $54.2 million of total investment income for the nine months ended September 30, 2018. As reflected in the table above, the increase is primarily attributable to the following:</w:t>
      </w:r>
    </w:p>
    <w:p>
      <w:pPr>
        <w:spacing w:after="0" w:line="87" w:lineRule="exact"/>
        <w:rPr>
          <w:sz w:val="20"/>
          <w:szCs w:val="20"/>
          <w:color w:val="auto"/>
        </w:rPr>
      </w:pPr>
    </w:p>
    <w:p>
      <w:pPr>
        <w:ind w:left="2280" w:right="120" w:hanging="645"/>
        <w:spacing w:after="0" w:line="264" w:lineRule="auto"/>
        <w:tabs>
          <w:tab w:leader="none" w:pos="2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$2.7 million increase in total interest income (including payment-in-kind interest income) resulting from higher average debt investment balances outstanding, partially offset by a small decrease in weighted average debt yield, during 2019 as compared to 2018.</w:t>
      </w:r>
    </w:p>
    <w:p>
      <w:pPr>
        <w:spacing w:after="0" w:line="86" w:lineRule="exact"/>
        <w:rPr>
          <w:rFonts w:ascii="Arial" w:cs="Arial" w:eastAsia="Arial" w:hAnsi="Arial"/>
          <w:sz w:val="18"/>
          <w:szCs w:val="18"/>
          <w:color w:val="auto"/>
        </w:rPr>
      </w:pPr>
    </w:p>
    <w:p>
      <w:pPr>
        <w:ind w:left="2280" w:right="300" w:hanging="645"/>
        <w:spacing w:after="0" w:line="308" w:lineRule="auto"/>
        <w:tabs>
          <w:tab w:leader="none" w:pos="2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$0.8 million increase in fee income resulting from an increase in structuring fees due to a comparative increase in new investments and an increase in prepayment fee income, during 2019 as compared to 2018.</w:t>
      </w:r>
    </w:p>
    <w:p>
      <w:pPr>
        <w:spacing w:after="0" w:line="51" w:lineRule="exact"/>
        <w:rPr>
          <w:rFonts w:ascii="Arial" w:cs="Arial" w:eastAsia="Arial" w:hAnsi="Arial"/>
          <w:sz w:val="17"/>
          <w:szCs w:val="17"/>
          <w:color w:val="auto"/>
        </w:rPr>
      </w:pPr>
    </w:p>
    <w:p>
      <w:pPr>
        <w:ind w:left="2280" w:right="320" w:hanging="645"/>
        <w:spacing w:after="0" w:line="277" w:lineRule="auto"/>
        <w:tabs>
          <w:tab w:leader="none" w:pos="2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$(0.1) million decrease in dividend income, during 2019 as compared to 2018, due to decreased levels of distributions received from equity investments.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200" w:right="60" w:firstLine="992"/>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September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For the three months ended September 30, 2019, total expenses, including income tax provision, were $11.8 million, an increase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 million, or 13.9%, from the $10.4 million of total expenses, including income tax provision, for the three months ended September 30, 2018.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reflected in the table above, the increase is primarily attributable to the following:</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240" w:top="459"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80" w:right="540" w:hanging="645"/>
        <w:spacing w:after="0" w:line="308" w:lineRule="auto"/>
        <w:tabs>
          <w:tab w:leader="none" w:pos="2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$1.3 million increase in interest and financing expenses due to an increase in average borrowings outstanding and an increase in weighted average interest rate on borrowings during 2019 as compared to 2018.</w:t>
      </w:r>
    </w:p>
    <w:p>
      <w:pPr>
        <w:spacing w:after="0" w:line="51" w:lineRule="exact"/>
        <w:rPr>
          <w:rFonts w:ascii="Arial" w:cs="Arial" w:eastAsia="Arial" w:hAnsi="Arial"/>
          <w:sz w:val="17"/>
          <w:szCs w:val="17"/>
          <w:color w:val="auto"/>
        </w:rPr>
      </w:pPr>
    </w:p>
    <w:p>
      <w:pPr>
        <w:ind w:left="2280" w:hanging="645"/>
        <w:spacing w:after="0"/>
        <w:tabs>
          <w:tab w:leader="none" w:pos="2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$0.3 million increase in base management fee due to higher average total assets during 2019 as compared to 2018.</w:t>
      </w:r>
    </w:p>
    <w:p>
      <w:pPr>
        <w:spacing w:after="0" w:line="142" w:lineRule="exact"/>
        <w:rPr>
          <w:rFonts w:ascii="Arial" w:cs="Arial" w:eastAsia="Arial" w:hAnsi="Arial"/>
          <w:sz w:val="17"/>
          <w:szCs w:val="17"/>
          <w:color w:val="auto"/>
        </w:rPr>
      </w:pPr>
    </w:p>
    <w:p>
      <w:pPr>
        <w:ind w:left="2280" w:hanging="645"/>
        <w:spacing w:after="0" w:line="286" w:lineRule="auto"/>
        <w:tabs>
          <w:tab w:leader="none" w:pos="2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$(0.2) million decrease in the capital gains incentive fee due to a $(0.8) million change in net gain (loss) on investments (net realized gains (losses), plus net change in unrealized appreciation (depreciation) on investments, plus realized losses on extinguishment of debt) during 2019, as compared to the same period in 2018.</w:t>
      </w:r>
    </w:p>
    <w:p>
      <w:pPr>
        <w:spacing w:after="0" w:line="166" w:lineRule="exact"/>
        <w:rPr>
          <w:sz w:val="20"/>
          <w:szCs w:val="20"/>
          <w:color w:val="auto"/>
        </w:rPr>
      </w:pPr>
    </w:p>
    <w:p>
      <w:pPr>
        <w:ind w:left="200" w:right="240" w:firstLine="992"/>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nine months ended September 30, 2019 as compared to the same period in 2018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Nine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30.3</w:t>
            </w: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For the nine months ended September 30, 2019, total expenses, including income tax provision, were $31.0 million, an increase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$0.7 million, or 2.5%, from the $30.3 million of total expenses, including income tax provision, for the nine months ended September 30, 2018. 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reflected in the table above, the increase is primarily attributable to the following:</w:t>
      </w:r>
    </w:p>
    <w:p>
      <w:pPr>
        <w:spacing w:after="0" w:line="116" w:lineRule="exact"/>
        <w:rPr>
          <w:sz w:val="20"/>
          <w:szCs w:val="20"/>
          <w:color w:val="auto"/>
        </w:rPr>
      </w:pPr>
    </w:p>
    <w:p>
      <w:pPr>
        <w:ind w:left="2280" w:right="540" w:hanging="645"/>
        <w:spacing w:after="0" w:line="308" w:lineRule="auto"/>
        <w:tabs>
          <w:tab w:leader="none" w:pos="2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$3.1 million increase in interest and financing expenses due to an increase in average borrowings outstanding and an increase in weighted average interest rate on borrowings during 2019 as compared to 2018.</w:t>
      </w:r>
    </w:p>
    <w:p>
      <w:pPr>
        <w:spacing w:after="0" w:line="51" w:lineRule="exact"/>
        <w:rPr>
          <w:rFonts w:ascii="Arial" w:cs="Arial" w:eastAsia="Arial" w:hAnsi="Arial"/>
          <w:sz w:val="17"/>
          <w:szCs w:val="17"/>
          <w:color w:val="auto"/>
        </w:rPr>
      </w:pPr>
    </w:p>
    <w:p>
      <w:pPr>
        <w:ind w:left="2280" w:hanging="645"/>
        <w:spacing w:after="0"/>
        <w:tabs>
          <w:tab w:leader="none" w:pos="2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$0.7 million increase in base management fee due to higher average total assets during 2019 as compared to 2018.</w:t>
      </w:r>
    </w:p>
    <w:p>
      <w:pPr>
        <w:spacing w:after="0" w:line="142" w:lineRule="exact"/>
        <w:rPr>
          <w:rFonts w:ascii="Arial" w:cs="Arial" w:eastAsia="Arial" w:hAnsi="Arial"/>
          <w:sz w:val="17"/>
          <w:szCs w:val="17"/>
          <w:color w:val="auto"/>
        </w:rPr>
      </w:pPr>
    </w:p>
    <w:p>
      <w:pPr>
        <w:ind w:left="2280" w:right="20" w:hanging="645"/>
        <w:spacing w:after="0" w:line="277" w:lineRule="auto"/>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$0.2 million increase in professional fees due to increased legal, audit and tax compliance costs during 2019 as compared to 2018.</w:t>
      </w:r>
    </w:p>
    <w:p>
      <w:pPr>
        <w:spacing w:after="0" w:line="75" w:lineRule="exact"/>
        <w:rPr>
          <w:rFonts w:ascii="Arial" w:cs="Arial" w:eastAsia="Arial" w:hAnsi="Arial"/>
          <w:sz w:val="18"/>
          <w:szCs w:val="18"/>
          <w:color w:val="auto"/>
        </w:rPr>
      </w:pPr>
    </w:p>
    <w:p>
      <w:pPr>
        <w:ind w:left="2280" w:right="220" w:hanging="645"/>
        <w:spacing w:after="0" w:line="264" w:lineRule="auto"/>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$(2.3) million decrease in the capital gains incentive fee due to a $(11.6) million change in net gain (loss) on investments (net realized gains (losses) plus net change in unrealized appreciation (depreciation) on investments) during 2019, as compared to the same period in 2018.</w:t>
      </w:r>
    </w:p>
    <w:p>
      <w:pPr>
        <w:spacing w:after="0" w:line="86" w:lineRule="exact"/>
        <w:rPr>
          <w:rFonts w:ascii="Arial" w:cs="Arial" w:eastAsia="Arial" w:hAnsi="Arial"/>
          <w:sz w:val="18"/>
          <w:szCs w:val="18"/>
          <w:color w:val="auto"/>
        </w:rPr>
      </w:pPr>
    </w:p>
    <w:p>
      <w:pPr>
        <w:ind w:left="2280" w:right="160" w:hanging="645"/>
        <w:spacing w:after="0" w:line="264" w:lineRule="auto"/>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$(0.7) million decrease in the income incentive fee due to a $(0.4) million decrease in pre-incentive fee net investment income, during 2019 as compared to the same period in 2018, and the Q2 2019 fee amount not exceeding the 2.5% hurdle rate.</w:t>
      </w:r>
    </w:p>
    <w:p>
      <w:pPr>
        <w:spacing w:after="0" w:line="86" w:lineRule="exact"/>
        <w:rPr>
          <w:rFonts w:ascii="Arial" w:cs="Arial" w:eastAsia="Arial" w:hAnsi="Arial"/>
          <w:sz w:val="18"/>
          <w:szCs w:val="18"/>
          <w:color w:val="auto"/>
        </w:rPr>
      </w:pPr>
    </w:p>
    <w:p>
      <w:pPr>
        <w:ind w:left="2280" w:right="840" w:hanging="645"/>
        <w:spacing w:after="0" w:line="308" w:lineRule="auto"/>
        <w:tabs>
          <w:tab w:leader="none" w:pos="22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$(0.3) million decrease in other general and administrative expenses during 2019, as 2018 included a non-recurring write-off of deferred equity offering costs related to our previous Form N-2 registration statement.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200" w:right="360" w:firstLine="992"/>
        <w:spacing w:after="0" w:line="264" w:lineRule="auto"/>
        <w:rPr>
          <w:sz w:val="20"/>
          <w:szCs w:val="20"/>
          <w:color w:val="auto"/>
        </w:rPr>
      </w:pPr>
      <w:r>
        <w:rPr>
          <w:rFonts w:ascii="Arial" w:cs="Arial" w:eastAsia="Arial" w:hAnsi="Arial"/>
          <w:sz w:val="18"/>
          <w:szCs w:val="18"/>
          <w:color w:val="auto"/>
        </w:rPr>
        <w:t>Net investment income decreased by $(0.1) million, or (1.6)%, to $7.4 million during the three months ended September 30, 2019 as compared to the same period in 2018, as a result of the $1.3 million increase in total investment income and more than offset by the increase in total expenses, including income tax provision, of $1.4 million.</w:t>
      </w:r>
    </w:p>
    <w:p>
      <w:pPr>
        <w:spacing w:after="0" w:line="181" w:lineRule="exact"/>
        <w:rPr>
          <w:sz w:val="20"/>
          <w:szCs w:val="20"/>
          <w:color w:val="auto"/>
        </w:rPr>
      </w:pPr>
    </w:p>
    <w:p>
      <w:pPr>
        <w:ind w:left="200" w:right="480" w:firstLine="992"/>
        <w:spacing w:after="0" w:line="264" w:lineRule="auto"/>
        <w:rPr>
          <w:sz w:val="20"/>
          <w:szCs w:val="20"/>
          <w:color w:val="auto"/>
        </w:rPr>
      </w:pPr>
      <w:r>
        <w:rPr>
          <w:rFonts w:ascii="Arial" w:cs="Arial" w:eastAsia="Arial" w:hAnsi="Arial"/>
          <w:sz w:val="18"/>
          <w:szCs w:val="18"/>
          <w:color w:val="auto"/>
        </w:rPr>
        <w:t>Net investment income increased by $2.6 million, or 11.0%, to $26.6 million during the nine months ended September 30, 2019 as compared to the same period in 2018, as a result of the $3.4 million increase in total investment income and partially offset by the increase in total expenses, including income tax provision, of $0.7 million.</w:t>
      </w:r>
    </w:p>
    <w:p>
      <w:pPr>
        <w:sectPr>
          <w:pgSz w:w="11900" w:h="16838" w:orient="portrait"/>
          <w:cols w:equalWidth="0" w:num="1">
            <w:col w:w="11220"/>
          </w:cols>
          <w:pgMar w:left="240" w:top="459" w:right="439"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24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three and nine months ended September 30, 2019, the total net realized gain (loss) on investments, before income tax provision on realized gains, was $10.5 million and $8.8 million, respectively. Income tax (provision) benefit from realized gains on investments was $0.1 and $(0.2) million for the three and nine months ended September 30, 2019, respectively. Significant realized gains (losses) for the three and nine months ended September 30, 2019 are summarized below (dollars in millions):</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Period Ended September 30, 2019</w:t>
            </w:r>
          </w:p>
        </w:tc>
        <w:tc>
          <w:tcPr>
            <w:tcW w:w="0" w:type="dxa"/>
            <w:vAlign w:val="bottom"/>
          </w:tcPr>
          <w:p>
            <w:pPr>
              <w:spacing w:after="0"/>
              <w:rPr>
                <w:sz w:val="1"/>
                <w:szCs w:val="1"/>
                <w:color w:val="auto"/>
              </w:rPr>
            </w:pPr>
          </w:p>
        </w:tc>
      </w:tr>
      <w:tr>
        <w:trPr>
          <w:trHeight w:val="11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198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22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Three</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Nine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Wolf Organization, LLC</w:t>
            </w:r>
          </w:p>
        </w:tc>
        <w:tc>
          <w:tcPr>
            <w:tcW w:w="36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Vanguard Dealer Services, L.L.C.</w:t>
            </w:r>
          </w:p>
        </w:tc>
        <w:tc>
          <w:tcPr>
            <w:tcW w:w="3580" w:type="dxa"/>
            <w:vAlign w:val="bottom"/>
            <w:gridSpan w:val="3"/>
          </w:tcPr>
          <w:p>
            <w:pPr>
              <w:ind w:left="360"/>
              <w:spacing w:after="0"/>
              <w:rPr>
                <w:sz w:val="20"/>
                <w:szCs w:val="20"/>
                <w:color w:val="auto"/>
              </w:rPr>
            </w:pPr>
            <w:r>
              <w:rPr>
                <w:rFonts w:ascii="Arial" w:cs="Arial" w:eastAsia="Arial" w:hAnsi="Arial"/>
                <w:sz w:val="18"/>
                <w:szCs w:val="18"/>
                <w:color w:val="auto"/>
              </w:rPr>
              <w:t>Sale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Era Technology, Inc.</w:t>
            </w:r>
          </w:p>
        </w:tc>
        <w:tc>
          <w:tcPr>
            <w:tcW w:w="35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Malabar International</w:t>
            </w:r>
          </w:p>
        </w:tc>
        <w:tc>
          <w:tcPr>
            <w:tcW w:w="35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Escrow distribution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inthinc Technology Solutions, Inc.</w:t>
            </w:r>
          </w:p>
        </w:tc>
        <w:tc>
          <w:tcPr>
            <w:tcW w:w="3580" w:type="dxa"/>
            <w:vAlign w:val="bottom"/>
            <w:gridSpan w:val="3"/>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Trantech Radiator Products, Inc.</w:t>
            </w:r>
          </w:p>
        </w:tc>
        <w:tc>
          <w:tcPr>
            <w:tcW w:w="35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Consolidated Infrastructure Group</w:t>
            </w: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Holdings, LP</w:t>
            </w:r>
          </w:p>
        </w:tc>
        <w:tc>
          <w:tcPr>
            <w:tcW w:w="3580" w:type="dxa"/>
            <w:vAlign w:val="bottom"/>
            <w:gridSpan w:val="3"/>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Industrial Services, Inc.</w:t>
            </w:r>
          </w:p>
        </w:tc>
        <w:tc>
          <w:tcPr>
            <w:tcW w:w="35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(provision) benefit from realized gains on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760" w:type="dxa"/>
            <w:vAlign w:val="bottom"/>
            <w:gridSpan w:val="5"/>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40" w:hanging="436"/>
        <w:spacing w:after="0" w:line="25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three and nine months ended September 30, 2018, the total net realized gain (loss) on investments, before income tax provision on realized gains, was $(7.2) million and $(15.2) million, respectively. Income tax (provision) benefit from realized gains on investments was $0.3 and $(1.4) million for the three and nine months ended September 30, 2018, respectively. Significant realized gains (losses) for the three and nine months ended September 30, 2018 are summarized below (dollars in millions):</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Period Ended September 30, 2018</w:t>
            </w:r>
          </w:p>
        </w:tc>
        <w:tc>
          <w:tcPr>
            <w:tcW w:w="0" w:type="dxa"/>
            <w:vAlign w:val="bottom"/>
          </w:tcPr>
          <w:p>
            <w:pPr>
              <w:spacing w:after="0"/>
              <w:rPr>
                <w:sz w:val="1"/>
                <w:szCs w:val="1"/>
                <w:color w:val="auto"/>
              </w:rPr>
            </w:pPr>
          </w:p>
        </w:tc>
      </w:tr>
      <w:tr>
        <w:trPr>
          <w:trHeight w:val="11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2380" w:type="dxa"/>
            <w:vAlign w:val="bottom"/>
            <w:vMerge w:val="restart"/>
          </w:tcPr>
          <w:p>
            <w:pPr>
              <w:spacing w:after="0"/>
              <w:rPr>
                <w:sz w:val="10"/>
                <w:szCs w:val="10"/>
                <w:color w:val="auto"/>
              </w:rPr>
            </w:pPr>
          </w:p>
        </w:tc>
        <w:tc>
          <w:tcPr>
            <w:tcW w:w="32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Three</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Nine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World Wide Packaging, LLC</w:t>
            </w:r>
          </w:p>
        </w:tc>
        <w:tc>
          <w:tcPr>
            <w:tcW w:w="2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Malabar International</w:t>
            </w:r>
          </w:p>
        </w:tc>
        <w:tc>
          <w:tcPr>
            <w:tcW w:w="3240" w:type="dxa"/>
            <w:vAlign w:val="bottom"/>
            <w:gridSpan w:val="2"/>
          </w:tcPr>
          <w:p>
            <w:pPr>
              <w:spacing w:after="0"/>
              <w:rPr>
                <w:sz w:val="20"/>
                <w:szCs w:val="20"/>
                <w:color w:val="auto"/>
              </w:rPr>
            </w:pPr>
            <w:r>
              <w:rPr>
                <w:rFonts w:ascii="Arial" w:cs="Arial" w:eastAsia="Arial" w:hAnsi="Arial"/>
                <w:sz w:val="18"/>
                <w:szCs w:val="18"/>
                <w:color w:val="auto"/>
              </w:rPr>
              <w:t>Escrow distribution</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tax character true-up</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Ice House America,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Exit of portfolio company</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IOS Acquisitions, Inc.</w:t>
            </w:r>
          </w:p>
        </w:tc>
        <w:tc>
          <w:tcPr>
            <w:tcW w:w="3240" w:type="dxa"/>
            <w:vAlign w:val="bottom"/>
            <w:gridSpan w:val="2"/>
          </w:tcPr>
          <w:p>
            <w:pPr>
              <w:spacing w:after="0"/>
              <w:rPr>
                <w:sz w:val="20"/>
                <w:szCs w:val="20"/>
                <w:color w:val="auto"/>
              </w:rPr>
            </w:pPr>
            <w:r>
              <w:rPr>
                <w:rFonts w:ascii="Arial" w:cs="Arial" w:eastAsia="Arial" w:hAnsi="Arial"/>
                <w:sz w:val="18"/>
                <w:szCs w:val="18"/>
                <w:color w:val="auto"/>
              </w:rPr>
              <w:t>Exit of portfolio company</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Inflexxion, Inc.</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Exit of portfolio company</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Cavallo Bus Lines Holdings,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Exit of portfolio company</w:t>
            </w: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 Smiles Holdings, Inc.</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Exit of portfolio company</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2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(provision) benefit from realized gains on investments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820" w:type="dxa"/>
            <w:vAlign w:val="bottom"/>
            <w:gridSpan w:val="4"/>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40" w:hanging="436"/>
        <w:spacing w:after="0" w:line="25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During the three and nine months ended September 30, 2019 and 2018, we recorded a net change in unrealized appreciation (depreciation) on investments attributable to the following (dollars in millions):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67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2019</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89"/>
              </w:rPr>
              <w:t>2019</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3"/>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Net increase in net assets resulting from operations during the three months ended September 30, 2019 and 2018 was $13.9 million and $14.8 million, respectively, as a result of the events described above.</w:t>
      </w:r>
    </w:p>
    <w:p>
      <w:pPr>
        <w:spacing w:after="0" w:line="170"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Net increase in net assets resulting from operations during the nine months ended September 30, 2019 and 2018 was $28.5 million and $37.5 million, respectively, as a result of the events described above.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September 30, 2019, we had $17.5 million in cash and cash equivalents and our net assets totaled $402.8 million. We believe that our current cash and cash equivalents on hand, our continued access to SBA-guaranteed debentures, our Credit Facility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nine months ended September 30, 2019, we repaid $41.0 million of SBA debentures which would have matured during the period September 1, 2021 through March 1, 2025. Our remaining outstanding SBA debentures continue to mature in 2024 and subsequent years through 2029, which will require repayment on or before the respective maturity dates.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For the nine months ended September 30, 2019, we experienced a net decrease in cash and cash equivalents in the amount of $24.5 million. During that period, we used $57.2 million of cash for operating activities, which included the funding of $175.5 million of investments, which were partially offset by proceeds received from sales and repayments of investments of $98.8 million. During the same period, we received proceeds from the issuances of SBA debentures of $7.5 million, proceeds from the issuance of our Public Notes of $69.0 million, and proceeds from net borrowings under our Credit Facility of $30.0 million; which were partially offset by repayments of SBA debentures of $41.0 million, cash dividends paid to stockholders of $28.6 million, and the payment of deferred financing costs related to our debt financings of $4.2 million.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September 30, 2019, Fund I, Fund II and Fund III had zero, $150.0 million and $7.5 million of outstanding SBA debentures, respectively. As of September 9, 2019, Fund I has completed a wind-down plan, relinquished its SBIC license and can no longer issue additional SBA debentures. Subject to SBA regulatory requirements and approval, Fund III may access up to $167.5 million of additional SBA debentures under the SBIC debenture program. For more information on the SBA debentures, please refer to Note 6 to our consolidated financial statements.</w:t>
      </w:r>
    </w:p>
    <w:p>
      <w:pPr>
        <w:sectPr>
          <w:pgSz w:w="11900" w:h="16838" w:orient="portrait"/>
          <w:cols w:equalWidth="0" w:num="1">
            <w:col w:w="11220"/>
          </w:cols>
          <w:pgMar w:left="240" w:top="459" w:right="439" w:bottom="1440" w:gutter="0" w:footer="0" w:header="0"/>
        </w:sectPr>
      </w:pP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24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The Credit Facility is secured by substantially all of our assets, excluding the assets of the Funds.</w:t>
      </w:r>
    </w:p>
    <w:p>
      <w:pPr>
        <w:spacing w:after="0" w:line="181"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200" w:right="160" w:firstLine="4"/>
        <w:spacing w:after="0" w:line="271" w:lineRule="auto"/>
        <w:tabs>
          <w:tab w:leader="none" w:pos="4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The Credit Facility is secured by a first priority security interest in all of our assets, excluding the assets of our SBIC subsidiaries.</w:t>
      </w:r>
    </w:p>
    <w:p>
      <w:pPr>
        <w:spacing w:after="0" w:line="17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2019, we were in compliance with all covenants of the Credit Facility and there were $66.5 million of borrowings outstanding under the Credit Facility.</w:t>
      </w:r>
    </w:p>
    <w:p>
      <w:pPr>
        <w:spacing w:after="0" w:line="295"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Public Notes</w:t>
      </w:r>
    </w:p>
    <w:p>
      <w:pPr>
        <w:spacing w:after="0" w:line="117" w:lineRule="exact"/>
        <w:rPr>
          <w:sz w:val="20"/>
          <w:szCs w:val="20"/>
          <w:color w:val="auto"/>
        </w:rPr>
      </w:pPr>
    </w:p>
    <w:p>
      <w:pPr>
        <w:ind w:left="200" w:right="40" w:firstLine="992"/>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pacing w:after="0" w:line="171" w:lineRule="exact"/>
        <w:rPr>
          <w:sz w:val="20"/>
          <w:szCs w:val="20"/>
          <w:color w:val="auto"/>
        </w:rPr>
      </w:pPr>
    </w:p>
    <w:p>
      <w:pPr>
        <w:jc w:val="both"/>
        <w:ind w:left="200" w:right="240" w:firstLine="992"/>
        <w:spacing w:after="0" w:line="279" w:lineRule="auto"/>
        <w:rPr>
          <w:sz w:val="20"/>
          <w:szCs w:val="20"/>
          <w:color w:val="auto"/>
        </w:rPr>
      </w:pPr>
      <w:r>
        <w:rPr>
          <w:rFonts w:ascii="Arial" w:cs="Arial" w:eastAsia="Arial" w:hAnsi="Arial"/>
          <w:sz w:val="17"/>
          <w:szCs w:val="17"/>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September 30, 2019, the outstanding principal balance of the 2023 Notes was $50.0 million.</w:t>
      </w:r>
    </w:p>
    <w:p>
      <w:pPr>
        <w:spacing w:after="0" w:line="171" w:lineRule="exact"/>
        <w:rPr>
          <w:sz w:val="20"/>
          <w:szCs w:val="20"/>
          <w:color w:val="auto"/>
        </w:rPr>
      </w:pPr>
    </w:p>
    <w:p>
      <w:pPr>
        <w:ind w:left="200" w:right="40" w:firstLine="992"/>
        <w:spacing w:after="0" w:line="257" w:lineRule="auto"/>
        <w:rPr>
          <w:sz w:val="20"/>
          <w:szCs w:val="20"/>
          <w:color w:val="auto"/>
        </w:rPr>
      </w:pPr>
      <w:r>
        <w:rPr>
          <w:rFonts w:ascii="Arial" w:cs="Arial" w:eastAsia="Arial" w:hAnsi="Arial"/>
          <w:sz w:val="18"/>
          <w:szCs w:val="18"/>
          <w:color w:val="auto"/>
        </w:rPr>
        <w:t>On February 8, 2019, we closed the public offering of approximately $60.0 million in aggregate principal amount of our 6.000% notes due 2024, or the “February 2024 Notes” (and collectively with the 2023 Notes, the “Public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w:t>
      </w:r>
    </w:p>
    <w:p>
      <w:pPr>
        <w:spacing w:after="0" w:line="188"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The February 2024 Notes will mature on February 15, 2024 and bear interest at a rate of 6.000%. The February 2024 Notes may be redeemed in whole or in part at any time or from time to time at our option on or after February 15, 2021. Interest on the February 2024 Notes is payable quarterly on February 15, May 15, August 15 and November 15 of each year, beginning May 15, 2019. The February 2024 Notes are listed on the NASDAQ Global Select Market under the trading symbol “FDUSZ.” As of September 30, 2019, the outstanding principal balance of the February 2024 Notes was $69.0 million.</w:t>
      </w:r>
    </w:p>
    <w:p>
      <w:pPr>
        <w:spacing w:after="0" w:line="188" w:lineRule="exact"/>
        <w:rPr>
          <w:sz w:val="20"/>
          <w:szCs w:val="20"/>
          <w:color w:val="auto"/>
        </w:rPr>
      </w:pPr>
    </w:p>
    <w:p>
      <w:pPr>
        <w:ind w:left="200" w:right="140" w:firstLine="992"/>
        <w:spacing w:after="0" w:line="259"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24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312" w:lineRule="auto"/>
        <w:rPr>
          <w:sz w:val="20"/>
          <w:szCs w:val="20"/>
          <w:color w:val="auto"/>
        </w:rPr>
      </w:pPr>
      <w:r>
        <w:rPr>
          <w:rFonts w:ascii="Arial" w:cs="Arial" w:eastAsia="Arial" w:hAnsi="Arial"/>
          <w:sz w:val="16"/>
          <w:szCs w:val="16"/>
          <w:color w:val="auto"/>
        </w:rPr>
        <w:t>As of September 30, 2019, the weighted average stated interest rates for our SBA debentures, the Public Notes and the Credit Facility were 3.392%, 5.947% and 5.063%, respectively. As of September 30, 2019, we had $33.5 million of unutilized commitment under our Credit Facility, and we were subject to a 0.500% fee on such amount. As of September 30, 2019, the weighted average stated interest rate on total debt outstanding was 4.602%.</w:t>
      </w:r>
    </w:p>
    <w:p>
      <w:pPr>
        <w:spacing w:after="0" w:line="147" w:lineRule="exact"/>
        <w:rPr>
          <w:sz w:val="20"/>
          <w:szCs w:val="20"/>
          <w:color w:val="auto"/>
        </w:rPr>
      </w:pPr>
    </w:p>
    <w:p>
      <w:pPr>
        <w:ind w:left="200" w:right="20" w:firstLine="992"/>
        <w:spacing w:after="0" w:line="288" w:lineRule="auto"/>
        <w:rPr>
          <w:sz w:val="20"/>
          <w:szCs w:val="20"/>
          <w:color w:val="auto"/>
        </w:rPr>
      </w:pPr>
      <w:r>
        <w:rPr>
          <w:rFonts w:ascii="Arial" w:cs="Arial" w:eastAsia="Arial" w:hAnsi="Arial"/>
          <w:sz w:val="16"/>
          <w:szCs w:val="16"/>
          <w:color w:val="auto"/>
        </w:rPr>
        <w:t>As a BDC, we are generally required to meet an asset coverage ratio of at least 200.0%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U.S. Securities and Exchange Commission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the one-year anniversary of such approval.</w:t>
      </w:r>
    </w:p>
    <w:p>
      <w:pPr>
        <w:spacing w:after="0" w:line="169" w:lineRule="exact"/>
        <w:rPr>
          <w:sz w:val="20"/>
          <w:szCs w:val="20"/>
          <w:color w:val="auto"/>
        </w:rPr>
      </w:pPr>
    </w:p>
    <w:p>
      <w:pPr>
        <w:jc w:val="both"/>
        <w:ind w:left="200" w:right="380" w:firstLine="992"/>
        <w:spacing w:after="0" w:line="286" w:lineRule="auto"/>
        <w:rPr>
          <w:sz w:val="20"/>
          <w:szCs w:val="20"/>
          <w:color w:val="auto"/>
        </w:rPr>
      </w:pPr>
      <w:r>
        <w:rPr>
          <w:rFonts w:ascii="Arial" w:cs="Arial" w:eastAsia="Arial" w:hAnsi="Arial"/>
          <w:sz w:val="17"/>
          <w:szCs w:val="17"/>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166" w:lineRule="exact"/>
        <w:rPr>
          <w:sz w:val="20"/>
          <w:szCs w:val="20"/>
          <w:color w:val="auto"/>
        </w:rPr>
      </w:pPr>
    </w:p>
    <w:p>
      <w:pPr>
        <w:ind w:left="200" w:firstLine="992"/>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19, 2019, our stockholders voted to allow us to sell or otherwise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Our stockholders specified that the cumulative number of shares sold in each offering during the one-year period ending on the earlier of June 19, 2020 or the date of our 2020 Annual Meeting of Stockholders may not exceed 25.0% of our outstanding common stock immediately prior to each such sale.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20" w:firstLine="992"/>
        <w:spacing w:after="0" w:line="287"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nine months ended September 30, 2019. During the three and nine months ended September 30, 2018, we repurchased zero and 44,821 shares of common stock, respectively, on the open market for zero and $0.6 million, respectively. Refer to Note 8 to our consolidated financial statements for additional information concerning stock repurchases.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100" w:firstLine="99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200" w:right="520" w:firstLine="992"/>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992"/>
        <w:spacing w:after="0" w:line="255" w:lineRule="auto"/>
        <w:rPr>
          <w:sz w:val="20"/>
          <w:szCs w:val="20"/>
          <w:color w:val="auto"/>
        </w:rPr>
      </w:pPr>
      <w:r>
        <w:rPr>
          <w:rFonts w:ascii="Arial" w:cs="Arial" w:eastAsia="Arial" w:hAnsi="Arial"/>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89" w:lineRule="exact"/>
        <w:rPr>
          <w:sz w:val="20"/>
          <w:szCs w:val="20"/>
          <w:color w:val="auto"/>
        </w:rPr>
      </w:pPr>
    </w:p>
    <w:p>
      <w:pPr>
        <w:ind w:left="200" w:right="40" w:firstLine="992"/>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97" w:lineRule="exact"/>
        <w:rPr>
          <w:sz w:val="20"/>
          <w:szCs w:val="20"/>
          <w:color w:val="auto"/>
        </w:rPr>
      </w:pPr>
    </w:p>
    <w:p>
      <w:pPr>
        <w:ind w:left="1620" w:right="680" w:hanging="43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our investment advisor;</w:t>
      </w:r>
    </w:p>
    <w:p>
      <w:pPr>
        <w:spacing w:after="0" w:line="153" w:lineRule="exact"/>
        <w:rPr>
          <w:rFonts w:ascii="Arial" w:cs="Arial" w:eastAsia="Arial" w:hAnsi="Arial"/>
          <w:sz w:val="16"/>
          <w:szCs w:val="16"/>
          <w:color w:val="auto"/>
        </w:rPr>
      </w:pPr>
    </w:p>
    <w:p>
      <w:pPr>
        <w:ind w:left="1620" w:hanging="430"/>
        <w:spacing w:after="0" w:line="269"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13 and 16 of our portfolio company investments representing 26.8% and 36.0% of the total portfolio investments at fair value (exclusive of new portfolio company investments made during the three months ended September 30, 2019 and December 31, 2018, respectively) as of September 30, 2019 and December 31, 2018, respectively;</w:t>
      </w:r>
    </w:p>
    <w:p>
      <w:pPr>
        <w:spacing w:after="0" w:line="88" w:lineRule="exact"/>
        <w:rPr>
          <w:rFonts w:ascii="Arial" w:cs="Arial" w:eastAsia="Arial" w:hAnsi="Arial"/>
          <w:sz w:val="17"/>
          <w:szCs w:val="17"/>
          <w:color w:val="auto"/>
        </w:rPr>
      </w:pPr>
    </w:p>
    <w:p>
      <w:pPr>
        <w:ind w:left="1620" w:right="200" w:hanging="430"/>
        <w:spacing w:after="0" w:line="308"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620" w:right="80" w:hanging="43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left="200" w:right="200" w:firstLine="992"/>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firstLine="992"/>
        <w:spacing w:after="0" w:line="293" w:lineRule="auto"/>
        <w:rPr>
          <w:sz w:val="20"/>
          <w:szCs w:val="20"/>
          <w:color w:val="auto"/>
        </w:rPr>
      </w:pPr>
      <w:r>
        <w:rPr>
          <w:rFonts w:ascii="Arial" w:cs="Arial" w:eastAsia="Arial" w:hAnsi="Arial"/>
          <w:sz w:val="16"/>
          <w:szCs w:val="16"/>
          <w:color w:val="auto"/>
        </w:rPr>
        <w:t>Consistent with the policies and methodologies adopted by our board of directors,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5"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firstLine="992"/>
        <w:spacing w:after="0" w:line="286"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ectPr>
          <w:pgSz w:w="11900" w:h="16838" w:orient="portrait"/>
          <w:cols w:equalWidth="0" w:num="1">
            <w:col w:w="11180"/>
          </w:cols>
          <w:pgMar w:left="240" w:top="459" w:right="479" w:bottom="1440" w:gutter="0" w:footer="0" w:header="0"/>
        </w:sectPr>
      </w:pP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80"/>
          </w:cols>
          <w:pgMar w:left="240" w:top="459"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54" w:lineRule="auto"/>
        <w:rPr>
          <w:sz w:val="20"/>
          <w:szCs w:val="20"/>
          <w:color w:val="auto"/>
        </w:rPr>
      </w:pPr>
      <w:r>
        <w:rPr>
          <w:rFonts w:ascii="Arial" w:cs="Arial" w:eastAsia="Arial" w:hAnsi="Arial"/>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we consider our ability to influence the capital structure of the portfolio company, as well as the timing of a potential exit.</w:t>
      </w:r>
    </w:p>
    <w:p>
      <w:pPr>
        <w:spacing w:after="0" w:line="192" w:lineRule="exact"/>
        <w:rPr>
          <w:sz w:val="20"/>
          <w:szCs w:val="20"/>
          <w:color w:val="auto"/>
        </w:rPr>
      </w:pPr>
    </w:p>
    <w:p>
      <w:pPr>
        <w:ind w:left="200" w:firstLine="992"/>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200" w:right="640" w:firstLine="992"/>
        <w:spacing w:after="0" w:line="342"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200" w:right="200" w:firstLine="992"/>
        <w:spacing w:after="0" w:line="264" w:lineRule="auto"/>
        <w:rPr>
          <w:sz w:val="20"/>
          <w:szCs w:val="20"/>
          <w:color w:val="auto"/>
        </w:rPr>
      </w:pPr>
      <w:r>
        <w:rPr>
          <w:rFonts w:ascii="Arial" w:cs="Arial" w:eastAsia="Arial" w:hAnsi="Arial"/>
          <w:sz w:val="18"/>
          <w:szCs w:val="18"/>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93" w:lineRule="exact"/>
        <w:rPr>
          <w:sz w:val="20"/>
          <w:szCs w:val="20"/>
          <w:color w:val="auto"/>
        </w:rPr>
      </w:pPr>
    </w:p>
    <w:p>
      <w:pPr>
        <w:ind w:left="200" w:right="20" w:firstLine="992"/>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200" w:firstLine="992"/>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79" w:lineRule="exact"/>
        <w:rPr>
          <w:sz w:val="20"/>
          <w:szCs w:val="20"/>
          <w:color w:val="auto"/>
        </w:rPr>
      </w:pPr>
    </w:p>
    <w:p>
      <w:pPr>
        <w:ind w:left="200" w:right="160" w:firstLine="992"/>
        <w:spacing w:after="0" w:line="276"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w:t>
      </w:r>
      <w:r>
        <w:rPr>
          <w:rFonts w:ascii="Arial" w:cs="Arial" w:eastAsia="Arial" w:hAnsi="Arial"/>
          <w:sz w:val="17"/>
          <w:szCs w:val="17"/>
          <w:i w:val="1"/>
          <w:iCs w:val="1"/>
          <w:color w:val="auto"/>
        </w:rPr>
        <w:t xml:space="preserve"> </w:t>
      </w:r>
      <w:r>
        <w:rPr>
          <w:rFonts w:ascii="Arial" w:cs="Arial" w:eastAsia="Arial" w:hAnsi="Arial"/>
          <w:sz w:val="17"/>
          <w:szCs w:val="17"/>
          <w:color w:val="auto"/>
        </w:rPr>
        <w:t>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992"/>
        <w:spacing w:after="0" w:line="276"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In connection with our debt investments, we will sometimes receive warrants or other equity-related securities (Warrants). We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73"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87"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which modifies the disclosure requirements on fair value measurements. The guidance is effective for annual and interim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beginning after December 15, 2019. We are currently evaluating the impact this ASU will have on our consolidated financial position or disclosures.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$6.9 million and $10.9 million as of September 30, 2019 and December 31, 2018, respectively. Such outstanding commitments are summarized in the following table (dollars in millions):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ind w:left="40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Total</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Unfunded</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Total</w:t>
            </w: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91"/>
              </w:rPr>
              <w:t>Unfunded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1540" w:type="dxa"/>
            <w:vAlign w:val="bottom"/>
            <w:gridSpan w:val="4"/>
          </w:tcPr>
          <w:p>
            <w:pPr>
              <w:ind w:left="300"/>
              <w:spacing w:after="0" w:line="158" w:lineRule="exact"/>
              <w:rPr>
                <w:sz w:val="20"/>
                <w:szCs w:val="20"/>
                <w:color w:val="auto"/>
              </w:rPr>
            </w:pPr>
            <w:r>
              <w:rPr>
                <w:rFonts w:ascii="Arial" w:cs="Arial" w:eastAsia="Arial" w:hAnsi="Arial"/>
                <w:sz w:val="14"/>
                <w:szCs w:val="14"/>
                <w:b w:val="1"/>
                <w:bCs w:val="1"/>
                <w:color w:val="auto"/>
              </w:rPr>
              <w:t>Commitment</w:t>
            </w:r>
          </w:p>
        </w:tc>
        <w:tc>
          <w:tcPr>
            <w:tcW w:w="152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Commitment</w:t>
            </w:r>
          </w:p>
        </w:tc>
        <w:tc>
          <w:tcPr>
            <w:tcW w:w="150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Commitment</w:t>
            </w:r>
          </w:p>
        </w:tc>
        <w:tc>
          <w:tcPr>
            <w:tcW w:w="132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American AllWaste LLC (dba WasteWater Transport</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Services) - Delayed Draw Commitment - Term Loan-B</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B&amp;B Roadway and Security Solutions, LLC -</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rPr>
              <w:t>Common Equity (Units)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FDS Avionics Corp. (dba Flight Display Systems) -</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0.2</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French Transit, LLC - Revolving Loan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w w:val="87"/>
              </w:rPr>
              <w:t>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7"/>
              </w:rPr>
              <w:t>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Mesa Line Services, LLC - Delayed Draw Term Loan</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3.0</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7"/>
              </w:rPr>
              <w:t>2.1</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Rhino Assembly Company, LLC - Delayed Draw</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rPr>
              <w:t>Commitment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w w:val="87"/>
              </w:rPr>
              <w:t>0.9</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7"/>
              </w:rPr>
              <w:t>0.9</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Safety Products Group, LLC - Common Equity (Units)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UBEO, LLC - Delayed Draw Term Loan Commitment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8.0</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7"/>
              </w:rPr>
              <w:t>6.9</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20" w:hanging="436"/>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2280" w:hanging="645"/>
        <w:spacing w:after="0" w:line="279" w:lineRule="auto"/>
        <w:tabs>
          <w:tab w:leader="none" w:pos="2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ectPr>
          <w:pgSz w:w="11900" w:h="16838" w:orient="portrait"/>
          <w:cols w:equalWidth="0" w:num="1">
            <w:col w:w="11220"/>
          </w:cols>
          <w:pgMar w:left="240" w:top="459" w:right="439" w:bottom="1440" w:gutter="0" w:footer="0" w:header="0"/>
        </w:sectPr>
      </w:pP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24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80" w:right="80" w:hanging="645"/>
        <w:spacing w:after="0" w:line="293" w:lineRule="auto"/>
        <w:tabs>
          <w:tab w:leader="none" w:pos="2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70" w:lineRule="exact"/>
        <w:rPr>
          <w:rFonts w:ascii="Arial" w:cs="Arial" w:eastAsia="Arial" w:hAnsi="Arial"/>
          <w:sz w:val="16"/>
          <w:szCs w:val="16"/>
          <w:color w:val="auto"/>
        </w:rPr>
      </w:pPr>
    </w:p>
    <w:p>
      <w:pPr>
        <w:ind w:left="2280" w:right="40" w:hanging="645"/>
        <w:spacing w:after="0" w:line="264" w:lineRule="auto"/>
        <w:tabs>
          <w:tab w:leader="none" w:pos="2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86" w:lineRule="exact"/>
        <w:rPr>
          <w:rFonts w:ascii="Arial" w:cs="Arial" w:eastAsia="Arial" w:hAnsi="Arial"/>
          <w:sz w:val="18"/>
          <w:szCs w:val="18"/>
          <w:color w:val="auto"/>
        </w:rPr>
      </w:pPr>
    </w:p>
    <w:p>
      <w:pPr>
        <w:ind w:left="2280" w:right="380" w:hanging="645"/>
        <w:spacing w:after="0" w:line="277" w:lineRule="auto"/>
        <w:tabs>
          <w:tab w:leader="none" w:pos="2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7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The relief permits FIC and Fund I, each of which has elected to be treated as a BDC, to operate effectively as one company, specifically allowing them to: (1) engage in certain transactions with each other; (2) invest in securities in which the other is or proposes to be an investor; (3) file consolidated reports with the SEC; and (4) be subject to modified consolidated asset coverage requirements for senior securities issued by a BDC and its SBIC subsidiary. Fund II and Fund III have not elected to be treated as BDCs and are not party to this exemptive relief. The fourth exemption described above allows us to exclude any indebtedness guaranteed by the SBA and issued by Fund I from the asset coverage requirements applicable to us. Effective June 30, 2014, pursuant to separate exemptive relief from the SEC, any SBA debentures issued by Fund II and Fund III are not considered senior securities for purposes of the asset coverage requirements.</w:t>
      </w:r>
    </w:p>
    <w:p>
      <w:pPr>
        <w:spacing w:after="0" w:line="19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In addition, we, Fund I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204A-1 under the Advisers Act and in accordance with Rule 17j-1(c) under the 1940 Act. We, and Fund I,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On October 1, 2019, we exited our debt and equity investments in Simplex Manufacturing Co. We received payment in full of $4.1 million on our subordinated debt investment. We sold our warrant investment for a realized gain of approximately $2.9 million.</w:t>
      </w:r>
    </w:p>
    <w:p>
      <w:pPr>
        <w:spacing w:after="0" w:line="170" w:lineRule="exact"/>
        <w:rPr>
          <w:sz w:val="20"/>
          <w:szCs w:val="20"/>
          <w:color w:val="auto"/>
        </w:rPr>
      </w:pPr>
    </w:p>
    <w:p>
      <w:pPr>
        <w:ind w:left="200" w:right="620" w:firstLine="992"/>
        <w:spacing w:after="0" w:line="308" w:lineRule="auto"/>
        <w:rPr>
          <w:sz w:val="20"/>
          <w:szCs w:val="20"/>
          <w:color w:val="auto"/>
        </w:rPr>
      </w:pPr>
      <w:r>
        <w:rPr>
          <w:rFonts w:ascii="Arial" w:cs="Arial" w:eastAsia="Arial" w:hAnsi="Arial"/>
          <w:sz w:val="17"/>
          <w:szCs w:val="17"/>
          <w:color w:val="auto"/>
        </w:rPr>
        <w:t>On October 11, 2019, we invested $6.0 million in first lien debt and common equity of Haematologic Technologies, Inc., a leading provider of biologic products and GMP compliant assay development and testing services to the biopharmaceutical industry.</w:t>
      </w:r>
    </w:p>
    <w:p>
      <w:pPr>
        <w:spacing w:after="0" w:line="147" w:lineRule="exact"/>
        <w:rPr>
          <w:sz w:val="20"/>
          <w:szCs w:val="20"/>
          <w:color w:val="auto"/>
        </w:rPr>
      </w:pPr>
    </w:p>
    <w:p>
      <w:pPr>
        <w:ind w:left="200" w:right="20" w:firstLine="992"/>
        <w:spacing w:after="0" w:line="286" w:lineRule="auto"/>
        <w:rPr>
          <w:sz w:val="20"/>
          <w:szCs w:val="20"/>
          <w:color w:val="auto"/>
        </w:rPr>
      </w:pPr>
      <w:r>
        <w:rPr>
          <w:rFonts w:ascii="Arial" w:cs="Arial" w:eastAsia="Arial" w:hAnsi="Arial"/>
          <w:sz w:val="16"/>
          <w:szCs w:val="16"/>
          <w:color w:val="auto"/>
        </w:rPr>
        <w:t>On October 16, 2019, we closed the public offering of approximately $55.0 million in aggregate principal amount of our 5.375% notes due 2024, or the “November 2024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$0.4 million, were approximately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$61.0 million.</w:t>
      </w:r>
    </w:p>
    <w:p>
      <w:pPr>
        <w:spacing w:after="0" w:line="211" w:lineRule="exact"/>
        <w:rPr>
          <w:sz w:val="20"/>
          <w:szCs w:val="20"/>
          <w:color w:val="auto"/>
        </w:rPr>
      </w:pPr>
    </w:p>
    <w:p>
      <w:pPr>
        <w:ind w:left="200" w:right="160" w:firstLine="992"/>
        <w:spacing w:after="0" w:line="259"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are unsecured obligations and rank pari passu with our future unsecured indebtedness, including our outstanding Public Notes; effectively subordinated to all of our existing and future secured indebtedness; and structurally subordinated to all existing and future indebtedness and other obligations of any of our subsidiaries, financing vehicles, or similar facilities we may form in the future, with</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respect to claims on the assets of any such subsidiaries, financing vehicles, or similar facilities.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We may from time to time repurchase the November 2024 Notes in accordance with the 1940 Act and the rules promulgated thereunder. As of October 29, 2019, the outstanding principal balance of the November 2024 Notes was approximately $63.3 million.</w:t>
      </w:r>
    </w:p>
    <w:p>
      <w:pPr>
        <w:spacing w:after="0" w:line="193" w:lineRule="exact"/>
        <w:rPr>
          <w:sz w:val="20"/>
          <w:szCs w:val="20"/>
          <w:color w:val="auto"/>
        </w:rPr>
      </w:pPr>
    </w:p>
    <w:p>
      <w:pPr>
        <w:ind w:left="200" w:right="60" w:firstLine="992"/>
        <w:spacing w:after="0" w:line="283" w:lineRule="auto"/>
        <w:rPr>
          <w:sz w:val="20"/>
          <w:szCs w:val="20"/>
          <w:color w:val="auto"/>
        </w:rPr>
      </w:pPr>
      <w:r>
        <w:rPr>
          <w:rFonts w:ascii="Arial" w:cs="Arial" w:eastAsia="Arial" w:hAnsi="Arial"/>
          <w:sz w:val="16"/>
          <w:szCs w:val="16"/>
          <w:color w:val="auto"/>
        </w:rPr>
        <w:t>The indenture governing the November 2024 Notes, or the “Indenture,” contains certain covenants, including certain covenants requiring the Company (i) to comply with the asset coverage requirements set forth in Section 18(a)(1)(A) as modified by such provisions of Section 61(a) of the 1940 Act, as may be applicable to the Company from time to time or any successor provisions, whether or not the Company continues to be subject to such provisions of the 1940 Act, but giving effect, in either case, to any exemptive relief granted to the Company by the SEC; (ii) to comply, under certain circumstances, with a modified version of the requirements set forth in Section 18(a)(1)(B) as modified by such provisions of Section 61(a) of the 1940 Act as may be applicable to the Company from time to time or any successor provisions, whether or not the Company continues to be subject to such provisions of the 1940 Act, prohibiting the declaration of any cash dividend or distribution upon any class of our capital stock (except to the extent necessary for the Company to maintain its treatment as a “regulated investment company” under Subchapter M of the Internal Revenue Code), or purchasing any such capital stock, if the Company’ asset coverage, as defined in the 1940 Act, were below 200% (or 150% on and after April 29, 2020) at the time of the declaration of the dividend or distribution or the purchase and after deducting the amount of such dividend, distribution, or purchase;</w:t>
      </w:r>
    </w:p>
    <w:p>
      <w:pPr>
        <w:spacing w:after="0" w:line="6" w:lineRule="exact"/>
        <w:rPr>
          <w:sz w:val="20"/>
          <w:szCs w:val="20"/>
          <w:color w:val="auto"/>
        </w:rPr>
      </w:pPr>
    </w:p>
    <w:p>
      <w:pPr>
        <w:ind w:left="200" w:right="60" w:firstLine="4"/>
        <w:spacing w:after="0" w:line="253" w:lineRule="auto"/>
        <w:tabs>
          <w:tab w:leader="none" w:pos="5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financial information to the holders of the November 2024 Notes and the Trustee if the Company is no longer subject to the reporting requirements under the Securities Exchange Act of 1934, as amended; and (iv) to use its reasonable best efforts to effect, within 30 days of issuance and delivery of the November 2024 Notes, the listing of the November 2024 Notes on the Nasdaq Stock Market LLC and to maintain the listing of the November 2024 Notes on the Nasdaq Stock Market LLC or another national securities exchange. These covenants are subject to important limitations and exceptions that are described in the Indenture.</w:t>
      </w:r>
    </w:p>
    <w:p>
      <w:pPr>
        <w:spacing w:after="0" w:line="191"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On October 29, 2019, our Board declared a regular quarterly dividend of $0.39 per share payable on December 20, 2019 to stockholders of record as of December 6, 2019. In addition, our Board declared a special dividend of $0.04 per share payable on December 20, 2019 to stockholders of record as of December 6, 2019.</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September 30, 2019 and December 31, 2018, 14 and seven portfolio company’s debt investments, respectively, bore interest at a variable rate, which represented $152.8 million and $75.9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7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September 30, 2019 (dollars in millions):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8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4"/>
              </w:rPr>
              <w:t>Interest Income</w:t>
            </w:r>
          </w:p>
        </w:tc>
        <w:tc>
          <w:tcPr>
            <w:tcW w:w="21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Interest Expense</w:t>
            </w:r>
          </w:p>
        </w:tc>
        <w:tc>
          <w:tcPr>
            <w:tcW w:w="190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Net Increase</w:t>
            </w:r>
          </w:p>
        </w:tc>
        <w:tc>
          <w:tcPr>
            <w:tcW w:w="15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Net Investment</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Basis Point Increase (Decrease)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Increase</w:t>
            </w:r>
          </w:p>
        </w:tc>
        <w:tc>
          <w:tcPr>
            <w:tcW w:w="1900" w:type="dxa"/>
            <w:vAlign w:val="bottom"/>
            <w:gridSpan w:val="4"/>
            <w:vMerge w:val="continue"/>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2"/>
                <w:szCs w:val="12"/>
                <w:b w:val="1"/>
                <w:bCs w:val="1"/>
                <w:color w:val="auto"/>
                <w:w w:val="88"/>
              </w:rPr>
              <w:t>(3)</w:t>
            </w:r>
          </w:p>
        </w:tc>
        <w:tc>
          <w:tcPr>
            <w:tcW w:w="540" w:type="dxa"/>
            <w:vAlign w:val="bottom"/>
          </w:tcPr>
          <w:p>
            <w:pPr>
              <w:spacing w:after="0"/>
              <w:rPr>
                <w:sz w:val="13"/>
                <w:szCs w:val="13"/>
                <w:color w:val="auto"/>
              </w:rPr>
            </w:pPr>
          </w:p>
        </w:tc>
        <w:tc>
          <w:tcPr>
            <w:tcW w:w="136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w w:val="94"/>
              </w:rPr>
              <w:t>(Decrease)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7"/>
              </w:rPr>
              <w:t xml:space="preserve">Income </w:t>
            </w:r>
            <w:r>
              <w:rPr>
                <w:rFonts w:ascii="Arial" w:cs="Arial" w:eastAsia="Arial" w:hAnsi="Arial"/>
                <w:sz w:val="12"/>
                <w:szCs w:val="12"/>
                <w:b w:val="1"/>
                <w:bCs w:val="1"/>
                <w:color w:val="auto"/>
                <w:w w:val="97"/>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10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(1.0)</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(1.3)</w:t>
            </w:r>
          </w:p>
        </w:tc>
        <w:tc>
          <w:tcPr>
            <w:tcW w:w="5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w:t>
            </w:r>
          </w:p>
        </w:tc>
        <w:tc>
          <w:tcPr>
            <w:tcW w:w="58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35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200" w:firstLine="992"/>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91"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2019 that have materially affected, or are reasonably likely to materially affect, our internal control over financial reporting.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In addition to other information set forth in this report, including the risk factor below, you should carefully consider the “Risk Factors” discussed in our Form 10-K for the year ended December 31, 2018 and filed with the SEC on February 28, 2019,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1940 Act generally prohibits us from incurring indebtedness unless immediately after such borrowing we have an asset coverage for total borrowings of at least 200% (i.e., the amount of debt may not exceed 50% of the value of our assets). However, the Small Business Credit Availability Act, which was signed into law on March 23, 2018, has modified the 1940 Act by allowing a BDC to increase the maximum amount of leverage it may incur from an asset coverage ratio of 200% to an asset coverage ratio of 150%,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16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result of this legislation,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6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28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b w:val="1"/>
          <w:bCs w:val="1"/>
          <w:i w:val="1"/>
          <w:iCs w:val="1"/>
          <w:color w:val="auto"/>
        </w:rPr>
        <w:t>Changes relating to the LIBOR calculation process may adversely affect the value of the LIBOR-indexed, floating rate debt securities in our portfolio.</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July 27, 2017, the U.K. Financial Conduct Authority announced that it intends to stop persuading or compelling banks to submit the London Interbank Offered Rate (“LIBOR”) after 2021. It is unclear if at that time whether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w:t>
      </w:r>
    </w:p>
    <w:p>
      <w:pPr>
        <w:spacing w:after="0" w:line="18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typically use LIBOR as a reference rate in variable rate loans we extend to portfolio companies such that the interest due to us pursuant to a loan extended to a portfolio company is calculated using LIBOR plus a margin rate. As of September 30, 2019, we had a total of $147.4 million principal balance, or 23.3% of the principal balance of our debt investment portfolio, in such LIBOR-linked debt investments with maturity dates extending beyond December 31, 2021. If LIBOR ceases to exist, we may need to renegotiate these debt investments with maturity dates extending beyond 2021 to replace LIBOR with the new standard that is established in its place or another pricing method, which could have an adverse effect on our ability to receive attractive returns. In addition, borrowings under our Credit Facility, which is currently set to mature on April 24, 2023, bear interest at LIBOR plus a margin rate. As a result, if LIBOR ceases to exist after December 31, 2021, we may need to renegotiate the interest-rate provisions in the Credit Facility to replace LIBOR with the new standard that is established in its place or another pricing method.</w:t>
      </w:r>
    </w:p>
    <w:p>
      <w:pPr>
        <w:sectPr>
          <w:pgSz w:w="11900" w:h="16838" w:orient="portrait"/>
          <w:cols w:equalWidth="0" w:num="1">
            <w:col w:w="11220"/>
          </w:cols>
          <w:pgMar w:left="240" w:top="459" w:right="439" w:bottom="1440" w:gutter="0" w:footer="0" w:header="0"/>
        </w:sectPr>
      </w:pP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20"/>
          </w:cols>
          <w:pgMar w:left="24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Given the current uncertainties over LIBOR’s discontinuation and the replacement alternatives, it is not possible at this time to predict the effect of any such changes, any establishment of alternative reference rates, or any other reforms to LIBOR that may be enacted in the United Kingdom or elsewhere, including any impact on our LIBOR-linked debt investments that mature after December 31, 2021.</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67"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During the three and nine months ended September 30, 2019, we did not make any repurchases of common stock under the Stock Repurchase Program. The following table provides information regarding such repurchases of our common stock (dollars in millions, except per share data):</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620" w:type="dxa"/>
            <w:vAlign w:val="bottom"/>
            <w:gridSpan w:val="2"/>
          </w:tcPr>
          <w:p>
            <w:pPr>
              <w:jc w:val="center"/>
              <w:ind w:left="56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660" w:type="dxa"/>
            <w:vAlign w:val="bottom"/>
          </w:tcPr>
          <w:p>
            <w:pPr>
              <w:spacing w:after="0"/>
              <w:rPr>
                <w:sz w:val="12"/>
                <w:szCs w:val="12"/>
                <w:color w:val="auto"/>
              </w:rPr>
            </w:pPr>
          </w:p>
        </w:tc>
        <w:tc>
          <w:tcPr>
            <w:tcW w:w="13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6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Under the Stock</w:t>
            </w:r>
          </w:p>
        </w:tc>
        <w:tc>
          <w:tcPr>
            <w:tcW w:w="0" w:type="dxa"/>
            <w:vAlign w:val="bottom"/>
          </w:tcPr>
          <w:p>
            <w:pPr>
              <w:spacing w:after="0"/>
              <w:rPr>
                <w:sz w:val="1"/>
                <w:szCs w:val="1"/>
                <w:color w:val="auto"/>
              </w:rPr>
            </w:pPr>
          </w:p>
        </w:tc>
      </w:tr>
      <w:tr>
        <w:trPr>
          <w:trHeight w:val="158"/>
        </w:trPr>
        <w:tc>
          <w:tcPr>
            <w:tcW w:w="3920" w:type="dxa"/>
            <w:vAlign w:val="bottom"/>
            <w:gridSpan w:val="3"/>
            <w:vMerge w:val="continue"/>
          </w:tcPr>
          <w:p>
            <w:pPr>
              <w:spacing w:after="0"/>
              <w:rPr>
                <w:sz w:val="13"/>
                <w:szCs w:val="13"/>
                <w:color w:val="auto"/>
              </w:rPr>
            </w:pPr>
          </w:p>
        </w:tc>
        <w:tc>
          <w:tcPr>
            <w:tcW w:w="128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660" w:type="dxa"/>
            <w:vAlign w:val="bottom"/>
          </w:tcPr>
          <w:p>
            <w:pPr>
              <w:spacing w:after="0"/>
              <w:rPr>
                <w:sz w:val="13"/>
                <w:szCs w:val="13"/>
                <w:color w:val="auto"/>
              </w:rPr>
            </w:pPr>
          </w:p>
        </w:tc>
        <w:tc>
          <w:tcPr>
            <w:tcW w:w="6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Per Share</w:t>
            </w:r>
          </w:p>
        </w:tc>
        <w:tc>
          <w:tcPr>
            <w:tcW w:w="6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Programs</w:t>
            </w:r>
          </w:p>
        </w:tc>
        <w:tc>
          <w:tcPr>
            <w:tcW w:w="202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Repurchase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January 31, 2019</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February 1, 2019 through February 28, 2019</w:t>
            </w:r>
          </w:p>
        </w:tc>
        <w:tc>
          <w:tcPr>
            <w:tcW w:w="4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2019 through March 31, 2019</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April 1, 2019 through April 30, 2019</w:t>
            </w:r>
          </w:p>
        </w:tc>
        <w:tc>
          <w:tcPr>
            <w:tcW w:w="4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2019 through May 31, 2019</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June 1, 2019 through June 30, 2019</w:t>
            </w:r>
          </w:p>
        </w:tc>
        <w:tc>
          <w:tcPr>
            <w:tcW w:w="4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 through July 31, 2019</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August 1, 2019 through August 31, 2019</w:t>
            </w:r>
          </w:p>
        </w:tc>
        <w:tc>
          <w:tcPr>
            <w:tcW w:w="4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2019 through September 30, 2019</w:t>
            </w:r>
          </w:p>
        </w:tc>
        <w:tc>
          <w:tcPr>
            <w:tcW w:w="4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80" w:hanging="436"/>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Excludes shares purchased on the open market and reissued in order to satisfy the dividend reinvestment plan (“DRIP”) obligation to deliver shares of common stock in lieu of issuing new shares. During the nine months ended September 30, 2019, we purchased and reissued shares of common stock to satisfy the DRIP obligation as follows: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580" w:type="dxa"/>
            <w:vAlign w:val="bottom"/>
            <w:vMerge w:val="restart"/>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Price Paid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94"/>
              </w:rPr>
              <w:t>Per Share</w:t>
            </w:r>
          </w:p>
        </w:tc>
        <w:tc>
          <w:tcPr>
            <w:tcW w:w="260" w:type="dxa"/>
            <w:vAlign w:val="bottom"/>
          </w:tcPr>
          <w:p>
            <w:pPr>
              <w:spacing w:after="0"/>
              <w:rPr>
                <w:sz w:val="15"/>
                <w:szCs w:val="15"/>
                <w:color w:val="auto"/>
              </w:rPr>
            </w:pPr>
          </w:p>
        </w:tc>
        <w:tc>
          <w:tcPr>
            <w:tcW w:w="88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Amount Paid</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2019 through March 31, 2019</w:t>
            </w:r>
          </w:p>
        </w:tc>
        <w:tc>
          <w:tcPr>
            <w:tcW w:w="18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June 1, 2019 through June 30, 2019</w:t>
            </w:r>
          </w:p>
        </w:tc>
        <w:tc>
          <w:tcPr>
            <w:tcW w:w="3200" w:type="dxa"/>
            <w:vAlign w:val="bottom"/>
            <w:gridSpan w:val="3"/>
          </w:tcPr>
          <w:p>
            <w:pPr>
              <w:jc w:val="right"/>
              <w:ind w:right="520"/>
              <w:spacing w:after="0"/>
              <w:rPr>
                <w:sz w:val="20"/>
                <w:szCs w:val="20"/>
                <w:color w:val="auto"/>
              </w:rPr>
            </w:pPr>
            <w:r>
              <w:rPr>
                <w:rFonts w:ascii="Arial" w:cs="Arial" w:eastAsia="Arial" w:hAnsi="Arial"/>
                <w:sz w:val="18"/>
                <w:szCs w:val="18"/>
                <w:color w:val="auto"/>
              </w:rPr>
              <w:t>14,067</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2019 through September 30, 2019</w:t>
            </w:r>
          </w:p>
        </w:tc>
        <w:tc>
          <w:tcPr>
            <w:tcW w:w="3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15,289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51,211</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vMerge w:val="restart"/>
          </w:tcPr>
          <w:p>
            <w:pPr>
              <w:jc w:val="right"/>
              <w:ind w:right="1050"/>
              <w:spacing w:after="0"/>
              <w:rPr>
                <w:sz w:val="20"/>
                <w:szCs w:val="20"/>
                <w:color w:val="auto"/>
              </w:rPr>
            </w:pPr>
            <w:r>
              <w:rPr>
                <w:rFonts w:ascii="Arial" w:cs="Arial" w:eastAsia="Arial" w:hAnsi="Arial"/>
                <w:sz w:val="18"/>
                <w:szCs w:val="18"/>
                <w:color w:val="auto"/>
              </w:rPr>
              <w:t>58</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Refer to Note 8 to our consolidated financial statements for additional information concerning stock repurchases under our Stock Repurchase Program.</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r>
        <w:rPr>
          <w:rFonts w:ascii="Arial" w:cs="Arial" w:eastAsia="Arial" w:hAnsi="Arial"/>
          <w:sz w:val="16"/>
          <w:szCs w:val="16"/>
          <w:b w:val="1"/>
          <w:bCs w:val="1"/>
          <w:i w:val="1"/>
          <w:iCs w:val="1"/>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20"/>
          </w:cols>
          <w:pgMar w:left="240" w:top="459" w:right="8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9"/>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Chief Executive Officer Certification Pursuant to Rule 13a-14 of the Securities Exchange Act of 1934, as adopted pursuant to Section</w:t>
              </w:r>
            </w:hyperlink>
          </w:p>
        </w:tc>
        <w:tc>
          <w:tcPr>
            <w:tcW w:w="2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302 of the Sarbanes-Oxley Act of 2002.</w:t>
              </w:r>
            </w:hyperlink>
          </w:p>
        </w:tc>
        <w:tc>
          <w:tcPr>
            <w:tcW w:w="7060" w:type="dxa"/>
            <w:vAlign w:val="bottom"/>
            <w:gridSpan w:val="5"/>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Chief Financial Officer Certification Pursuant to Rule 13a-14 of the Securities Exchange Act of 1934, as adopted pursuant to Section 302</w:t>
              </w:r>
            </w:hyperlink>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of the Sarbanes-Oxley Act of 2002.</w:t>
              </w:r>
            </w:hyperlink>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Certification pursuant to Section 1350, Chapter 63 of Title 18, United States Code, as adopted pursuant to Section 906 of the Sarbanes-</w:t>
              </w:r>
            </w:hyperlink>
          </w:p>
        </w:tc>
        <w:tc>
          <w:tcPr>
            <w:tcW w:w="2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Oxley Act of 2002.</w:t>
              </w:r>
            </w:hyperlink>
          </w:p>
        </w:tc>
        <w:tc>
          <w:tcPr>
            <w:tcW w:w="8540" w:type="dxa"/>
            <w:vAlign w:val="bottom"/>
            <w:gridSpan w:val="7"/>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5"/>
          </w:tcPr>
          <w:p>
            <w:pPr>
              <w:jc w:val="right"/>
              <w:ind w:right="20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480"/>
          </w:cols>
          <w:pgMar w:left="240" w:top="459" w:right="11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4"/>
        <w:spacing w:after="0" w:line="342"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September 30, 2019,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80" w:hanging="54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8"/>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lowerRoman"/>
      <w:start w:val="1"/>
    </w:lvl>
  </w:abstractNum>
  <w:abstractNum w:abstractNumId="13">
    <w:nsid w:val="7C3DBD3D"/>
    <w:multiLevelType w:val="hybridMultilevel"/>
    <w:lvl w:ilvl="0">
      <w:lvlJc w:val="left"/>
      <w:lvlText w:val="(%1)"/>
      <w:numFmt w:val="upperLetter"/>
      <w:start w:val="3"/>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lowerRoman"/>
      <w:start w:val="3"/>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upperLetter"/>
      <w:start w:val="3"/>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lowerRoman"/>
      <w:start w:val="3"/>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2019-12-28T03:50:21Z</dcterms:created>
  <dcterms:modified xsi:type="dcterms:W3CDTF">2019-12-28T03:50:21Z</dcterms:modified>
</cp:coreProperties>
</file>