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center"/>
        <w:rPr/>
      </w:pPr>
      <w:bookmarkStart w:id="0" w:name="fdus-20250630.htm"/>
      <w:bookmarkStart w:id="1" w:name="ksfdus20250630"/>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rFonts w:ascii="Times New Roman" w:hAnsi="Times New Roman"/>
          <w:color w:val="000000"/>
          <w:sz w:val="20"/>
        </w:rPr>
      </w:pPr>
      <w:r>
        <w:rPr>
          <w:rFonts w:ascii="Times New Roman" w:hAnsi="Times New Roman"/>
          <w:color w:val="000000"/>
          <w:sz w:val="20"/>
        </w:rPr>
        <w:t>(Mark One)</w:t>
      </w:r>
    </w:p>
    <w:p>
      <w:pPr>
        <w:pStyle w:val="TextBody"/>
        <w:bidi w:val="0"/>
        <w:spacing w:before="60" w:after="283"/>
        <w:jc w:val="center"/>
        <w:rPr/>
      </w:pPr>
      <w:r>
        <w:rPr>
          <w:color w:val="000000"/>
        </w:rPr>
        <w:t xml:space="preserve">☑ </w:t>
      </w:r>
      <w:r>
        <w:rPr>
          <w:rFonts w:ascii="Times New Roman" w:hAnsi="Times New Roman"/>
          <w:b/>
          <w:color w:val="000000"/>
          <w:sz w:val="20"/>
        </w:rPr>
        <w:t>QUARTERLY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center"/>
        <w:rPr/>
      </w:pPr>
      <w:r>
        <w:rPr>
          <w:color w:val="000000"/>
        </w:rPr>
        <w:t xml:space="preserve">☐ </w:t>
      </w:r>
      <w:r>
        <w:rPr>
          <w:rFonts w:ascii="Times New Roman" w:hAnsi="Times New Roman"/>
          <w:b/>
          <w:color w:val="000000"/>
          <w:sz w:val="20"/>
        </w:rPr>
        <w:t>TRANSITION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814-00861</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Fidus Investment Corporation</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center"/>
        <w:rPr/>
      </w:pPr>
      <w:r>
        <w:rPr/>
        <w:t> </w:t>
      </w:r>
    </w:p>
    <w:tbl>
      <w:tblPr>
        <w:tblW w:w="4592" w:type="dxa"/>
        <w:jc w:val="left"/>
        <w:tblInd w:w="0" w:type="dxa"/>
        <w:tblLayout w:type="fixed"/>
        <w:tblCellMar>
          <w:top w:w="28" w:type="dxa"/>
          <w:left w:w="28" w:type="dxa"/>
          <w:bottom w:w="28" w:type="dxa"/>
          <w:right w:w="28" w:type="dxa"/>
        </w:tblCellMar>
      </w:tblPr>
      <w:tblGrid>
        <w:gridCol w:w="3106"/>
        <w:gridCol w:w="1486"/>
      </w:tblGrid>
      <w:tr>
        <w:trPr/>
        <w:tc>
          <w:tcPr>
            <w:tcW w:w="31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27-5017321</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1603 Orrington Avenue, Suite 1005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Evanston, Illinois</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60201</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859-3940</w:t>
      </w:r>
    </w:p>
    <w:p>
      <w:pPr>
        <w:pStyle w:val="TextBody"/>
        <w:bidi w:val="0"/>
        <w:jc w:val="center"/>
        <w:rPr>
          <w:rFonts w:ascii="Times New Roman" w:hAnsi="Times New Roman"/>
          <w:i/>
          <w:color w:val="000000"/>
          <w:sz w:val="20"/>
        </w:rPr>
      </w:pPr>
      <w:r>
        <w:rPr>
          <w:rFonts w:ascii="Times New Roman" w:hAnsi="Times New Roman"/>
          <w:i/>
          <w:color w:val="000000"/>
          <w:sz w:val="20"/>
        </w:rPr>
        <w:t xml:space="preserve">(Registrant’s telephone number, including area code) </w:t>
      </w:r>
    </w:p>
    <w:p>
      <w:pPr>
        <w:pStyle w:val="TextBody"/>
        <w:bidi w:val="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i/>
          <w:color w:val="000000"/>
          <w:sz w:val="20"/>
        </w:rPr>
      </w:pPr>
      <w:r>
        <w:rPr>
          <w:rFonts w:ascii="Times New Roman" w:hAnsi="Times New Roman"/>
          <w:i/>
          <w:color w:val="000000"/>
          <w:sz w:val="20"/>
        </w:rPr>
        <w:t>(Former name, former address and former fiscal year,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373" w:type="dxa"/>
        <w:jc w:val="left"/>
        <w:tblInd w:w="0" w:type="dxa"/>
        <w:tblLayout w:type="fixed"/>
        <w:tblCellMar>
          <w:top w:w="28" w:type="dxa"/>
          <w:left w:w="28" w:type="dxa"/>
          <w:bottom w:w="28" w:type="dxa"/>
          <w:right w:w="28" w:type="dxa"/>
        </w:tblCellMar>
      </w:tblPr>
      <w:tblGrid>
        <w:gridCol w:w="3601"/>
        <w:gridCol w:w="145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1"/>
        <w:gridCol w:w="1419"/>
        <w:gridCol w:w="1779"/>
        <w:gridCol w:w="2438"/>
        <w:gridCol w:w="2488"/>
      </w:tblGrid>
      <w:tr>
        <w:trPr/>
        <w:tc>
          <w:tcPr>
            <w:tcW w:w="208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1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Accelerated filer</w:t>
            </w:r>
          </w:p>
          <w:p>
            <w:pPr>
              <w:pStyle w:val="TableContents"/>
              <w:bidi w:val="0"/>
              <w:spacing w:before="0" w:after="283"/>
              <w:jc w:val="center"/>
              <w:rPr>
                <w:color w:val="000000"/>
              </w:rPr>
            </w:pPr>
            <w:r>
              <w:rPr>
                <w:color w:val="000000"/>
              </w:rPr>
              <w:t>☑</w:t>
            </w:r>
          </w:p>
        </w:tc>
        <w:tc>
          <w:tcPr>
            <w:tcW w:w="177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Non-accelerated filer</w:t>
            </w:r>
          </w:p>
          <w:p>
            <w:pPr>
              <w:pStyle w:val="TableContents"/>
              <w:bidi w:val="0"/>
              <w:spacing w:before="0" w:after="283"/>
              <w:jc w:val="center"/>
              <w:rPr>
                <w:color w:val="000000"/>
              </w:rPr>
            </w:pPr>
            <w:r>
              <w:rPr>
                <w:color w:val="000000"/>
              </w:rPr>
              <w:t>☐</w:t>
            </w:r>
          </w:p>
        </w:tc>
        <w:tc>
          <w:tcPr>
            <w:tcW w:w="24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c>
          <w:tcPr>
            <w:tcW w:w="2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As of August 5, 2025, the Registrant had outstanding 35,379,900 shares of common stock, $0.001 par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3"/>
        <w:gridCol w:w="9090"/>
        <w:gridCol w:w="362"/>
      </w:tblGrid>
      <w:tr>
        <w:trPr/>
        <w:tc>
          <w:tcPr>
            <w:tcW w:w="753" w:type="dxa"/>
            <w:tcBorders/>
            <w:vAlign w:val="center"/>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3"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ind w:left="0" w:right="0" w:firstLine="101"/>
              <w:jc w:val="center"/>
              <w:rPr/>
            </w:pPr>
            <w:hyperlink w:anchor="part_i">
              <w:r>
                <w:rPr>
                  <w:rStyle w:val="InternetLink"/>
                  <w:rFonts w:ascii="Times New Roman" w:hAnsi="Times New Roman"/>
                  <w:b/>
                  <w:color w:val="0000FF"/>
                  <w:sz w:val="20"/>
                  <w:u w:val="single"/>
                </w:rPr>
                <w:t>PART I — FINANCIAL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net_asset">
              <w:r>
                <w:rPr>
                  <w:rStyle w:val="InternetLink"/>
                  <w:rFonts w:ascii="Times New Roman" w:hAnsi="Times New Roman"/>
                  <w:color w:val="0000FF"/>
                  <w:sz w:val="20"/>
                  <w:u w:val="single"/>
                </w:rPr>
                <w:t>Consolidated Statements of Assets and Liabilities — June 30, 2025 (unaudited) and December 31,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Consolidated Statements of Operations — three and six months ended June 30,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changes_net_assets">
              <w:r>
                <w:rPr>
                  <w:rStyle w:val="InternetLink"/>
                  <w:rFonts w:ascii="Times New Roman" w:hAnsi="Times New Roman"/>
                  <w:color w:val="0000FF"/>
                  <w:sz w:val="20"/>
                  <w:u w:val="single"/>
                </w:rPr>
                <w:t>Consolidated Statements of Changes in Net Assets — three and six months ended June 30,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 three and six months ended June 30,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 June 30, 2025 (unaudited) and December 31,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9090"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2_unregistered_sales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9090"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4" w:name="net_asset"/>
      <w:bookmarkEnd w:id="4"/>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46"/>
        <w:gridCol w:w="146"/>
        <w:gridCol w:w="196"/>
        <w:gridCol w:w="826"/>
        <w:gridCol w:w="166"/>
        <w:gridCol w:w="146"/>
        <w:gridCol w:w="208"/>
        <w:gridCol w:w="879"/>
        <w:gridCol w:w="292"/>
      </w:tblGrid>
      <w:tr>
        <w:trPr/>
        <w:tc>
          <w:tcPr>
            <w:tcW w:w="7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Control investments (cost: $6,832</w:t>
            </w:r>
            <w:r>
              <w:rPr>
                <w:rFonts w:ascii="Times New Roman" w:hAnsi="Times New Roman"/>
                <w:color w:val="000000"/>
                <w:sz w:val="20"/>
              </w:rPr>
              <w:t> </w:t>
            </w:r>
            <w:r>
              <w:rPr>
                <w:rFonts w:ascii="Times New Roman" w:hAnsi="Times New Roman"/>
                <w:color w:val="000000"/>
                <w:sz w:val="16"/>
              </w:rPr>
              <w:t>and $6,832,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Affiliate investments (cost: $52,539</w:t>
            </w:r>
            <w:r>
              <w:rPr>
                <w:rFonts w:ascii="Times New Roman" w:hAnsi="Times New Roman"/>
                <w:color w:val="000000"/>
                <w:sz w:val="20"/>
              </w:rPr>
              <w:t> </w:t>
            </w:r>
            <w:r>
              <w:rPr>
                <w:rFonts w:ascii="Times New Roman" w:hAnsi="Times New Roman"/>
                <w:color w:val="000000"/>
                <w:sz w:val="16"/>
              </w:rPr>
              <w:t>and $56,679,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102,024</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Non-control/non-affiliate investments (cost: $1,069,999</w:t>
            </w:r>
            <w:r>
              <w:rPr>
                <w:rFonts w:ascii="Times New Roman" w:hAnsi="Times New Roman"/>
                <w:color w:val="000000"/>
                <w:sz w:val="20"/>
              </w:rPr>
              <w:t> </w:t>
            </w:r>
            <w:r>
              <w:rPr>
                <w:rFonts w:ascii="Times New Roman" w:hAnsi="Times New Roman"/>
                <w:color w:val="000000"/>
                <w:sz w:val="16"/>
              </w:rPr>
              <w:t>and $1,011,646,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988,482</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(cost: $1,129,370</w:t>
            </w:r>
            <w:r>
              <w:rPr>
                <w:rFonts w:ascii="Times New Roman" w:hAnsi="Times New Roman"/>
                <w:color w:val="000000"/>
                <w:sz w:val="20"/>
              </w:rPr>
              <w:t> </w:t>
            </w:r>
            <w:r>
              <w:rPr>
                <w:rFonts w:ascii="Times New Roman" w:hAnsi="Times New Roman"/>
                <w:color w:val="000000"/>
                <w:sz w:val="16"/>
              </w:rPr>
              <w:t>and $1,075,157,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168,899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248,362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under Credit Facility, net of deferred financing costs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43,954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13,674</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508,446</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35,379,900</w:t>
            </w:r>
            <w:r>
              <w:rPr>
                <w:rFonts w:ascii="Times New Roman" w:hAnsi="Times New Roman"/>
                <w:color w:val="000000"/>
                <w:sz w:val="20"/>
              </w:rPr>
              <w:t> </w:t>
            </w:r>
            <w:r>
              <w:rPr>
                <w:rFonts w:ascii="Times New Roman" w:hAnsi="Times New Roman"/>
                <w:color w:val="000000"/>
                <w:sz w:val="16"/>
              </w:rPr>
              <w:t>and 33,914,652</w:t>
            </w:r>
            <w:r>
              <w:rPr>
                <w:rFonts w:ascii="Times New Roman" w:hAnsi="Times New Roman"/>
                <w:color w:val="000000"/>
                <w:sz w:val="20"/>
              </w:rPr>
              <w:t> </w:t>
            </w:r>
            <w:r>
              <w:rPr>
                <w:rFonts w:ascii="Times New Roman" w:hAnsi="Times New Roman"/>
                <w:color w:val="000000"/>
                <w:sz w:val="16"/>
              </w:rPr>
              <w:t>shares issued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outstanding at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5" w:name="statement_of_operations"/>
      <w:bookmarkEnd w:id="5"/>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4004"/>
        <w:gridCol w:w="146"/>
        <w:gridCol w:w="196"/>
        <w:gridCol w:w="916"/>
        <w:gridCol w:w="166"/>
        <w:gridCol w:w="146"/>
        <w:gridCol w:w="196"/>
        <w:gridCol w:w="916"/>
        <w:gridCol w:w="166"/>
        <w:gridCol w:w="146"/>
        <w:gridCol w:w="196"/>
        <w:gridCol w:w="916"/>
        <w:gridCol w:w="166"/>
        <w:gridCol w:w="146"/>
        <w:gridCol w:w="196"/>
        <w:gridCol w:w="916"/>
        <w:gridCol w:w="67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57,912</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59,645</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3,881</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70,315</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9,013</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34,691</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34,577</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12,527</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10,166</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44,222</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35,156,663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32,245,714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34,620,172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31,511,236</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6" w:name="changes_net_assets"/>
      <w:bookmarkEnd w:id="6"/>
      <w:r>
        <w:rPr>
          <w:rFonts w:ascii="Times New Roman" w:hAnsi="Times New Roman"/>
          <w:b/>
          <w:color w:val="000000"/>
          <w:sz w:val="20"/>
        </w:rPr>
        <w:t>Consolidated Statements of Changes in Net Assets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left"/>
        <w:rPr/>
      </w:pPr>
      <w:r>
        <w:rPr/>
        <w:t> </w:t>
      </w:r>
    </w:p>
    <w:tbl>
      <w:tblPr>
        <w:tblW w:w="10120" w:type="dxa"/>
        <w:jc w:val="left"/>
        <w:tblInd w:w="0" w:type="dxa"/>
        <w:tblLayout w:type="fixed"/>
        <w:tblCellMar>
          <w:top w:w="28" w:type="dxa"/>
          <w:left w:w="28" w:type="dxa"/>
          <w:bottom w:w="28" w:type="dxa"/>
          <w:right w:w="28" w:type="dxa"/>
        </w:tblCellMar>
      </w:tblPr>
      <w:tblGrid>
        <w:gridCol w:w="4126"/>
        <w:gridCol w:w="146"/>
        <w:gridCol w:w="146"/>
        <w:gridCol w:w="916"/>
        <w:gridCol w:w="146"/>
        <w:gridCol w:w="146"/>
        <w:gridCol w:w="196"/>
        <w:gridCol w:w="346"/>
        <w:gridCol w:w="146"/>
        <w:gridCol w:w="196"/>
        <w:gridCol w:w="196"/>
        <w:gridCol w:w="691"/>
        <w:gridCol w:w="146"/>
        <w:gridCol w:w="146"/>
        <w:gridCol w:w="233"/>
        <w:gridCol w:w="788"/>
        <w:gridCol w:w="166"/>
        <w:gridCol w:w="146"/>
        <w:gridCol w:w="196"/>
        <w:gridCol w:w="69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30,438,979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31,426,149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33,161,240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646,766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33,914,652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34,970,709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677,930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35,379,900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 is greater than zero but less than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7" w:name="statements_cash_flows"/>
      <w:bookmarkEnd w:id="7"/>
      <w:r>
        <w:rPr>
          <w:rFonts w:ascii="Times New Roman" w:hAnsi="Times New Roman"/>
          <w:b/>
          <w:color w:val="000000"/>
          <w:sz w:val="20"/>
        </w:rPr>
        <w:t>Consolidated Statements of Cash Flows (unaudited)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62"/>
        <w:gridCol w:w="346"/>
        <w:gridCol w:w="196"/>
        <w:gridCol w:w="751"/>
        <w:gridCol w:w="346"/>
        <w:gridCol w:w="346"/>
        <w:gridCol w:w="196"/>
        <w:gridCol w:w="751"/>
        <w:gridCol w:w="1011"/>
      </w:tblGrid>
      <w:tr>
        <w:trPr/>
        <w:tc>
          <w:tcPr>
            <w:tcW w:w="62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provided by (used for)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dividend income paid-in-kind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original issue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loan origination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 of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(208,306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166,605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loan origination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Realized losses on extinguishment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equity financing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Interest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 and fees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Capital gains incentive fee (reversal) – due to (from)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Administration fee payable and other – due to (from)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Taxes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 and other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(80,493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common stock offerings, net of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52,189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SBA debentures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of SBA debentures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issuance of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Principal payments on Notes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borrowings under Credit Facility,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Secured Borrowings,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 of deferred financing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paid to stockholders, including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(39,119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44,306</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9,682</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(70,811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91,207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48,320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Supplemental information and non-cash activities</w:t>
            </w: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taxes, net of tax refunds received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8" w:name="consolidated_schedule_of_investments"/>
      <w:bookmarkEnd w:id="8"/>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June 30,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461"/>
        <w:gridCol w:w="1419"/>
        <w:gridCol w:w="965"/>
        <w:gridCol w:w="695"/>
        <w:gridCol w:w="636"/>
        <w:gridCol w:w="609"/>
        <w:gridCol w:w="166"/>
        <w:gridCol w:w="436"/>
        <w:gridCol w:w="146"/>
        <w:gridCol w:w="146"/>
        <w:gridCol w:w="166"/>
        <w:gridCol w:w="436"/>
        <w:gridCol w:w="146"/>
        <w:gridCol w:w="146"/>
        <w:gridCol w:w="166"/>
        <w:gridCol w:w="436"/>
        <w:gridCol w:w="146"/>
        <w:gridCol w:w="207"/>
        <w:gridCol w:w="321"/>
        <w:gridCol w:w="356"/>
      </w:tblGrid>
      <w:tr>
        <w:trPr/>
        <w:tc>
          <w:tcPr>
            <w:tcW w:w="246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Portfolio Company (a)(b)</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Variable Index</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Rate (e)</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Percent of</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 Type (c)</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Industry</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Spread / Floor (d)</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Cash/PIK</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Date (f)</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Assets</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Control Investments (t)</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GreenFiber, LLC (n)</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(j)(y)</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(2,522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(425,508</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8/30/2019</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(1,022,813</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7/1/2020</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Affiliate Investments (l)</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Applegate Greenfiber Intermediate Inc. (fka US GreenFiber,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(5,690</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(7,113</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(2,012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CP Communications,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(am)</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+ 8.50%) / (4.00%)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(62</w:t>
            </w:r>
            <w:r>
              <w:rPr>
                <w:rFonts w:ascii="Times New Roman" w:hAnsi="Times New Roman"/>
                <w:color w:val="000000"/>
                <w:sz w:val="20"/>
              </w:rPr>
              <w:t> </w:t>
            </w:r>
            <w:r>
              <w:rPr>
                <w:rFonts w:ascii="Times New Roman" w:hAnsi="Times New Roman"/>
                <w:color w:val="000000"/>
                <w:sz w:val="10"/>
              </w:rPr>
              <w:t>units)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Medsurant Holdings, LLC (n)</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(84,997</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(252,588</w:t>
            </w:r>
            <w:r>
              <w:rPr>
                <w:rFonts w:ascii="Times New Roman" w:hAnsi="Times New Roman"/>
                <w:color w:val="000000"/>
                <w:sz w:val="20"/>
              </w:rPr>
              <w:t> </w:t>
            </w:r>
            <w:r>
              <w:rPr>
                <w:rFonts w:ascii="Times New Roman" w:hAnsi="Times New Roman"/>
                <w:color w:val="000000"/>
                <w:sz w:val="10"/>
              </w:rPr>
              <w:t>units) (h)(j)(m)</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Pfanstiehl, Inc.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(2,550</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3/29/2013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Spectra A&amp;D Acquisition, Inc. (fka FDS Avionics Corp.)</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(j)(ag)</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10.56%/0.00%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(12,035</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(38,493</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12/16/2022</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(6,783</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7/10/2023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(4,663</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9/16/2022</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(21,689</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Steward Holding LLC (dba Steward Advanced Materials)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11/12/2015</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Non-control/Non-affiliate Investments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2KDirect, Inc. (dba iPromote)</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(k)(at)</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(0.50%)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12.44%/0.00%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(j)(aa)</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(0.50%)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8.69%/0.00%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7/30/2021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301 Edison Holdings Inc. (dba LGG Industrial)</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11.75%/1.50%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(518,135</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Acendre Midco, Inc.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12.50%/1.25%</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12.50%/1.25%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Revolving Loan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12.50%/1.25%</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shares)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(275,000</w:t>
            </w:r>
            <w:r>
              <w:rPr>
                <w:rFonts w:ascii="Times New Roman" w:hAnsi="Times New Roman"/>
                <w:color w:val="000000"/>
                <w:sz w:val="20"/>
              </w:rPr>
              <w:t> </w:t>
            </w:r>
            <w:r>
              <w:rPr>
                <w:rFonts w:ascii="Times New Roman" w:hAnsi="Times New Roman"/>
                <w:color w:val="000000"/>
                <w:sz w:val="10"/>
              </w:rPr>
              <w:t>shares) (j)(m)</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(77,016</w:t>
            </w:r>
            <w:r>
              <w:rPr>
                <w:rFonts w:ascii="Times New Roman" w:hAnsi="Times New Roman"/>
                <w:color w:val="000000"/>
                <w:sz w:val="20"/>
              </w:rPr>
              <w:t> </w:t>
            </w:r>
            <w:r>
              <w:rPr>
                <w:rFonts w:ascii="Times New Roman" w:hAnsi="Times New Roman"/>
                <w:color w:val="000000"/>
                <w:sz w:val="10"/>
              </w:rPr>
              <w:t>shares)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9/26/2022</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(568,182</w:t>
            </w:r>
            <w:r>
              <w:rPr>
                <w:rFonts w:ascii="Times New Roman" w:hAnsi="Times New Roman"/>
                <w:color w:val="000000"/>
                <w:sz w:val="20"/>
              </w:rPr>
              <w:t> </w:t>
            </w:r>
            <w:r>
              <w:rPr>
                <w:rFonts w:ascii="Times New Roman" w:hAnsi="Times New Roman"/>
                <w:color w:val="000000"/>
                <w:sz w:val="10"/>
              </w:rPr>
              <w:t>shares)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6/10/2025</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Ad Info Parent, Inc. (dba MediaRadar)</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10.55%/0.00%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($1,442</w:t>
            </w:r>
            <w:r>
              <w:rPr>
                <w:rFonts w:ascii="Times New Roman" w:hAnsi="Times New Roman"/>
                <w:color w:val="000000"/>
                <w:sz w:val="20"/>
              </w:rPr>
              <w:t> </w:t>
            </w:r>
            <w:r>
              <w:rPr>
                <w:rFonts w:ascii="Times New Roman" w:hAnsi="Times New Roman"/>
                <w:color w:val="000000"/>
                <w:sz w:val="10"/>
              </w:rPr>
              <w:t>unfunded commitment) (i)(j)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10.53%/0.00%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(1,250,000</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Aldinger Company</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(12,504</w:t>
            </w:r>
            <w:r>
              <w:rPr>
                <w:rFonts w:ascii="Times New Roman" w:hAnsi="Times New Roman"/>
                <w:color w:val="000000"/>
                <w:sz w:val="20"/>
              </w:rPr>
              <w:t> </w:t>
            </w:r>
            <w:r>
              <w:rPr>
                <w:rFonts w:ascii="Times New Roman" w:hAnsi="Times New Roman"/>
                <w:color w:val="000000"/>
                <w:sz w:val="10"/>
              </w:rPr>
              <w:t>units)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(12,861</w:t>
            </w:r>
            <w:r>
              <w:rPr>
                <w:rFonts w:ascii="Times New Roman" w:hAnsi="Times New Roman"/>
                <w:color w:val="000000"/>
                <w:sz w:val="20"/>
              </w:rPr>
              <w:t> </w:t>
            </w:r>
            <w:r>
              <w:rPr>
                <w:rFonts w:ascii="Times New Roman" w:hAnsi="Times New Roman"/>
                <w:color w:val="000000"/>
                <w:sz w:val="10"/>
              </w:rPr>
              <w:t>units)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Allredi, LLC (fka Marco Group International OpCo,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Cleaning &amp; Coatings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0.00%/15.00%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3/2/2020</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(570,636</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7/21/2017</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(39,443</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11/24/2021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(524,624units)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American AllWaste LLC (dba WasteWater Transport Services)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Environmental Industries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(j)(p)</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11.31%/0.00%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(j)(o)</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8.81%/0.00%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(j)(bh)</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15.25%/0.00%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5/31/2018</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(207</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8/6/2019</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(141</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11/2/2020</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(74</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(312</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(1,405</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AmeriWater,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(af)</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10.55%/0.00%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7.00%/7.00%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AMOpportunities, Inc.</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3/12/2025</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69"/>
        <w:gridCol w:w="1376"/>
        <w:gridCol w:w="982"/>
        <w:gridCol w:w="707"/>
        <w:gridCol w:w="565"/>
        <w:gridCol w:w="565"/>
        <w:gridCol w:w="146"/>
        <w:gridCol w:w="436"/>
        <w:gridCol w:w="146"/>
        <w:gridCol w:w="146"/>
        <w:gridCol w:w="146"/>
        <w:gridCol w:w="436"/>
        <w:gridCol w:w="146"/>
        <w:gridCol w:w="146"/>
        <w:gridCol w:w="146"/>
        <w:gridCol w:w="436"/>
        <w:gridCol w:w="146"/>
        <w:gridCol w:w="146"/>
        <w:gridCol w:w="166"/>
        <w:gridCol w:w="353"/>
      </w:tblGrid>
      <w:tr>
        <w:trPr/>
        <w:tc>
          <w:tcPr>
            <w:tcW w:w="28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(740,741</w:t>
            </w:r>
            <w:r>
              <w:rPr>
                <w:rFonts w:ascii="Times New Roman" w:hAnsi="Times New Roman"/>
                <w:color w:val="000000"/>
                <w:sz w:val="20"/>
              </w:rPr>
              <w:t> </w:t>
            </w:r>
            <w:r>
              <w:rPr>
                <w:rFonts w:ascii="Times New Roman" w:hAnsi="Times New Roman"/>
                <w:color w:val="000000"/>
                <w:sz w:val="10"/>
              </w:rPr>
              <w:t>shares)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3/17/2025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AOM Intermediate Holdco, LLC (dba AllOver Media)</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(1,232</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APM Intermediate Holdings, LLC (dba Artistic Paver Manufacturing, Inc.)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(ai)</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11.55%/0.00%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Auto CRM LLC (dba Dealer Holdings)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Axis Medical Technologies LLC (dba MoveMedical)</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10.78%/0.00%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($800</w:t>
            </w:r>
            <w:r>
              <w:rPr>
                <w:rFonts w:ascii="Times New Roman" w:hAnsi="Times New Roman"/>
                <w:color w:val="000000"/>
                <w:sz w:val="20"/>
              </w:rPr>
              <w:t> </w:t>
            </w:r>
            <w:r>
              <w:rPr>
                <w:rFonts w:ascii="Times New Roman" w:hAnsi="Times New Roman"/>
                <w:color w:val="000000"/>
                <w:sz w:val="10"/>
              </w:rPr>
              <w:t>unfunded commitment) (j)(x)</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10.78%/0.00%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(1,200,000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10/25/2024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Bad Boy Mowers JV Acquisition,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(k)</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9.00%/4.50%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Barefoot Mosquito and Pest Control,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+ 6.00%)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10.30%/0.00%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(5,474</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(20,137</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BCM One Group Holdings, Inc.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Bedford Precision Parts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3/12/2019</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Brightmore Brands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(j)(al)</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+ 5.38%) / (1.50%)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9.67%/0.00%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(371</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Cardback Intermediate, LLC (dba Chargeback Gurus)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(j)(ah)</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(0.75%)</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11.05%/0.00%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(495</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(495</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Choice Technology Solutions, LLC (dba Choice Merchant Solutions,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12.30%/0.80%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CIH Intermediate,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(563</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(563</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Cleanova Topco Limited</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Preferred Equity (792,514)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Preferred Equity (396,257)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(120,078</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CRS Solutions Holdings, LLC (dba CRS Texas)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(574,929</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CTM Group, Inc. (dba Venuplus, Inc.)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+ 4.75%)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7.75%/6.50%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(400,000</w:t>
            </w:r>
            <w:r>
              <w:rPr>
                <w:rFonts w:ascii="Times New Roman" w:hAnsi="Times New Roman"/>
                <w:color w:val="000000"/>
                <w:sz w:val="20"/>
              </w:rPr>
              <w:t> </w:t>
            </w:r>
            <w:r>
              <w:rPr>
                <w:rFonts w:ascii="Times New Roman" w:hAnsi="Times New Roman"/>
                <w:color w:val="000000"/>
                <w:sz w:val="10"/>
              </w:rPr>
              <w:t>units)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Customer Expressions Corp (dba Case IQ) (aq)</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(j)(ao)(bc)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+ 5.00%) / (1.00%)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9.45%/0.50%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(502,894</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Dataguise, Inc.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(909</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Dealerbuilt Acquisition,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(4.00%)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10.03%/1.00%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7.50%/7.50%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Detechtion Holdings,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($1,250</w:t>
            </w:r>
            <w:r>
              <w:rPr>
                <w:rFonts w:ascii="Times New Roman" w:hAnsi="Times New Roman"/>
                <w:color w:val="000000"/>
                <w:sz w:val="20"/>
              </w:rPr>
              <w:t> </w:t>
            </w:r>
            <w:r>
              <w:rPr>
                <w:rFonts w:ascii="Times New Roman" w:hAnsi="Times New Roman"/>
                <w:color w:val="000000"/>
                <w:sz w:val="10"/>
              </w:rPr>
              <w:t>unfunded commitment) (k)</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(2.25%)</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10.05%/2.50%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(j)(w)</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+ 8.25%) / (2.25%)</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12.55%/0.00%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(601,532</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Diversified Search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(j)(r)</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12.06%/0.00%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12/23/2026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(573</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Donovan Food Brokerage,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(ae)</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+ 6.00%)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10.30%/0.00%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(598,832</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E-PlanSoft Buyer, LLC (dba e-PlanSoft)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11.00%/2.00%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(1,500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6/27/2025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Enterprise Asset Management FM Purchaser, Inc. (dba MCIM)</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10.05%/2.00%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(551,470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Estex Manufacturing Company,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(j)(az)</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+ 5.00%)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9.32%/0.00%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(75,000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683"/>
        <w:gridCol w:w="1431"/>
        <w:gridCol w:w="1026"/>
        <w:gridCol w:w="738"/>
        <w:gridCol w:w="593"/>
        <w:gridCol w:w="593"/>
        <w:gridCol w:w="146"/>
        <w:gridCol w:w="436"/>
        <w:gridCol w:w="146"/>
        <w:gridCol w:w="146"/>
        <w:gridCol w:w="146"/>
        <w:gridCol w:w="436"/>
        <w:gridCol w:w="146"/>
        <w:gridCol w:w="146"/>
        <w:gridCol w:w="146"/>
        <w:gridCol w:w="436"/>
        <w:gridCol w:w="146"/>
        <w:gridCol w:w="146"/>
        <w:gridCol w:w="166"/>
        <w:gridCol w:w="353"/>
      </w:tblGrid>
      <w:tr>
        <w:trPr/>
        <w:tc>
          <w:tcPr>
            <w:tcW w:w="268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6,184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Fishbowl Solutions,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12/27/2024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($1,500</w:t>
            </w:r>
            <w:r>
              <w:rPr>
                <w:rFonts w:ascii="Times New Roman" w:hAnsi="Times New Roman"/>
                <w:color w:val="000000"/>
                <w:sz w:val="20"/>
              </w:rPr>
              <w:t> </w:t>
            </w:r>
            <w:r>
              <w:rPr>
                <w:rFonts w:ascii="Times New Roman" w:hAnsi="Times New Roman"/>
                <w:color w:val="000000"/>
                <w:sz w:val="10"/>
              </w:rPr>
              <w:t>unfunded commitment) (i)(j)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12/27/2024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Fraser Steel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($2,000</w:t>
            </w:r>
            <w:r>
              <w:rPr>
                <w:rFonts w:ascii="Times New Roman" w:hAnsi="Times New Roman"/>
                <w:color w:val="000000"/>
                <w:sz w:val="20"/>
              </w:rPr>
              <w:t> </w:t>
            </w:r>
            <w:r>
              <w:rPr>
                <w:rFonts w:ascii="Times New Roman" w:hAnsi="Times New Roman"/>
                <w:color w:val="000000"/>
                <w:sz w:val="10"/>
              </w:rPr>
              <w:t>unfunded commitment) (i)(j)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(140,000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Fumex,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Product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(j)(ar)</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+ 4.75%) / (1.00%)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9.05%/0.00%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(3,500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Global Plasma Solutions,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(601</w:t>
            </w:r>
            <w:r>
              <w:rPr>
                <w:rFonts w:ascii="Times New Roman" w:hAnsi="Times New Roman"/>
                <w:color w:val="000000"/>
                <w:sz w:val="20"/>
              </w:rPr>
              <w:t> </w:t>
            </w:r>
            <w:r>
              <w:rPr>
                <w:rFonts w:ascii="Times New Roman" w:hAnsi="Times New Roman"/>
                <w:color w:val="000000"/>
                <w:sz w:val="10"/>
              </w:rPr>
              <w:t>shares)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(1,705</w:t>
            </w:r>
            <w:r>
              <w:rPr>
                <w:rFonts w:ascii="Times New Roman" w:hAnsi="Times New Roman"/>
                <w:color w:val="000000"/>
                <w:sz w:val="20"/>
              </w:rPr>
              <w:t> </w:t>
            </w:r>
            <w:r>
              <w:rPr>
                <w:rFonts w:ascii="Times New Roman" w:hAnsi="Times New Roman"/>
                <w:color w:val="000000"/>
                <w:sz w:val="10"/>
              </w:rPr>
              <w:t>shares)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GMP HVAC, LLC (dba McGee Heating &amp; Air,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(j)(bb)</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+ 6.75%)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11.05%/0.00%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(1,366</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GP&amp;C Operations, LLC (dba Garlock Printing and Converting)</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(515,625</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Green Cubes Technology, LLC (dba Green Cubes)</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(j)(ax)</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11.78%/0.00%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Haematologic Technologies,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(3.00%)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9.80%/3.00%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(630</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(169</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6/26/2023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Hallmark Health Care Solutions,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(3,645,752</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Hub Acquisition Sub, LLC (dba Hub Pen)</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Promotional products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11.50%/1.25%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4/25/2023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(5,837</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3/23/2016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(637</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(868</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IBH Holdings, LLC (fka Inflexxion,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(150,000</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InductiveHealth Informatics,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12.03%/0.50%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(367</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(1,361</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Info Tech Operating, LLC (dba infotech)</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(bd)</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+ 4.88%)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Informatics Holdings, Inc. (dba Wasp Barcode Technologies)</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(j)(v)</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(2.50%)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10.80%/0.00%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(1,000,000</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ISI PSG Holdings, LLC (dba Incentive Solutions,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(0.50%)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11.95%/0.00%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(j)(an)</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(0.50%)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8.45%/0.00%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(256,964</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Janus Health Technologies,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(68,361</w:t>
            </w:r>
            <w:r>
              <w:rPr>
                <w:rFonts w:ascii="Times New Roman" w:hAnsi="Times New Roman"/>
                <w:color w:val="000000"/>
                <w:sz w:val="20"/>
              </w:rPr>
              <w:t> </w:t>
            </w:r>
            <w:r>
              <w:rPr>
                <w:rFonts w:ascii="Times New Roman" w:hAnsi="Times New Roman"/>
                <w:color w:val="000000"/>
                <w:sz w:val="10"/>
              </w:rPr>
              <w:t>units)</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Jumo Health,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(j)(aw)</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9.53%/0.00%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(1,359</w:t>
            </w:r>
            <w:r>
              <w:rPr>
                <w:rFonts w:ascii="Times New Roman" w:hAnsi="Times New Roman"/>
                <w:color w:val="000000"/>
                <w:sz w:val="20"/>
              </w:rPr>
              <w:t> </w:t>
            </w:r>
            <w:r>
              <w:rPr>
                <w:rFonts w:ascii="Times New Roman" w:hAnsi="Times New Roman"/>
                <w:color w:val="000000"/>
                <w:sz w:val="10"/>
              </w:rPr>
              <w:t>shares)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(1,359</w:t>
            </w:r>
            <w:r>
              <w:rPr>
                <w:rFonts w:ascii="Times New Roman" w:hAnsi="Times New Roman"/>
                <w:color w:val="000000"/>
                <w:sz w:val="20"/>
              </w:rPr>
              <w:t> </w:t>
            </w:r>
            <w:r>
              <w:rPr>
                <w:rFonts w:ascii="Times New Roman" w:hAnsi="Times New Roman"/>
                <w:color w:val="000000"/>
                <w:sz w:val="10"/>
              </w:rPr>
              <w:t>shares)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The Kyjen Company, LLC (dba Outward Hound)</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(855</w:t>
            </w:r>
            <w:r>
              <w:rPr>
                <w:rFonts w:ascii="Times New Roman" w:hAnsi="Times New Roman"/>
                <w:color w:val="000000"/>
                <w:sz w:val="20"/>
              </w:rPr>
              <w:t> </w:t>
            </w:r>
            <w:r>
              <w:rPr>
                <w:rFonts w:ascii="Times New Roman" w:hAnsi="Times New Roman"/>
                <w:color w:val="000000"/>
                <w:sz w:val="10"/>
              </w:rPr>
              <w:t>shares)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12/8/2017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Laboratory Testing,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9.51%/0.00%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($3,427</w:t>
            </w:r>
            <w:r>
              <w:rPr>
                <w:rFonts w:ascii="Times New Roman" w:hAnsi="Times New Roman"/>
                <w:color w:val="000000"/>
                <w:sz w:val="20"/>
              </w:rPr>
              <w:t> </w:t>
            </w:r>
            <w:r>
              <w:rPr>
                <w:rFonts w:ascii="Times New Roman" w:hAnsi="Times New Roman"/>
                <w:color w:val="000000"/>
                <w:sz w:val="10"/>
              </w:rPr>
              <w:t>unfunded commitment) (i)(j)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9.51%/0.00%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(3,881</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(3,619</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Level Education Group, LLC (dba CE4Less)</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(ak)</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LifeSpan Biosciences,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(108</w:t>
            </w:r>
            <w:r>
              <w:rPr>
                <w:rFonts w:ascii="Times New Roman" w:hAnsi="Times New Roman"/>
                <w:color w:val="000000"/>
                <w:sz w:val="20"/>
              </w:rPr>
              <w:t> </w:t>
            </w:r>
            <w:r>
              <w:rPr>
                <w:rFonts w:ascii="Times New Roman" w:hAnsi="Times New Roman"/>
                <w:color w:val="000000"/>
                <w:sz w:val="10"/>
              </w:rPr>
              <w:t>shares)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6/7/2024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Mayesh Wholesale Florist,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($2,000</w:t>
            </w:r>
            <w:r>
              <w:rPr>
                <w:rFonts w:ascii="Times New Roman" w:hAnsi="Times New Roman"/>
                <w:color w:val="000000"/>
                <w:sz w:val="20"/>
              </w:rPr>
              <w:t> </w:t>
            </w:r>
            <w:r>
              <w:rPr>
                <w:rFonts w:ascii="Times New Roman" w:hAnsi="Times New Roman"/>
                <w:color w:val="000000"/>
                <w:sz w:val="10"/>
              </w:rPr>
              <w:t>unfunded commitment)(i)(j)(be)</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10.53%/0.00%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MBS Opco, LLC (dba Marketron)</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+ 8.50%) / (1.50%)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13.06%/0.00%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9/29/2022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MDME Holding Corp.</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10.70%/0.00%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8/31/2023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(4,735</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(12,500</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Netbase Solutions, Inc. (dba Netbase Quid)</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(k)(ap)</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(P</w:t>
            </w:r>
            <w:r>
              <w:rPr>
                <w:rFonts w:ascii="Times New Roman" w:hAnsi="Times New Roman"/>
                <w:color w:val="000000"/>
                <w:sz w:val="20"/>
              </w:rPr>
              <w:t> </w:t>
            </w:r>
            <w:r>
              <w:rPr>
                <w:rFonts w:ascii="Times New Roman" w:hAnsi="Times New Roman"/>
                <w:color w:val="000000"/>
                <w:sz w:val="10"/>
              </w:rPr>
              <w:t>+ 1.50%) / (3.25%)</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9.00%/2.50%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NWS Technologies,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647"/>
        <w:gridCol w:w="1441"/>
        <w:gridCol w:w="1018"/>
        <w:gridCol w:w="732"/>
        <w:gridCol w:w="588"/>
        <w:gridCol w:w="588"/>
        <w:gridCol w:w="146"/>
        <w:gridCol w:w="436"/>
        <w:gridCol w:w="146"/>
        <w:gridCol w:w="146"/>
        <w:gridCol w:w="146"/>
        <w:gridCol w:w="436"/>
        <w:gridCol w:w="146"/>
        <w:gridCol w:w="146"/>
        <w:gridCol w:w="146"/>
        <w:gridCol w:w="436"/>
        <w:gridCol w:w="146"/>
        <w:gridCol w:w="146"/>
        <w:gridCol w:w="166"/>
        <w:gridCol w:w="403"/>
      </w:tblGrid>
      <w:tr>
        <w:trPr/>
        <w:tc>
          <w:tcPr>
            <w:tcW w:w="264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($1,259</w:t>
            </w:r>
            <w:r>
              <w:rPr>
                <w:rFonts w:ascii="Times New Roman" w:hAnsi="Times New Roman"/>
                <w:color w:val="000000"/>
                <w:sz w:val="20"/>
              </w:rPr>
              <w:t> </w:t>
            </w:r>
            <w:r>
              <w:rPr>
                <w:rFonts w:ascii="Times New Roman" w:hAnsi="Times New Roman"/>
                <w:color w:val="000000"/>
                <w:sz w:val="10"/>
              </w:rPr>
              <w:t>unfunded commitment)(u)</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(2.50%)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11.80%/0.00%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w:t>
            </w:r>
            <w:r>
              <w:rPr>
                <w:rFonts w:ascii="Times New Roman" w:hAnsi="Times New Roman"/>
                <w:color w:val="000000"/>
                <w:sz w:val="20"/>
              </w:rPr>
              <w:t> </w:t>
            </w:r>
            <w:r>
              <w:rPr>
                <w:rFonts w:ascii="Times New Roman" w:hAnsi="Times New Roman"/>
                <w:color w:val="000000"/>
                <w:sz w:val="10"/>
              </w:rPr>
              <w:t>unit)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(0.375</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OnePath Systems, LLC (n)</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(732,542</w:t>
            </w:r>
            <w:r>
              <w:rPr>
                <w:rFonts w:ascii="Times New Roman" w:hAnsi="Times New Roman"/>
                <w:color w:val="000000"/>
                <w:sz w:val="20"/>
              </w:rPr>
              <w:t> </w:t>
            </w:r>
            <w:r>
              <w:rPr>
                <w:rFonts w:ascii="Times New Roman" w:hAnsi="Times New Roman"/>
                <w:color w:val="000000"/>
                <w:sz w:val="10"/>
              </w:rPr>
              <w:t>shares)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Onsight Industries,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(j)(bf)</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(1.50%)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9.80%/0.00%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3/27/2025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(380,000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Palmetto Moon,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(499</w:t>
            </w:r>
            <w:r>
              <w:rPr>
                <w:rFonts w:ascii="Times New Roman" w:hAnsi="Times New Roman"/>
                <w:color w:val="000000"/>
                <w:sz w:val="20"/>
              </w:rPr>
              <w:t> </w:t>
            </w:r>
            <w:r>
              <w:rPr>
                <w:rFonts w:ascii="Times New Roman" w:hAnsi="Times New Roman"/>
                <w:color w:val="000000"/>
                <w:sz w:val="10"/>
              </w:rPr>
              <w:t>units)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11/3/2016</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PayEntry Financial Services, Inc. (dba Payentry)</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(k)</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10.50%/1.75%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Second Lien Debt ($1,563</w:t>
            </w:r>
            <w:r>
              <w:rPr>
                <w:rFonts w:ascii="Times New Roman" w:hAnsi="Times New Roman"/>
                <w:color w:val="000000"/>
                <w:sz w:val="20"/>
              </w:rPr>
              <w:t> </w:t>
            </w:r>
            <w:r>
              <w:rPr>
                <w:rFonts w:ascii="Times New Roman" w:hAnsi="Times New Roman"/>
                <w:color w:val="000000"/>
                <w:sz w:val="10"/>
              </w:rPr>
              <w:t>unfunded commitment)(k)</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10.50%/1.75%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Second Lien Debt ($1,563</w:t>
            </w:r>
            <w:r>
              <w:rPr>
                <w:rFonts w:ascii="Times New Roman" w:hAnsi="Times New Roman"/>
                <w:color w:val="000000"/>
                <w:sz w:val="20"/>
              </w:rPr>
              <w:t> </w:t>
            </w:r>
            <w:r>
              <w:rPr>
                <w:rFonts w:ascii="Times New Roman" w:hAnsi="Times New Roman"/>
                <w:color w:val="000000"/>
                <w:sz w:val="10"/>
              </w:rPr>
              <w:t>unfunded commitment)(k)</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10.50%/1.75%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w:t>
            </w:r>
            <w:r>
              <w:rPr>
                <w:rFonts w:ascii="Times New Roman" w:hAnsi="Times New Roman"/>
                <w:color w:val="000000"/>
                <w:sz w:val="20"/>
              </w:rPr>
              <w:t> </w:t>
            </w:r>
            <w:r>
              <w:rPr>
                <w:rFonts w:ascii="Times New Roman" w:hAnsi="Times New Roman"/>
                <w:color w:val="000000"/>
                <w:sz w:val="10"/>
              </w:rPr>
              <w:t>units)</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Pinnergy, Ltd.</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Oil &amp; Gas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PowerGrid Services Acquisition,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(5,461</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Prime AE Group, Inc.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(900,000</w:t>
            </w:r>
            <w:r>
              <w:rPr>
                <w:rFonts w:ascii="Times New Roman" w:hAnsi="Times New Roman"/>
                <w:color w:val="000000"/>
                <w:sz w:val="20"/>
              </w:rPr>
              <w:t> </w:t>
            </w:r>
            <w:r>
              <w:rPr>
                <w:rFonts w:ascii="Times New Roman" w:hAnsi="Times New Roman"/>
                <w:color w:val="000000"/>
                <w:sz w:val="10"/>
              </w:rPr>
              <w:t>shares)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Pronto Plumbing &amp; Drain, Inc.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11.33%/0.00%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($500</w:t>
            </w:r>
            <w:r>
              <w:rPr>
                <w:rFonts w:ascii="Times New Roman" w:hAnsi="Times New Roman"/>
                <w:color w:val="000000"/>
                <w:sz w:val="20"/>
              </w:rPr>
              <w:t> </w:t>
            </w:r>
            <w:r>
              <w:rPr>
                <w:rFonts w:ascii="Times New Roman" w:hAnsi="Times New Roman"/>
                <w:color w:val="000000"/>
                <w:sz w:val="10"/>
              </w:rPr>
              <w:t>unfunded commitment)(i)(j)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11.33%/0.00%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Puget Collision,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(j)(av)</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(310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QED Technologies International, Inc.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(q)</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+ 4.75%) / (1.50%)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9.05%/0.50%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(j)(q)</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+ 4.75%) / (1.50%)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9.05%/0.50%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5/30/2025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(140</w:t>
            </w:r>
            <w:r>
              <w:rPr>
                <w:rFonts w:ascii="Times New Roman" w:hAnsi="Times New Roman"/>
                <w:color w:val="000000"/>
                <w:sz w:val="20"/>
              </w:rPr>
              <w:t> </w:t>
            </w:r>
            <w:r>
              <w:rPr>
                <w:rFonts w:ascii="Times New Roman" w:hAnsi="Times New Roman"/>
                <w:color w:val="000000"/>
                <w:sz w:val="10"/>
              </w:rPr>
              <w:t>shares)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Quest Software US Holdings Inc.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+ 1.00%) / (0.50%)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5.43%/6.75%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R1 Holdings, LLC (dba RoadOne IntermodaLogistics)</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10.49%/0.00%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8.75%/5.00%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(280,000</w:t>
            </w:r>
            <w:r>
              <w:rPr>
                <w:rFonts w:ascii="Times New Roman" w:hAnsi="Times New Roman"/>
                <w:color w:val="000000"/>
                <w:sz w:val="20"/>
              </w:rPr>
              <w:t> </w:t>
            </w:r>
            <w:r>
              <w:rPr>
                <w:rFonts w:ascii="Times New Roman" w:hAnsi="Times New Roman"/>
                <w:color w:val="000000"/>
                <w:sz w:val="10"/>
              </w:rPr>
              <w:t>units)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R.F. Fager Company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12.75%/0.00%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(12,500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ServicePower, Inc.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(k)(as)</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10.75%/6.11%</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(ba)</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6/6/2025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SES Investors, LLC (dba SES Foam) (n)</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9/8/2016</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Suited Connector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(j)(y)</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0.00%/13.00%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10/29/2021</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(97,808</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12/1/2021</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Tedia Company,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($2,250</w:t>
            </w:r>
            <w:r>
              <w:rPr>
                <w:rFonts w:ascii="Times New Roman" w:hAnsi="Times New Roman"/>
                <w:color w:val="000000"/>
                <w:sz w:val="20"/>
              </w:rPr>
              <w:t> </w:t>
            </w:r>
            <w:r>
              <w:rPr>
                <w:rFonts w:ascii="Times New Roman" w:hAnsi="Times New Roman"/>
                <w:color w:val="000000"/>
                <w:sz w:val="10"/>
              </w:rPr>
              <w:t>unfunded commitment) (i)(j)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7.25%/7.25%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Thrust Flight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($3,339</w:t>
            </w:r>
            <w:r>
              <w:rPr>
                <w:rFonts w:ascii="Times New Roman" w:hAnsi="Times New Roman"/>
                <w:color w:val="000000"/>
                <w:sz w:val="20"/>
              </w:rPr>
              <w:t> </w:t>
            </w:r>
            <w:r>
              <w:rPr>
                <w:rFonts w:ascii="Times New Roman" w:hAnsi="Times New Roman"/>
                <w:color w:val="000000"/>
                <w:sz w:val="10"/>
              </w:rPr>
              <w:t>unfunded commitment)(i)(j)(au)</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10.03%/0.00%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(1,050,000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Tiger Calcium Services Inc. (aq)</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 (ao)</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12/21/2022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True Environmental Inc.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($1,125</w:t>
            </w:r>
            <w:r>
              <w:rPr>
                <w:rFonts w:ascii="Times New Roman" w:hAnsi="Times New Roman"/>
                <w:color w:val="000000"/>
                <w:sz w:val="20"/>
              </w:rPr>
              <w:t> </w:t>
            </w:r>
            <w:r>
              <w:rPr>
                <w:rFonts w:ascii="Times New Roman" w:hAnsi="Times New Roman"/>
                <w:color w:val="000000"/>
                <w:sz w:val="10"/>
              </w:rPr>
              <w:t>unfunded commitment)(j)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(2.00%)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9.81%/0.00%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($2,250</w:t>
            </w:r>
            <w:r>
              <w:rPr>
                <w:rFonts w:ascii="Times New Roman" w:hAnsi="Times New Roman"/>
                <w:color w:val="000000"/>
                <w:sz w:val="20"/>
              </w:rPr>
              <w:t> </w:t>
            </w:r>
            <w:r>
              <w:rPr>
                <w:rFonts w:ascii="Times New Roman" w:hAnsi="Times New Roman"/>
                <w:color w:val="000000"/>
                <w:sz w:val="10"/>
              </w:rPr>
              <w:t>unfunded commitment)</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9.81%/0.00%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(312,500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UBEO,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(705,000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4/3/2018</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United Biologics,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(98,377</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4/1/2012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(57,469</w:t>
            </w:r>
            <w:r>
              <w:rPr>
                <w:rFonts w:ascii="Times New Roman" w:hAnsi="Times New Roman"/>
                <w:color w:val="000000"/>
                <w:sz w:val="20"/>
              </w:rPr>
              <w:t> </w:t>
            </w:r>
            <w:r>
              <w:rPr>
                <w:rFonts w:ascii="Times New Roman" w:hAnsi="Times New Roman"/>
                <w:color w:val="000000"/>
                <w:sz w:val="10"/>
              </w:rPr>
              <w:t>units) (j)(m)</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3/5/2012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USG AS Holdings,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2/21/2023</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Virginia Tile Company, LLC (n)</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Virtex Enterprises, LP</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(y)</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+ 0.00%) / (2.50%)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4.43%/9.75%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4/13/2022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(y)</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+ 4.00%) / (2.50%)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10.42%/0.00%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W50 Holdings,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(Units N/A) ($100</w:t>
            </w:r>
            <w:r>
              <w:rPr>
                <w:rFonts w:ascii="Times New Roman" w:hAnsi="Times New Roman"/>
                <w:color w:val="000000"/>
                <w:sz w:val="20"/>
              </w:rPr>
              <w:t> </w:t>
            </w:r>
            <w:r>
              <w:rPr>
                <w:rFonts w:ascii="Times New Roman" w:hAnsi="Times New Roman"/>
                <w:color w:val="000000"/>
                <w:sz w:val="10"/>
              </w:rPr>
              <w:t>unfunded commitment)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3/21/2024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20"/>
        <w:gridCol w:w="1189"/>
        <w:gridCol w:w="814"/>
        <w:gridCol w:w="641"/>
        <w:gridCol w:w="505"/>
        <w:gridCol w:w="505"/>
        <w:gridCol w:w="146"/>
        <w:gridCol w:w="436"/>
        <w:gridCol w:w="146"/>
        <w:gridCol w:w="146"/>
        <w:gridCol w:w="166"/>
        <w:gridCol w:w="586"/>
        <w:gridCol w:w="146"/>
        <w:gridCol w:w="146"/>
        <w:gridCol w:w="166"/>
        <w:gridCol w:w="586"/>
        <w:gridCol w:w="146"/>
        <w:gridCol w:w="146"/>
        <w:gridCol w:w="286"/>
        <w:gridCol w:w="483"/>
      </w:tblGrid>
      <w:tr>
        <w:trPr/>
        <w:tc>
          <w:tcPr>
            <w:tcW w:w="282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White Label Communication, LLC</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(j)(ab)</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+ 5.25%) / (1.00%)</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9.54%/0.00%</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6/30/2025</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(536</w:t>
            </w:r>
            <w:r>
              <w:rPr>
                <w:rFonts w:ascii="Times New Roman" w:hAnsi="Times New Roman"/>
                <w:color w:val="000000"/>
                <w:sz w:val="20"/>
              </w:rPr>
              <w:t> </w:t>
            </w:r>
            <w:r>
              <w:rPr>
                <w:rFonts w:ascii="Times New Roman" w:hAnsi="Times New Roman"/>
                <w:color w:val="000000"/>
                <w:sz w:val="10"/>
              </w:rPr>
              <w:t>units) (h)(j)</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w:t>
            </w:r>
            <w:r>
              <w:rPr>
                <w:rFonts w:ascii="Times New Roman" w:hAnsi="Times New Roman"/>
                <w:color w:val="000000"/>
                <w:sz w:val="20"/>
              </w:rPr>
              <w:t> </w:t>
            </w:r>
            <w:r>
              <w:rPr>
                <w:rFonts w:ascii="Times New Roman" w:hAnsi="Times New Roman"/>
                <w:color w:val="000000"/>
                <w:sz w:val="10"/>
              </w:rPr>
              <w:t>units) (h)(j)</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Wonderware Holdings, LLC (dba CORE Business Technologies)</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(k)(z)</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(1.00%)</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11.59%/0.00%</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2/10/2021</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 Tours LLC</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(ay)</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(2.00%)</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10.80%/0.00%</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11/13/2024</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(1,000,000</w:t>
            </w:r>
            <w:r>
              <w:rPr>
                <w:rFonts w:ascii="Times New Roman" w:hAnsi="Times New Roman"/>
                <w:color w:val="000000"/>
                <w:sz w:val="20"/>
              </w:rPr>
              <w:t> </w:t>
            </w:r>
            <w:r>
              <w:rPr>
                <w:rFonts w:ascii="Times New Roman" w:hAnsi="Times New Roman"/>
                <w:color w:val="000000"/>
                <w:sz w:val="10"/>
              </w:rPr>
              <w:t>units) (h)(j)</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11/13/2024</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Worldwide Express Operations, LLC</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(795,000</w:t>
            </w:r>
            <w:r>
              <w:rPr>
                <w:rFonts w:ascii="Times New Roman" w:hAnsi="Times New Roman"/>
                <w:color w:val="000000"/>
                <w:sz w:val="20"/>
              </w:rPr>
              <w:t> </w:t>
            </w:r>
            <w:r>
              <w:rPr>
                <w:rFonts w:ascii="Times New Roman" w:hAnsi="Times New Roman"/>
                <w:color w:val="000000"/>
                <w:sz w:val="10"/>
              </w:rPr>
              <w:t>units) (j)</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7/21/2021</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(752,380</w:t>
            </w:r>
            <w:r>
              <w:rPr>
                <w:rFonts w:ascii="Times New Roman" w:hAnsi="Times New Roman"/>
                <w:color w:val="000000"/>
                <w:sz w:val="20"/>
              </w:rPr>
              <w:t> </w:t>
            </w:r>
            <w:r>
              <w:rPr>
                <w:rFonts w:ascii="Times New Roman" w:hAnsi="Times New Roman"/>
                <w:color w:val="000000"/>
                <w:sz w:val="10"/>
              </w:rPr>
              <w:t>units) (h)(j)</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7/26/2021</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Zonkd, LLC</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15.00%/0.00%</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(4,987</w:t>
            </w:r>
            <w:r>
              <w:rPr>
                <w:rFonts w:ascii="Times New Roman" w:hAnsi="Times New Roman"/>
                <w:color w:val="000000"/>
                <w:sz w:val="20"/>
              </w:rPr>
              <w:t> </w:t>
            </w:r>
            <w:r>
              <w:rPr>
                <w:rFonts w:ascii="Times New Roman" w:hAnsi="Times New Roman"/>
                <w:color w:val="000000"/>
                <w:sz w:val="10"/>
              </w:rPr>
              <w:t>units) (h)(j)</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Non-control/Non-affiliate Investments</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1,069,999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1,054,812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152</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1,129,370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1,149,304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Money market funds (included in cash and cash equivalents)</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Goldman Sachs Financial Square Treasury Obligation Institution CUSIP (38141W323) (ad)</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4.18%/0.00%</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0"/>
              </w:rPr>
            </w:pPr>
            <w:r>
              <w:rPr>
                <w:rFonts w:ascii="Times New Roman" w:hAnsi="Times New Roman"/>
                <w:b/>
                <w:color w:val="000000"/>
                <w:sz w:val="10"/>
              </w:rPr>
              <w:t>Total money market funds</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 and Money Market Funds</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1,185,720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1,205,654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w:t>
            </w:r>
          </w:p>
        </w:tc>
        <w:tc>
          <w:tcPr>
            <w:tcW w:w="4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June 30, 2025, the Company held restricted securities with an aggregate fair value of $1,149,304, or 166% of the Company's net assets.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 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June 30, 2025.</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June 30, 2025.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June 30, 2025.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the SBIC Funds (as defined in Note 1)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2.58%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2.95%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2.85%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1.54%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2.24%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1.10%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June 30, 2025. The Company is earning 0.75%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The disclosed commitment represents the unfunded amount as of June 30, 2025.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June 30, 2025.</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1.58%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2.74% and PIK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2.10%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3.84%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4.78%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4.01%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June 30, 2025, total non-qualifying assets at fair value represented 2.19% of the Company's total assets calculated in accordance with the 1940 Act.</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0.00%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2.62%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cash interest amount of 0.25% and PIK interest amount of 0.61%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(av) In addition to the interest earned based on the stated interest rate of this security, the Company is entitled to receive an additional interest amount of 0.64%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(ax) In addition to the interest earned based on the stated interest rate of this security, the Company is entitled to receive an additional interest amount of 1.05%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(ay) In addition to the interest earned based on the stated interest rate of this security, the Company is entitled to receive an additional interest amount of 2.13%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(az) In addition to the interest earned based on the stated interest rate of this security, the Company is entitled to receive an additional interest amount of 2.39%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(ba) The Company sold a participating interest of approximately $0.005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(bb) In addition to the interest earned based on the stated interest rate of this security, the Company is entitled to receive an additional interest amount of 0.84%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(bc) In addition to the interest earned based on the stated interest rate of this security, the Company is entitled to receive an additional cash interest amount of 2.23% and PIK interest amount of 0.75%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(bd) 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(be) 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(bf) In addition to the interest earned based on the stated interest rate of this security, the Company is entitled to receive an additional interest amount of 2.52%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(bg) As of June 30, 2025, the Company is earning an incremental 0.31% interest on the outstanding principal balance.</w:t>
      </w:r>
    </w:p>
    <w:p>
      <w:pPr>
        <w:pStyle w:val="TextBody"/>
        <w:bidi w:val="0"/>
        <w:jc w:val="left"/>
        <w:rPr>
          <w:rFonts w:ascii="Times New Roman" w:hAnsi="Times New Roman"/>
          <w:color w:val="000000"/>
          <w:sz w:val="12"/>
        </w:rPr>
      </w:pPr>
      <w:r>
        <w:rPr>
          <w:rFonts w:ascii="Times New Roman" w:hAnsi="Times New Roman"/>
          <w:color w:val="000000"/>
          <w:sz w:val="12"/>
        </w:rPr>
        <w:t>(bh) The fair value for this investment includes a multiple of invested capital fee equal to (i) the principal amount repaid multipled by a return percentage that is subject to change based upon the loan repayment date minus (ii) the sum of (a) the principal amount repaid plus (b) all interest paid in cash on such principal amount plus (c) the aggregate amount of fees paid in cash on or prior to the date of such repayment.</w:t>
      </w:r>
    </w:p>
    <w:p>
      <w:pPr>
        <w:pStyle w:val="TextBody"/>
        <w:bidi w:val="0"/>
        <w:spacing w:before="120" w:after="283"/>
        <w:jc w:val="center"/>
        <w:rPr>
          <w:rFonts w:ascii="Times New Roman" w:hAnsi="Times New Roman"/>
          <w:i/>
          <w:color w:val="000000"/>
          <w:sz w:val="12"/>
        </w:rPr>
      </w:pPr>
      <w:r>
        <w:rPr>
          <w:rFonts w:ascii="Times New Roman" w:hAnsi="Times New Roman"/>
          <w:i/>
          <w:color w:val="000000"/>
          <w:sz w:val="12"/>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302"/>
        <w:gridCol w:w="1434"/>
        <w:gridCol w:w="957"/>
        <w:gridCol w:w="660"/>
        <w:gridCol w:w="691"/>
        <w:gridCol w:w="617"/>
        <w:gridCol w:w="166"/>
        <w:gridCol w:w="436"/>
        <w:gridCol w:w="146"/>
        <w:gridCol w:w="146"/>
        <w:gridCol w:w="166"/>
        <w:gridCol w:w="436"/>
        <w:gridCol w:w="146"/>
        <w:gridCol w:w="146"/>
        <w:gridCol w:w="166"/>
        <w:gridCol w:w="496"/>
        <w:gridCol w:w="146"/>
        <w:gridCol w:w="233"/>
        <w:gridCol w:w="362"/>
        <w:gridCol w:w="353"/>
      </w:tblGrid>
      <w:tr>
        <w:trPr/>
        <w:tc>
          <w:tcPr>
            <w:tcW w:w="230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Portfolio Company (a)(b)</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Variable Index</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Rate (e)</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Percent of</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Type (c)</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Industry</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Spread / Floor (d)</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Cash/PIK</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 (f)</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Assets</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Control Investments (t)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 GreenFiber, LLC (n)</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(j)(y)</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(2,522</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(425,508</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8/30/2019</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(1,022,813</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7/1/2020</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Control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Affiliate Investments (l)</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Applegate Greenfiber Intermediate Inc. (fka US GreenFiber,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(5,690</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(7,113</w:t>
            </w:r>
            <w:r>
              <w:rPr>
                <w:rFonts w:ascii="Times New Roman" w:hAnsi="Times New Roman"/>
                <w:color w:val="000000"/>
                <w:sz w:val="20"/>
              </w:rPr>
              <w:t>  </w:t>
            </w:r>
            <w:r>
              <w:rPr>
                <w:rFonts w:ascii="Times New Roman" w:hAnsi="Times New Roman"/>
                <w:color w:val="000000"/>
                <w:sz w:val="12"/>
              </w:rPr>
              <w:t>units) (h)(j)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(2,012</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CP Communications,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(am)</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+ 8.50%) / (4.00%)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12.96%/0.00%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Holdco Note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8.00%/8.00%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6/4/2030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(62</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Medsurant Holdings, LLC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(84,997</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(252,588</w:t>
            </w:r>
            <w:r>
              <w:rPr>
                <w:rFonts w:ascii="Times New Roman" w:hAnsi="Times New Roman"/>
                <w:color w:val="000000"/>
                <w:sz w:val="20"/>
              </w:rPr>
              <w:t> </w:t>
            </w:r>
            <w:r>
              <w:rPr>
                <w:rFonts w:ascii="Times New Roman" w:hAnsi="Times New Roman"/>
                <w:color w:val="000000"/>
                <w:sz w:val="12"/>
              </w:rPr>
              <w:t>units) (h)(j)(m)</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Pfanstiehl, Inc.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(2,550</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3/29/2013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Spectra A&amp;D Acquisition, Inc. (fka FDS Avionics Corp.)</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(j)(ag)</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(1.00%)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10.57%/0.00%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(12,035</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8/25/2021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(38,493</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(6,783</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7/10/2023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(4,663</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(21,689</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5/22/2024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Steward Holding LLC (dba Steward Advanced Materials)</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11/12/2015</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Affiliate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Non-control/Non-affiliate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2KDirect, Inc. (dba iPromote)</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(0.50%)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12.74%/0.00%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(j)(aa)</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8.99%/0.00%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7/30/2021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301 Edison Holdings Inc. (dba LGG Industrial)</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11.75%/1.50%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(518,135</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Acendre Midco, Inc.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+ 7.75%)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+ 7.75%) / (0.50%)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Revolving Loan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+ 7.75%)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shares)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(150,000</w:t>
            </w:r>
            <w:r>
              <w:rPr>
                <w:rFonts w:ascii="Times New Roman" w:hAnsi="Times New Roman"/>
                <w:color w:val="000000"/>
                <w:sz w:val="20"/>
              </w:rPr>
              <w:t> </w:t>
            </w:r>
            <w:r>
              <w:rPr>
                <w:rFonts w:ascii="Times New Roman" w:hAnsi="Times New Roman"/>
                <w:color w:val="000000"/>
                <w:sz w:val="12"/>
              </w:rPr>
              <w:t>shares) (j)(m)</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(77,016</w:t>
            </w:r>
            <w:r>
              <w:rPr>
                <w:rFonts w:ascii="Times New Roman" w:hAnsi="Times New Roman"/>
                <w:color w:val="000000"/>
                <w:sz w:val="20"/>
              </w:rPr>
              <w:t> </w:t>
            </w:r>
            <w:r>
              <w:rPr>
                <w:rFonts w:ascii="Times New Roman" w:hAnsi="Times New Roman"/>
                <w:color w:val="000000"/>
                <w:sz w:val="12"/>
              </w:rPr>
              <w:t>shares)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Ad Info Parent, Inc. (dba MediaRadar)</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10.75%/0.00%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($865</w:t>
            </w:r>
            <w:r>
              <w:rPr>
                <w:rFonts w:ascii="Times New Roman" w:hAnsi="Times New Roman"/>
                <w:color w:val="000000"/>
                <w:sz w:val="20"/>
              </w:rPr>
              <w:t> </w:t>
            </w:r>
            <w:r>
              <w:rPr>
                <w:rFonts w:ascii="Times New Roman" w:hAnsi="Times New Roman"/>
                <w:color w:val="000000"/>
                <w:sz w:val="12"/>
              </w:rPr>
              <w:t>unfunded commitment) (i)(j)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10.75%/0.00%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(1,250,000</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Aldinger Company</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(12,504</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(12,861</w:t>
            </w:r>
            <w:r>
              <w:rPr>
                <w:rFonts w:ascii="Times New Roman" w:hAnsi="Times New Roman"/>
                <w:color w:val="000000"/>
                <w:sz w:val="20"/>
              </w:rPr>
              <w:t> </w:t>
            </w:r>
            <w:r>
              <w:rPr>
                <w:rFonts w:ascii="Times New Roman" w:hAnsi="Times New Roman"/>
                <w:color w:val="000000"/>
                <w:sz w:val="12"/>
              </w:rPr>
              <w:t>units)</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Allredi, LLC (fka Marco Group International OpCo,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Cleaning &amp; Coatings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0.00%/17.00%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3/2/2020</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(570,636</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7/21/2017</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(39,443</w:t>
            </w:r>
            <w:r>
              <w:rPr>
                <w:rFonts w:ascii="Times New Roman" w:hAnsi="Times New Roman"/>
                <w:color w:val="000000"/>
                <w:sz w:val="20"/>
              </w:rPr>
              <w:t> </w:t>
            </w:r>
            <w:r>
              <w:rPr>
                <w:rFonts w:ascii="Times New Roman" w:hAnsi="Times New Roman"/>
                <w:color w:val="000000"/>
                <w:sz w:val="12"/>
              </w:rPr>
              <w:t>units) (h)(j)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11/24/2021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(524,624units)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2"/>
        <w:gridCol w:w="1427"/>
        <w:gridCol w:w="1022"/>
        <w:gridCol w:w="702"/>
        <w:gridCol w:w="538"/>
        <w:gridCol w:w="538"/>
        <w:gridCol w:w="146"/>
        <w:gridCol w:w="436"/>
        <w:gridCol w:w="146"/>
        <w:gridCol w:w="146"/>
        <w:gridCol w:w="146"/>
        <w:gridCol w:w="436"/>
        <w:gridCol w:w="151"/>
        <w:gridCol w:w="146"/>
        <w:gridCol w:w="146"/>
        <w:gridCol w:w="436"/>
        <w:gridCol w:w="146"/>
        <w:gridCol w:w="146"/>
        <w:gridCol w:w="166"/>
        <w:gridCol w:w="353"/>
      </w:tblGrid>
      <w:tr>
        <w:trPr/>
        <w:tc>
          <w:tcPr>
            <w:tcW w:w="283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American AllWaste LLC (dba WasteWater Transport Services)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Environmental Industries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(j)(p)</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+ 6.75%)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(j)(o)</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+ 6.75%)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8.82%/0.00%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15.25%/0.00%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3/28/2024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5/31/2018</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(207</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8/6/2019</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(141</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11/2/2020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(74</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12/29/2021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(312</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(1,405</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AmeriWater,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(af)</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10.58%/0.00%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7.00%/7.00%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AOM Intermediate Holdco, LLC (dba AllOver Media)</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(1,232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APM Intermediate Holdings, LLC (dba Artistic Paver Manufacturing, Inc.)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(ai)</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+ 7.25%)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11.84%/0.00%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Auto CRM LLC (dba Dealer Holdings)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0.00%/14.50%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0.00%/14.50%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w:t>
            </w:r>
            <w:r>
              <w:rPr>
                <w:rFonts w:ascii="Times New Roman" w:hAnsi="Times New Roman"/>
                <w:color w:val="000000"/>
                <w:sz w:val="20"/>
              </w:rPr>
              <w:t> </w:t>
            </w:r>
            <w:r>
              <w:rPr>
                <w:rFonts w:ascii="Times New Roman" w:hAnsi="Times New Roman"/>
                <w:color w:val="000000"/>
                <w:sz w:val="12"/>
              </w:rPr>
              <w:t>units)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Axis Medical Technologies LLC (dba MoveMedical)</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($800</w:t>
            </w:r>
            <w:r>
              <w:rPr>
                <w:rFonts w:ascii="Times New Roman" w:hAnsi="Times New Roman"/>
                <w:color w:val="000000"/>
                <w:sz w:val="20"/>
              </w:rPr>
              <w:t> </w:t>
            </w:r>
            <w:r>
              <w:rPr>
                <w:rFonts w:ascii="Times New Roman" w:hAnsi="Times New Roman"/>
                <w:color w:val="000000"/>
                <w:sz w:val="12"/>
              </w:rPr>
              <w:t>unfunded commitment) (j)(x)</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(1,200,000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10/25/2024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Bad Boy Mowers JV Acquisition,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(k)</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9.00%/4.50%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Barefoot Mosquito and Pest Control,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11.02%/0.00%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(4,422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(16,693</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BCM One Group Holdings, Inc.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Bedford Precision Parts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3/12/2019</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Brightmore Brands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(j)(al)</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+ 5.38%) / (1.50%)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9.97%/0.00%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(371</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Cardback Intermediate, LLC (dba Chargeback Gurus)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(j)(ah)</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(0.75%)</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11.35%/0.00%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(495</w:t>
            </w:r>
            <w:r>
              <w:rPr>
                <w:rFonts w:ascii="Times New Roman" w:hAnsi="Times New Roman"/>
                <w:color w:val="000000"/>
                <w:sz w:val="20"/>
              </w:rPr>
              <w:t> </w:t>
            </w:r>
            <w:r>
              <w:rPr>
                <w:rFonts w:ascii="Times New Roman" w:hAnsi="Times New Roman"/>
                <w:color w:val="000000"/>
                <w:sz w:val="12"/>
              </w:rPr>
              <w:t>shares)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(495</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Choice Technology Solutions, LLC (dba Choice Merchant Solutions,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12.09%/0.00%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(i)(j)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11.09%/0.00%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8/21/2023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CIH Intermediate,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(k)</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10.00%/1.00%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(563</w:t>
            </w:r>
            <w:r>
              <w:rPr>
                <w:rFonts w:ascii="Times New Roman" w:hAnsi="Times New Roman"/>
                <w:color w:val="000000"/>
                <w:sz w:val="20"/>
              </w:rPr>
              <w:t> </w:t>
            </w:r>
            <w:r>
              <w:rPr>
                <w:rFonts w:ascii="Times New Roman" w:hAnsi="Times New Roman"/>
                <w:color w:val="000000"/>
                <w:sz w:val="12"/>
              </w:rPr>
              <w:t>shares)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(563</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CRS Solutions Holdings, LLC (dba CRS Texas)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(574,929</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CTM Group, Inc. (dba Venuplus, Inc.)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+ 4.75%)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9.40%/2.75%</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7.75%/6.50%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(400,000</w:t>
            </w:r>
            <w:r>
              <w:rPr>
                <w:rFonts w:ascii="Times New Roman" w:hAnsi="Times New Roman"/>
                <w:color w:val="000000"/>
                <w:sz w:val="20"/>
              </w:rPr>
              <w:t> </w:t>
            </w:r>
            <w:r>
              <w:rPr>
                <w:rFonts w:ascii="Times New Roman" w:hAnsi="Times New Roman"/>
                <w:color w:val="000000"/>
                <w:sz w:val="12"/>
              </w:rPr>
              <w:t>units)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Dataguise, Inc.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11.00%/2.00%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(909</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Dealerbuilt Acquisition,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(4.00%)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10.36%/1.00%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2"/>
        <w:gridCol w:w="1504"/>
        <w:gridCol w:w="1015"/>
        <w:gridCol w:w="731"/>
        <w:gridCol w:w="563"/>
        <w:gridCol w:w="563"/>
        <w:gridCol w:w="146"/>
        <w:gridCol w:w="436"/>
        <w:gridCol w:w="146"/>
        <w:gridCol w:w="146"/>
        <w:gridCol w:w="146"/>
        <w:gridCol w:w="436"/>
        <w:gridCol w:w="151"/>
        <w:gridCol w:w="146"/>
        <w:gridCol w:w="146"/>
        <w:gridCol w:w="436"/>
        <w:gridCol w:w="146"/>
        <w:gridCol w:w="146"/>
        <w:gridCol w:w="166"/>
        <w:gridCol w:w="354"/>
      </w:tblGrid>
      <w:tr>
        <w:trPr/>
        <w:tc>
          <w:tcPr>
            <w:tcW w:w="268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7.50%/7.50%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Detechtion Holdings,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(2.25%)</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10.34%/2.00%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(j)(w)</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(2.25%)</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12.34%/0.00%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7/12/2024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(601,532</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Diversified Search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(j)(r)</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12.09%/0.00%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(573</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Donovan Food Brokerage,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(ae)</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(598,832</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Elements Brands,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Revolving Loan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Enterprise Asset Management FM Purchaser, Inc. (dba MCIM)</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10.34%/2.00%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(551,470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Estex Manufacturing Company,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(j)(az)</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+ 5.00%)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9.55%/0.00%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(75,000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Fishbowl Solutions,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3/25/2022</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12.62%/0.00%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12/27/2024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($2,223</w:t>
            </w:r>
            <w:r>
              <w:rPr>
                <w:rFonts w:ascii="Times New Roman" w:hAnsi="Times New Roman"/>
                <w:color w:val="000000"/>
                <w:sz w:val="20"/>
              </w:rPr>
              <w:t> </w:t>
            </w:r>
            <w:r>
              <w:rPr>
                <w:rFonts w:ascii="Times New Roman" w:hAnsi="Times New Roman"/>
                <w:color w:val="000000"/>
                <w:sz w:val="12"/>
              </w:rPr>
              <w:t>unfunded commitment) (i)(j)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12.62%/0.00%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Fumex, LLC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Product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(j)(ar)</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+ 4.75%) / (1.00%)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9.26%/0.00%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(3,500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Global Plasma Solutions,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(601</w:t>
            </w:r>
            <w:r>
              <w:rPr>
                <w:rFonts w:ascii="Times New Roman" w:hAnsi="Times New Roman"/>
                <w:color w:val="000000"/>
                <w:sz w:val="20"/>
              </w:rPr>
              <w:t> </w:t>
            </w:r>
            <w:r>
              <w:rPr>
                <w:rFonts w:ascii="Times New Roman" w:hAnsi="Times New Roman"/>
                <w:color w:val="000000"/>
                <w:sz w:val="12"/>
              </w:rPr>
              <w:t>shares)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(1,705</w:t>
            </w:r>
            <w:r>
              <w:rPr>
                <w:rFonts w:ascii="Times New Roman" w:hAnsi="Times New Roman"/>
                <w:color w:val="000000"/>
                <w:sz w:val="20"/>
              </w:rPr>
              <w:t> </w:t>
            </w:r>
            <w:r>
              <w:rPr>
                <w:rFonts w:ascii="Times New Roman" w:hAnsi="Times New Roman"/>
                <w:color w:val="000000"/>
                <w:sz w:val="12"/>
              </w:rPr>
              <w:t>shares)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9/21/2018</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GMP HVAC, LLC (dba McGee Heating &amp; Air, LLC)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($1,500</w:t>
            </w:r>
            <w:r>
              <w:rPr>
                <w:rFonts w:ascii="Times New Roman" w:hAnsi="Times New Roman"/>
                <w:color w:val="000000"/>
                <w:sz w:val="20"/>
              </w:rPr>
              <w:t> </w:t>
            </w:r>
            <w:r>
              <w:rPr>
                <w:rFonts w:ascii="Times New Roman" w:hAnsi="Times New Roman"/>
                <w:color w:val="000000"/>
                <w:sz w:val="12"/>
              </w:rPr>
              <w:t>unfunded commitment) (i)(j)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(1,394</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GP&amp;C Operations, LLC (dba Garlock Printing and Converting)</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(515,625</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1/22/2021</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Green Cubes Technology, LLC (dba Green Cubes)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(j)(ax)</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(2.00%)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12.13%/0.00%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Haematologic Technologies, Inc.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(3.00%)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10.11%/3.00%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(630</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(169</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6/26/2023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Hallmark Health Care Solutions,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(3,645,752</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Healthfuse,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(197,980</w:t>
            </w:r>
            <w:r>
              <w:rPr>
                <w:rFonts w:ascii="Times New Roman" w:hAnsi="Times New Roman"/>
                <w:color w:val="000000"/>
                <w:sz w:val="20"/>
              </w:rPr>
              <w:t> </w:t>
            </w:r>
            <w:r>
              <w:rPr>
                <w:rFonts w:ascii="Times New Roman" w:hAnsi="Times New Roman"/>
                <w:color w:val="000000"/>
                <w:sz w:val="12"/>
              </w:rPr>
              <w:t>units)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Hub Acquisition Sub, LLC (dba Hub Pen)</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Promotional products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11.50%/1.25%</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4/25/2023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(5,837</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3/23/2016</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(637</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(868</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IBH Holdings, LLC (fka Inflexxion,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(150,000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6/20/2018</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InductiveHealth Informatics,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12.44%/0.50%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(367</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(1,361</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Informatics Holdings, Inc. (dba Wasp Barcode Technologies)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(j)(v)</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(2.50%)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11.09%/0.00%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4"/>
        <w:gridCol w:w="1373"/>
        <w:gridCol w:w="919"/>
        <w:gridCol w:w="681"/>
        <w:gridCol w:w="520"/>
        <w:gridCol w:w="520"/>
        <w:gridCol w:w="146"/>
        <w:gridCol w:w="436"/>
        <w:gridCol w:w="146"/>
        <w:gridCol w:w="146"/>
        <w:gridCol w:w="146"/>
        <w:gridCol w:w="436"/>
        <w:gridCol w:w="146"/>
        <w:gridCol w:w="146"/>
        <w:gridCol w:w="146"/>
        <w:gridCol w:w="436"/>
        <w:gridCol w:w="146"/>
        <w:gridCol w:w="146"/>
        <w:gridCol w:w="166"/>
        <w:gridCol w:w="420"/>
      </w:tblGrid>
      <w:tr>
        <w:trPr/>
        <w:tc>
          <w:tcPr>
            <w:tcW w:w="298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ISI PSG Holdings, LLC (dba Incentive Solutions,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11.98%/0.00%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(j)(an)</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8.48%/0.00%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(256,964</w:t>
            </w:r>
            <w:r>
              <w:rPr>
                <w:rFonts w:ascii="Times New Roman" w:hAnsi="Times New Roman"/>
                <w:color w:val="000000"/>
                <w:sz w:val="20"/>
              </w:rPr>
              <w:t> </w:t>
            </w:r>
            <w:r>
              <w:rPr>
                <w:rFonts w:ascii="Times New Roman" w:hAnsi="Times New Roman"/>
                <w:color w:val="000000"/>
                <w:sz w:val="12"/>
              </w:rPr>
              <w:t>units) (h)(j)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Janus Health Technologies, Inc.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12.00%/0.00%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(68,361</w:t>
            </w:r>
            <w:r>
              <w:rPr>
                <w:rFonts w:ascii="Times New Roman" w:hAnsi="Times New Roman"/>
                <w:color w:val="000000"/>
                <w:sz w:val="20"/>
              </w:rPr>
              <w:t> </w:t>
            </w:r>
            <w:r>
              <w:rPr>
                <w:rFonts w:ascii="Times New Roman" w:hAnsi="Times New Roman"/>
                <w:color w:val="000000"/>
                <w:sz w:val="12"/>
              </w:rPr>
              <w:t>units)</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Jumo Health,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(j)(aw)</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+ 5.50%)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(1,359</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(1,359</w:t>
            </w:r>
            <w:r>
              <w:rPr>
                <w:rFonts w:ascii="Times New Roman" w:hAnsi="Times New Roman"/>
                <w:color w:val="000000"/>
                <w:sz w:val="20"/>
              </w:rPr>
              <w:t> </w:t>
            </w:r>
            <w:r>
              <w:rPr>
                <w:rFonts w:ascii="Times New Roman" w:hAnsi="Times New Roman"/>
                <w:color w:val="000000"/>
                <w:sz w:val="12"/>
              </w:rPr>
              <w:t>shares)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The Kyjen Company, LLC (dba Outward Hound)</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(855</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12/8/2017</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Level Education Group, LLC (dba CE4Less)</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(ak)</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LifeSpan Biosciences,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(108</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6/7/2024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MBS Opco, LLC (dba Marketron)</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+ 8.50%) / (1.50%)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13.35%/0.00%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9/29/2022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MDME Holding Corp.</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10.73%/0.00%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8/31/2023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(4,735</w:t>
            </w:r>
            <w:r>
              <w:rPr>
                <w:rFonts w:ascii="Times New Roman" w:hAnsi="Times New Roman"/>
                <w:color w:val="000000"/>
                <w:sz w:val="20"/>
              </w:rPr>
              <w:t> </w:t>
            </w:r>
            <w:r>
              <w:rPr>
                <w:rFonts w:ascii="Times New Roman" w:hAnsi="Times New Roman"/>
                <w:color w:val="000000"/>
                <w:sz w:val="12"/>
              </w:rPr>
              <w:t>units)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(12,500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Micronics Filtration Holdings, Inc. (dba Micronics Engineered Filtration Group,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(k)(as)</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(0.50%)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(14,400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Netbase Solutions, Inc. (dba Netbase Quid)</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(k)(ap)</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 + 4.00%) / (3.25%)</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NWS Technologies, LLC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(u)</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+ 8.00%) / (2.50%)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12.59%/0.00%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w:t>
            </w:r>
            <w:r>
              <w:rPr>
                <w:rFonts w:ascii="Times New Roman" w:hAnsi="Times New Roman"/>
                <w:color w:val="000000"/>
                <w:sz w:val="20"/>
              </w:rPr>
              <w:t> </w:t>
            </w:r>
            <w:r>
              <w:rPr>
                <w:rFonts w:ascii="Times New Roman" w:hAnsi="Times New Roman"/>
                <w:color w:val="000000"/>
                <w:sz w:val="12"/>
              </w:rPr>
              <w:t>unit) (h)(j)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(0.375</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OnePath Systems,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(732,542</w:t>
            </w:r>
            <w:r>
              <w:rPr>
                <w:rFonts w:ascii="Times New Roman" w:hAnsi="Times New Roman"/>
                <w:color w:val="000000"/>
                <w:sz w:val="20"/>
              </w:rPr>
              <w:t> </w:t>
            </w:r>
            <w:r>
              <w:rPr>
                <w:rFonts w:ascii="Times New Roman" w:hAnsi="Times New Roman"/>
                <w:color w:val="000000"/>
                <w:sz w:val="12"/>
              </w:rPr>
              <w:t>shares)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Palmetto Moon, LLC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(499</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11/3/2016</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Pinnergy, Ltd.</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PowerGrid Services Acquisition, LLC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(5,461</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9/21/2021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Prime AE Group,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(j)(ab)</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+ 8.75%)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13.21%/0.00%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(900,000</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Puget Collision,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(j)(av)</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(h)(j)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12/20/2024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(310</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QED Technologies International,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(q)</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(1.50%)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9.84%/0.50%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(140</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Quantum IR Technologies,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(j)(y)</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14.00%/0.00%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(12,183</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Quest Software US Holdings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12.24%/0.00%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R1 Holdings, LLC (dba RoadOne IntermodaLogistics)</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8.75%/5.00%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(280,000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R.F. Fager Company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12.75%/0.00%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(12,500</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3"/>
        <w:gridCol w:w="1238"/>
        <w:gridCol w:w="910"/>
        <w:gridCol w:w="630"/>
        <w:gridCol w:w="476"/>
        <w:gridCol w:w="476"/>
        <w:gridCol w:w="146"/>
        <w:gridCol w:w="436"/>
        <w:gridCol w:w="146"/>
        <w:gridCol w:w="146"/>
        <w:gridCol w:w="166"/>
        <w:gridCol w:w="586"/>
        <w:gridCol w:w="151"/>
        <w:gridCol w:w="146"/>
        <w:gridCol w:w="166"/>
        <w:gridCol w:w="586"/>
        <w:gridCol w:w="146"/>
        <w:gridCol w:w="146"/>
        <w:gridCol w:w="286"/>
        <w:gridCol w:w="499"/>
      </w:tblGrid>
      <w:tr>
        <w:trPr/>
        <w:tc>
          <w:tcPr>
            <w:tcW w:w="27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Rhino Assembly Company, LLC (n)</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(Class A Units) (10,915</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8/11/2017</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Preferred Equity (Units N/A) (h)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12/10/2020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(Class F Units) (710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12/10/2020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ServicePower, Inc.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(3.25%)</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12.61%/0.00%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3/15/2024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SES Investors, LLC (dba SES Foam) (n)</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9/8/2016</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Suited Connector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0.00%/13.00%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10/29/2021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(97,808</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Tedia Company,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+ 8.75%) / (1.00%)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($2,250</w:t>
            </w:r>
            <w:r>
              <w:rPr>
                <w:rFonts w:ascii="Times New Roman" w:hAnsi="Times New Roman"/>
                <w:color w:val="000000"/>
                <w:sz w:val="20"/>
              </w:rPr>
              <w:t> </w:t>
            </w:r>
            <w:r>
              <w:rPr>
                <w:rFonts w:ascii="Times New Roman" w:hAnsi="Times New Roman"/>
                <w:color w:val="000000"/>
                <w:sz w:val="12"/>
              </w:rPr>
              <w:t>unfunded commitment) (i)(j)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+ 8.75%)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7.75%/7.75%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Thrust Flight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First Lien Debt ($2,625</w:t>
            </w:r>
            <w:r>
              <w:rPr>
                <w:rFonts w:ascii="Times New Roman" w:hAnsi="Times New Roman"/>
                <w:color w:val="000000"/>
                <w:sz w:val="20"/>
              </w:rPr>
              <w:t> </w:t>
            </w:r>
            <w:r>
              <w:rPr>
                <w:rFonts w:ascii="Times New Roman" w:hAnsi="Times New Roman"/>
                <w:color w:val="000000"/>
                <w:sz w:val="12"/>
              </w:rPr>
              <w:t>unfunded commitment)(i)(j)(au)</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+ 5.75%) / (2.00%)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(1,050,000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Tiger Calcium Services Inc. (aq)</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 (ao)</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12/21/2022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UBEO,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(705,000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4/3/2018</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United Biologics,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(98,377</w:t>
            </w:r>
            <w:r>
              <w:rPr>
                <w:rFonts w:ascii="Times New Roman" w:hAnsi="Times New Roman"/>
                <w:color w:val="000000"/>
                <w:sz w:val="20"/>
              </w:rPr>
              <w:t> </w:t>
            </w:r>
            <w:r>
              <w:rPr>
                <w:rFonts w:ascii="Times New Roman" w:hAnsi="Times New Roman"/>
                <w:color w:val="000000"/>
                <w:sz w:val="12"/>
              </w:rPr>
              <w:t>units) (h)(j)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4/1/2012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(57,469</w:t>
            </w:r>
            <w:r>
              <w:rPr>
                <w:rFonts w:ascii="Times New Roman" w:hAnsi="Times New Roman"/>
                <w:color w:val="000000"/>
                <w:sz w:val="20"/>
              </w:rPr>
              <w:t> </w:t>
            </w:r>
            <w:r>
              <w:rPr>
                <w:rFonts w:ascii="Times New Roman" w:hAnsi="Times New Roman"/>
                <w:color w:val="000000"/>
                <w:sz w:val="12"/>
              </w:rPr>
              <w:t>units) (j)(m)</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3/5/2012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USG AS Holdings,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+ 8.50%) / (2.50%)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13.24%/0.00%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(Units N/A)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Virginia Tile Company, LLC (n)</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 units)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12/19/2014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Virtex Enterprises, LP</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(y)</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+ 0.00%) / (2.50%)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4.46%/9.75%</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4/13/2022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+ 4.00%) / (2.50%)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10.46%/0.00%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W50 Holdings,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3/22/2024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(Units N/A) ($100</w:t>
            </w:r>
            <w:r>
              <w:rPr>
                <w:rFonts w:ascii="Times New Roman" w:hAnsi="Times New Roman"/>
                <w:color w:val="000000"/>
                <w:sz w:val="20"/>
              </w:rPr>
              <w:t> </w:t>
            </w:r>
            <w:r>
              <w:rPr>
                <w:rFonts w:ascii="Times New Roman" w:hAnsi="Times New Roman"/>
                <w:color w:val="000000"/>
                <w:sz w:val="12"/>
              </w:rPr>
              <w:t>unfunded commitment)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3/21/2024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White Label Communication,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(536</w:t>
            </w:r>
            <w:r>
              <w:rPr>
                <w:rFonts w:ascii="Times New Roman" w:hAnsi="Times New Roman"/>
                <w:color w:val="000000"/>
                <w:sz w:val="20"/>
              </w:rPr>
              <w:t> </w:t>
            </w:r>
            <w:r>
              <w:rPr>
                <w:rFonts w:ascii="Times New Roman" w:hAnsi="Times New Roman"/>
                <w:color w:val="000000"/>
                <w:sz w:val="12"/>
              </w:rPr>
              <w:t>units) (h)(j)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Winona Foods, Inc.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(6.00%)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17.00%/0.00%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12/13/2023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Wonderware Holdings, LLC (dba CORE Business Technologies)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(k)(z)</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+ 7.00%)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11.73%/0.00%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2/10/2021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World Tours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11.02%/0.00%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Worldwide Express Operations,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(795,000</w:t>
            </w:r>
            <w:r>
              <w:rPr>
                <w:rFonts w:ascii="Times New Roman" w:hAnsi="Times New Roman"/>
                <w:color w:val="000000"/>
                <w:sz w:val="20"/>
              </w:rPr>
              <w:t> </w:t>
            </w:r>
            <w:r>
              <w:rPr>
                <w:rFonts w:ascii="Times New Roman" w:hAnsi="Times New Roman"/>
                <w:color w:val="000000"/>
                <w:sz w:val="12"/>
              </w:rPr>
              <w:t>units)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(752,380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7/26/2021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Zonkd,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+ 9.00%) / (1.00%)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14.75%/0.00%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(4,987</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Non-control/Non-affiliate Investments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1,011,646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988,482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1,075,157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Money market funds (included in cash and cash equivalents)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Goldman Sachs Financial Square Treasury Obligation Institution CUSIP (38141W323) (ad)</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2"/>
              </w:rPr>
            </w:pPr>
            <w:r>
              <w:rPr>
                <w:rFonts w:ascii="Times New Roman" w:hAnsi="Times New Roman"/>
                <w:b/>
                <w:color w:val="000000"/>
                <w:sz w:val="12"/>
              </w:rPr>
              <w:t>Total money market funds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14" w:type="dxa"/>
        <w:jc w:val="left"/>
        <w:tblInd w:w="0" w:type="dxa"/>
        <w:tblLayout w:type="fixed"/>
        <w:tblCellMar>
          <w:top w:w="28" w:type="dxa"/>
          <w:left w:w="28" w:type="dxa"/>
          <w:bottom w:w="28" w:type="dxa"/>
          <w:right w:w="28" w:type="dxa"/>
        </w:tblCellMar>
      </w:tblPr>
      <w:tblGrid>
        <w:gridCol w:w="2416"/>
        <w:gridCol w:w="146"/>
        <w:gridCol w:w="146"/>
        <w:gridCol w:w="146"/>
        <w:gridCol w:w="146"/>
        <w:gridCol w:w="146"/>
        <w:gridCol w:w="146"/>
        <w:gridCol w:w="146"/>
        <w:gridCol w:w="146"/>
        <w:gridCol w:w="166"/>
        <w:gridCol w:w="586"/>
        <w:gridCol w:w="146"/>
        <w:gridCol w:w="146"/>
        <w:gridCol w:w="166"/>
        <w:gridCol w:w="586"/>
        <w:gridCol w:w="146"/>
        <w:gridCol w:w="146"/>
        <w:gridCol w:w="286"/>
        <w:gridCol w:w="25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1,123,872</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1,139,221</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w:t>
      </w:r>
    </w:p>
    <w:p>
      <w:pPr>
        <w:pStyle w:val="TextBody"/>
        <w:bidi w:val="0"/>
        <w:jc w:val="left"/>
        <w:rPr>
          <w:rFonts w:ascii="Times New Roman" w:hAnsi="Times New Roman"/>
          <w:color w:val="000000"/>
          <w:sz w:val="12"/>
        </w:rPr>
      </w:pPr>
      <w:r>
        <w:rPr>
          <w:rFonts w:ascii="Times New Roman" w:hAnsi="Times New Roman"/>
          <w:color w:val="000000"/>
          <w:sz w:val="12"/>
        </w:rPr>
        <w:t>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2023.</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December 31, 2023.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December 31, 2023.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Fidus Mezzanine Capital II, LP or Fidus Mezzanine Capital III, LP, each a wholly owned subsidiary of the Company operating as a small business investment company,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December 31, 2023.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December 31, 2023.</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3.75% and PIK interest amount of 0.82%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4.44%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5.04%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2023, total non-qualifying assets at fair value represented 1.17% of the Company's total assets calculated in accordance with the 1940 Act.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i/>
          <w:color w:val="000000"/>
          <w:sz w:val="12"/>
        </w:rPr>
      </w:pPr>
      <w:r>
        <w:rPr>
          <w:rFonts w:ascii="Times New Roman" w:hAnsi="Times New Roman"/>
          <w:i/>
          <w:color w:val="000000"/>
          <w:sz w:val="12"/>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bookmarkStart w:id="9" w:name="notes_consolidated_financial_statements"/>
      <w:bookmarkEnd w:id="9"/>
      <w:r>
        <w:rPr>
          <w:rFonts w:ascii="Times New Roman" w:hAnsi="Times New Roman"/>
          <w:b/>
          <w:color w:val="000000"/>
          <w:sz w:val="20"/>
        </w:rPr>
        <w:t>Note 1. Organization and Nature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provides customized debt and equity financing solutions to lower middle-market companies, and may make investments directly or through its two wholly-owned investment company subsidiaries, Fidus Mezzanine Capital III, L.P. (“Fund III”) and Fidus Mezzanine Capital IV, L.P. (“Fund IV” and together with Fund III, the “SBIC Funds”). Each SBIC Fund is licensed by the U.S. Small Business Administration (the “SBA”) as a small business investment company (“SBIC”). The SBIC licenses allow the SBIC Funds to obtain leverage by issuing SBA-guaranteed debentures (“SBA debentures”), subject to the issuance of leverage commitments by the SBA and other customary procedures. As SBICs, the SBIC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utilizing both FIC and the SBIC Funds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are not registered under the 1940 Act and rely on the exclusion from the definition of investment company contained in Section 3(c)(7) of the 1940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8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The accompanying consolidated financial statements of the Company have been prepared in accordance with generally accepted accounting principles in the United States of America (“GAAP”) pursuant to the requirements for reporting on Form 10-Q, including Accounting Standards Codification (“ASC”) 946, </w:t>
      </w:r>
      <w:r>
        <w:rPr>
          <w:rFonts w:ascii="Times New Roman" w:hAnsi="Times New Roman"/>
          <w:i/>
          <w:color w:val="000000"/>
          <w:sz w:val="20"/>
        </w:rPr>
        <w:t xml:space="preserve">Financial Services – Investment Companies </w:t>
      </w:r>
      <w:r>
        <w:rPr>
          <w:rFonts w:ascii="Times New Roman" w:hAnsi="Times New Roman"/>
          <w:color w:val="000000"/>
          <w:sz w:val="20"/>
        </w:rPr>
        <w:t>(“ASC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2024.</w:t>
      </w:r>
    </w:p>
    <w:p>
      <w:pPr>
        <w:pStyle w:val="TextBody"/>
        <w:bidi w:val="0"/>
        <w:spacing w:before="18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283"/>
        <w:jc w:val="both"/>
        <w:rPr>
          <w:rFonts w:ascii="Times New Roman" w:hAnsi="Times New Roman"/>
          <w:sz w:val="20"/>
        </w:rPr>
      </w:pPr>
      <w:r>
        <w:rPr>
          <w:rFonts w:ascii="Times New Roman" w:hAnsi="Times New Roman"/>
          <w:i/>
          <w:color w:val="000000"/>
          <w:sz w:val="20"/>
        </w:rPr>
        <w:t>Consolidation:</w:t>
      </w:r>
      <w:r>
        <w:rPr>
          <w:rFonts w:ascii="Times New Roman" w:hAnsi="Times New Roman"/>
          <w:color w:val="000000"/>
          <w:sz w:val="20"/>
        </w:rPr>
        <w:t xml:space="preserve"> 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All significant intercompany balances and transactions have been eliminated.</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risks:</w:t>
      </w:r>
      <w:r>
        <w:rPr>
          <w:rFonts w:ascii="Times New Roman" w:hAnsi="Times New Roman"/>
          <w:color w:val="000000"/>
          <w:sz w:val="20"/>
        </w:rPr>
        <w:t xml:space="preserve"> The Company’s investments are subject to a variety of risks. These risks may include, but are not limited to the following: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 xml:space="preserve">Market risk - </w:t>
      </w:r>
      <w:r>
        <w:rPr>
          <w:rFonts w:ascii="Times New Roman" w:hAnsi="Times New Roman"/>
          <w:color w:val="000000"/>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Credit risk - </w:t>
      </w:r>
      <w:r>
        <w:rPr>
          <w:rFonts w:ascii="Times New Roman" w:hAnsi="Times New Roman"/>
          <w:color w:val="000000"/>
          <w:sz w:val="20"/>
        </w:rPr>
        <w:t xml:space="preserve">Credit risk represents the risk of counterparties failing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Liquidity risk - </w:t>
      </w:r>
      <w:r>
        <w:rPr>
          <w:rFonts w:ascii="Times New Roman" w:hAnsi="Times New Roman"/>
          <w:color w:val="000000"/>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Interest rate risk - </w:t>
      </w:r>
      <w:r>
        <w:rPr>
          <w:rFonts w:ascii="Times New Roman" w:hAnsi="Times New Roman"/>
          <w:color w:val="000000"/>
          <w:sz w:val="20"/>
        </w:rPr>
        <w:t xml:space="preserve">Interest rate risk represents the likelihood that a change in interest rates could have an adverse impact on the fair value of an interest-bearing financial instrument.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Prepayment risk - </w:t>
      </w:r>
      <w:r>
        <w:rPr>
          <w:rFonts w:ascii="Times New Roman" w:hAnsi="Times New Roman"/>
          <w:color w:val="000000"/>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Off-Balance sheet risk - </w:t>
      </w:r>
      <w:r>
        <w:rPr>
          <w:rFonts w:ascii="Times New Roman" w:hAnsi="Times New Roman"/>
          <w:color w:val="000000"/>
          <w:sz w:val="20"/>
        </w:rPr>
        <w:t>Some of the Company’s financial instruments contain off-balance sheet risk. Generally, these financial instruments represent future commitments to purchase other financial instruments at defined terms at defined future dates. See Note 7 for further details.</w:t>
      </w:r>
    </w:p>
    <w:p>
      <w:pPr>
        <w:pStyle w:val="TextBody"/>
        <w:bidi w:val="0"/>
        <w:spacing w:before="180" w:after="283"/>
        <w:jc w:val="both"/>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The Company measures and discloses fair value with respect to substantially all of its financial instruments in accordance with ASC Topic 820 — </w:t>
      </w:r>
      <w:r>
        <w:rPr>
          <w:rFonts w:ascii="Times New Roman" w:hAnsi="Times New Roman"/>
          <w:i/>
          <w:color w:val="000000"/>
          <w:sz w:val="20"/>
        </w:rPr>
        <w:t>Fair Value Measurements and Disclosures</w:t>
      </w:r>
      <w:r>
        <w:rPr>
          <w:rFonts w:ascii="Times New Roman" w:hAnsi="Times New Roman"/>
          <w:color w:val="000000"/>
          <w:sz w:val="20"/>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classification:</w:t>
      </w:r>
      <w:r>
        <w:rPr>
          <w:rFonts w:ascii="Times New Roman" w:hAnsi="Times New Roman"/>
          <w:color w:val="000000"/>
          <w:sz w:val="20"/>
        </w:rPr>
        <w:t xml:space="preserve"> The Company classifies its investments in accordance with the requirements of the 1940 Act. Under the 1940 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Segments: </w:t>
      </w:r>
      <w:r>
        <w:rPr>
          <w:rFonts w:ascii="Times New Roman" w:hAnsi="Times New Roman"/>
          <w:color w:val="000000"/>
          <w:sz w:val="20"/>
        </w:rPr>
        <w:t>In accordance with ASC Topic 280 — Segment Reporting, the Company is externally managed and has determined that it has a single reporting segment and operating unit structure, which derives investment income from its portfolio investments. The chief operating decision maker (the “CODM”) assesses performance for the Company based on net investment income, net realized and unrealized gains (losses) from investments, and net increase (decrease) in net assets resulting from operations, which are reported on the consolidated statements of operations. The CODM also may assess the Company's performance by completing an industry benchmarking analysis using the metrics disclosed in Note 10. Financial Highlights. The CODM is the Investment Advisor’s investment committee. Subject to the overall supervision of the Company's board of directors, the Investment Advisor manages the day-to-day operations of, and provides investment advisory and management services to, the Company. The information and operating expense categories included in the consolidated statements of operations are fully reflective of the significant expense categories and amounts that are regularly provided to the CODM.</w:t>
      </w:r>
    </w:p>
    <w:p>
      <w:pPr>
        <w:pStyle w:val="TextBody"/>
        <w:bidi w:val="0"/>
        <w:spacing w:before="18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i/>
          <w:color w:val="000000"/>
          <w:sz w:val="20"/>
        </w:rPr>
        <w:t>Deferred financing costs:</w:t>
      </w:r>
      <w:r>
        <w:rPr>
          <w:rFonts w:ascii="Times New Roman" w:hAnsi="Times New Roman"/>
          <w:color w:val="000000"/>
          <w:sz w:val="20"/>
        </w:rPr>
        <w:t xml:space="preserve"> Deferred financing costs consist of fees and expenses paid in connection with the SBA debentures, the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spacing w:before="180" w:after="283"/>
        <w:jc w:val="both"/>
        <w:rPr>
          <w:rFonts w:ascii="Times New Roman" w:hAnsi="Times New Roman"/>
          <w:sz w:val="20"/>
        </w:rPr>
      </w:pPr>
      <w:r>
        <w:rPr>
          <w:rFonts w:ascii="Times New Roman" w:hAnsi="Times New Roman"/>
          <w:i/>
          <w:color w:val="000000"/>
          <w:sz w:val="20"/>
        </w:rPr>
        <w:t>Realized losses on extinguishment of debt:</w:t>
      </w:r>
      <w:r>
        <w:rPr>
          <w:rFonts w:ascii="Times New Roman" w:hAnsi="Times New Roman"/>
          <w:color w:val="000000"/>
          <w:sz w:val="20"/>
        </w:rPr>
        <w:t xml:space="preserve"> 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spacing w:before="180" w:after="283"/>
        <w:jc w:val="both"/>
        <w:rPr>
          <w:rFonts w:ascii="Times New Roman" w:hAnsi="Times New Roman"/>
          <w:sz w:val="20"/>
        </w:rPr>
      </w:pPr>
      <w:r>
        <w:rPr>
          <w:rFonts w:ascii="Times New Roman" w:hAnsi="Times New Roman"/>
          <w:i/>
          <w:color w:val="000000"/>
          <w:sz w:val="20"/>
        </w:rPr>
        <w:t>Deferred offering costs:</w:t>
      </w:r>
      <w:r>
        <w:rPr>
          <w:rFonts w:ascii="Times New Roman" w:hAnsi="Times New Roman"/>
          <w:color w:val="000000"/>
          <w:sz w:val="20"/>
        </w:rPr>
        <w:t xml:space="preserve"> 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Realized gains or losses and unrealized appreciation or depreciation on investments: </w:t>
      </w:r>
      <w:r>
        <w:rPr>
          <w:rFonts w:ascii="Times New Roman" w:hAnsi="Times New Roman"/>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dividend income:</w:t>
      </w:r>
      <w:r>
        <w:rPr>
          <w:rFonts w:ascii="Times New Roman" w:hAnsi="Times New Roman"/>
          <w:color w:val="000000"/>
          <w:sz w:val="20"/>
        </w:rPr>
        <w:t xml:space="preserve"> 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PIK income: </w:t>
      </w:r>
      <w:r>
        <w:rPr>
          <w:rFonts w:ascii="Times New Roman" w:hAnsi="Times New Roman"/>
          <w:color w:val="000000"/>
          <w:sz w:val="20"/>
        </w:rPr>
        <w:t xml:space="preserve">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Non-accrual: </w:t>
      </w:r>
      <w:r>
        <w:rPr>
          <w:rFonts w:ascii="Times New Roman" w:hAnsi="Times New Roman"/>
          <w:color w:val="000000"/>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Origination and closing fees: </w:t>
      </w:r>
      <w:r>
        <w:rPr>
          <w:rFonts w:ascii="Times New Roman" w:hAnsi="Times New Roman"/>
          <w:color w:val="000000"/>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Warrants</w:t>
      </w:r>
      <w:r>
        <w:rPr>
          <w:rFonts w:ascii="Times New Roman" w:hAnsi="Times New Roman"/>
          <w:color w:val="000000"/>
          <w:sz w:val="20"/>
        </w:rPr>
        <w:t xml:space="preserve">: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Fee income</w:t>
      </w:r>
      <w:r>
        <w:rPr>
          <w:rFonts w:ascii="Times New Roman" w:hAnsi="Times New Roman"/>
          <w:color w:val="000000"/>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The Company follows the guidance in ASC 860, </w:t>
      </w:r>
      <w:r>
        <w:rPr>
          <w:rFonts w:ascii="Times New Roman" w:hAnsi="Times New Roman"/>
          <w:i/>
          <w:color w:val="000000"/>
          <w:sz w:val="20"/>
        </w:rPr>
        <w:t>Transfers and Servicing</w:t>
      </w:r>
      <w:r>
        <w:rPr>
          <w:rFonts w:ascii="Times New Roman" w:hAnsi="Times New Roman"/>
          <w:color w:val="000000"/>
          <w:sz w:val="20"/>
        </w:rPr>
        <w:t xml:space="preserve"> (“ASC 860”)</w:t>
      </w:r>
      <w:r>
        <w:rPr>
          <w:rFonts w:ascii="Times New Roman" w:hAnsi="Times New Roman"/>
          <w:i/>
          <w:color w:val="000000"/>
          <w:sz w:val="20"/>
        </w:rPr>
        <w:t xml:space="preserve">, </w:t>
      </w:r>
      <w:r>
        <w:rPr>
          <w:rFonts w:ascii="Times New Roman" w:hAnsi="Times New Roman"/>
          <w:color w:val="000000"/>
          <w:sz w:val="20"/>
        </w:rPr>
        <w:t>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The Company has elected, and intends to qualify annually, to be treated as a RIC under subchapter M of the Code, and, as such will not be subject to U.S. federal income tax on the portion of its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 The Company’s net assets as included on the Consolidated Statements of Assets and Liabilities and Consolidated Statements of Changes in Net Assets include an adjustment to classification as a result of permanent book to tax differences, which include differences in the book and tax treatment of income and 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U.S. federal income tax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the SBIC Funds may be limited by provisions of the SBIC Act and SBA regulations governing SBICs from making certain distributions to FIC that may be necessary to enable FIC to make the minimum distributions required to maintain its RIC tax treatment.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certain wholly-owned subsidiaries (the “Taxable Subsidiaries”) that have elected to be treated as corporations for U.S. federal income tax purposes and are thus subject to U.S. federal income tax imposed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income tax purposes, and each Taxable Subsidiary will be subject to U.S. federal income tax on its taxable income. Any such income or expense is reflected in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U.S. federal income tax determinations differ from GAAP, and as a result, distributions for U.S. federal income tax purposes may differ from net investment income and realized gains recognized under GAAP. Differences may be permanent or temporary. Permanent differences may arise as a result of, among other items, a difference in the book and adjusted tax basis of certain assets and nondeductible U.S. federal income tax. Temporary differences arise when certain items of income, expense, gain or loss are recognized at some time in the future.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ASC Topic 740 — </w:t>
      </w:r>
      <w:r>
        <w:rPr>
          <w:rFonts w:ascii="Times New Roman" w:hAnsi="Times New Roman"/>
          <w:i/>
          <w:color w:val="000000"/>
          <w:sz w:val="20"/>
        </w:rPr>
        <w:t>Accounting for Uncertainty in Income Taxes</w:t>
      </w:r>
      <w:r>
        <w:rPr>
          <w:rFonts w:ascii="Times New Roman" w:hAnsi="Times New Roman"/>
          <w:color w:val="000000"/>
          <w:sz w:val="20"/>
        </w:rPr>
        <w:t xml:space="preserve"> (“ASC Topic 740”) provides guidance for how uncertain tax positions should be recognized, measured, presented and disclosed in the consolidated financial statements. ASC Topic 740 requires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June 30, 2025 and December 31, 2024. The Company’s tax returns are generally subject to examination by U.S. federal and most state tax authorities for a period of three years from the date the respective returns are filed, and, accordingly, tax years after 2021 remain subject to examination. </w:t>
      </w:r>
    </w:p>
    <w:p>
      <w:pPr>
        <w:pStyle w:val="TextBody"/>
        <w:bidi w:val="0"/>
        <w:spacing w:before="180" w:after="283"/>
        <w:jc w:val="both"/>
        <w:rPr>
          <w:rFonts w:ascii="Times New Roman" w:hAnsi="Times New Roman"/>
          <w:sz w:val="20"/>
        </w:rPr>
      </w:pPr>
      <w:r>
        <w:rPr>
          <w:rFonts w:ascii="Times New Roman" w:hAnsi="Times New Roman"/>
          <w:i/>
          <w:color w:val="000000"/>
          <w:sz w:val="20"/>
        </w:rPr>
        <w:t>Dividends to stockholders:</w:t>
      </w:r>
      <w:r>
        <w:rPr>
          <w:rFonts w:ascii="Times New Roman" w:hAnsi="Times New Roman"/>
          <w:color w:val="000000"/>
          <w:sz w:val="20"/>
        </w:rPr>
        <w:t xml:space="preserve"> 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pStyle w:val="TextBody"/>
        <w:bidi w:val="0"/>
        <w:spacing w:before="180" w:after="283"/>
        <w:jc w:val="both"/>
        <w:rPr>
          <w:rFonts w:ascii="Times New Roman" w:hAnsi="Times New Roman"/>
          <w:sz w:val="20"/>
        </w:rPr>
      </w:pPr>
      <w:r>
        <w:rPr>
          <w:rFonts w:ascii="Times New Roman" w:hAnsi="Times New Roman"/>
          <w:i/>
          <w:color w:val="000000"/>
          <w:sz w:val="20"/>
        </w:rPr>
        <w:t>Earnings and net asset value per share:</w:t>
      </w:r>
      <w:r>
        <w:rPr>
          <w:rFonts w:ascii="Times New Roman" w:hAnsi="Times New Roman"/>
          <w:color w:val="000000"/>
          <w:sz w:val="20"/>
        </w:rPr>
        <w:t xml:space="preserve"> The earnings per share calculations for the three and six months ended June 30, 2025 and 2024 are computed utilizing the weighted average shares outstanding for the period. Net asset value per share is calculated using the number of shares outstanding as of the end of the period.</w:t>
      </w:r>
    </w:p>
    <w:p>
      <w:pPr>
        <w:pStyle w:val="TextBody"/>
        <w:bidi w:val="0"/>
        <w:spacing w:before="180" w:after="283"/>
        <w:jc w:val="both"/>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The Company has an open market stock repurchase program (the “Stock Repurchase Program”) under which 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six months ended June 30, 2025 and 2024. Refer to Note 8 for additional information concerning stock repurchases.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Recent accounting pronouncement: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We are currently evaluating the impact this ASU will have on our consolidated financial position or disclosures, but we do not expect the impact to be material.</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Portfolio Company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June 30, 2025, the Company had active investments in 92 portfolio companies and residual investments in five portfolio companies that have sold their underlying operations. The aggregate fair value of the total portfolio was $1,149,304 and the weighted average yield on the Company’s debt investments was 13.1% as of such date. As of June 30, 2025, the Company held equity investments in 87.6% of its portfolio companies and the average fully diluted equity ownership in those portfolio companies was 1.9%.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December 31, 2024, the Company had active investments in 87 portfolio companies and residual investments in four portfolio companies that have sold their underlying operations. The aggregate fair value of the total portfolio was $1,090,506 and the weighted average yield on the Company’s debt investments was 13.3% as of such date. As of December 31, 2024, the Company held equity investments in 85.7% of its portfolio companies and the average fully diluted equity ownership in those portfolio companies was 2.0%. </w:t>
      </w:r>
    </w:p>
    <w:p>
      <w:pPr>
        <w:pStyle w:val="TextBody"/>
        <w:bidi w:val="0"/>
        <w:spacing w:before="180" w:after="283"/>
        <w:jc w:val="both"/>
        <w:rPr>
          <w:rFonts w:ascii="Times New Roman" w:hAnsi="Times New Roman"/>
          <w:sz w:val="20"/>
        </w:rPr>
      </w:pPr>
      <w:r>
        <w:rPr>
          <w:rFonts w:ascii="Times New Roman" w:hAnsi="Times New Roman"/>
          <w:color w:val="000000"/>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color w:val="0070C0"/>
          <w:sz w:val="20"/>
        </w:rPr>
        <w:t xml:space="preserve"> </w:t>
      </w:r>
      <w:r>
        <w:rPr>
          <w:rFonts w:ascii="Times New Roman" w:hAnsi="Times New Roman"/>
          <w:color w:val="000000"/>
          <w:sz w:val="20"/>
        </w:rPr>
        <w:t>The weighted average yields were computed using the effective interest rates for debt investments at cost as of June 30, 2025 and December 31, 2024, including accretion of OID and debt investment origination fees, but excluding investments on non-accrual status and investments recorded as a secured borrowing, if any.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Purchases of debt and equity investments for the six months ended June 30, 2025 and 2024 totaled $210,006 and $208,306, respectively. Proceeds from sales and repayments, including principal, return of capital distributions and realized gains, of portfolio investments for the six months ended June 30, 2025 and 2024 totaled $166,605 and $103,343, respectively. </w:t>
      </w:r>
    </w:p>
    <w:p>
      <w:pPr>
        <w:pStyle w:val="TextBody"/>
        <w:bidi w:val="0"/>
        <w:spacing w:before="180" w:after="283"/>
        <w:jc w:val="both"/>
        <w:rPr>
          <w:rFonts w:ascii="Times New Roman" w:hAnsi="Times New Roman"/>
          <w:color w:val="000000"/>
          <w:sz w:val="20"/>
        </w:rPr>
      </w:pPr>
      <w:bookmarkStart w:id="10" w:name="fis_unidentified_table_8"/>
      <w:bookmarkEnd w:id="10"/>
      <w:r>
        <w:rPr>
          <w:rFonts w:ascii="Times New Roman" w:hAnsi="Times New Roman"/>
          <w:color w:val="000000"/>
          <w:sz w:val="20"/>
        </w:rPr>
        <w:t>Investments by type with corresponding percentage of total portfolio investments consisted of the following:</w:t>
      </w:r>
    </w:p>
    <w:tbl>
      <w:tblPr>
        <w:tblW w:w="11112" w:type="dxa"/>
        <w:jc w:val="left"/>
        <w:tblInd w:w="0" w:type="dxa"/>
        <w:tblLayout w:type="fixed"/>
        <w:tblCellMar>
          <w:top w:w="28" w:type="dxa"/>
          <w:left w:w="28" w:type="dxa"/>
          <w:bottom w:w="28" w:type="dxa"/>
          <w:right w:w="28" w:type="dxa"/>
        </w:tblCellMar>
      </w:tblPr>
      <w:tblGrid>
        <w:gridCol w:w="1051"/>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Includes unitranche investments, which account for 46.9% and 47.9% of the Company's portfolio on a fair value and cost basis as of June 30, 2025, respectively. Includes unitranche investments, which account for 39.9% and 40.4% of the Company's portfolio on a fair value and cost basis as of December 31, 2024, respectively.</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1087" w:type="dxa"/>
        <w:jc w:val="left"/>
        <w:tblInd w:w="0" w:type="dxa"/>
        <w:tblLayout w:type="fixed"/>
        <w:tblCellMar>
          <w:top w:w="28" w:type="dxa"/>
          <w:left w:w="28" w:type="dxa"/>
          <w:bottom w:w="28" w:type="dxa"/>
          <w:right w:w="28" w:type="dxa"/>
        </w:tblCellMar>
      </w:tblPr>
      <w:tblGrid>
        <w:gridCol w:w="92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portfolio composition by type and by geographic region at fair value as a percentage of net assets.</w:t>
      </w:r>
    </w:p>
    <w:p>
      <w:pPr>
        <w:pStyle w:val="TextBody"/>
        <w:bidi w:val="0"/>
        <w:jc w:val="both"/>
        <w:rPr/>
      </w:pPr>
      <w:r>
        <w:rPr/>
        <w:t> </w:t>
      </w:r>
    </w:p>
    <w:tbl>
      <w:tblPr>
        <w:tblW w:w="8339" w:type="dxa"/>
        <w:jc w:val="left"/>
        <w:tblInd w:w="0" w:type="dxa"/>
        <w:tblLayout w:type="fixed"/>
        <w:tblCellMar>
          <w:top w:w="28" w:type="dxa"/>
          <w:left w:w="28" w:type="dxa"/>
          <w:bottom w:w="28" w:type="dxa"/>
          <w:right w:w="28" w:type="dxa"/>
        </w:tblCellMar>
      </w:tblPr>
      <w:tblGrid>
        <w:gridCol w:w="1426"/>
        <w:gridCol w:w="146"/>
        <w:gridCol w:w="160"/>
        <w:gridCol w:w="560"/>
        <w:gridCol w:w="241"/>
        <w:gridCol w:w="146"/>
        <w:gridCol w:w="146"/>
        <w:gridCol w:w="242"/>
        <w:gridCol w:w="853"/>
        <w:gridCol w:w="241"/>
        <w:gridCol w:w="146"/>
        <w:gridCol w:w="246"/>
        <w:gridCol w:w="1006"/>
        <w:gridCol w:w="146"/>
        <w:gridCol w:w="160"/>
        <w:gridCol w:w="560"/>
        <w:gridCol w:w="241"/>
        <w:gridCol w:w="146"/>
        <w:gridCol w:w="146"/>
        <w:gridCol w:w="242"/>
        <w:gridCol w:w="853"/>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92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Type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Geographic Region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June 30, 2025 and December 31, 2024, the Company had no portfolio company investments that represented more than 10% of the total investment portfolio on a fair value or cost basis. As of June 30, 2025 and December 31, 2024, the Company had no investments that exceeded 5% of total assets.</w:t>
      </w:r>
    </w:p>
    <w:p>
      <w:pPr>
        <w:pStyle w:val="TextBody"/>
        <w:bidi w:val="0"/>
        <w:jc w:val="both"/>
        <w:rPr>
          <w:rFonts w:ascii="Times New Roman" w:hAnsi="Times New Roman"/>
          <w:color w:val="000000"/>
          <w:sz w:val="20"/>
        </w:rPr>
      </w:pPr>
      <w:r>
        <w:rPr>
          <w:rFonts w:ascii="Times New Roman" w:hAnsi="Times New Roman"/>
          <w:color w:val="000000"/>
          <w:sz w:val="20"/>
        </w:rPr>
        <w:t>As of June 30, 2025 and December 31, 2024, the Company had debt investments in three and four portfolio companies on non-accrual status, respectively.</w:t>
      </w:r>
    </w:p>
    <w:p>
      <w:pPr>
        <w:pStyle w:val="TextBody"/>
        <w:bidi w:val="0"/>
        <w:jc w:val="both"/>
        <w:rPr/>
      </w:pPr>
      <w:r>
        <w:rPr/>
        <w:t> </w:t>
      </w:r>
    </w:p>
    <w:tbl>
      <w:tblPr>
        <w:tblW w:w="6103" w:type="dxa"/>
        <w:jc w:val="left"/>
        <w:tblInd w:w="0" w:type="dxa"/>
        <w:tblLayout w:type="fixed"/>
        <w:tblCellMar>
          <w:top w:w="28" w:type="dxa"/>
          <w:left w:w="28" w:type="dxa"/>
          <w:bottom w:w="28" w:type="dxa"/>
          <w:right w:w="28" w:type="dxa"/>
        </w:tblCellMar>
      </w:tblPr>
      <w:tblGrid>
        <w:gridCol w:w="1921"/>
        <w:gridCol w:w="146"/>
        <w:gridCol w:w="181"/>
        <w:gridCol w:w="436"/>
        <w:gridCol w:w="146"/>
        <w:gridCol w:w="211"/>
        <w:gridCol w:w="181"/>
        <w:gridCol w:w="511"/>
        <w:gridCol w:w="146"/>
        <w:gridCol w:w="211"/>
        <w:gridCol w:w="181"/>
        <w:gridCol w:w="511"/>
        <w:gridCol w:w="146"/>
        <w:gridCol w:w="146"/>
        <w:gridCol w:w="181"/>
        <w:gridCol w:w="511"/>
        <w:gridCol w:w="14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Quantum IR Technologies,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32,389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44,379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911" w:type="dxa"/>
        <w:jc w:val="left"/>
        <w:tblInd w:w="0" w:type="dxa"/>
        <w:tblLayout w:type="fixed"/>
        <w:tblCellMar>
          <w:top w:w="28" w:type="dxa"/>
          <w:left w:w="28" w:type="dxa"/>
          <w:bottom w:w="28" w:type="dxa"/>
          <w:right w:w="28" w:type="dxa"/>
        </w:tblCellMar>
      </w:tblPr>
      <w:tblGrid>
        <w:gridCol w:w="8911"/>
      </w:tblGrid>
      <w:tr>
        <w:trPr/>
        <w:tc>
          <w:tcPr>
            <w:tcW w:w="8911" w:type="dxa"/>
            <w:tcBorders/>
            <w:vAlign w:val="center"/>
          </w:tcPr>
          <w:p>
            <w:pPr>
              <w:pStyle w:val="TableContents"/>
              <w:bidi w:val="0"/>
              <w:spacing w:before="0" w:after="283"/>
              <w:jc w:val="left"/>
              <w:rPr>
                <w:sz w:val="4"/>
                <w:szCs w:val="4"/>
              </w:rPr>
            </w:pPr>
            <w:r>
              <w:rPr>
                <w:sz w:val="4"/>
                <w:szCs w:val="4"/>
              </w:rPr>
            </w:r>
          </w:p>
        </w:tc>
      </w:tr>
      <w:tr>
        <w:trPr/>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The Company exited its debt investment in such portfolio company and did not hold such investment as of June 30, 2025.</w:t>
            </w:r>
          </w:p>
        </w:tc>
      </w:tr>
    </w:tbl>
    <w:p>
      <w:pPr>
        <w:pStyle w:val="TextBody"/>
        <w:bidi w:val="0"/>
        <w:jc w:val="left"/>
        <w:rPr/>
      </w:pPr>
      <w:r>
        <w:rPr/>
        <w:t> </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Consolidated Schedule of Investments In and Advances To Affiliates</w:t>
      </w:r>
    </w:p>
    <w:p>
      <w:pPr>
        <w:pStyle w:val="TextBody"/>
        <w:bidi w:val="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2024 and any additions and reductions made to such investments during the six months ended June 30, 2025, the ending fair value as of June 30, 2025, and the total investment income earned on such investments during the period.</w:t>
      </w:r>
    </w:p>
    <w:tbl>
      <w:tblPr>
        <w:tblW w:w="10278" w:type="dxa"/>
        <w:jc w:val="left"/>
        <w:tblInd w:w="0" w:type="dxa"/>
        <w:tblLayout w:type="fixed"/>
        <w:tblCellMar>
          <w:top w:w="28" w:type="dxa"/>
          <w:left w:w="28" w:type="dxa"/>
          <w:bottom w:w="28" w:type="dxa"/>
          <w:right w:w="28" w:type="dxa"/>
        </w:tblCellMar>
      </w:tblPr>
      <w:tblGrid>
        <w:gridCol w:w="796"/>
        <w:gridCol w:w="146"/>
        <w:gridCol w:w="146"/>
        <w:gridCol w:w="163"/>
        <w:gridCol w:w="393"/>
        <w:gridCol w:w="146"/>
        <w:gridCol w:w="146"/>
        <w:gridCol w:w="151"/>
        <w:gridCol w:w="406"/>
        <w:gridCol w:w="146"/>
        <w:gridCol w:w="146"/>
        <w:gridCol w:w="151"/>
        <w:gridCol w:w="361"/>
        <w:gridCol w:w="146"/>
        <w:gridCol w:w="146"/>
        <w:gridCol w:w="151"/>
        <w:gridCol w:w="391"/>
        <w:gridCol w:w="146"/>
        <w:gridCol w:w="146"/>
        <w:gridCol w:w="151"/>
        <w:gridCol w:w="361"/>
        <w:gridCol w:w="146"/>
        <w:gridCol w:w="146"/>
        <w:gridCol w:w="151"/>
        <w:gridCol w:w="361"/>
        <w:gridCol w:w="146"/>
        <w:gridCol w:w="146"/>
        <w:gridCol w:w="196"/>
        <w:gridCol w:w="450"/>
        <w:gridCol w:w="146"/>
        <w:gridCol w:w="146"/>
        <w:gridCol w:w="151"/>
        <w:gridCol w:w="346"/>
        <w:gridCol w:w="146"/>
        <w:gridCol w:w="146"/>
        <w:gridCol w:w="228"/>
        <w:gridCol w:w="523"/>
        <w:gridCol w:w="146"/>
        <w:gridCol w:w="146"/>
        <w:gridCol w:w="151"/>
        <w:gridCol w:w="346"/>
        <w:gridCol w:w="146"/>
        <w:gridCol w:w="146"/>
        <w:gridCol w:w="151"/>
        <w:gridCol w:w="346"/>
        <w:gridCol w:w="19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9"/>
              </w:rPr>
            </w:pPr>
            <w:r>
              <w:rPr>
                <w:rFonts w:ascii="Times New Roman" w:hAnsi="Times New Roman"/>
                <w:b/>
                <w:color w:val="000000"/>
                <w:sz w:val="9"/>
              </w:rPr>
              <w:t xml:space="preserve">Portfolio Company </w:t>
            </w:r>
            <w:r>
              <w:rPr>
                <w:rFonts w:ascii="Times New Roman" w:hAnsi="Times New Roman"/>
                <w:b/>
                <w:color w:val="000000"/>
                <w:sz w:val="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June 30, 2025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December 31, 2024</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Additions </w:t>
            </w:r>
            <w:r>
              <w:rPr>
                <w:rFonts w:ascii="Times New Roman" w:hAnsi="Times New Roman"/>
                <w:b/>
                <w:color w:val="000000"/>
                <w:sz w:val="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Reductions </w:t>
            </w:r>
            <w:r>
              <w:rPr>
                <w:rFonts w:ascii="Times New Roman" w:hAnsi="Times New Roman"/>
                <w:b/>
                <w:color w:val="000000"/>
                <w:sz w:val="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June 30, 2025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Net Realized Gains (Losses) </w:t>
            </w:r>
            <w:r>
              <w:rPr>
                <w:rFonts w:ascii="Times New Roman" w:hAnsi="Times New Roman"/>
                <w:b/>
                <w:color w:val="000000"/>
                <w:sz w:val="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24,825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9,863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10,066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(19,558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10,066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(6,918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Spectra A&amp;D Acquisition, Inc. (fka FDS Avionics Corp.)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14,921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1,215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16,136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1,204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Steward Holding LLC (dba Steward Advanced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30,873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102,024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13,833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(21,365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94,492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10,066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(3,392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2,168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1,052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16</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2023 and any additions and reductions made to such investments during the year ended December 31, 2024, including the total investment income earned on such investments during the period.</w:t>
      </w:r>
    </w:p>
    <w:tbl>
      <w:tblPr>
        <w:tblW w:w="11147" w:type="dxa"/>
        <w:jc w:val="left"/>
        <w:tblInd w:w="0" w:type="dxa"/>
        <w:tblLayout w:type="fixed"/>
        <w:tblCellMar>
          <w:top w:w="28" w:type="dxa"/>
          <w:left w:w="28" w:type="dxa"/>
          <w:bottom w:w="28" w:type="dxa"/>
          <w:right w:w="28" w:type="dxa"/>
        </w:tblCellMar>
      </w:tblPr>
      <w:tblGrid>
        <w:gridCol w:w="901"/>
        <w:gridCol w:w="146"/>
        <w:gridCol w:w="146"/>
        <w:gridCol w:w="182"/>
        <w:gridCol w:w="479"/>
        <w:gridCol w:w="146"/>
        <w:gridCol w:w="146"/>
        <w:gridCol w:w="166"/>
        <w:gridCol w:w="436"/>
        <w:gridCol w:w="146"/>
        <w:gridCol w:w="146"/>
        <w:gridCol w:w="166"/>
        <w:gridCol w:w="436"/>
        <w:gridCol w:w="146"/>
        <w:gridCol w:w="146"/>
        <w:gridCol w:w="178"/>
        <w:gridCol w:w="438"/>
        <w:gridCol w:w="146"/>
        <w:gridCol w:w="146"/>
        <w:gridCol w:w="166"/>
        <w:gridCol w:w="496"/>
        <w:gridCol w:w="146"/>
        <w:gridCol w:w="146"/>
        <w:gridCol w:w="166"/>
        <w:gridCol w:w="346"/>
        <w:gridCol w:w="146"/>
        <w:gridCol w:w="146"/>
        <w:gridCol w:w="209"/>
        <w:gridCol w:w="512"/>
        <w:gridCol w:w="146"/>
        <w:gridCol w:w="146"/>
        <w:gridCol w:w="166"/>
        <w:gridCol w:w="376"/>
        <w:gridCol w:w="146"/>
        <w:gridCol w:w="146"/>
        <w:gridCol w:w="282"/>
        <w:gridCol w:w="589"/>
        <w:gridCol w:w="146"/>
        <w:gridCol w:w="146"/>
        <w:gridCol w:w="166"/>
        <w:gridCol w:w="376"/>
        <w:gridCol w:w="146"/>
        <w:gridCol w:w="146"/>
        <w:gridCol w:w="166"/>
        <w:gridCol w:w="346"/>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2024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2023</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2024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32,461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83,876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21,441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3,533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as of the measurement date.</w:t>
      </w:r>
    </w:p>
    <w:p>
      <w:pPr>
        <w:pStyle w:val="TextBody"/>
        <w:bidi w:val="0"/>
        <w:spacing w:before="18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include those that are both unobservable and significant to the overall fair value measurement.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which are valued using Level 1 inputs as of June 30, 2025. Therefore, the Company values such portfolio investments at fair value, as determined in good faith by the Board, using Level 3 inputs with the exception of money market funds that were valued using Level 1 inputs as of June 30, 2025.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Board undertakes a multi-step valuation process each quarter, as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valuation process begins with each portfolio company or investment being initially evaluated and rated by the investment professionals of the Investment Advisor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of the Board reviews the preliminary valuations of the Investment Advisor and of the independent valuation firm(s) and responds and supplements the valuation recommendations to reflect any comments;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discusses these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consulted with the independent third-party valuation firm(s) in arriving at our determination of fair value for 16 and 21 of our portfolio company investments representing 23.3% and 27.5% of the total portfolio investments at fair value (exclusive of new portfolio company investments made during the three months ended June 30, 2025 and December 31, 2024, respectively) as of June 30,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The following tables present fair value measurements of investments by major class according to the fair value hierarchy:</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820,731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1,205,654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1,139,221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six months ended June 30, 2025 and 2024.</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present a reconciliation of the beginning and ending balances for fair valued investments measured using significant unobservable inputs (Level 3) for the six months ended June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04"/>
        <w:gridCol w:w="146"/>
        <w:gridCol w:w="181"/>
        <w:gridCol w:w="631"/>
        <w:gridCol w:w="151"/>
        <w:gridCol w:w="146"/>
        <w:gridCol w:w="191"/>
        <w:gridCol w:w="623"/>
        <w:gridCol w:w="151"/>
        <w:gridCol w:w="146"/>
        <w:gridCol w:w="216"/>
        <w:gridCol w:w="700"/>
        <w:gridCol w:w="151"/>
        <w:gridCol w:w="146"/>
        <w:gridCol w:w="181"/>
        <w:gridCol w:w="586"/>
        <w:gridCol w:w="151"/>
        <w:gridCol w:w="146"/>
        <w:gridCol w:w="188"/>
        <w:gridCol w:w="503"/>
        <w:gridCol w:w="151"/>
        <w:gridCol w:w="146"/>
        <w:gridCol w:w="181"/>
        <w:gridCol w:w="691"/>
        <w:gridCol w:w="198"/>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First Lien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Second Lien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Subordinated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Warrants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578,140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154,282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208,306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675,273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148,346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125,745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1,078,176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1,090,506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(166,605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Transfers by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820,731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107,288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1,149,304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change in unrealized appreciation/(depreciation) of $7,554 and $(131) for the three and six months ended June 30, 2025 was attributable to Level 3 investments held at June 30, 2025. Net change in unrealized appreciation/(depreciation) of $2,861 and $4,369 for the three and six months ended June 30, 2024 was attributable to Level 3 investments held at June 30, 2024.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summarize the significant unobservable inputs by valuation technique used to determine the fair value of the Company’s Level 3 debt and equity investments as of June 30, 2025 and December 31, 2024. The tables are not intended to be all-inclusive, but instead capture the significant unobservable inputs relevant to the Company’s determination of fair values.</w:t>
      </w:r>
    </w:p>
    <w:p>
      <w:pPr>
        <w:pStyle w:val="TextBody"/>
        <w:bidi w:val="0"/>
        <w:jc w:val="both"/>
        <w:rPr/>
      </w:pPr>
      <w:r>
        <w:rPr/>
        <w:t> </w:t>
      </w:r>
    </w:p>
    <w:tbl>
      <w:tblPr>
        <w:tblW w:w="9704" w:type="dxa"/>
        <w:jc w:val="left"/>
        <w:tblInd w:w="0" w:type="dxa"/>
        <w:tblLayout w:type="fixed"/>
        <w:tblCellMar>
          <w:top w:w="28" w:type="dxa"/>
          <w:left w:w="28" w:type="dxa"/>
          <w:bottom w:w="28" w:type="dxa"/>
          <w:right w:w="28" w:type="dxa"/>
        </w:tblCellMar>
      </w:tblPr>
      <w:tblGrid>
        <w:gridCol w:w="1666"/>
        <w:gridCol w:w="146"/>
        <w:gridCol w:w="255"/>
        <w:gridCol w:w="900"/>
        <w:gridCol w:w="146"/>
        <w:gridCol w:w="146"/>
        <w:gridCol w:w="1906"/>
        <w:gridCol w:w="146"/>
        <w:gridCol w:w="238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8.3% - 51.7% (14.3%)</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2.0x - 2.0x (2.0x)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13.0% - 24.3% (15.9%)</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0.7x - 0.7x (0.7x)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 - 20.0% (13.3%)</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- 28.0x (10.1x)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0.7x - 9.0x (6.0x)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- 3.5x (3.5x)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- 4.0x (4.0x)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pPr>
      <w:r>
        <w:rPr/>
        <w:t> </w:t>
      </w:r>
    </w:p>
    <w:tbl>
      <w:tblPr>
        <w:tblW w:w="10094" w:type="dxa"/>
        <w:jc w:val="left"/>
        <w:tblInd w:w="0" w:type="dxa"/>
        <w:tblLayout w:type="fixed"/>
        <w:tblCellMar>
          <w:top w:w="28" w:type="dxa"/>
          <w:left w:w="28" w:type="dxa"/>
          <w:bottom w:w="28" w:type="dxa"/>
          <w:right w:w="28" w:type="dxa"/>
        </w:tblCellMar>
      </w:tblPr>
      <w:tblGrid>
        <w:gridCol w:w="1666"/>
        <w:gridCol w:w="146"/>
        <w:gridCol w:w="341"/>
        <w:gridCol w:w="1204"/>
        <w:gridCol w:w="146"/>
        <w:gridCol w:w="146"/>
        <w:gridCol w:w="1906"/>
        <w:gridCol w:w="146"/>
        <w:gridCol w:w="238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7.8% - 26.2% (14.5%)</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Coverage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1.0x - 1.0x (1.0x)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4.3x - 4.3x (4.3x)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13.4% - 55.5% (20.7%)</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 Pricing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85.0% - 85.0% (85.0%)</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 - 20.0% (13.2%)</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- 30.0x (11.0x)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0.8x - 9.0x (6.6x)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- 3.5x (3.5x)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- 4.0x (4.0x)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color w:val="000000"/>
          <w:sz w:val="16"/>
        </w:rPr>
        <w:t>(2) Includes $9.6</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 used in determining fair value under the option pricing technique (or Black Scholes model) is volatility. Significant increases (or decreases) in this input could result in significantly higher (or lower) fair value estimates.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Other Financial Assets and Liabilities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summarize the carrying value and fair value of the Company’s debt obligations as of June 30, 2025 and December 31, 2024.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9029" w:type="dxa"/>
        <w:jc w:val="left"/>
        <w:tblInd w:w="0" w:type="dxa"/>
        <w:tblLayout w:type="fixed"/>
        <w:tblCellMar>
          <w:top w:w="28" w:type="dxa"/>
          <w:left w:w="28" w:type="dxa"/>
          <w:bottom w:w="28" w:type="dxa"/>
          <w:right w:w="28" w:type="dxa"/>
        </w:tblCellMar>
      </w:tblPr>
      <w:tblGrid>
        <w:gridCol w:w="247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June 30, 2025</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2024</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SBA debentures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Credit Facility borrowings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January 2026 Notes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November 2026 Notes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March 2030 Notes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Carrying value represents the outstanding principal balance of the debt obligation.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borrowings under the Credit Facility, if valued under ASC Topic 820, are based on a market yield approach and current interest rates, which are Level 3 inputs to the market yield model.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January 2026 Notes (as defined in Note 6), the November 2026 Notes (as defined in Note 6), and the March 2030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sz w:val="20"/>
        </w:rPr>
      </w:pPr>
      <w:r>
        <w:rPr>
          <w:rFonts w:ascii="Times New Roman" w:hAnsi="Times New Roman"/>
          <w:color w:val="000000"/>
          <w:sz w:val="16"/>
        </w:rPr>
        <w:t>Totals exclude $13,255</w:t>
      </w:r>
      <w:r>
        <w:rPr>
          <w:rFonts w:ascii="Times New Roman" w:hAnsi="Times New Roman"/>
          <w:color w:val="000000"/>
          <w:sz w:val="20"/>
        </w:rPr>
        <w:t xml:space="preserve"> </w:t>
      </w:r>
      <w:r>
        <w:rPr>
          <w:rFonts w:ascii="Times New Roman" w:hAnsi="Times New Roman"/>
          <w:color w:val="000000"/>
          <w:sz w:val="16"/>
        </w:rPr>
        <w:t>and $13,674</w:t>
      </w:r>
      <w:r>
        <w:rPr>
          <w:rFonts w:ascii="Times New Roman" w:hAnsi="Times New Roman"/>
          <w:color w:val="000000"/>
          <w:sz w:val="20"/>
        </w:rPr>
        <w:t xml:space="preserve"> </w:t>
      </w:r>
      <w:r>
        <w:rPr>
          <w:rFonts w:ascii="Times New Roman" w:hAnsi="Times New Roman"/>
          <w:color w:val="000000"/>
          <w:sz w:val="16"/>
        </w:rPr>
        <w:t>of Secured Borrowings as of June 30, 2025 and December 31,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inputs used to value the Company’s debt obligations if measured at fair value as of June 30, 2025 and December 31, 2024.</w:t>
      </w:r>
    </w:p>
    <w:p>
      <w:pPr>
        <w:pStyle w:val="TextBody"/>
        <w:bidi w:val="0"/>
        <w:jc w:val="both"/>
        <w:rPr/>
      </w:pPr>
      <w:r>
        <w:rPr/>
        <w:t> </w:t>
      </w:r>
    </w:p>
    <w:tbl>
      <w:tblPr>
        <w:tblW w:w="4412"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The Company has entered into an Investment Advisory Agreement with the Investment Advisor. Most recently, on June 11, 2025, the Board approved the renewal of the Investment Advisory Agreement for the period from June 20, 2025 through June 20, 2026.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three and six months ended June 30, 2025 was $5,106 and $10,028, respectively, and $4,706 and $9,138 for the three and six months ended June 30, 2024, respectively. The base management fee waiver for the three and six months ended June 30, 2025 was $59 and $118, respectively, and $67 and $136 for the three and six months ended June 30, 2024, respectively. As of June 30, 2025 and December 31, 2024, the base management fee payable (net of the base management fee waiver) was $5,048 and $4,805, respectively.</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Company pays the Investment Advisor an incentive fee with respect to pre-incentive fee net investment income in each calendar quarter as follows: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no</w:t>
      </w:r>
      <w:r>
        <w:rPr>
          <w:color w:val="000000"/>
        </w:rPr>
        <w:t xml:space="preserve"> </w:t>
      </w:r>
      <w:r>
        <w:rPr>
          <w:rFonts w:ascii="Times New Roman" w:hAnsi="Times New Roman"/>
          <w:color w:val="000000"/>
          <w:sz w:val="20"/>
        </w:rPr>
        <w:t>incentive fee in any calendar quarter in which the pre-incentive fee net investment income does not exceed the hurdle rate of 2.0%;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20.0% of the amount of the Company’s pre-incentive fee net investment income, if any, that exceeds 2.5% in any calendar quarter.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and six months ended June 30, 2025 was $4,854 and $9,448, respectively, and $4,546 and $9,013 for the three and six months ended June 30, 2024, respectively. As of June 30, 2025 and December 31, 2024, the income incentive fee payable was $4,854 and $4,477, respectively.</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June 30, 2025 and December 31, 2024, the capital gains incentive fee payable in cash was $576 and zero, respectively. The aggregate amount of capital gains incentive fees paid from the IPO through June 30, 2025 was $17,577.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three and six months ended June 30, 2025 was $1,331 and $1,618, respectively, and $1,430 and $1,929 for the three and six months ended June 30, 2024, respectively. As of June 30, 2025 and December 31, 2024, the accrued capital gains incentive fee payable was $16,321 and $14,703,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Administration Agreement: </w:t>
      </w:r>
      <w:r>
        <w:rPr>
          <w:rFonts w:ascii="Times New Roman" w:hAnsi="Times New Roman"/>
          <w:color w:val="000000"/>
          <w:sz w:val="20"/>
        </w:rPr>
        <w:t>The Company also entered into an administration agreement (the “Administration Agreement”) with the Investment Advisor. On June 11, 2025, the Board approved the renewal of the Administration Agreement for the period from June 20, 2025 through June 20, 2026.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hAnsi="Times New Roman"/>
          <w:i/>
          <w:color w:val="000000"/>
          <w:sz w:val="20"/>
        </w:rPr>
        <w:t>.</w:t>
      </w:r>
      <w:r>
        <w:rPr>
          <w:rFonts w:ascii="Times New Roman" w:hAnsi="Times New Roman"/>
          <w:color w:val="000000"/>
          <w:sz w:val="20"/>
        </w:rPr>
        <w:t xml:space="preserve"> Under the Administration Agreement, administrative service expenses for the three and six months ended June 30, 2025 was $754 and $1,356, respectively, and $669 and $1,206 for the three and six months ended June 30, 2024, respectively. As of June 30, 2025 and December 31, 2024, the accrued administrative service expense payable was $718 and $934, respectively.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80" w:after="283"/>
        <w:jc w:val="both"/>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On June 16, 2014, FIC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the Company, but portfolio investments held by the SBIC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total commitment under the Credit Facility from $100,000 to $140,000.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Credit Facility are subject to a minimum borrowing/collateral base that applies an advance rate to certain investments held by the Company, excluding investments held by the SBIC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2025 and December 31, 2024, the Company was in compliance in all material respects with the terms of the Credit Agreement.</w:t>
      </w:r>
    </w:p>
    <w:p>
      <w:pPr>
        <w:pStyle w:val="TextBody"/>
        <w:bidi w:val="0"/>
        <w:spacing w:before="180" w:after="283"/>
        <w:jc w:val="both"/>
        <w:rPr>
          <w:rFonts w:ascii="Times New Roman" w:hAnsi="Times New Roman"/>
          <w:sz w:val="20"/>
        </w:rPr>
      </w:pPr>
      <w:r>
        <w:rPr>
          <w:rFonts w:ascii="Times New Roman" w:hAnsi="Times New Roman"/>
          <w:i/>
          <w:color w:val="000000"/>
          <w:sz w:val="20"/>
        </w:rPr>
        <w:t>SBA debentures:</w:t>
      </w:r>
      <w:r>
        <w:rPr>
          <w:rFonts w:ascii="Times New Roman" w:hAnsi="Times New Roman"/>
          <w:color w:val="000000"/>
          <w:sz w:val="20"/>
        </w:rPr>
        <w:t xml:space="preserve"> The SBIC Funds use debenture leverage provided through the SBA to fund a portion of its investment purchases.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June 30, 2025 and December 31, 2024, approved and unused SBA debenture commitments were $135,500 and $175,000, respectively. The SBA may limit the amount that may be drawn each year under any SBA debenture commitments, and each issuance of leverage is conditioned on such SBIC Fund’s full compliance, as determined by the SBA, with the terms and conditions under SBA regulations.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December 31, 2024, the Company’s issued and outstanding SBA debentures mature as follows:</w:t>
      </w:r>
    </w:p>
    <w:p>
      <w:pPr>
        <w:pStyle w:val="TextBody"/>
        <w:bidi w:val="0"/>
        <w:jc w:val="both"/>
        <w:rPr/>
      </w:pPr>
      <w:r>
        <w:rPr/>
        <w:t> </w:t>
      </w:r>
    </w:p>
    <w:tbl>
      <w:tblPr>
        <w:tblW w:w="8486"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331"/>
        <w:gridCol w:w="211"/>
        <w:gridCol w:w="781"/>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Date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SBA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7"/>
        <w:gridCol w:w="9908"/>
      </w:tblGrid>
      <w:tr>
        <w:trPr/>
        <w:tc>
          <w:tcPr>
            <w:tcW w:w="297" w:type="dxa"/>
            <w:tcBorders/>
            <w:vAlign w:val="center"/>
          </w:tcPr>
          <w:p>
            <w:pPr>
              <w:pStyle w:val="TableContents"/>
              <w:bidi w:val="0"/>
              <w:spacing w:before="0" w:after="283"/>
              <w:jc w:val="left"/>
              <w:rPr>
                <w:sz w:val="4"/>
                <w:szCs w:val="4"/>
              </w:rPr>
            </w:pPr>
            <w:r>
              <w:rPr>
                <w:sz w:val="4"/>
                <w:szCs w:val="4"/>
              </w:rPr>
            </w:r>
          </w:p>
        </w:tc>
        <w:tc>
          <w:tcPr>
            <w:tcW w:w="9908" w:type="dxa"/>
            <w:tcBorders/>
            <w:vAlign w:val="center"/>
          </w:tcPr>
          <w:p>
            <w:pPr>
              <w:pStyle w:val="TableContents"/>
              <w:bidi w:val="0"/>
              <w:spacing w:before="0" w:after="283"/>
              <w:jc w:val="left"/>
              <w:rPr>
                <w:sz w:val="4"/>
                <w:szCs w:val="4"/>
              </w:rPr>
            </w:pPr>
            <w:r>
              <w:rPr>
                <w:sz w:val="4"/>
                <w:szCs w:val="4"/>
              </w:rPr>
            </w:r>
          </w:p>
        </w:tc>
      </w:tr>
      <w:tr>
        <w:trPr/>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SBA has two scheduled pooling dates for debentures (in March and in September). Certain debentures funded during the reporting periods may not be pooled until the subsequent pooling date.</w:t>
            </w:r>
          </w:p>
        </w:tc>
      </w:tr>
      <w:tr>
        <w:trPr/>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Company issued SBA debentures which will pool in September 2025. Until the pooling date, the debentures bear interest at fixed interim interest rates ranging from 5.16% to 5.21%. The Company expects the current interim interest rates will reset to a higher long-term fixed rate on the pooling date.</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Notes: </w:t>
      </w:r>
      <w:r>
        <w:rPr>
          <w:rFonts w:ascii="Times New Roman" w:hAnsi="Times New Roman"/>
          <w:color w:val="000000"/>
          <w:sz w:val="20"/>
        </w:rPr>
        <w:t>On December 23, 2020, the Company closed the offering of $125,000 in aggregate principal amount of its 4.75% notes due 2026 (the “January 2026 Notes”). The total net proceeds to the Company from the January 2026 Notes, based on a public offering price of 100.00% of par, after deducting underwriting discounts of $2,500 and offering expenses of $366, were $122,134.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 On May 21, 2025, the Company redeemed $25,000 of the $125,000 aggregate principal amount on the January 2026 Notes, resulting in a realized loss on extinguishment of debt of $75.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8, 2021, the Company closed the offering of $125,000 in aggregate principal amount of its 3.50% notes due 2026 (the “November 2026 Notes”). The total net proceeds to the Company from the November 2026 Notes, based on a public offering price of 99.996% of par, after deducting underwriting discounts of $2,500 and offering expenses of $318, were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March 19, 2025, the Company closed the offering of $100,000 in aggregate principal amount of its 6.75% notes due 2030 (the “March 2030 Notes” and together with the January 2026 Notes and the November 2026 Notes, the “Notes”). The total net proceeds to the Company from the March 2030 Notes, based on a public offering price of 99.29954% of par, after deducting underwriting discounts of $2,000 and offering expenses of $302, were $96,998.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beginning September 19, 2025. The Company does not intend to list the March 2030 Notes on any securities exchange or automated dealer quotation system.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sz w:val="20"/>
        </w:rPr>
      </w:pPr>
      <w:r>
        <w:rPr>
          <w:rFonts w:ascii="Times New Roman" w:hAnsi="Times New Roman"/>
          <w:color w:val="000000"/>
          <w:sz w:val="20"/>
        </w:rPr>
        <w:t>As of June 30, 2025 and December 31, 2024, the carrying value of secured borrowings totaled $13,255 and $13,674, respectively, and the fair value of the associated loans included in investments was $13,245 and $13,505,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w:t>
      </w:r>
      <w:r>
        <w:rPr>
          <w:rFonts w:ascii="Times New Roman" w:hAnsi="Times New Roman"/>
          <w:i/>
          <w:color w:val="000000"/>
          <w:sz w:val="20"/>
        </w:rPr>
        <w:t>.</w:t>
      </w:r>
      <w:r>
        <w:rPr>
          <w:rFonts w:ascii="Times New Roman" w:hAnsi="Times New Roman"/>
          <w:color w:val="000000"/>
          <w:sz w:val="20"/>
        </w:rPr>
        <w:t xml:space="preserve"> As a result, sale treatment was not permitted and these partial loan sales were treated as secured borrowings. The weighted average interest rate on our secured borrowings was approximately 8.5% and 8.6% as of June 30, 2025, and December 31, 2024, respectively.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December 31, 2024, the aggregate amount outstanding of the senior securities (including secured borrowings) issued by the Company was $338,255 and $308,674, respectively, for which our asset coverage was 304.7% and 312.4%,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Interest and Financing Expenses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Interest and fees related to the Company’s debt for the three and six months ended June 30, 2025 and 2024 which are included in interest and financing expenses on the consolidated statements of operations, were as follows:</w:t>
      </w:r>
    </w:p>
    <w:tbl>
      <w:tblPr>
        <w:tblW w:w="8353" w:type="dxa"/>
        <w:jc w:val="left"/>
        <w:tblInd w:w="0" w:type="dxa"/>
        <w:tblLayout w:type="fixed"/>
        <w:tblCellMar>
          <w:top w:w="28" w:type="dxa"/>
          <w:left w:w="28" w:type="dxa"/>
          <w:bottom w:w="28" w:type="dxa"/>
          <w:right w:w="28" w:type="dxa"/>
        </w:tblCellMar>
      </w:tblPr>
      <w:tblGrid>
        <w:gridCol w:w="2941"/>
        <w:gridCol w:w="146"/>
        <w:gridCol w:w="245"/>
        <w:gridCol w:w="641"/>
        <w:gridCol w:w="146"/>
        <w:gridCol w:w="146"/>
        <w:gridCol w:w="226"/>
        <w:gridCol w:w="435"/>
        <w:gridCol w:w="146"/>
        <w:gridCol w:w="146"/>
        <w:gridCol w:w="323"/>
        <w:gridCol w:w="623"/>
        <w:gridCol w:w="146"/>
        <w:gridCol w:w="146"/>
        <w:gridCol w:w="196"/>
        <w:gridCol w:w="511"/>
        <w:gridCol w:w="146"/>
        <w:gridCol w:w="146"/>
        <w:gridCol w:w="196"/>
        <w:gridCol w:w="51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3017"/>
        <w:gridCol w:w="146"/>
        <w:gridCol w:w="325"/>
        <w:gridCol w:w="851"/>
        <w:gridCol w:w="241"/>
        <w:gridCol w:w="146"/>
        <w:gridCol w:w="299"/>
        <w:gridCol w:w="782"/>
        <w:gridCol w:w="241"/>
        <w:gridCol w:w="146"/>
        <w:gridCol w:w="399"/>
        <w:gridCol w:w="1043"/>
        <w:gridCol w:w="241"/>
        <w:gridCol w:w="146"/>
        <w:gridCol w:w="196"/>
        <w:gridCol w:w="511"/>
        <w:gridCol w:w="241"/>
        <w:gridCol w:w="146"/>
        <w:gridCol w:w="196"/>
        <w:gridCol w:w="601"/>
        <w:gridCol w:w="291"/>
      </w:tblGrid>
      <w:tr>
        <w:trPr/>
        <w:tc>
          <w:tcPr>
            <w:tcW w:w="3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75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75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The effective interest rate is equal to the weighted average stated interest rate plus the amortization of deferred financing costs.</w:t>
      </w:r>
    </w:p>
    <w:p>
      <w:pPr>
        <w:pStyle w:val="TextBody"/>
        <w:bidi w:val="0"/>
        <w:spacing w:before="120" w:after="283"/>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Realized Losses on Extinguishment of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prepaid zero and $12,500 of SBA debentures, which were scheduled to mature on dates ranging from 2032 to 2033. During the three and six months ended June 30, 2025, the Company redeemed $25,000 and $25,000 of the January 2026 Notes, respectively. During the three and six months ended June 30, 2024, the Company prepaid zero and $35,000 of SBA debentures, which were scheduled to mature on dates ranging from 2026 to 2027. As a result of the prepayments and the partial redemptions, the Company recognized realized losses on extinguishment of debt of $326 and $521 equal to the write-off of the related unamortized deferred financing costs, during the six months ended June 30, 2025 and 2024, respectively.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Deferred Financing Costs</w:t>
      </w:r>
    </w:p>
    <w:p>
      <w:pPr>
        <w:pStyle w:val="TextBody"/>
        <w:bidi w:val="0"/>
        <w:jc w:val="both"/>
        <w:rPr>
          <w:rFonts w:ascii="Times New Roman" w:hAnsi="Times New Roman"/>
          <w:color w:val="000000"/>
          <w:sz w:val="20"/>
        </w:rPr>
      </w:pPr>
      <w:bookmarkStart w:id="11" w:name="fis_unidentified_table_13"/>
      <w:bookmarkEnd w:id="11"/>
      <w:r>
        <w:rPr>
          <w:rFonts w:ascii="Times New Roman" w:hAnsi="Times New Roman"/>
          <w:color w:val="000000"/>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June 30, 2025 and December 31, 2024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146"/>
        <w:gridCol w:w="226"/>
        <w:gridCol w:w="660"/>
        <w:gridCol w:w="166"/>
        <w:gridCol w:w="146"/>
        <w:gridCol w:w="196"/>
        <w:gridCol w:w="571"/>
        <w:gridCol w:w="166"/>
        <w:gridCol w:w="146"/>
        <w:gridCol w:w="196"/>
        <w:gridCol w:w="571"/>
        <w:gridCol w:w="166"/>
        <w:gridCol w:w="146"/>
        <w:gridCol w:w="196"/>
        <w:gridCol w:w="661"/>
        <w:gridCol w:w="166"/>
        <w:gridCol w:w="146"/>
        <w:gridCol w:w="226"/>
        <w:gridCol w:w="660"/>
        <w:gridCol w:w="166"/>
        <w:gridCol w:w="146"/>
        <w:gridCol w:w="196"/>
        <w:gridCol w:w="571"/>
        <w:gridCol w:w="166"/>
        <w:gridCol w:w="146"/>
        <w:gridCol w:w="196"/>
        <w:gridCol w:w="571"/>
        <w:gridCol w:w="166"/>
        <w:gridCol w:w="146"/>
        <w:gridCol w:w="196"/>
        <w:gridCol w:w="601"/>
        <w:gridCol w:w="211"/>
      </w:tblGrid>
      <w:tr>
        <w:trPr/>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2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commitment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leverage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upfront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underwriting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debt issue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(9,383</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June 30, 2025 and December 31,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19"/>
        <w:gridCol w:w="146"/>
        <w:gridCol w:w="181"/>
        <w:gridCol w:w="586"/>
        <w:gridCol w:w="151"/>
        <w:gridCol w:w="146"/>
        <w:gridCol w:w="185"/>
        <w:gridCol w:w="386"/>
        <w:gridCol w:w="151"/>
        <w:gridCol w:w="146"/>
        <w:gridCol w:w="181"/>
        <w:gridCol w:w="586"/>
        <w:gridCol w:w="151"/>
        <w:gridCol w:w="146"/>
        <w:gridCol w:w="181"/>
        <w:gridCol w:w="586"/>
        <w:gridCol w:w="151"/>
        <w:gridCol w:w="146"/>
        <w:gridCol w:w="181"/>
        <w:gridCol w:w="586"/>
        <w:gridCol w:w="151"/>
        <w:gridCol w:w="146"/>
        <w:gridCol w:w="181"/>
        <w:gridCol w:w="511"/>
        <w:gridCol w:w="151"/>
        <w:gridCol w:w="146"/>
        <w:gridCol w:w="181"/>
        <w:gridCol w:w="586"/>
        <w:gridCol w:w="151"/>
        <w:gridCol w:w="146"/>
        <w:gridCol w:w="181"/>
        <w:gridCol w:w="586"/>
        <w:gridCol w:w="196"/>
      </w:tblGrid>
      <w:tr>
        <w:trPr/>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June 30, 2025</w:t>
            </w:r>
            <w:r>
              <w:rPr>
                <w:rFonts w:ascii="Times New Roman" w:hAnsi="Times New Roman"/>
                <w:b/>
                <w:color w:val="000000"/>
                <w:sz w:val="9"/>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December 31, 2024</w:t>
            </w:r>
            <w:r>
              <w:rPr>
                <w:rFonts w:ascii="Times New Roman" w:hAnsi="Times New Roman"/>
                <w:b/>
                <w:color w:val="000000"/>
                <w:sz w:val="9"/>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Outstanding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 net of 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195,584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321,104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515,839</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168,899</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43,954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248,362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461,215</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Total excludes $13,255</w:t>
      </w:r>
      <w:r>
        <w:rPr>
          <w:rFonts w:ascii="Times New Roman" w:hAnsi="Times New Roman"/>
          <w:color w:val="000000"/>
          <w:sz w:val="20"/>
        </w:rPr>
        <w:t xml:space="preserve"> </w:t>
      </w:r>
      <w:r>
        <w:rPr>
          <w:rFonts w:ascii="Times New Roman" w:hAnsi="Times New Roman"/>
          <w:color w:val="000000"/>
          <w:sz w:val="16"/>
        </w:rPr>
        <w:t>and $13,674</w:t>
      </w:r>
      <w:r>
        <w:rPr>
          <w:rFonts w:ascii="Times New Roman" w:hAnsi="Times New Roman"/>
          <w:color w:val="000000"/>
          <w:sz w:val="20"/>
        </w:rPr>
        <w:t xml:space="preserve"> </w:t>
      </w:r>
      <w:r>
        <w:rPr>
          <w:rFonts w:ascii="Times New Roman" w:hAnsi="Times New Roman"/>
          <w:color w:val="000000"/>
          <w:sz w:val="16"/>
        </w:rPr>
        <w:t>of Secured Borrowings as of June 30, 2025 and December 31, 2024,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June 30, 2025, the Company’s debt liabilities are scheduled to mature as follows:</w:t>
      </w:r>
      <w:r>
        <w:rPr>
          <w:rFonts w:ascii="Times New Roman" w:hAnsi="Times New Roman"/>
          <w:color w:val="000000"/>
          <w:sz w:val="13"/>
        </w:rPr>
        <w:t>(1)</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542" w:type="dxa"/>
        <w:jc w:val="left"/>
        <w:tblInd w:w="0" w:type="dxa"/>
        <w:tblLayout w:type="fixed"/>
        <w:tblCellMar>
          <w:top w:w="28" w:type="dxa"/>
          <w:left w:w="28" w:type="dxa"/>
          <w:bottom w:w="28" w:type="dxa"/>
          <w:right w:w="28" w:type="dxa"/>
        </w:tblCellMar>
      </w:tblPr>
      <w:tblGrid>
        <w:gridCol w:w="946"/>
        <w:gridCol w:w="146"/>
        <w:gridCol w:w="217"/>
        <w:gridCol w:w="804"/>
        <w:gridCol w:w="146"/>
        <w:gridCol w:w="146"/>
        <w:gridCol w:w="368"/>
        <w:gridCol w:w="607"/>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Facility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188,500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The Credit Facility matures on August 17, 2027.</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80" w:after="180"/>
        <w:jc w:val="both"/>
        <w:rPr>
          <w:rFonts w:ascii="Times New Roman" w:hAnsi="Times New Roman"/>
          <w:sz w:val="20"/>
        </w:rPr>
      </w:pPr>
      <w:r>
        <w:rPr>
          <w:rFonts w:ascii="Times New Roman" w:hAnsi="Times New Roman"/>
          <w:i/>
          <w:color w:val="000000"/>
          <w:sz w:val="20"/>
        </w:rPr>
        <w:t>Commitments:</w:t>
      </w:r>
      <w:r>
        <w:rPr>
          <w:rFonts w:ascii="Times New Roman" w:hAnsi="Times New Roman"/>
          <w:color w:val="000000"/>
          <w:sz w:val="20"/>
        </w:rPr>
        <w:t xml:space="preserve"> The Company had outstanding commitments to portfolio companies to fund various undrawn revolving loans, other debt investments and capital commitments totaling $27,368 and $12,363 as of June 30, 2025 and December 31, 2024, respectively. Such outstanding commitments are summarized in the following table:</w:t>
      </w:r>
    </w:p>
    <w:tbl>
      <w:tblPr>
        <w:tblW w:w="10199" w:type="dxa"/>
        <w:jc w:val="left"/>
        <w:tblInd w:w="0" w:type="dxa"/>
        <w:tblLayout w:type="fixed"/>
        <w:tblCellMar>
          <w:top w:w="28" w:type="dxa"/>
          <w:left w:w="28" w:type="dxa"/>
          <w:bottom w:w="28" w:type="dxa"/>
          <w:right w:w="28" w:type="dxa"/>
        </w:tblCellMar>
      </w:tblPr>
      <w:tblGrid>
        <w:gridCol w:w="5416"/>
        <w:gridCol w:w="146"/>
        <w:gridCol w:w="223"/>
        <w:gridCol w:w="633"/>
        <w:gridCol w:w="146"/>
        <w:gridCol w:w="146"/>
        <w:gridCol w:w="223"/>
        <w:gridCol w:w="633"/>
        <w:gridCol w:w="146"/>
        <w:gridCol w:w="146"/>
        <w:gridCol w:w="223"/>
        <w:gridCol w:w="633"/>
        <w:gridCol w:w="146"/>
        <w:gridCol w:w="146"/>
        <w:gridCol w:w="223"/>
        <w:gridCol w:w="633"/>
        <w:gridCol w:w="14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Acendre Midco, Inc.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 Info Parent, Inc. (dba MediaRadar)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Axis Medical Technologies LLC (dba MoveMedical)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Choice Technology Solutions, LLC (dba Choice Merchant Solutions,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Detechtion Holdings, LLC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Detechtion Holdings,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Elements Brands,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Fraser Steel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Fishbowl Solutions,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Laboratory Testing,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GMP HVAC, LLC (dba McGee Heating &amp; Air,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Mayesh Wholesale Florist,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NWS Technologies, LLC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Pronto Plumbing &amp; Drain, Inc.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Tedia Company,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Thrust Flight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True Environmental Inc.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W50 Holdings, LLC - 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32,143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27,368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17,117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Additional detail for each of the commitments above is provided in the Company’s consolidated schedules of investments. As of June 30, 2025 and December 31, 2024, the Company had sufficient liquidity coverage to satisfy these unfunded commitments. Cash and cash equivalents were $91,207 and $57,159 and available borrowings under the Credit Facility were $140,000 and $95,000 as of June 30, 2025 and December 31, 2024, respectively.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jc w:val="both"/>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bookmarkStart w:id="12" w:name="fis_unidentified_table_14"/>
      <w:bookmarkEnd w:id="12"/>
      <w:r>
        <w:rPr>
          <w:rFonts w:ascii="Times New Roman" w:hAnsi="Times New Roman"/>
          <w:i/>
          <w:color w:val="000000"/>
          <w:sz w:val="20"/>
        </w:rPr>
        <w:t>Legal proceedings:</w:t>
      </w:r>
      <w:r>
        <w:rPr>
          <w:rFonts w:ascii="Times New Roman" w:hAnsi="Times New Roman"/>
          <w:color w:val="000000"/>
          <w:sz w:val="20"/>
        </w:rPr>
        <w:t xml:space="preserve"> 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8. Common Stock</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Public Offerings of Common Stock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summarizes the cumulative total shares issued, net proceeds received, and weighted average offering price in public offerings of the Company’s common stock since the IPO in June 2011, except for the issuances under the ATM Program as described further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Cumulative Underwriting Fees and Commissions and Offering Costs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Offering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since IPO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14,388,414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(1) Fidus Investment Advisors, LLC agreed to bear a cumulative of $1,925</w:t>
      </w:r>
      <w:r>
        <w:rPr>
          <w:rFonts w:ascii="Times New Roman" w:hAnsi="Times New Roman"/>
          <w:color w:val="000000"/>
          <w:sz w:val="20"/>
        </w:rPr>
        <w:t xml:space="preserve"> </w:t>
      </w:r>
      <w:r>
        <w:rPr>
          <w:rFonts w:ascii="Times New Roman" w:hAnsi="Times New Roman"/>
          <w:color w:val="000000"/>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six months ended June 30, 2025 and 2024 are as follows:</w:t>
      </w:r>
    </w:p>
    <w:tbl>
      <w:tblPr>
        <w:tblW w:w="7042" w:type="dxa"/>
        <w:jc w:val="left"/>
        <w:tblInd w:w="0" w:type="dxa"/>
        <w:tblLayout w:type="fixed"/>
        <w:tblCellMar>
          <w:top w:w="28" w:type="dxa"/>
          <w:left w:w="28" w:type="dxa"/>
          <w:bottom w:w="28" w:type="dxa"/>
          <w:right w:w="28" w:type="dxa"/>
        </w:tblCellMar>
      </w:tblPr>
      <w:tblGrid>
        <w:gridCol w:w="2116"/>
        <w:gridCol w:w="146"/>
        <w:gridCol w:w="146"/>
        <w:gridCol w:w="586"/>
        <w:gridCol w:w="146"/>
        <w:gridCol w:w="146"/>
        <w:gridCol w:w="170"/>
        <w:gridCol w:w="386"/>
        <w:gridCol w:w="146"/>
        <w:gridCol w:w="146"/>
        <w:gridCol w:w="166"/>
        <w:gridCol w:w="436"/>
        <w:gridCol w:w="146"/>
        <w:gridCol w:w="146"/>
        <w:gridCol w:w="297"/>
        <w:gridCol w:w="514"/>
        <w:gridCol w:w="146"/>
        <w:gridCol w:w="146"/>
        <w:gridCol w:w="198"/>
        <w:gridCol w:w="522"/>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Underwriting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Fees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Proceeds </w:t>
            </w:r>
            <w:r>
              <w:rPr>
                <w:rFonts w:ascii="Times New Roman" w:hAnsi="Times New Roman"/>
                <w:b/>
                <w:color w:val="000000"/>
                <w:sz w:val="8"/>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2"/>
              </w:rPr>
            </w:pPr>
            <w:r>
              <w:rPr>
                <w:rFonts w:ascii="Times New Roman" w:hAnsi="Times New Roman"/>
                <w:b/>
                <w:color w:val="000000"/>
                <w:sz w:val="12"/>
              </w:rPr>
              <w:t>Six Months Ended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556"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20"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2024 through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April 1, 2024 through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1,691,336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2,678,506</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19.75</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52,897</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52,211</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2"/>
              </w:rPr>
            </w:pPr>
            <w:r>
              <w:rPr>
                <w:rFonts w:ascii="Times New Roman" w:hAnsi="Times New Roman"/>
                <w:b/>
                <w:color w:val="000000"/>
                <w:sz w:val="12"/>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2025 through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1,019,812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April 1, 2025 through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1,396,437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28,217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Net proceeds exclude amortization of deferred equity financing costs.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Through June 30, 2025, the Company has sold 10,760,681 shares of common stock under the ATM Program at a weighted-average price of $19.85, raising $213,619 of gross proceeds. Net proceeds were $210,713 after commissions to the sales agents on shares sold. As of June 30, 2025, the Company has $86,381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described in Note 2, the Company has a Stock Repurchase Program under which the Company may acquire up to $5,000 of its outstanding common stock. The Company did not make any repurchases of common stock during the three and six months ended June 30, 2025 and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DRIP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issued 32,566 and 68,811 shares of common stock under the DRIP during the three and six months ended June 30, 2025, respectively. The Company issued 43,755 and 43,755 shares of common stock under the DRIP during the three and six months ended June 30, 2024, respectively. Refer to Note 9 for additional information regarding the issuance of shares under the DRIP.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had 35,379,900 and 33,914,652 shares of common stock outstanding as of June 30, 2025 and December 31, 2024, respectively.</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Dividends and Distributions</w:t>
      </w:r>
    </w:p>
    <w:p>
      <w:pPr>
        <w:pStyle w:val="TextBody"/>
        <w:bidi w:val="0"/>
        <w:jc w:val="both"/>
        <w:rPr>
          <w:rFonts w:ascii="Times New Roman" w:hAnsi="Times New Roman"/>
          <w:color w:val="000000"/>
          <w:sz w:val="20"/>
        </w:rPr>
      </w:pPr>
      <w:r>
        <w:rPr>
          <w:rFonts w:ascii="Times New Roman" w:hAnsi="Times New Roman"/>
          <w:color w:val="000000"/>
          <w:sz w:val="20"/>
        </w:rPr>
        <w:t>The Company’s dividends and distributions are recorded on the record date. The following table summarizes the dividends paid during the last two fiscal years and for the six months ended June 30, 2025.</w:t>
      </w:r>
    </w:p>
    <w:p>
      <w:pPr>
        <w:pStyle w:val="TextBody"/>
        <w:bidi w:val="0"/>
        <w:jc w:val="both"/>
        <w:rPr/>
      </w:pPr>
      <w:r>
        <w:rPr/>
        <w:t> </w:t>
      </w:r>
    </w:p>
    <w:tbl>
      <w:tblPr>
        <w:tblW w:w="9198" w:type="dxa"/>
        <w:jc w:val="left"/>
        <w:tblInd w:w="0" w:type="dxa"/>
        <w:tblLayout w:type="fixed"/>
        <w:tblCellMar>
          <w:top w:w="28" w:type="dxa"/>
          <w:left w:w="28" w:type="dxa"/>
          <w:bottom w:w="28" w:type="dxa"/>
          <w:right w:w="28" w:type="dxa"/>
        </w:tblCellMar>
      </w:tblPr>
      <w:tblGrid>
        <w:gridCol w:w="1816"/>
        <w:gridCol w:w="146"/>
        <w:gridCol w:w="646"/>
        <w:gridCol w:w="146"/>
        <w:gridCol w:w="646"/>
        <w:gridCol w:w="146"/>
        <w:gridCol w:w="217"/>
        <w:gridCol w:w="413"/>
        <w:gridCol w:w="146"/>
        <w:gridCol w:w="146"/>
        <w:gridCol w:w="198"/>
        <w:gridCol w:w="523"/>
        <w:gridCol w:w="146"/>
        <w:gridCol w:w="146"/>
        <w:gridCol w:w="198"/>
        <w:gridCol w:w="523"/>
        <w:gridCol w:w="146"/>
        <w:gridCol w:w="146"/>
        <w:gridCol w:w="166"/>
        <w:gridCol w:w="376"/>
        <w:gridCol w:w="146"/>
        <w:gridCol w:w="211"/>
        <w:gridCol w:w="146"/>
        <w:gridCol w:w="436"/>
        <w:gridCol w:w="146"/>
        <w:gridCol w:w="211"/>
        <w:gridCol w:w="189"/>
        <w:gridCol w:w="486"/>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Record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Issue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2/15/2023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2/15/2023 </w:t>
            </w:r>
            <w:r>
              <w:rPr>
                <w:rFonts w:ascii="Times New Roman" w:hAnsi="Times New Roman"/>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5/02/2023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5/02/2023 </w:t>
            </w:r>
            <w:r>
              <w:rPr>
                <w:rFonts w:ascii="Times New Roman" w:hAnsi="Times New Roman"/>
                <w:color w:val="000000"/>
                <w:sz w:val="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8/01/2023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8/01/2023 </w:t>
            </w:r>
            <w:r>
              <w:rPr>
                <w:rFonts w:ascii="Times New Roman" w:hAnsi="Times New Roman"/>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10/30/2023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10/30/2023 </w:t>
            </w:r>
            <w:r>
              <w:rPr>
                <w:rFonts w:ascii="Times New Roman" w:hAnsi="Times New Roman"/>
                <w:color w:val="000000"/>
                <w:sz w:val="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2/13/2024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4/29/2024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7/29/2024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10/28/2024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2/18/2025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5/5/2025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Special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Except for the shares issued pursuant to the DRIP as reflected in the table above, during the six months ended June 30, 2025 and the years ended December 31, 2024 and 2023,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180"/>
        <w:gridCol w:w="855"/>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2023 through March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2023 through June 30,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2023 through September 30,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2023 through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2024 through March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2024 through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2024 through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2024 through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2025 through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2025 through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10. Financial Highlights</w:t>
      </w:r>
    </w:p>
    <w:p>
      <w:pPr>
        <w:pStyle w:val="TextBody"/>
        <w:bidi w:val="0"/>
        <w:spacing w:before="180" w:after="283"/>
        <w:jc w:val="both"/>
        <w:rPr>
          <w:rFonts w:ascii="Times New Roman" w:hAnsi="Times New Roman"/>
          <w:color w:val="000000"/>
          <w:sz w:val="20"/>
        </w:rPr>
      </w:pPr>
      <w:bookmarkStart w:id="13" w:name="fis_unidentified_table_15"/>
      <w:bookmarkEnd w:id="13"/>
      <w:r>
        <w:rPr>
          <w:rFonts w:ascii="Times New Roman" w:hAnsi="Times New Roman"/>
          <w:color w:val="000000"/>
          <w:sz w:val="20"/>
        </w:rPr>
        <w:t>The following is a schedule of financial highlights for the six months ended June 30, 2025 and 2024:</w:t>
      </w:r>
    </w:p>
    <w:p>
      <w:pPr>
        <w:pStyle w:val="TextBody"/>
        <w:bidi w:val="0"/>
        <w:jc w:val="both"/>
        <w:rPr/>
      </w:pPr>
      <w:r>
        <w:rPr/>
        <w:t> </w:t>
      </w:r>
    </w:p>
    <w:tbl>
      <w:tblPr>
        <w:tblW w:w="8639" w:type="dxa"/>
        <w:jc w:val="left"/>
        <w:tblInd w:w="0" w:type="dxa"/>
        <w:tblLayout w:type="fixed"/>
        <w:tblCellMar>
          <w:top w:w="28" w:type="dxa"/>
          <w:left w:w="28" w:type="dxa"/>
          <w:bottom w:w="28" w:type="dxa"/>
          <w:right w:w="28" w:type="dxa"/>
        </w:tblCellMar>
      </w:tblPr>
      <w:tblGrid>
        <w:gridCol w:w="5266"/>
        <w:gridCol w:w="146"/>
        <w:gridCol w:w="211"/>
        <w:gridCol w:w="1036"/>
        <w:gridCol w:w="271"/>
        <w:gridCol w:w="146"/>
        <w:gridCol w:w="211"/>
        <w:gridCol w:w="1036"/>
        <w:gridCol w:w="31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 (loss) on investments, net of tax (provision)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unrealized appreciation (depreciation) on investments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Realized losses on extinguishment of debt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increase from investment operations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Accretive (dilutive) effect of share issuances and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35,379,900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33,161,240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34,620,172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31,511,236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net assets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Ratios to average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income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net asset value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Portfolio turnover ratio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debt outstanding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debt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Weighted average per share data.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 with the exception of income tax (provision) benefit from realized gains on investments.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net investment income to average net assets ratio is annualized and calculated using the net investment income caption as presented on the consolidated statements of operations, which includes incentive fee.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Average net assets is calculated as the average of the net asset balances as of each quarter end during the fiscal year and the prior year end.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Weighted average debt outstanding is calculated based upon the number of days that the total outstanding debt balances, including secured borrowings, are outstanding during the six months ended June 30, 2025 and 2024.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(10)</w:t>
      </w:r>
    </w:p>
    <w:p>
      <w:pPr>
        <w:pStyle w:val="TextBody"/>
        <w:bidi w:val="0"/>
        <w:jc w:val="both"/>
        <w:rPr>
          <w:rFonts w:ascii="Times New Roman" w:hAnsi="Times New Roman"/>
          <w:color w:val="000000"/>
          <w:sz w:val="16"/>
        </w:rPr>
      </w:pPr>
      <w:r>
        <w:rPr>
          <w:rFonts w:ascii="Times New Roman" w:hAnsi="Times New Roman"/>
          <w:color w:val="000000"/>
          <w:sz w:val="16"/>
        </w:rPr>
        <w:t>The following are schedules of supplemental expense ratios to average net assets:</w:t>
      </w:r>
    </w:p>
    <w:p>
      <w:pPr>
        <w:pStyle w:val="TextBody"/>
        <w:bidi w:val="0"/>
        <w:jc w:val="both"/>
        <w:rPr/>
      </w:pPr>
      <w:r>
        <w:rPr/>
        <w:t> </w:t>
      </w:r>
    </w:p>
    <w:tbl>
      <w:tblPr>
        <w:tblW w:w="6627" w:type="dxa"/>
        <w:jc w:val="left"/>
        <w:tblInd w:w="0" w:type="dxa"/>
        <w:tblLayout w:type="fixed"/>
        <w:tblCellMar>
          <w:top w:w="28" w:type="dxa"/>
          <w:left w:w="28" w:type="dxa"/>
          <w:bottom w:w="28" w:type="dxa"/>
          <w:right w:w="28" w:type="dxa"/>
        </w:tblCellMar>
      </w:tblPr>
      <w:tblGrid>
        <w:gridCol w:w="3781"/>
        <w:gridCol w:w="146"/>
        <w:gridCol w:w="212"/>
        <w:gridCol w:w="677"/>
        <w:gridCol w:w="394"/>
        <w:gridCol w:w="212"/>
        <w:gridCol w:w="212"/>
        <w:gridCol w:w="677"/>
        <w:gridCol w:w="3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Expenses other than incentive fee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Incentive fee, net of incentive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345" w:type="dxa"/>
        <w:jc w:val="left"/>
        <w:tblInd w:w="0" w:type="dxa"/>
        <w:tblLayout w:type="fixed"/>
        <w:tblCellMar>
          <w:top w:w="28" w:type="dxa"/>
          <w:left w:w="28" w:type="dxa"/>
          <w:bottom w:w="28" w:type="dxa"/>
          <w:right w:w="28" w:type="dxa"/>
        </w:tblCellMar>
      </w:tblPr>
      <w:tblGrid>
        <w:gridCol w:w="4501"/>
        <w:gridCol w:w="146"/>
        <w:gridCol w:w="204"/>
        <w:gridCol w:w="653"/>
        <w:gridCol w:w="464"/>
        <w:gridCol w:w="204"/>
        <w:gridCol w:w="204"/>
        <w:gridCol w:w="653"/>
        <w:gridCol w:w="31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before base management fee waiver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management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color w:val="000000"/>
          <w:sz w:val="16"/>
        </w:rPr>
      </w:pPr>
      <w:r>
        <w:rPr>
          <w:rFonts w:ascii="Times New Roman" w:hAnsi="Times New Roman"/>
          <w:color w:val="000000"/>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2, 2025, the Company invested $8,500 in first lien debt and $4,250 in preferred equity in Sogno Toscano, LLC, a single brand distributor of authentic high-quality Italian foods, primarily serving the food service industry.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2, 2025, the Company received a distribution on its common equity investment in PowerGrid Services Acquisition, LLC, resulting in a realized gain of $944.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30, 2025, the Company exited its first lien debt investment in Choice Technology Solutions, LLC (dba Choice Merchant Solutions, LLC). The Company received payment in full of $10,608 on its first lien debt, which includes a prepayment fee. The Company also received a distribution on its preferred equity investment and recognized a loss of $467.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4, 2025, the Board declared a regular quarterly dividend of $0.43 per share and a supplemental dividend of $0.14 per share payable on September 25, 2025, to stockholders of record as of September 18, 2025.</w:t>
      </w:r>
    </w:p>
    <w:p>
      <w:pPr>
        <w:pStyle w:val="TextBody"/>
        <w:bidi w:val="0"/>
        <w:spacing w:before="18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2_mda"/>
      <w:bookmarkEnd w:id="14"/>
      <w:r>
        <w:rPr>
          <w:rFonts w:ascii="Times New Roman" w:hAnsi="Times New Roman"/>
          <w:b/>
          <w:color w:val="000000"/>
          <w:sz w:val="20"/>
        </w:rPr>
        <w:t>Item 2.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The following discussion and analysis of our financial condition and</w:t>
      </w:r>
      <w:r>
        <w:rPr>
          <w:rFonts w:ascii="Times New Roman" w:hAnsi="Times New Roman"/>
          <w:color w:val="000000"/>
          <w:sz w:val="20"/>
        </w:rPr>
        <w:t xml:space="preserve"> </w:t>
      </w:r>
      <w:r>
        <w:rPr>
          <w:rFonts w:ascii="Times New Roman" w:hAnsi="Times New Roman"/>
          <w:i/>
          <w:color w:val="000000"/>
          <w:sz w:val="20"/>
        </w:rPr>
        <w:t>results of operations should be read in conjunction with Fidus Investment Corporation’s consolidated financial statements and related notes appearing</w:t>
      </w:r>
      <w:r>
        <w:rPr>
          <w:rFonts w:ascii="Times New Roman" w:hAnsi="Times New Roman"/>
          <w:color w:val="000000"/>
          <w:sz w:val="20"/>
        </w:rPr>
        <w:t xml:space="preserve"> </w:t>
      </w:r>
      <w:r>
        <w:rPr>
          <w:rFonts w:ascii="Times New Roman" w:hAnsi="Times New Roman"/>
          <w:i/>
          <w:color w:val="000000"/>
          <w:sz w:val="20"/>
        </w:rPr>
        <w:t>in our annual report on Form 10-K for the year ended December 31, 2024, filed with the SEC on March 6, 2025. The</w:t>
      </w:r>
      <w:r>
        <w:rPr>
          <w:rFonts w:ascii="Times New Roman" w:hAnsi="Times New Roman"/>
          <w:color w:val="000000"/>
          <w:sz w:val="20"/>
        </w:rPr>
        <w:t xml:space="preserve"> </w:t>
      </w:r>
      <w:r>
        <w:rPr>
          <w:rFonts w:ascii="Times New Roman" w:hAnsi="Times New Roman"/>
          <w:i/>
          <w:color w:val="000000"/>
          <w:sz w:val="20"/>
        </w:rPr>
        <w:t>information contained in this section should also be read in conjunction with</w:t>
      </w:r>
      <w:r>
        <w:rPr>
          <w:rFonts w:ascii="Times New Roman" w:hAnsi="Times New Roman"/>
          <w:color w:val="000000"/>
          <w:sz w:val="20"/>
        </w:rPr>
        <w:t xml:space="preserve"> </w:t>
      </w:r>
      <w:r>
        <w:rPr>
          <w:rFonts w:ascii="Times New Roman" w:hAnsi="Times New Roman"/>
          <w:i/>
          <w:color w:val="000000"/>
          <w:sz w:val="20"/>
        </w:rPr>
        <w:t>our unaudited consolidated financial statements and related notes thereto</w:t>
      </w:r>
      <w:r>
        <w:rPr>
          <w:rFonts w:ascii="Times New Roman" w:hAnsi="Times New Roman"/>
          <w:color w:val="000000"/>
          <w:sz w:val="20"/>
        </w:rPr>
        <w:t xml:space="preserve"> </w:t>
      </w:r>
      <w:r>
        <w:rPr>
          <w:rFonts w:ascii="Times New Roman" w:hAnsi="Times New Roman"/>
          <w:i/>
          <w:color w:val="000000"/>
          <w:sz w:val="20"/>
        </w:rPr>
        <w:t>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as otherwise specified, references to “we,” “us,” “our,” “Fidus” and “FIC” refer to Fidus Investment Corporation and its consolidated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future operating results;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financial and lending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business prospects and the prospects of our portfolio companies, including our and their ability to achieve our respective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investments that we expect to make;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dependence of our future success on the general economy and its impact on the industries in which we invest;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its impacts on the ability of our portfolio companies to operate and the investment opportunities available to us;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uncertainty associated with the imposition of tariffs and trade barriers and changes in trade policies and its impact on our portfolio companies and our financial condition;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expected financing and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adequacy of our cash resources and working capital;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timing of cash flows, if any, from the operations of our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the Investment Advisor to locate suitable investments for us and to monitor and administer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Investment Advisor to attract and retain highly talented professionals;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regulatory structure and tax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operate as a BDC and a RIC and each of the SBIC Funds to operate as an SBIC;</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form and amount of any dividend distributions;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interest rate volatility and the elevated level of inflation on our business and portfolio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valuation of any investments in portfolio companies, particularly those having no liquid trading market;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recover unrealized losses.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contraction of available credit and/or an inability to access the equity markets could impair our lending and investment activities;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interest rate vo</w:t>
      </w:r>
      <w:r>
        <w:rPr>
          <w:rFonts w:ascii="Times New Roman" w:hAnsi="Times New Roman"/>
          <w:color w:val="000000"/>
          <w:sz w:val="20"/>
          <w:u w:val="single"/>
        </w:rPr>
        <w:t>l</w:t>
      </w:r>
      <w:r>
        <w:rPr>
          <w:rFonts w:ascii="Times New Roman" w:hAnsi="Times New Roman"/>
          <w:color w:val="000000"/>
          <w:sz w:val="20"/>
        </w:rPr>
        <w:t>atility could adversely affect our results, particularly because we use leverage as part of our investment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risks, uncertainties and other factors we identify in Item 1A. – Risk Factors contained in our Annual Report on Form 10-K for the year ended December 31, 2024, elsewhere in this Quarterly Report on Form 10-Q and in our other filings with the SEC.</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hAnsi="Times New Roman"/>
          <w:i/>
          <w:color w:val="000000"/>
          <w:sz w:val="20"/>
        </w:rPr>
        <w:t>Item 1.A – Risk Factors</w:t>
      </w:r>
      <w:r>
        <w:rPr>
          <w:rFonts w:ascii="Times New Roman" w:hAnsi="Times New Roman"/>
          <w:color w:val="000000"/>
          <w:sz w:val="20"/>
        </w:rPr>
        <w:t xml:space="preserve"> contained in our Annual Report on Form 10-K for the year ended December 31, 2024, filed with the SEC on March 6, 2025. You should not place undue reliance on these forward-looking statements, which apply only as of the date of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General and Corporate Structure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FIC was formed as a Maryland corporation on February 14, 2011. We completed our initial public offering, or IPO, in June 2011. On June 20, 2011, FIC acquired all of the limited partnership interests of Fidus Mezzanine Capital, L.P. (“Fund I”) and membership interests of Fidus Mezzanine Capital GP, LLC, its general partner, resulting in Fund I becoming our wholly-owned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We commenced operations of Fidus Mezzanine Capital II, L.P. (“Fund II”), Fidus Mezzanine Capital III, L.P. (“Fund III”), and Fidus Mezzanine Capital IV, L.P. (“Fund IV”), each a wholly owned subsidiary, on March 29, 2013, April 18, 2018, and November 28,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received their SBIC licenses on March 21, 2019 and September 30, 2024, respectively. We plan to continue to operate Fund III and Fund IV as SBICs, subject to SBA approval, and to utilize the proceeds of the sale of SBA-guaranteed debentures to enhance returns to our stockholders. Fund I and Fund II completed their wind-down plans, can no longer issue additional SBA debentures, and relinquished their SBIC licenses on March 20, 2020 and March 7, 2024, respectively. We have also made, and continue to make, investments directly through FIC. We believe that utilizing FIC and the SBIC Funds as investment vehicles provides us with access to a broader array of investment opportunities.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certain wholly-owned subsidiaries (the “Taxable Subsidiaries”), each of which generally holds one or more of our portfolio investments listed on the consolidated schedules of investments, and have elected to be treated as corporations for U.S. federal income tax purposes and are thus subject to U.S. federal income tax imposed at corporate rates. The Taxable Subsidiaries are consolidated for financial reporting purposes, such that our consolidated financial statements reflect our investment in the portfolio company investments owned by the Taxable Subsidiaries. The purpose of the Taxable Subsidiaries are to permit us to hold equity investments in portfolio companies that are classified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income tax purposes, and each Taxable Subsidiary will be subject to U.S. federal income tax on its taxable income. Any such income or expense is reflected in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 w:hAnsi="Times New Roman"/>
          <w:i/>
          <w:color w:val="000000"/>
          <w:sz w:val="20"/>
        </w:rPr>
        <w:t>First Lien Debt.</w:t>
      </w:r>
      <w:r>
        <w:rPr>
          <w:rFonts w:ascii="Times New Roman" w:hAnsi="Times New Roman"/>
          <w:color w:val="000000"/>
          <w:sz w:val="20"/>
        </w:rPr>
        <w:t xml:space="preserve"> 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 w:hAnsi="Times New Roman"/>
          <w:i/>
          <w:color w:val="000000"/>
          <w:sz w:val="20"/>
        </w:rPr>
        <w:t>Second Lien Debt.</w:t>
      </w:r>
      <w:r>
        <w:rPr>
          <w:rFonts w:ascii="Times New Roman" w:hAnsi="Times New Roman"/>
          <w:color w:val="000000"/>
          <w:sz w:val="20"/>
        </w:rPr>
        <w:t xml:space="preserve"> 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 </w:t>
      </w:r>
    </w:p>
    <w:p>
      <w:pPr>
        <w:pStyle w:val="TextBody"/>
        <w:bidi w:val="0"/>
        <w:spacing w:before="0" w:after="180"/>
        <w:jc w:val="both"/>
        <w:rPr>
          <w:rFonts w:ascii="Times New Roman" w:hAnsi="Times New Roman"/>
          <w:sz w:val="20"/>
        </w:rPr>
      </w:pPr>
      <w:r>
        <w:rPr>
          <w:rFonts w:ascii="Times New Roman" w:hAnsi="Times New Roman"/>
          <w:i/>
          <w:color w:val="000000"/>
          <w:sz w:val="20"/>
        </w:rPr>
        <w:t>Subordinated Debt.</w:t>
      </w:r>
      <w:r>
        <w:rPr>
          <w:rFonts w:ascii="Times New Roman" w:hAnsi="Times New Roman"/>
          <w:color w:val="000000"/>
          <w:sz w:val="20"/>
        </w:rPr>
        <w:t xml:space="preserve"> 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spacing w:before="60" w:after="180"/>
        <w:jc w:val="both"/>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Expenses</w:t>
      </w:r>
      <w:r>
        <w:rPr>
          <w:rFonts w:ascii="Times New Roman" w:hAnsi="Times New Roman"/>
          <w:color w:val="000000"/>
          <w:sz w:val="20"/>
        </w:rPr>
        <w:t xml:space="preserve">: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interest payable on debt, if any, incurred to finance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offerings of our common stock and other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advisory fees and management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transfer agent, dividend agent and custodial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costs of registration and listing our shares on any securities exchange;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preparing and filing reports or other documents required by the SEC or other regulators including printing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and mailing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allocable portion of any fidelity bond, directors and officers/errors and omissions liability insurance, and any other insurance premiums;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proxy voting expenses;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other expenses reasonably incurred by us or the Investment Advisor in connection with administering our business.</w:t>
      </w:r>
    </w:p>
    <w:p>
      <w:pPr>
        <w:pStyle w:val="TextBody"/>
        <w:bidi w:val="0"/>
        <w:spacing w:before="180" w:after="283"/>
        <w:jc w:val="left"/>
        <w:rPr>
          <w:rFonts w:ascii="Times New Roman" w:hAnsi="Times New Roman"/>
          <w:sz w:val="20"/>
        </w:rPr>
      </w:pPr>
      <w:r>
        <w:rPr>
          <w:rFonts w:ascii="Times New Roman" w:hAnsi="Times New Roman"/>
          <w:b/>
          <w:color w:val="000000"/>
          <w:sz w:val="20"/>
        </w:rPr>
        <w:t>Portfolio Composition, Investment Activity and Yield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six months ended June 30, 2025 and 2024, we invested $210.0 million and $208.3 million, respectively, in debt and equity investments including eleven and eight new portfolio companies, respectively. During the six months ended June 30, 2025 and 2024, we received proceeds from sales or repayments, including principal, return of capital dividends and net realized gains (losses), of $166.6 million and $103.3 million, respectively, including an exit of five portfolio companies and two portfolio companies, respectively. The following table summarizes purchases of investments and sales and repayments of investments by type for the six months ended June 30, 2025 and 2024 (dollars in millions).</w:t>
      </w:r>
    </w:p>
    <w:tbl>
      <w:tblPr>
        <w:tblW w:w="10205" w:type="dxa"/>
        <w:jc w:val="left"/>
        <w:tblInd w:w="0" w:type="dxa"/>
        <w:tblLayout w:type="fixed"/>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and Repayments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3"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For the six months ended June 30, 2025 and 2024, first lien debt includes unitranche securities, which account for 58.4% and 29.9% of purchases, respectively. For the six months ended June 30, 2025 and 2024, first lien debt includes unitranche securities, which account for 22.6% and 5.0% of repayments,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the fair value of our investment portfolio totaled $1.1 billion and consisted of 92 active portfolio companies and five portfolio companies that have sold their underlying operations. As of June 30, 2025, 50 portfolio companies’ debt investments bore interest at a variable rate, which represented $718.6 million, or 71.1%, of our debt investment portfolio on a fair value basis, and the remainder of our debt investment portfolio was comprised of fixed-rate investments. Overall, the portfolio had net unrealized appreciation of $19.9 million as of June 30, 2025. As of June 30, 2025, our average active portfolio company investment at amortized cost was $12.3 million, which excludes investments in five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2024, the fair value of our investment portfolio totaled $1.1 billion and consisted of 87 active portfolio companies and four portfolio companies that have sold their underlying operations. As of December 31, 2024, 50 portfolio companies’ debt investments bore interest at a variable rate, which represented $704.0 million, or 74.5%, of our debt investment portfolio on a fair value basis, and the remainder of our debt investment portfolio was comprised of fixed-rate investments. Overall, the portfolio had net unrealized appreciation of $15.3 million as of December 31, 2024. As of December 31, 2024, our average active portfolio company investment at amortized cost was $12.4 million, which excludes investments in four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weighted average yield on debt investments as of June 30, 2025 and December 31, 2024 was 13.1% and 13.3%,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The following table shows the portfolio composition by investment type at fair value and cost and as a percentage of total investments (dollars in millions):</w:t>
      </w:r>
    </w:p>
    <w:tbl>
      <w:tblPr>
        <w:tblW w:w="10392" w:type="dxa"/>
        <w:jc w:val="left"/>
        <w:tblInd w:w="0" w:type="dxa"/>
        <w:tblLayout w:type="fixed"/>
        <w:tblCellMar>
          <w:top w:w="28" w:type="dxa"/>
          <w:left w:w="28" w:type="dxa"/>
          <w:bottom w:w="28" w:type="dxa"/>
          <w:right w:w="28" w:type="dxa"/>
        </w:tblCellMar>
      </w:tblPr>
      <w:tblGrid>
        <w:gridCol w:w="1051"/>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Includes unitranche investments, which account for 46.9% and 47.9% of our portfolio on a fair value and cost basis as of June 30, 2025, respectively. Includes unitranche investments, which account for 39.9% and 40.4% of our portfolio on a fair value and cost basis as of December 31, 2024,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367" w:type="dxa"/>
        <w:jc w:val="left"/>
        <w:tblInd w:w="0" w:type="dxa"/>
        <w:tblLayout w:type="fixed"/>
        <w:tblCellMar>
          <w:top w:w="28" w:type="dxa"/>
          <w:left w:w="28" w:type="dxa"/>
          <w:bottom w:w="28" w:type="dxa"/>
          <w:right w:w="28" w:type="dxa"/>
        </w:tblCellMar>
      </w:tblPr>
      <w:tblGrid>
        <w:gridCol w:w="92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following table shows the detailed industry composition of our portfolio at fair value and cost as a percentage of total investments: </w:t>
      </w:r>
    </w:p>
    <w:tbl>
      <w:tblPr>
        <w:tblW w:w="8070" w:type="dxa"/>
        <w:jc w:val="left"/>
        <w:tblInd w:w="0" w:type="dxa"/>
        <w:tblLayout w:type="fixed"/>
        <w:tblCellMar>
          <w:top w:w="28" w:type="dxa"/>
          <w:left w:w="28" w:type="dxa"/>
          <w:bottom w:w="28" w:type="dxa"/>
          <w:right w:w="28" w:type="dxa"/>
        </w:tblCellMar>
      </w:tblPr>
      <w:tblGrid>
        <w:gridCol w:w="2701"/>
        <w:gridCol w:w="146"/>
        <w:gridCol w:w="160"/>
        <w:gridCol w:w="560"/>
        <w:gridCol w:w="241"/>
        <w:gridCol w:w="146"/>
        <w:gridCol w:w="242"/>
        <w:gridCol w:w="853"/>
        <w:gridCol w:w="241"/>
        <w:gridCol w:w="146"/>
        <w:gridCol w:w="160"/>
        <w:gridCol w:w="560"/>
        <w:gridCol w:w="241"/>
        <w:gridCol w:w="146"/>
        <w:gridCol w:w="242"/>
        <w:gridCol w:w="853"/>
        <w:gridCol w:w="24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Products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Utilities: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Environmental Industries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Promotional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Products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Cleaning &amp; Coatings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Product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Portfolio Asset Quality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Investment Rating 5 is used for investments performing substantially below our expectations and the risks have increased substantially since origination. We expect some loss of principal.</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also have observed, and continue to observe, commodity inflation, elements of financial market instability (including elevated interest rates), supply chain disruptions, changes to U.S. tariff and trade policies and uncertainty relating to such changes, labor and resource shortages, an uncertain economic outlook for the United States (which may include a recession), and elements of geopolitical instability (including the ongoing war in Ukraine and U.S. and China relations and ongoing conflicts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rating scale at fair value and cost as of June 30, 2025 and December 31, 2024 (dollars in millions):</w:t>
      </w:r>
    </w:p>
    <w:tbl>
      <w:tblPr>
        <w:tblW w:w="10257" w:type="dxa"/>
        <w:jc w:val="left"/>
        <w:tblInd w:w="0" w:type="dxa"/>
        <w:tblLayout w:type="fixed"/>
        <w:tblCellMar>
          <w:top w:w="28" w:type="dxa"/>
          <w:left w:w="28" w:type="dxa"/>
          <w:bottom w:w="28" w:type="dxa"/>
          <w:right w:w="28" w:type="dxa"/>
        </w:tblCellMar>
      </w:tblPr>
      <w:tblGrid>
        <w:gridCol w:w="91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Based on our investment rating system, the weighted average rating of our portfolio as of June 30, 2025 and December 31, 2024 was 2.0 and 2.0, respectively, on a fair value basis and 2.1 and 2.2, respectively, on a cost basis.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Non-Accrual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2025 and December 31, 2024, we had debt investments in three and four portfolio companies on non-accrual status (dollars in millions), respectively.</w:t>
      </w:r>
    </w:p>
    <w:tbl>
      <w:tblPr>
        <w:tblW w:w="6268" w:type="dxa"/>
        <w:jc w:val="left"/>
        <w:tblInd w:w="0" w:type="dxa"/>
        <w:tblLayout w:type="fixed"/>
        <w:tblCellMar>
          <w:top w:w="28" w:type="dxa"/>
          <w:left w:w="28" w:type="dxa"/>
          <w:bottom w:w="28" w:type="dxa"/>
          <w:right w:w="28" w:type="dxa"/>
        </w:tblCellMar>
      </w:tblPr>
      <w:tblGrid>
        <w:gridCol w:w="2356"/>
        <w:gridCol w:w="146"/>
        <w:gridCol w:w="196"/>
        <w:gridCol w:w="346"/>
        <w:gridCol w:w="146"/>
        <w:gridCol w:w="226"/>
        <w:gridCol w:w="196"/>
        <w:gridCol w:w="421"/>
        <w:gridCol w:w="146"/>
        <w:gridCol w:w="226"/>
        <w:gridCol w:w="196"/>
        <w:gridCol w:w="421"/>
        <w:gridCol w:w="146"/>
        <w:gridCol w:w="146"/>
        <w:gridCol w:w="196"/>
        <w:gridCol w:w="421"/>
        <w:gridCol w:w="146"/>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IR Technologies,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The Company exited its debt investment in such portfolio company and did not hold such investment as of June 30, 2025.</w:t>
      </w:r>
    </w:p>
    <w:p>
      <w:pPr>
        <w:pStyle w:val="TextBody"/>
        <w:bidi w:val="0"/>
        <w:spacing w:before="180" w:after="180"/>
        <w:jc w:val="both"/>
        <w:rPr>
          <w:rFonts w:ascii="Times New Roman" w:hAnsi="Times New Roman"/>
          <w:sz w:val="20"/>
        </w:rPr>
      </w:pPr>
      <w:r>
        <w:rPr>
          <w:rFonts w:ascii="Times New Roman" w:hAnsi="Times New Roman"/>
          <w:b/>
          <w:color w:val="000000"/>
          <w:sz w:val="20"/>
        </w:rPr>
        <w:t>Discussion and Analysis of Results of Operations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three and six months ended June 30, 2025 and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Below is a summary of the changes in total investment income for the three months ended June 30, 2025 as compared to the same period in 2024 (dollars in millions, percent change calculated based on underlying dollar amounts in thousands):</w:t>
      </w:r>
    </w:p>
    <w:tbl>
      <w:tblPr>
        <w:tblW w:w="8082" w:type="dxa"/>
        <w:jc w:val="left"/>
        <w:tblInd w:w="0" w:type="dxa"/>
        <w:tblLayout w:type="fixed"/>
        <w:tblCellMar>
          <w:top w:w="28" w:type="dxa"/>
          <w:left w:w="28" w:type="dxa"/>
          <w:bottom w:w="28" w:type="dxa"/>
          <w:right w:w="28" w:type="dxa"/>
        </w:tblCellMar>
      </w:tblPr>
      <w:tblGrid>
        <w:gridCol w:w="2851"/>
        <w:gridCol w:w="146"/>
        <w:gridCol w:w="291"/>
        <w:gridCol w:w="625"/>
        <w:gridCol w:w="216"/>
        <w:gridCol w:w="216"/>
        <w:gridCol w:w="291"/>
        <w:gridCol w:w="625"/>
        <w:gridCol w:w="146"/>
        <w:gridCol w:w="146"/>
        <w:gridCol w:w="296"/>
        <w:gridCol w:w="500"/>
        <w:gridCol w:w="146"/>
        <w:gridCol w:w="146"/>
        <w:gridCol w:w="256"/>
        <w:gridCol w:w="899"/>
        <w:gridCol w:w="28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 and other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June 30, 2025, total investment income was $40.0 million, an increase of $4.3 million or 12.1%, from $35.7 million of total investment income for the three months ended June 30, 2024. As reflected in the table above, the increase is primarily attributable to the following:</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$1.4 million increase in total interest income (which includes payment-in-kind ("PIK") interest income) resulting from an increase in average debt investment balances, partially offset by a decrease in weighted average yield on debt investment balances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$0.2 million increase in dividend income due to an increase in distributions received from equity investments,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$2.4 million increase in fee income resulting from an increase in prepayment and origination fees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increase in interest on idle funds and other income due to an increase in average cash balances outstanding during 2025 as compared to the same period in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Below is a summary of the changes in total investment income for the six months ended June 30, 2025 as compared to the same period in 2024 (dollars in millions):</w:t>
      </w:r>
    </w:p>
    <w:p>
      <w:pPr>
        <w:pStyle w:val="TextBody"/>
        <w:bidi w:val="0"/>
        <w:jc w:val="both"/>
        <w:rPr/>
      </w:pPr>
      <w:r>
        <w:rPr/>
        <w:t> </w:t>
      </w:r>
    </w:p>
    <w:tbl>
      <w:tblPr>
        <w:tblW w:w="7968" w:type="dxa"/>
        <w:jc w:val="left"/>
        <w:tblInd w:w="0" w:type="dxa"/>
        <w:tblLayout w:type="fixed"/>
        <w:tblCellMar>
          <w:top w:w="28" w:type="dxa"/>
          <w:left w:w="28" w:type="dxa"/>
          <w:bottom w:w="28" w:type="dxa"/>
          <w:right w:w="28" w:type="dxa"/>
        </w:tblCellMar>
      </w:tblPr>
      <w:tblGrid>
        <w:gridCol w:w="2851"/>
        <w:gridCol w:w="146"/>
        <w:gridCol w:w="266"/>
        <w:gridCol w:w="571"/>
        <w:gridCol w:w="198"/>
        <w:gridCol w:w="198"/>
        <w:gridCol w:w="266"/>
        <w:gridCol w:w="571"/>
        <w:gridCol w:w="146"/>
        <w:gridCol w:w="146"/>
        <w:gridCol w:w="265"/>
        <w:gridCol w:w="531"/>
        <w:gridCol w:w="166"/>
        <w:gridCol w:w="146"/>
        <w:gridCol w:w="256"/>
        <w:gridCol w:w="899"/>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sz w:val="20"/>
        </w:rPr>
      </w:pPr>
      <w:r>
        <w:rPr>
          <w:rFonts w:ascii="Times New Roman" w:hAnsi="Times New Roman"/>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six months ended June 30, 2025, total investment income was $76.5 million, an increase of $6.2 million or 8.7%, from the $70.3 million of total investment income for the six months ended June 30, 2024.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$3.7 million increase in total interest income (which includes a $0.8 million increase in PIK interest income) resulting from an increase in average debt investment balances, partially offset by a decrease in weighted average yield on debt investment balances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$1.1 million increase in dividend income due to an increase in distributions received from equity investments,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$2.1 million increase in fee income resulting from an increase in prepayment and origination fees, partially offset by a decrease in amendment fees during 2025 as compared to the same period in 2024.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$0.7 million decrease in interest on idle funds and other income due to a decrease in average cash balances outstanding during 2025 as compared to the same period in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Expenses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three months ended June 30, 2025 as compared to the same period in 2024 (dollars in millions, percent change calculated based on underlying dollar amounts in thousands):</w:t>
      </w:r>
    </w:p>
    <w:tbl>
      <w:tblPr>
        <w:tblW w:w="9032" w:type="dxa"/>
        <w:jc w:val="left"/>
        <w:tblInd w:w="0" w:type="dxa"/>
        <w:tblLayout w:type="fixed"/>
        <w:tblCellMar>
          <w:top w:w="28" w:type="dxa"/>
          <w:left w:w="28" w:type="dxa"/>
          <w:bottom w:w="28" w:type="dxa"/>
          <w:right w:w="28" w:type="dxa"/>
        </w:tblCellMar>
      </w:tblPr>
      <w:tblGrid>
        <w:gridCol w:w="3721"/>
        <w:gridCol w:w="146"/>
        <w:gridCol w:w="291"/>
        <w:gridCol w:w="625"/>
        <w:gridCol w:w="216"/>
        <w:gridCol w:w="216"/>
        <w:gridCol w:w="291"/>
        <w:gridCol w:w="625"/>
        <w:gridCol w:w="146"/>
        <w:gridCol w:w="146"/>
        <w:gridCol w:w="265"/>
        <w:gridCol w:w="531"/>
        <w:gridCol w:w="166"/>
        <w:gridCol w:w="146"/>
        <w:gridCol w:w="268"/>
        <w:gridCol w:w="887"/>
        <w:gridCol w:w="34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including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June 30, 2025, total expenses, including the base management fee waiver and income tax provision, were $21.3 million, an increase of $2.6 million or 14.0%, from the $18.7 million of total expenses, including income tax provision, for the three months ended June 30, 2024. As reflected in the table above, changes across the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$1.7 million increase in interest and financing expenses due to an increase in the weighted average interest rate of our debt outstanding and an increase in weighted average borrowings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$0.4 million net increase in the base management fee, including the base management fee waiver, due to higher average total assets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increase in the income incentive fee due to an increase in pre-incentive fee net investment income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increase in professional fees due to increased proxy solicitation fees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$0.1 million decrease in the accrued capital gains incentive fee due to a net $0.5 million decrease in net gain on investments and realized losses on extinguishment of debt during 2025 as compared to the same period in 2024.</w:t>
      </w:r>
    </w:p>
    <w:p>
      <w:pPr>
        <w:pStyle w:val="TextBody"/>
        <w:bidi w:val="0"/>
        <w:spacing w:before="180" w:after="283"/>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six months ended June 30, 2025 as compared to the same period in 2024 (dollars in millions):</w:t>
      </w:r>
    </w:p>
    <w:tbl>
      <w:tblPr>
        <w:tblW w:w="8855" w:type="dxa"/>
        <w:jc w:val="left"/>
        <w:tblInd w:w="0" w:type="dxa"/>
        <w:tblLayout w:type="fixed"/>
        <w:tblCellMar>
          <w:top w:w="28" w:type="dxa"/>
          <w:left w:w="28" w:type="dxa"/>
          <w:bottom w:w="28" w:type="dxa"/>
          <w:right w:w="28" w:type="dxa"/>
        </w:tblCellMar>
      </w:tblPr>
      <w:tblGrid>
        <w:gridCol w:w="3721"/>
        <w:gridCol w:w="146"/>
        <w:gridCol w:w="262"/>
        <w:gridCol w:w="563"/>
        <w:gridCol w:w="222"/>
        <w:gridCol w:w="195"/>
        <w:gridCol w:w="262"/>
        <w:gridCol w:w="563"/>
        <w:gridCol w:w="166"/>
        <w:gridCol w:w="146"/>
        <w:gridCol w:w="265"/>
        <w:gridCol w:w="531"/>
        <w:gridCol w:w="166"/>
        <w:gridCol w:w="146"/>
        <w:gridCol w:w="268"/>
        <w:gridCol w:w="887"/>
        <w:gridCol w:w="34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including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sz w:val="20"/>
        </w:rPr>
      </w:pPr>
      <w:r>
        <w:rPr>
          <w:rFonts w:ascii="Times New Roman" w:hAnsi="Times New Roman"/>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six months ended June 30, 2025, total expenses, including the base management fee waiver and income tax provision, were $39.6 million, an increase of $3.9 million or 10.9%, from the $35.7 million of total expenses, including income tax provision, for the six months ended June 30, 2024. As reflected in the table above, changes across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$2.5 million increase in interest and financing expenses due to an increase in the weighted average interest rate of our debt outstanding and an increase in weighted average borrowings outstanding during 2025 as compared to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$0.9 million net increase in base management fee, including the base management fee waiver, due to higher average total assets during 2025 as compared to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$0.5 million net increase in the income incentive fee due to an increase in pre-incentive fee net investment income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$0.2 million increase in professional fees due to increased proxy solicitation fees during 2025 as compared to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decrease in the accrued capital gains incentive fee due to a net $(1.5) million decrease in net gain on investments and realized losses on extinguishment of debt during 2025 as compared to the same period in 2024.</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investment income increased by $1.7 million, or 9.9%, to $18.7 million during the three months ended June 30, 2025 as compared to the same period in 2024, as a result of the $4.3 million increase in total investment income, partially offset by the $2.6 million increase in total expenses, including base management fee waiver and income tax provision.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investment income increased by $2.3 million, or 6.6%, to $36.9 million during the six months ended June 30, 2025 as compared to the same period in 2024, as a result of the $6.2 million increase in total investment income, partially offset by the $3.9 million increase in total expenses, including base management fee waiver and income tax provision.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Net Gain (Loss) on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the three and six months ended June 30, 2025, the total net realized gain/(loss) on investments, before income tax (provision)/benefit, was $(7.6) million and $5.7 million, respectively. Income tax (provision) benefit from realized gains on investments was zero and $(1.9) million for the three and six months ended June 30, 2025. We realize a gain/(loss) on our equity investments primarily when we either sell our equity investment or the underlying portfolio company is sold. Realized gains (losses) for the three and six months ended June 30, 2025 are summarized below (dollars in millions):</w:t>
      </w:r>
    </w:p>
    <w:tbl>
      <w:tblPr>
        <w:tblW w:w="10205" w:type="dxa"/>
        <w:jc w:val="left"/>
        <w:tblInd w:w="0" w:type="dxa"/>
        <w:tblLayout w:type="fixed"/>
        <w:tblCellMar>
          <w:top w:w="28" w:type="dxa"/>
          <w:left w:w="28" w:type="dxa"/>
          <w:bottom w:w="28" w:type="dxa"/>
          <w:right w:w="28" w:type="dxa"/>
        </w:tblCellMar>
      </w:tblPr>
      <w:tblGrid>
        <w:gridCol w:w="5720"/>
        <w:gridCol w:w="146"/>
        <w:gridCol w:w="1869"/>
        <w:gridCol w:w="146"/>
        <w:gridCol w:w="248"/>
        <w:gridCol w:w="609"/>
        <w:gridCol w:w="209"/>
        <w:gridCol w:w="185"/>
        <w:gridCol w:w="248"/>
        <w:gridCol w:w="609"/>
        <w:gridCol w:w="216"/>
      </w:tblGrid>
      <w:tr>
        <w:trPr/>
        <w:tc>
          <w:tcPr>
            <w:tcW w:w="5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 June 30, 2025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Realization Event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Healthfuse,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Medsurant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Micronics Filtration Holdings, Inc. (dba Micronics Engineered Filtration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OnePath Systems,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USG AS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IR Technologies,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three and six months ended June 30, 2024, the total net realized gain/(loss) on investments, before income tax (provision)/benefit, was $10.8 and $12.5 million. Income tax (provision) benefit from realized gains on investments was (1.6) and $(1.5) million for the three and six months ended June 30, 2024. We realize a gain/(loss) on our equity investments primarily when we either sell our equity investment or the underlying portfolio company is sold. Realized gains (losses) for the three and six months ended June 30, 2024 are summarized below (dollars in millions):</w:t>
      </w:r>
    </w:p>
    <w:tbl>
      <w:tblPr>
        <w:tblW w:w="9429" w:type="dxa"/>
        <w:jc w:val="left"/>
        <w:tblInd w:w="0" w:type="dxa"/>
        <w:tblLayout w:type="fixed"/>
        <w:tblCellMar>
          <w:top w:w="28" w:type="dxa"/>
          <w:left w:w="28" w:type="dxa"/>
          <w:bottom w:w="28" w:type="dxa"/>
          <w:right w:w="28" w:type="dxa"/>
        </w:tblCellMar>
      </w:tblPr>
      <w:tblGrid>
        <w:gridCol w:w="4846"/>
        <w:gridCol w:w="146"/>
        <w:gridCol w:w="1936"/>
        <w:gridCol w:w="146"/>
        <w:gridCol w:w="272"/>
        <w:gridCol w:w="584"/>
        <w:gridCol w:w="230"/>
        <w:gridCol w:w="202"/>
        <w:gridCol w:w="272"/>
        <w:gridCol w:w="584"/>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 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Realization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Applied Data Corporation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Road Safety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Power Grid Components,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Comply365,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Frontline Food Services, LLC </w:t>
              <w:br/>
              <w:t>(f/k/a Accent Food Services,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LifeSpan Biosciences,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Virginia Tile Company,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Pool &amp; Electrical Products,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Rhino Assembly Company,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and six months ended June 30, 2025 and 2024, we recorded a net change in unrealized appreciation (depreciation) on investments attributable to the following (dollars in millions):</w:t>
      </w:r>
    </w:p>
    <w:p>
      <w:pPr>
        <w:pStyle w:val="TextBody"/>
        <w:bidi w:val="0"/>
        <w:spacing w:before="180" w:after="283"/>
        <w:jc w:val="both"/>
        <w:rPr/>
      </w:pPr>
      <w:r>
        <w:rPr/>
        <w:t> </w:t>
      </w:r>
    </w:p>
    <w:tbl>
      <w:tblPr>
        <w:tblW w:w="8766" w:type="dxa"/>
        <w:jc w:val="left"/>
        <w:tblInd w:w="0" w:type="dxa"/>
        <w:tblLayout w:type="fixed"/>
        <w:tblCellMar>
          <w:top w:w="28" w:type="dxa"/>
          <w:left w:w="28" w:type="dxa"/>
          <w:bottom w:w="28" w:type="dxa"/>
          <w:right w:w="28" w:type="dxa"/>
        </w:tblCellMar>
      </w:tblPr>
      <w:tblGrid>
        <w:gridCol w:w="3766"/>
        <w:gridCol w:w="146"/>
        <w:gridCol w:w="296"/>
        <w:gridCol w:w="637"/>
        <w:gridCol w:w="221"/>
        <w:gridCol w:w="221"/>
        <w:gridCol w:w="296"/>
        <w:gridCol w:w="592"/>
        <w:gridCol w:w="166"/>
        <w:gridCol w:w="146"/>
        <w:gridCol w:w="273"/>
        <w:gridCol w:w="544"/>
        <w:gridCol w:w="231"/>
        <w:gridCol w:w="203"/>
        <w:gridCol w:w="273"/>
        <w:gridCol w:w="544"/>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Exit, sale or restructuring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Increase in Net Assets Resulting From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(decrease) in net assets resulting from operations during the three months ended June 30, 2025 and 2024 was $25.3 million and $24.1 million, respectively, as a result of the events described above.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(decrease) in net assets resulting from operations during the six months ended June 30, 2025 and 2024 was $44.9 million and $44.2 million, respectively, as a result of the events described above.</w:t>
      </w:r>
    </w:p>
    <w:p>
      <w:pPr>
        <w:pStyle w:val="TextBody"/>
        <w:bidi w:val="0"/>
        <w:spacing w:before="18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June 30, 2025, we had $91.2 million in cash and cash equivalents and our net assets totaled $692.3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debt and equity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six months ended June 30, 2025, we repaid $12.5 million of SBA debentures relating to Fund III that would have matured during the period March 1, 2032 through September 1, 2033. Our remaining outstanding SBA debentures begin to mature in 2029 and subsequent years through 2035, which will require repayment on or before the respective maturity dates.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 </w:t>
      </w:r>
    </w:p>
    <w:p>
      <w:pPr>
        <w:pStyle w:val="TextBody"/>
        <w:bidi w:val="0"/>
        <w:spacing w:before="18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six months ended June 30, 2025, we experienced a net increase in cash and cash equivalents in the amount of $34.0 million. During that period, we made payments of $10.3 million of cash for operating activities, which included the funding of $210.0 million of investments that was partially offset by proceeds received from sales and repayments of investments of $166.6 million. During the same period, we received gross proceeds from the issuance of the March 2030 Notes of $100.0 million, received proceeds from the issuances of SBA debentures of $39.5 million, redeemed $25.0 million of the aggregate principal amount on our January 2026 Notes, repaid SBA debentures of $12.5 million relating to Fund III, repaid $45.0 million of our Credit Facility, received net proceeds from the ATM Program of approximately $28.2 million, received repayments of $0.4 million on our secured borrowings, paid cash dividends to stockholders of $36.5 million, and made payment of deferred financing costs related to our debt financings of $4.0 million.</w:t>
      </w:r>
    </w:p>
    <w:p>
      <w:pPr>
        <w:pStyle w:val="TextBody"/>
        <w:bidi w:val="0"/>
        <w:spacing w:before="18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anticipate that we will continue to fund our investment activities on a long-term basis through a combination of additional debt and equity capital.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Fund III and Fund IV is licensed to operate as an SBIC, and has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such SBIC Fund's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On September 30, 2024, Fund IV received a license to operate as a SBIC. As of June 30, 2025, Fund III and Fund IV had $162.5 million and $39.5 million outstanding SBA debentures, respectively. Subject to SBA regulatory requirements and approval of SBA debenture commitments, we may access up to $135.5 million of additional SBA debentures under the SBIC debenture program. For more information on the SBA debentures, please refer to Note 6 to our consolidated financial statements.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SBIC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total commitment under the Credit Facility from $100.0 million to $140.0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Credit Facility are subject to a minimum borrowing/collateral base that applies an advance rate to certain investments held by us, excluding investments held by the SBIC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2025, we were in compliance in all material respects with the terms of the Credit Agreement and we had no borrowings outstanding under the Credit Facility.</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December 23, 2020, we closed the offering of $125.0 million in aggregate principal amount of our 4.75% notes due 2026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On May 21, 2025, we redeemed $25.0 million of the $125.0 million aggregate principal amount on the January 2026 Notes, resulting in a realized loss on extinguishment of debt of approximately $0.1 million. As of June 30, 2025, the outstanding principal balance of the January 2026 Notes was $100.0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we closed the offering of $125.0 million in aggregate principal amount of our 3.50% notes due 2026 (the “November 2026 Notes”). The total net proceeds to us from the November 2026 Notes, based on a public offering price of 99.996% of par, 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June 30, 2025, the outstanding principal balance of the November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March 19, 2025, we closed the offering of $100.0 million in aggregate principal amount of our 6.75% notes due 2030 (the “March 2030 Notes” and together with the January 2026 Notes and the November 2026 Notes, the “Notes”). The total net proceeds to us from the March 2030 Notes, based on a public offering price of 99.29954% of par, after deducting underwriting discounts of $2.0 million and offering expenses of $0.4 million, were approximately $96.9 million.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beginning September 19, 2025. We do not intend to list the March 2030 Notes on any securities exchange or automated dealer quotation system. As of June 30, 2025, the outstanding principal balance of the March 2030 Notes was $100.0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the carrying value of secured borrowings totaled $13.3 million and the fair value of the associated loans included in investments was $13.2 million. As of December 31, 2024, the carrying value of secured borrowings totaled $13.7 million and the fair value of the associated loans included in investments was $13.5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8.491% and 8.568% as of June 30,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June 30, 2025, the weighted average stated interest rates for our SBA debentures and the Notes were 4.408% and 4.885%, respectively. As of June 30, 2025, we had $140.0 million of unutilized commitment under our Credit Facility, and we were subject to a 1.261% fee on such amount. As of June 30, 2025, the weighted average stated interest rate on total debt outstanding was 4.795%.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the SBIC Funds and any future SBIC subsidiary from the definition of senior securities in the 150% asset coverage requirement applicable to the Company under the 1940 Act, which, in turn, will enable us to fund more investments with debt capital.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11, 2025, our stockholders approved a proposal to authorize us to sell or otherwise issue common stock at a price below net asset value per share for a period of one year ending on the earlier of June 11, 2026 or the date of our 2026 Annual Meeting of Stockholders. Our stockholders specified that the cumulative number of shares sold pursuant to such authority during such period may not exceed 25.0% of our then outstanding common stock immediately prior to each such sale.</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Through June 30, 2025, the Company has sold 10,760,681 shares of common stock under the ATM Program at a weighted-average price of $19.85, raising $213.6 million of gross proceeds. Net proceeds were $210.7 million after commissions to the sales agents on sales sold. As of June 30, 2025, the Company has $86.4 million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six months ended June 30, 2025 and 2024. Refer to Note 8 to our consolidated financial statements for additional information concerning stock repurchases.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Valuation of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With respect to investments for which market quotations are not readily available, our board of directors undertakes a multi-step valuation process each quarter, as described below: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quarterly valuation process begins with each portfolio company or investment being initially evaluated and rated by the investment professionals of the Investment Advisor responsible for the portfolio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consulted with the independent third-party valuation firm(s) in arriving at our determination of fair value for 16 and 21 of our portfolio company investments representing 23.3% and 27.5% of the total portfolio investments at fair value (exclusive of new portfolio company investments made during the three months ended June 30, 2025 and December 31, 2024, respectively) as of June 30,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We follow the guidance in ASC 860, </w:t>
      </w:r>
      <w:r>
        <w:rPr>
          <w:rFonts w:ascii="Times New Roman" w:hAnsi="Times New Roman"/>
          <w:i/>
          <w:color w:val="000000"/>
          <w:sz w:val="20"/>
        </w:rPr>
        <w:t xml:space="preserve">Transfers and Servicing, </w:t>
      </w:r>
      <w:r>
        <w:rPr>
          <w:rFonts w:ascii="Times New Roman" w:hAnsi="Times New Roman"/>
          <w:color w:val="000000"/>
          <w:sz w:val="20"/>
        </w:rPr>
        <w:t xml:space="preserve">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Recently Issued Accounting Standard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 The Investment Advisor, in consultation with the Board, agreed to voluntarily waive $0.1 million and $0.1 million of the base management fees on any assets accounted for as secured borrowings as defined under GAAP for the three and six months ended June 30, 2025, respectively, and $0.1 million and $0.1 million for the three and six months ended June 30, 2024, respectively.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entered into the Administration Agreement with Fidus Investment Advisors to provide us with the office facilities and administrative services necessary to conduct day-to-day operations. See Note 5 to our consolidated financial statements.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entered into a license agreement with Fidus Partners, LLC, pursuant to which Fidus Partners, LLC has granted us a non-exclusive, royalty-free license to use the name “Fidus.”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the SBIC Funds and any future SBIC subsidiary from the definition of senior securities in the asset coverage requirement applicable to the Company under the 1940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we may co-invest with investment entities managed by the Investment Advisor or its affiliates, to the extent permitted by the 1940 Act and the rules and regulations thereunder, the 1940 Act imposes significant limits on co-investment. Our Investment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Advisor and its affiliates has received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rFonts w:ascii="Times New Roman" w:hAnsi="Times New Roman"/>
          <w:color w:val="000000"/>
          <w:sz w:val="20"/>
        </w:rPr>
      </w:pPr>
      <w:r>
        <w:rPr>
          <w:rFonts w:ascii="Times New Roman" w:hAnsi="Times New Roman"/>
          <w:color w:val="000000"/>
          <w:sz w:val="20"/>
        </w:rPr>
        <w:t>On July 2, 2025, we invested $8.5 million in first lien debt and $4.3 million in preferred equity in Sogno Toscano, LLC, a single brand distributor of authentic high-quality Italian foods, primarily serving the food service industry.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2, 2025, we received a distribution on our common equity investment in PowerGrid Services Acquisition, LLC, resulting in a realized gain of $0.9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30, 2025, we exited our first lien debt investment in Choice Technology Solutions, LLC (dba Choice Merchant Solutions, LLC). We received payment in full of $10.6 million on our first lien debt, which includes a prepayment fee. We also received a distribution on our preferred equity investment and recognized a loss of $0.5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4, 2025, our Board declared a regular quarterly dividend of $0.43 per share and a supplemental dividend of $0.14 per share payable on September 25, 2025, to stockholders of record as of September 18, 2025.</w:t>
      </w:r>
    </w:p>
    <w:p>
      <w:pPr>
        <w:pStyle w:val="TextBody"/>
        <w:bidi w:val="0"/>
        <w:jc w:val="left"/>
        <w:rPr/>
      </w:pPr>
      <w:r>
        <w:rPr/>
        <w:t> </w:t>
      </w:r>
    </w:p>
    <w:p>
      <w:pPr>
        <w:pStyle w:val="TextBody"/>
        <w:bidi w:val="0"/>
        <w:jc w:val="left"/>
        <w:rPr>
          <w:rFonts w:ascii="Times New Roman" w:hAnsi="Times New Roman"/>
          <w:b/>
          <w:color w:val="000000"/>
          <w:sz w:val="20"/>
        </w:rPr>
      </w:pPr>
      <w:bookmarkStart w:id="15" w:name="item3_marketrisk"/>
      <w:bookmarkEnd w:id="1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Changes in interest rates affect both our cost of funding and the valuation of our investment portfolio. Uncertainty with respect to interest rates, inflationary pressures, the Russia-Ukraine war and the conflicts in the Middle East, the uncertainty with respect to new tariffs and trade policies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national or global political, social or economic instability; and interest rate volatility.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our investment income may also be affected by changes in various interest rates, including SOFR and prime rates, to the extent of any debt investments that include floating interest rates. The Federal Reserve held interest rates steady in the first and second quarters of 2025, following three consecutive rate reductions in the third and fourth quarter of 2024. The Federal Reserve has indicated it will consider additional rate reductions in the near term; however, future reductions to the benchmark rates are not certain. In addition, there can be no assurance that the Federal Reserve will not make upwards adjustments to the federal funds rate in the future. In a high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Conversely,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2024,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2025 and December 31, 2024, the debt investments in 50 and 50 portfolio companies, respectively, bore interest at a variable rate, which represented $718.6 million, or 71.1%, and $704.0 million, or 74.5%,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As of June 30, 2025, the Credit Facility is secured by a first priority security interest in all of our assets, excluding the assets of the SBIC Funds.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approximate annualized increase or decrease in the components of net investment income due to hypothetical base rate changes in interest rates, assuming no changes in our investments and borrowings as of June 30, 2025 (dollars in millions):</w:t>
      </w:r>
    </w:p>
    <w:p>
      <w:pPr>
        <w:pStyle w:val="TextBody"/>
        <w:bidi w:val="0"/>
        <w:jc w:val="both"/>
        <w:rPr/>
      </w:pPr>
      <w:r>
        <w:rPr/>
        <w:t> </w:t>
      </w:r>
    </w:p>
    <w:tbl>
      <w:tblPr>
        <w:tblW w:w="8554" w:type="dxa"/>
        <w:jc w:val="left"/>
        <w:tblInd w:w="0" w:type="dxa"/>
        <w:tblLayout w:type="fixed"/>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46"/>
        <w:gridCol w:w="854"/>
        <w:gridCol w:w="211"/>
      </w:tblGrid>
      <w:tr>
        <w:trPr/>
        <w:tc>
          <w:tcPr>
            <w:tcW w:w="6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Income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(1) Certain of our variable rate debt investments have a PRIME or SOFR interest rate floor, which lessens the impact of decreases in interest rates.</w:t>
      </w:r>
    </w:p>
    <w:p>
      <w:pPr>
        <w:pStyle w:val="TextBody"/>
        <w:bidi w:val="0"/>
        <w:jc w:val="both"/>
        <w:rPr>
          <w:rFonts w:ascii="Times New Roman" w:hAnsi="Times New Roman"/>
          <w:color w:val="000000"/>
          <w:sz w:val="16"/>
        </w:rPr>
      </w:pPr>
      <w:r>
        <w:rPr>
          <w:rFonts w:ascii="Times New Roman" w:hAnsi="Times New Roman"/>
          <w:color w:val="000000"/>
          <w:sz w:val="16"/>
        </w:rPr>
        <w:t>(2) Interest income calculated assuming three-month SOFR, and PRIME rate as of June 30, 2025.</w:t>
      </w:r>
    </w:p>
    <w:p>
      <w:pPr>
        <w:pStyle w:val="TextBody"/>
        <w:bidi w:val="0"/>
        <w:jc w:val="both"/>
        <w:rPr>
          <w:rFonts w:ascii="Times New Roman" w:hAnsi="Times New Roman"/>
          <w:color w:val="000000"/>
          <w:sz w:val="16"/>
        </w:rPr>
      </w:pPr>
      <w:r>
        <w:rPr>
          <w:rFonts w:ascii="Times New Roman" w:hAnsi="Times New Roman"/>
          <w:color w:val="000000"/>
          <w:sz w:val="16"/>
        </w:rPr>
        <w:t>(3) Includes the impact of income incentive fee at 20.0% on net increase (decrease) in net interest.</w:t>
      </w:r>
    </w:p>
    <w:p>
      <w:pPr>
        <w:pStyle w:val="TextBody"/>
        <w:bidi w:val="0"/>
        <w:jc w:val="both"/>
        <w:rPr>
          <w:rFonts w:ascii="Times New Roman" w:hAnsi="Times New Roman"/>
          <w:color w:val="000000"/>
          <w:sz w:val="16"/>
        </w:rPr>
      </w:pPr>
      <w:r>
        <w:rPr>
          <w:rFonts w:ascii="Times New Roman" w:hAnsi="Times New Roman"/>
          <w:color w:val="000000"/>
          <w:sz w:val="16"/>
        </w:rPr>
        <w:t>(4) As of June 30, 2025, we had no borrowings outstanding under our Credit Facility.</w:t>
      </w:r>
    </w:p>
    <w:p>
      <w:pPr>
        <w:pStyle w:val="TextBody"/>
        <w:bidi w:val="0"/>
        <w:jc w:val="both"/>
        <w:rPr>
          <w:rFonts w:ascii="Times New Roman" w:hAnsi="Times New Roman"/>
          <w:sz w:val="20"/>
        </w:rPr>
      </w:pPr>
      <w:r>
        <w:rPr>
          <w:rFonts w:ascii="Times New Roman" w:hAnsi="Times New Roman"/>
          <w:color w:val="000000"/>
          <w:sz w:val="16"/>
        </w:rPr>
        <w:br/>
      </w:r>
      <w:r>
        <w:rPr>
          <w:rFonts w:ascii="Times New Roman" w:hAnsi="Times New Roman"/>
          <w:color w:val="000000"/>
          <w:sz w:val="20"/>
        </w:rPr>
        <w:t> </w:t>
      </w:r>
    </w:p>
    <w:p>
      <w:pPr>
        <w:pStyle w:val="TextBody"/>
        <w:bidi w:val="0"/>
        <w:spacing w:before="0" w:after="180"/>
        <w:jc w:val="left"/>
        <w:rPr>
          <w:rFonts w:ascii="Times New Roman" w:hAnsi="Times New Roman"/>
          <w:b/>
          <w:color w:val="000000"/>
          <w:sz w:val="20"/>
        </w:rPr>
      </w:pPr>
      <w:bookmarkStart w:id="16" w:name="item4_controls"/>
      <w:bookmarkEnd w:id="16"/>
      <w:r>
        <w:rPr>
          <w:rFonts w:ascii="Times New Roman" w:hAnsi="Times New Roman"/>
          <w:b/>
          <w:color w:val="000000"/>
          <w:sz w:val="20"/>
        </w:rPr>
        <w:t>Item 4. Controls and Procedures.</w:t>
      </w:r>
    </w:p>
    <w:p>
      <w:pPr>
        <w:pStyle w:val="TextBody"/>
        <w:bidi w:val="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second quarter of 2025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both"/>
        <w:rPr>
          <w:rFonts w:ascii="Times New Roman" w:hAnsi="Times New Roman"/>
          <w:b/>
          <w:color w:val="000000"/>
          <w:sz w:val="20"/>
        </w:rPr>
      </w:pPr>
      <w:bookmarkStart w:id="17" w:name="part_ii"/>
      <w:bookmarkEnd w:id="17"/>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b/>
          <w:color w:val="000000"/>
          <w:sz w:val="20"/>
        </w:rPr>
      </w:pPr>
      <w:bookmarkStart w:id="18" w:name="item1_legal_proceedings"/>
      <w:bookmarkEnd w:id="18"/>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not, and the Investment Advisor is not, currently subject to any material legal proceedings.</w:t>
      </w:r>
    </w:p>
    <w:p>
      <w:pPr>
        <w:pStyle w:val="TextBody"/>
        <w:bidi w:val="0"/>
        <w:jc w:val="both"/>
        <w:rPr/>
      </w:pPr>
      <w:r>
        <w:rPr/>
        <w:t> </w:t>
      </w:r>
    </w:p>
    <w:p>
      <w:pPr>
        <w:pStyle w:val="TextBody"/>
        <w:bidi w:val="0"/>
        <w:jc w:val="both"/>
        <w:rPr>
          <w:rFonts w:ascii="Times New Roman" w:hAnsi="Times New Roman"/>
          <w:sz w:val="20"/>
        </w:rPr>
      </w:pPr>
      <w:bookmarkStart w:id="19" w:name="item1a_risk_factors"/>
      <w:bookmarkEnd w:id="19"/>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risk factor described below, there have been no material changes to the risk factors previously disclosed under "Item 1A. Risk Factors” previously disclosed in our Annual Report on Form 10-K for the year ended December 31, 2024 filed with the SEC on March 6, 2025,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Changes to U.S. tariff and import/export regulations may have a negative effect on the operations of our portfolio companies and, in turn, negatively impact us.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U.S. government has recently imposed, and may in the future increase, tariffs on specific countries and commodities. In response, certain foreign trading partners, and others in the future, may impose retaliatory tariffs on certain U.S. goods. The foregoing has created significant uncertainty about the future relationship between the United States and certain other countries with respect to trade policies, treaties and new and increased tariffs. These developments, or the continued uncertainty relating to U.S. trade policies, may have a material adverse effect on global economic conditions and the stability of global financial markets, and may significantly reduce global trade and, in particular, trade between the impacted nations and the United States. The uncertainty relating to U.S. trade policies has increased market volatility. Any of these factors could depress economic activity and restrict certain of our portfolio companies’ access to suppliers or customers, and increase costs, decrease margins, and reduce the competitiveness of products and services offered by our portfolio companies. The foregoing may adversely affect the revenues and profitability of such portfolio companies and, in turn, negatively affect our results of operations, which could cause the market value of our shares of common stock to decline.</w:t>
      </w:r>
    </w:p>
    <w:p>
      <w:pPr>
        <w:pStyle w:val="TextBody"/>
        <w:bidi w:val="0"/>
        <w:jc w:val="both"/>
        <w:rPr/>
      </w:pPr>
      <w:r>
        <w:rPr/>
        <w:t> </w:t>
      </w:r>
    </w:p>
    <w:p>
      <w:pPr>
        <w:pStyle w:val="TextBody"/>
        <w:bidi w:val="0"/>
        <w:jc w:val="both"/>
        <w:rPr>
          <w:rFonts w:ascii="Times New Roman" w:hAnsi="Times New Roman"/>
          <w:sz w:val="20"/>
        </w:rPr>
      </w:pPr>
      <w:bookmarkStart w:id="20" w:name="item2_unregistered_sales_equity"/>
      <w:bookmarkEnd w:id="20"/>
      <w:r>
        <w:rPr>
          <w:rFonts w:ascii="Times New Roman" w:hAnsi="Times New Roman"/>
          <w:b/>
          <w:color w:val="000000"/>
          <w:sz w:val="20"/>
        </w:rPr>
        <w:t>Item 2. Unregistered Sales of Equity</w:t>
      </w:r>
      <w:r>
        <w:rPr>
          <w:rFonts w:ascii="Times New Roman" w:hAnsi="Times New Roman"/>
          <w:color w:val="000000"/>
          <w:sz w:val="20"/>
        </w:rPr>
        <w:t xml:space="preserve"> </w:t>
      </w:r>
      <w:r>
        <w:rPr>
          <w:rFonts w:ascii="Times New Roman" w:hAnsi="Times New Roman"/>
          <w:b/>
          <w:color w:val="000000"/>
          <w:sz w:val="20"/>
        </w:rPr>
        <w:t>Securities and Use of Proceeds.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t>
      </w:r>
    </w:p>
    <w:p>
      <w:pPr>
        <w:pStyle w:val="TextBody"/>
        <w:bidi w:val="0"/>
        <w:jc w:val="both"/>
        <w:rPr/>
      </w:pPr>
      <w:r>
        <w:rPr/>
        <w:t> </w:t>
      </w:r>
    </w:p>
    <w:p>
      <w:pPr>
        <w:pStyle w:val="TextBody"/>
        <w:bidi w:val="0"/>
        <w:jc w:val="both"/>
        <w:rPr>
          <w:rFonts w:ascii="Times New Roman" w:hAnsi="Times New Roman"/>
          <w:sz w:val="20"/>
        </w:rPr>
      </w:pPr>
      <w:bookmarkStart w:id="21" w:name="item3_defaults_upon_senior_securities"/>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Defaults Upon Senior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22" w:name="item4_mine_safety_disclosures"/>
      <w:bookmarkEnd w:id="22"/>
      <w:r>
        <w:rPr>
          <w:rFonts w:ascii="Times New Roman" w:hAnsi="Times New Roman"/>
          <w:b/>
          <w:color w:val="000000"/>
          <w:sz w:val="20"/>
        </w:rPr>
        <w:t>Item 4. Mine Safety Disclosures</w:t>
      </w:r>
      <w:r>
        <w:rPr>
          <w:rFonts w:ascii="Times New Roman" w:hAnsi="Times New Roman"/>
          <w:b/>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23" w:name="item5_other_information"/>
      <w:bookmarkEnd w:id="23"/>
      <w:r>
        <w:rPr>
          <w:rFonts w:ascii="Times New Roman" w:hAnsi="Times New Roman"/>
          <w:b/>
          <w:color w:val="000000"/>
          <w:sz w:val="20"/>
        </w:rPr>
        <w:t>Item 5. Other Information.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6_exhibits"/>
      <w:bookmarkEnd w:id="2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 w:hAnsi="Times New Roman"/>
                <w:color w:val="000000"/>
                <w:sz w:val="20"/>
              </w:rPr>
              <w: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Sixth Supplemental Indenture, dated as of March 19, 2025, by and between Fidus Investment Corporation and U.S. Bank Trust Company, National Association (as successor in interest to U.S. Bank National Association), as trustee (Filed as Exhibit 4.2 to the Registrant’s Current Report on Form 8-K filed with the U.S. Securities and Exchange Commission on March 19, 2025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Global Note with respect to the 6.750% Notes due 2030 (Filed as Exhibit 4.3 to the Registrant’s Current Report on Form 8-K filed with the U.S. Securities and Exchange Commission on March 19, 2025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1_1.htm">
              <w:r>
                <w:rPr>
                  <w:rStyle w:val="InternetLink"/>
                  <w:rFonts w:ascii="Times New Roman" w:hAnsi="Times New Roman"/>
                  <w:color w:val="0000FF"/>
                  <w:sz w:val="20"/>
                  <w:u w:val="single"/>
                </w:rPr>
                <w:t>Chief Executive Officer Certification Pursuant to Rule 13a-14 of the Securities Exchange Act of 1934, as adopted pursuant to Section 302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1_2.htm">
              <w:r>
                <w:rPr>
                  <w:rStyle w:val="InternetLink"/>
                  <w:rFonts w:ascii="Times New Roman" w:hAnsi="Times New Roman"/>
                  <w:color w:val="0000FF"/>
                  <w:sz w:val="20"/>
                  <w:u w:val="single"/>
                </w:rPr>
                <w:t>Chief Financial Officer Certification Pursuant to Rule 13a-14 of the Securities Exchange Act of 1934, as adopted pursuant to Section 302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2_1.htm">
              <w:r>
                <w:rPr>
                  <w:rStyle w:val="InternetLink"/>
                  <w:rFonts w:ascii="Times New Roman" w:hAnsi="Times New Roman"/>
                  <w:color w:val="0000FF"/>
                  <w:sz w:val="20"/>
                  <w:u w:val="single"/>
                </w:rPr>
                <w:t>Certification pursuant to Section 1350, Chapter 63 of Title 18, United States Code, as adopted pursuant to Section 906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871"/>
        <w:gridCol w:w="146"/>
        <w:gridCol w:w="670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*Filed herewith.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612" w:type="dxa"/>
        <w:jc w:val="left"/>
        <w:tblInd w:w="0" w:type="dxa"/>
        <w:tblLayout w:type="fixed"/>
        <w:tblCellMar>
          <w:top w:w="28" w:type="dxa"/>
          <w:left w:w="28" w:type="dxa"/>
          <w:bottom w:w="28" w:type="dxa"/>
          <w:right w:w="28" w:type="dxa"/>
        </w:tblCellMar>
      </w:tblPr>
      <w:tblGrid>
        <w:gridCol w:w="18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FIDUS INVESTMENT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7,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bookmarkStart w:id="26" w:name="fdus-ex31_1.htm"/>
      <w:bookmarkStart w:id="27" w:name="ksfdus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Executive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Edward H. Ross, as Chief Executive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7,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EDWARD H. ROSS </w:t>
      </w:r>
    </w:p>
    <w:p>
      <w:pPr>
        <w:pStyle w:val="TextBody"/>
        <w:bidi w:val="0"/>
        <w:jc w:val="left"/>
        <w:rPr>
          <w:rFonts w:ascii="Times New Roman" w:hAnsi="Times New Roman"/>
          <w:color w:val="000000"/>
          <w:sz w:val="20"/>
        </w:rPr>
      </w:pPr>
      <w:r>
        <w:rPr>
          <w:rFonts w:ascii="Times New Roman" w:hAnsi="Times New Roman"/>
          <w:color w:val="000000"/>
          <w:sz w:val="20"/>
        </w:rPr>
        <w:t>Edward H. Ross</w:t>
      </w:r>
    </w:p>
    <w:p>
      <w:pPr>
        <w:pStyle w:val="TextBody"/>
        <w:bidi w:val="0"/>
        <w:jc w:val="left"/>
        <w:rPr>
          <w:rFonts w:ascii="Times New Roman" w:hAnsi="Times New Roman"/>
          <w:color w:val="000000"/>
          <w:sz w:val="20"/>
        </w:rPr>
      </w:pPr>
      <w:r>
        <w:rPr>
          <w:rFonts w:ascii="Times New Roman" w:hAnsi="Times New Roman"/>
          <w:color w:val="000000"/>
          <w:sz w:val="20"/>
        </w:rPr>
        <w:t>Chairman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us-ex31_2.htm"/>
      <w:bookmarkStart w:id="29" w:name="ksfdu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Financial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Shelby E. Sherard, as Chief Financial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7,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and Accounting Officer)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fdus-ex32_1.htm"/>
      <w:bookmarkStart w:id="31" w:name="ksfdu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Fidus Investment Corporation (the “Company”) for the quarterly period ended June 30, 2025,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both"/>
        <w:rPr/>
      </w:pPr>
      <w:r>
        <w:rPr/>
        <w:t> </w:t>
      </w:r>
    </w:p>
    <w:tbl>
      <w:tblPr>
        <w:tblW w:w="5612" w:type="dxa"/>
        <w:jc w:val="left"/>
        <w:tblInd w:w="0" w:type="dxa"/>
        <w:tblLayout w:type="fixed"/>
        <w:tblCellMar>
          <w:top w:w="28" w:type="dxa"/>
          <w:left w:w="28" w:type="dxa"/>
          <w:bottom w:w="28" w:type="dxa"/>
          <w:right w:w="28" w:type="dxa"/>
        </w:tblCellMar>
      </w:tblPr>
      <w:tblGrid>
        <w:gridCol w:w="18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80" w:after="283"/>
        <w:jc w:val="left"/>
        <w:rPr/>
      </w:pPr>
      <w:r>
        <w:rPr/>
        <w:t> </w:t>
      </w:r>
    </w:p>
    <w:p>
      <w:pPr>
        <w:pStyle w:val="TextBody"/>
        <w:bidi w:val="0"/>
        <w:jc w:val="left"/>
        <w:rPr/>
      </w:pPr>
      <w:r>
        <w:rPr/>
        <w:t> </w:t>
      </w:r>
    </w:p>
    <w:p>
      <w:pPr>
        <w:pStyle w:val="TextBody"/>
        <w:bidi w:val="0"/>
        <w:jc w:val="both"/>
        <w:rPr/>
      </w:pPr>
      <w:r>
        <w:rPr/>
        <w:t> </w:t>
      </w:r>
    </w:p>
    <w:p>
      <w:pPr>
        <w:pStyle w:val="TextBody"/>
        <w:bidi w:val="0"/>
        <w:spacing w:before="0" w:after="18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1513363/000119312520325989/d97521dex41.htm" TargetMode="External"/><Relationship Id="rId8" Type="http://schemas.openxmlformats.org/officeDocument/2006/relationships/hyperlink" Target="https://www.sec.gov/Archives/edgar/data/1513363/000119312520325989/d97521dex41.htm" TargetMode="External"/><Relationship Id="rId9" Type="http://schemas.openxmlformats.org/officeDocument/2006/relationships/hyperlink" Target="https://www.sec.gov/Archives/edgar/data/0001513363/000119312521295460/d193806dex41.htm" TargetMode="External"/><Relationship Id="rId10" Type="http://schemas.openxmlformats.org/officeDocument/2006/relationships/hyperlink" Target="https://www.sec.gov/Archives/edgar/data/0001513363/000119312521295460/d193806dex41.htm" TargetMode="External"/><Relationship Id="rId11" Type="http://schemas.openxmlformats.org/officeDocument/2006/relationships/hyperlink" Target="https://www.sec.gov/Archives/edgar/data/1513363/000119312525057824/d822632dex42.htm" TargetMode="External"/><Relationship Id="rId12" Type="http://schemas.openxmlformats.org/officeDocument/2006/relationships/hyperlink" Target="https://www.sec.gov/Archives/edgar/data/1513363/000119312525057824/d822632dex4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49542</Words>
  <Characters>268548</Characters>
  <CharactersWithSpaces>329877</CharactersWithSpaces>
  <Paragraphs>28976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