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60806.htm"/>
      <w:bookmarkStart w:id="1" w:name="ksfdus20260806"/>
      <w:bookmarkEnd w:id="0"/>
      <w:bookmarkEnd w:id="1"/>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br/>
        <w:t xml:space="preserve">SECURITIES AND EXCHANGE COMMISSION </w:t>
      </w:r>
      <w:r>
        <w:rPr>
          <w:rFonts w:ascii="Times New Roman" w:hAnsi="Times New Roman"/>
          <w:b/>
          <w:color w:val="000000"/>
          <w:sz w:val="24"/>
        </w:rPr>
        <w:br/>
      </w: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the Securities Exchange Act of 1934 </w:t>
      </w:r>
    </w:p>
    <w:tbl>
      <w:tblPr>
        <w:tblW w:w="5601" w:type="dxa"/>
        <w:jc w:val="left"/>
        <w:tblInd w:w="0" w:type="dxa"/>
        <w:tblLayout w:type="fixed"/>
        <w:tblCellMar>
          <w:top w:w="28" w:type="dxa"/>
          <w:left w:w="28" w:type="dxa"/>
          <w:bottom w:w="28" w:type="dxa"/>
          <w:right w:w="28" w:type="dxa"/>
        </w:tblCellMar>
      </w:tblPr>
      <w:tblGrid>
        <w:gridCol w:w="4096"/>
        <w:gridCol w:w="109"/>
        <w:gridCol w:w="1396"/>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bl>
    <w:p>
      <w:pPr>
        <w:pStyle w:val="TextBody"/>
        <w:bidi w:val="0"/>
        <w:jc w:val="center"/>
        <w:rPr>
          <w:rFonts w:ascii="Times New Roman" w:hAnsi="Times New Roman"/>
          <w:sz w:val="20"/>
        </w:rPr>
      </w:pPr>
      <w:r>
        <w:rPr>
          <w:rFonts w:ascii="Times New Roman" w:hAnsi="Times New Roman"/>
          <w:b/>
          <w:color w:val="000000"/>
          <w:sz w:val="48"/>
        </w:rPr>
        <w:t>Fidus Investment Corporation</w:t>
      </w:r>
      <w:r>
        <w:rPr>
          <w:rFonts w:ascii="Times New Roman" w:hAnsi="Times New Roman"/>
          <w:color w:val="000000"/>
          <w:sz w:val="20"/>
        </w:rPr>
        <w:t xml:space="preserve"> </w:t>
        <w:br/>
        <w:t xml:space="preserve">__________________________________________ </w:t>
        <w:br/>
        <w:t>(Exact name of registrant as specified in its charter)</w:t>
      </w:r>
    </w:p>
    <w:tbl>
      <w:tblPr>
        <w:tblW w:w="7728" w:type="dxa"/>
        <w:jc w:val="left"/>
        <w:tblInd w:w="0" w:type="dxa"/>
        <w:tblLayout w:type="fixed"/>
        <w:tblCellMar>
          <w:top w:w="28" w:type="dxa"/>
          <w:left w:w="28" w:type="dxa"/>
          <w:bottom w:w="28" w:type="dxa"/>
          <w:right w:w="28" w:type="dxa"/>
        </w:tblCellMar>
      </w:tblPr>
      <w:tblGrid>
        <w:gridCol w:w="4606"/>
        <w:gridCol w:w="1471"/>
        <w:gridCol w:w="1651"/>
      </w:tblGrid>
      <w:tr>
        <w:trPr/>
        <w:tc>
          <w:tcPr>
            <w:tcW w:w="46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814-00861</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27-5017321</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w:t>
              <w:br/>
              <w:t>(State or other jurisdiction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w:t>
              <w:br/>
              <w:t>(Commission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w:t>
              <w:br/>
              <w:t>(I.R.S. Employer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1603 Orrington Avenue, Suite 1005, Evanston, Illinois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60201 </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_________________________________</w:t>
              <w:br/>
              <w:t xml:space="preserve">(Address of principal executive offices)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w:t>
              <w:br/>
              <w:t xml:space="preserve">(Zip Code) </w:t>
            </w:r>
          </w:p>
        </w:tc>
      </w:tr>
    </w:tbl>
    <w:p>
      <w:pPr>
        <w:pStyle w:val="TextBody"/>
        <w:bidi w:val="0"/>
        <w:jc w:val="center"/>
        <w:rPr/>
      </w:pPr>
      <w:r>
        <w:rPr/>
        <w:t> </w:t>
      </w:r>
    </w:p>
    <w:tbl>
      <w:tblPr>
        <w:tblW w:w="5886" w:type="dxa"/>
        <w:jc w:val="left"/>
        <w:tblInd w:w="0" w:type="dxa"/>
        <w:tblLayout w:type="fixed"/>
        <w:tblCellMar>
          <w:top w:w="28" w:type="dxa"/>
          <w:left w:w="28" w:type="dxa"/>
          <w:bottom w:w="28" w:type="dxa"/>
          <w:right w:w="28" w:type="dxa"/>
        </w:tblCellMar>
      </w:tblPr>
      <w:tblGrid>
        <w:gridCol w:w="4411"/>
        <w:gridCol w:w="109"/>
        <w:gridCol w:w="13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847-859-3940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Not Applicable </w:t>
        <w:br/>
        <w:t>______________________________________________</w:t>
        <w:br/>
        <w:t xml:space="preserve">Former name or former address, if changed since last report </w:t>
      </w:r>
    </w:p>
    <w:p>
      <w:pPr>
        <w:pStyle w:val="TextBody"/>
        <w:bidi w:val="0"/>
        <w:spacing w:before="0" w:after="200"/>
        <w:jc w:val="center"/>
        <w:rPr>
          <w:rFonts w:ascii="sans-serif" w:hAnsi="sans-serif"/>
          <w:b/>
          <w:color w:val="000000"/>
          <w:sz w:val="22"/>
        </w:rPr>
      </w:pPr>
      <w:r>
        <w:rPr>
          <w:rFonts w:ascii="sans-serif" w:hAnsi="sans-serif"/>
          <w:b/>
          <w:color w:val="000000"/>
          <w:sz w:val="22"/>
        </w:rPr>
        <w:t>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rFonts w:ascii="Times New Roman" w:hAnsi="Times New Roman"/>
          <w:color w:val="000000"/>
          <w:sz w:val="20"/>
        </w:rPr>
      </w:pPr>
      <w:r>
        <w:rPr>
          <w:rFonts w:ascii="Times New Roman" w:hAnsi="Times New Roman"/>
          <w:color w:val="000000"/>
          <w:sz w:val="20"/>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TextBody"/>
        <w:bidi w:val="0"/>
        <w:spacing w:before="9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August 6, 2026, Fidus Investment Corporation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disclosed under this Item 2.02,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(the "Securities Act"), or the Exchange Act, except as expressly set forth by specific reference in such filing.</w:t>
      </w:r>
    </w:p>
    <w:p>
      <w:pPr>
        <w:pStyle w:val="TextBody"/>
        <w:bidi w:val="0"/>
        <w:spacing w:before="90" w:after="283"/>
        <w:jc w:val="both"/>
        <w:rPr/>
      </w:pPr>
      <w:r>
        <w:rPr/>
        <w:t> </w:t>
      </w:r>
    </w:p>
    <w:tbl>
      <w:tblPr>
        <w:tblW w:w="3317" w:type="dxa"/>
        <w:jc w:val="left"/>
        <w:tblInd w:w="0" w:type="dxa"/>
        <w:tblLayout w:type="fixed"/>
        <w:tblCellMar>
          <w:top w:w="28" w:type="dxa"/>
          <w:left w:w="28" w:type="dxa"/>
          <w:bottom w:w="28" w:type="dxa"/>
          <w:right w:w="28" w:type="dxa"/>
        </w:tblCellMar>
      </w:tblPr>
      <w:tblGrid>
        <w:gridCol w:w="961"/>
        <w:gridCol w:w="2356"/>
      </w:tblGrid>
      <w:tr>
        <w:trPr/>
        <w:tc>
          <w:tcPr>
            <w:tcW w:w="9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issued a press release, filed herewith as Exhibit 99.1, on August 6, 2026 announcing the declaration of a base dividend of $0.43 per share and a supplemental dividend of $0.07 per share, which are payable on September 29, 2026, to stockholders of record as of September 15,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disclosed under this Item 7.01, including Exhibit 99.1 attached hereto, is being furnished and shall not be deemed “filed” for purposes of Section 18 of the Exchange Act, or otherwise subject to the liabilities of that section, and shall not be deemed incorporated by reference into any filing made under the Securities Act or the Exchange Act, except as expressly set forth by specific reference in such filing.</w:t>
      </w:r>
    </w:p>
    <w:p>
      <w:pPr>
        <w:pStyle w:val="TextBody"/>
        <w:bidi w:val="0"/>
        <w:spacing w:before="18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Exhibit 99.1 is being furnished herewith to this Current Report on Form 8-K: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Exhibit</w:t>
      </w:r>
    </w:p>
    <w:p>
      <w:pPr>
        <w:pStyle w:val="TextBody"/>
        <w:bidi w:val="0"/>
        <w:jc w:val="left"/>
        <w:rPr>
          <w:rFonts w:ascii="Times New Roman" w:hAnsi="Times New Roman"/>
          <w:color w:val="000000"/>
          <w:sz w:val="16"/>
          <w:u w:val="single"/>
        </w:rPr>
      </w:pPr>
      <w:r>
        <w:rPr>
          <w:rFonts w:ascii="Times New Roman" w:hAnsi="Times New Roman"/>
          <w:color w:val="000000"/>
          <w:sz w:val="16"/>
          <w:u w:val="single"/>
        </w:rPr>
        <w:t xml:space="preserve">No. Description </w:t>
      </w:r>
    </w:p>
    <w:p>
      <w:pPr>
        <w:pStyle w:val="TextBody"/>
        <w:bidi w:val="0"/>
        <w:jc w:val="left"/>
        <w:rPr/>
      </w:pPr>
      <w:hyperlink w:anchor="fdus-ex99_1.htm">
        <w:r>
          <w:rPr>
            <w:rStyle w:val="InternetLink"/>
            <w:rFonts w:ascii="Times New Roman" w:hAnsi="Times New Roman"/>
            <w:color w:val="0000FF"/>
            <w:sz w:val="20"/>
            <w:u w:val="single"/>
          </w:rPr>
          <w:t>99.1 Press Release dated August 6, 2026 of Fidus Investment Corporation</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Date: August 6, 2026 Fidus Investment Corporation</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fdus-ex99_1.htm"/>
      <w:bookmarkStart w:id="3" w:name="ksfdu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504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52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FIDUS INVESTMENT CORPORATION ANNOUNCES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Second</w:t>
      </w:r>
      <w:r>
        <w:rPr>
          <w:rFonts w:ascii="Times New Roman" w:hAnsi="Times New Roman"/>
          <w:color w:val="000000"/>
          <w:sz w:val="20"/>
        </w:rPr>
        <w:t xml:space="preserve"> </w:t>
      </w:r>
      <w:r>
        <w:rPr>
          <w:rFonts w:ascii="Times New Roman" w:hAnsi="Times New Roman"/>
          <w:b/>
          <w:color w:val="000000"/>
          <w:sz w:val="20"/>
        </w:rPr>
        <w:t>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Board of Directors Declared Total Dividends of $0.50 per Share for Third Quarter 2026</w:t>
        <w:br/>
        <w:t>Base Dividend of $0.43 and Supplemental Dividend of $0.07 Per Share</w:t>
        <w:b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EVANSTON, Ill., August 6, 2026</w:t>
      </w:r>
      <w:r>
        <w:rPr>
          <w:rFonts w:ascii="Times New Roman" w:hAnsi="Times New Roman"/>
          <w:color w:val="000000"/>
          <w:sz w:val="20"/>
        </w:rPr>
        <w:t xml:space="preserve"> – Fidus Investment Corporation (NASDAQ:FDUS) (“Fidus” or the “Company”), a provider of customized debt and equity financing solutions, primarily to lower middle-market companies based in the United States, today announced its financial results for the second quarter ended June 30, 2026.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Second Quarter 2026 Financial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investment income of $43.5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investment income of $18.7 million, or $0.49 per share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Adjusted net investment income of $18.9 million, or $0.50 per share</w:t>
      </w:r>
      <w:r>
        <w:rPr>
          <w:rFonts w:ascii="Times New Roman" w:hAnsi="Times New Roman"/>
          <w:color w:val="000000"/>
          <w:sz w:val="13"/>
        </w:rPr>
        <w:t>(1)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Invested $98.0 million in debt and equity securities, including four new portfolio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Received proceeds from repayments and realizations of $39.2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Paid total dividends of $0.62 per share: regular quarterly dividend of $0.43 and a supplemental dividend of $0.19 per share on June 29,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asset value (“NAV”) of $738.5 million, or $19.46 per share, as of June 30, 2026</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Estimated spillover income (or taxable income in excess of distributions) as of June 30, 2026 of $38.0 million, or $1.00 per share</w:t>
      </w:r>
    </w:p>
    <w:p>
      <w:pPr>
        <w:pStyle w:val="TextBody"/>
        <w:bidi w:val="0"/>
        <w:spacing w:before="120" w:after="200"/>
        <w:jc w:val="left"/>
        <w:rPr>
          <w:rFonts w:ascii="Times New Roman" w:hAnsi="Times New Roman"/>
          <w:color w:val="000000"/>
          <w:sz w:val="20"/>
          <w:u w:val="single"/>
        </w:rPr>
      </w:pPr>
      <w:r>
        <w:rPr>
          <w:rFonts w:ascii="Times New Roman" w:hAnsi="Times New Roman"/>
          <w:color w:val="000000"/>
          <w:sz w:val="20"/>
          <w:u w:val="single"/>
        </w:rPr>
        <w:t>Management Commentary</w:t>
      </w:r>
    </w:p>
    <w:p>
      <w:pPr>
        <w:pStyle w:val="TextBody"/>
        <w:bidi w:val="0"/>
        <w:spacing w:before="0" w:after="200"/>
        <w:jc w:val="both"/>
        <w:rPr/>
      </w:pPr>
      <w:r>
        <w:rPr>
          <w:color w:val="000000"/>
        </w:rPr>
        <w:t>“</w:t>
      </w:r>
      <w:r>
        <w:rPr>
          <w:rFonts w:ascii="Times New Roman" w:hAnsi="Times New Roman"/>
          <w:color w:val="000000"/>
          <w:sz w:val="20"/>
        </w:rPr>
        <w:t xml:space="preserve">Fidus’ portfolio remains healthy with sound credit quality overall as of the end of the second quarter. While ongoing geopolitical uncertainties and market volatility weighed on activity levels during the quarter, we added $58.8 million in net originations to the portfolio, with a focus on highly structured first lien investments. In addition, our portfolio continued to perform well with debt investments generating adjusted net investment income in excess of the base dividend and equity investment monetizations delivering realized gains,” said Edward Ross, Chairman and CEO of Fidus Investment Corporation. “Our portfolio remains well positioned to continue to deliver attractive risk adjusted returns for our shareholders.”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(1)</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Supplemental information regarding adjusted net investment income: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adviser provides that a capital gains incentive fee is determined and paid annually with respect to cumulative realized capital gains (but not unrealized capital gains) to the extent such realized capital gains exceed realized and unrealized losses.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Reconciliations of net investment income to adjusted net investment income are set forth in Schedule 1.</w:t>
      </w:r>
    </w:p>
    <w:p>
      <w:pPr>
        <w:pStyle w:val="TextBody"/>
        <w:bidi w:val="0"/>
        <w:spacing w:before="120" w:after="283"/>
        <w:jc w:val="both"/>
        <w:rPr/>
      </w:pPr>
      <w:r>
        <w:rPr/>
        <w:t> </w:t>
      </w:r>
    </w:p>
    <w:p>
      <w:pPr>
        <w:pStyle w:val="TextBody"/>
        <w:bidi w:val="0"/>
        <w:spacing w:before="0" w:after="180"/>
        <w:jc w:val="left"/>
        <w:rPr>
          <w:rFonts w:ascii="Times New Roman" w:hAnsi="Times New Roman"/>
          <w:color w:val="000000"/>
          <w:sz w:val="20"/>
          <w:u w:val="single"/>
        </w:rPr>
      </w:pPr>
      <w:r>
        <w:rPr>
          <w:rFonts w:ascii="Times New Roman" w:hAnsi="Times New Roman"/>
          <w:color w:val="000000"/>
          <w:sz w:val="20"/>
          <w:u w:val="single"/>
        </w:rPr>
        <w:t>Second Quarter 2026 Financial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provides a summary of our operating results for the three months ended June 30, 2026, as compared to the same period in 2025 (dollars in thousands, except per share data): </w:t>
      </w:r>
    </w:p>
    <w:tbl>
      <w:tblPr>
        <w:tblW w:w="10068" w:type="dxa"/>
        <w:jc w:val="left"/>
        <w:tblInd w:w="0" w:type="dxa"/>
        <w:tblLayout w:type="fixed"/>
        <w:tblCellMar>
          <w:top w:w="28" w:type="dxa"/>
          <w:left w:w="28" w:type="dxa"/>
          <w:bottom w:w="28" w:type="dxa"/>
          <w:right w:w="28" w:type="dxa"/>
        </w:tblCellMar>
      </w:tblPr>
      <w:tblGrid>
        <w:gridCol w:w="5041"/>
        <w:gridCol w:w="146"/>
        <w:gridCol w:w="235"/>
        <w:gridCol w:w="722"/>
        <w:gridCol w:w="175"/>
        <w:gridCol w:w="175"/>
        <w:gridCol w:w="235"/>
        <w:gridCol w:w="722"/>
        <w:gridCol w:w="146"/>
        <w:gridCol w:w="146"/>
        <w:gridCol w:w="203"/>
        <w:gridCol w:w="593"/>
        <w:gridCol w:w="166"/>
        <w:gridCol w:w="146"/>
        <w:gridCol w:w="202"/>
        <w:gridCol w:w="669"/>
        <w:gridCol w:w="34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43,502</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per share </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00"/>
        <w:jc w:val="both"/>
        <w:rPr>
          <w:rFonts w:ascii="Times New Roman" w:hAnsi="Times New Roman"/>
          <w:color w:val="000000"/>
          <w:sz w:val="20"/>
        </w:rPr>
      </w:pPr>
      <w:r>
        <w:rPr>
          <w:rFonts w:ascii="Times New Roman" w:hAnsi="Times New Roman"/>
          <w:color w:val="000000"/>
          <w:sz w:val="20"/>
        </w:rPr>
        <w:t>The $3.5 million increase in total investment income for the three months ended June 30, 2026, as compared to the same period in 2025, was primarily attributable to (i) a $5.3 million increase in total interest income (which includes payment-in-kind interest income) resulting from an increase in average debt investment balances outstanding, partially offset by a decrease in weighted average yield on debt investment balances outstanding, (ii) a $0.2 million increase in dividend income due to an increase in distributions received from equity investments, (iii) a $1.8 million decrease in fee income due to a decrease in prepayment and origination fees, and (iv) a $0.2 million decrease in interest on idle funds resulting from a decrease in average cash balances outstanding.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June 30, 2026, total expenses, including the base management fee waiver and income tax provision, were $24.8 million, an increase of $3.5 million, or 16.2% from the $21.3 million of total expenses, including the base management fee waiver and income tax provision, for the three months ended June 30, 2025. The increase was primarily attributable to (i) a $3.2 million increase in interest and financing expenses due to an increase in weighted average borrowings outstanding and weighted average interest rates of our debt outstanding, (ii) a $1.1 million net increase in the base management fee, including the base management fee waiver, due to higher average total assets, (iii) a $0.2 million decrease in the income incentive fee due to an decrease in pre-incentive fee net investment income during 2026 as compared to the same period in 2025, (iv) a $1.1 million decrease in the accrued capital gains incentive fee due to a net $5.4 million decrease in net gain on investments and realized losses on extinguishment of debt, and (v) a $0.4 million increase in professional fees due to an increase in proxy solicitation fees.</w:t>
      </w:r>
    </w:p>
    <w:p>
      <w:pPr>
        <w:pStyle w:val="TextBody"/>
        <w:bidi w:val="0"/>
        <w:spacing w:before="0" w:after="200"/>
        <w:jc w:val="both"/>
        <w:rPr>
          <w:rFonts w:ascii="Times New Roman" w:hAnsi="Times New Roman"/>
          <w:sz w:val="20"/>
        </w:rPr>
      </w:pPr>
      <w:r>
        <w:rPr>
          <w:rFonts w:ascii="Times New Roman" w:hAnsi="Times New Roman"/>
          <w:color w:val="000000"/>
          <w:sz w:val="20"/>
        </w:rPr>
        <w:t>Net investment income was in-line with the prior period as a result of the $3.5 million increase in total investment income, offset by a $3.5 million increase in total expenses, including the base management fee waiver and income tax provision. Adjusted net investment income,</w:t>
      </w:r>
      <w:r>
        <w:rPr>
          <w:rFonts w:ascii="Times New Roman" w:hAnsi="Times New Roman"/>
          <w:color w:val="000000"/>
          <w:sz w:val="13"/>
        </w:rPr>
        <w:t>(1)</w:t>
      </w:r>
      <w:r>
        <w:rPr>
          <w:rFonts w:ascii="Times New Roman" w:hAnsi="Times New Roman"/>
          <w:color w:val="000000"/>
          <w:sz w:val="20"/>
        </w:rPr>
        <w:t xml:space="preserve"> which excludes the capital gains incentive fee accrual, was $0.50 per share compared to $0.57 per share in the prior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June 30, 2026, the total net realized gain/(loss) on investments, net of income tax (provision)/benefit on realized gains, was $6.1 million, as compared to total net realized gain/(loss) on investments, net of income tax (provision)/benefit on realized gains, of $(7.6) million for the same period in 2025.</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Portfolio and Investment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June 30, 2026, the fair value of our investment portfolio totaled $1.4 billion and consisted of 100 active portfolio companies and eight portfolio companies that have sold their underlying operations. Our total portfolio investments at fair value were approximately 102.0% of the related cost basis as of June 30, 2026. As of June 30, 2026, the debt investments of 61 portfolio companies bore interest at a variable rate, which represented $930.6 million, or 72.4%, of our debt investment portfolio on a fair value basis, and the remainder of our debt investment portfolio was comprised of fixed rate investments. As of June 30, 2026, our average active portfolio company investment at amortized cost was $14.0 million, which excludes investments in eight portfolio companies that have sold their underlying operations. The weighted average yield on debt investments was 12.5% as of June 30, 2026. The weighted average yield was computed using the effective interest rates for debt investments at cost as of June 30, 2026, including the accretion of original issue discounts and loan origination fees, but excluding investments on non-accrual status and investments recorded as a secured borrowing.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Second quarter 2026 investment activity included the following new portfolio company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Acorn VMS Holdco, LP (dba Oakline Holdings), an AI-enabled vertical market software platform. Fidus invested $11.2 million in first lien debt and committed up to an additional $0.4 million in a revolving loan.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BPCP Dcom, Inc., a leading asset-light managed waste services provider. Fidus committed $9.8 million in first lien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National OnDemand, Inc., a provider of fiber construction, last-mile, and engineering services to telecommunication providers, electric cooperatives, and ISPs across the U.S. Fidus invested $15.4 million in first lien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PureCars Technologies, LLC, a leading AI-enabled customer data management platform for automotive dealers and original equipment manufacturers. Fidus invested $21.5 million in first lien debt.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Liquidity and Capital Resources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As of June 30, 2026, we had $37.6 million in cash and cash equivalents, $1.7 million in restricted cash, and $112.4 million of unused capacity under our special purpose vehicle credit facility (the “SPV Credit Facility”). For the three months ended June 30, 2026, we received proceeds from the issuance of SBA debentures of $35.5 million, gross proceeds from the issuance of the June 2029 Notes (as defined below) of $120.0 million, and fully redeemed the outstanding $125.0 million of 3.50% Notes due November 2026. As of June 30, 2026, we had SBA debentures outstanding of $296.0 million, $120.0 million outstanding of our 6.625% Senior Unsecured Notes due June 2029 (the “June 2029 Notes”), and $200.0 million outstanding of our 6.75% Notes due March 2030 (the “March 2030 Notes” and together with the June 2029 Notes, the “Notes”). As of June 30, 2026, the weighted average interest rate on total debt outstanding was 5.8%.</w:t>
      </w:r>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Third Quarter 2026 Dividends Totaling $0.50 Per Share Declared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August 3, 2026, our board of directors declared a base dividend of $0.43 per share and a supplemental dividend of $0.07 per share for the third quarter. The dividends will be payable on September 29, 2026, to stockholders of record as of September 15,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declaring dividends, our board of directors reviews estimates of taxable income available for distribution, which differs from consolidated income under GAAP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2026 taxable income, as well as the tax attributes for 2026 dividends, will be made after the close of the 2026 tax year. The final tax attributes for 2026 dividends will generally include ordinary taxable income but may also include capital gains, qualified dividends and return of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has adopted a dividend reinvestment plan (“DRIP”) that provides for reinvestment of dividends on behalf of its stockholders, unless a stockholder elects to receive cash. As a result, when we declare a cash dividend, stockholders who have not “opted out” of the DRIP at least two days prior to the dividend payment date will have their cash dividends automatically reinvested in additional shares of our common stock. Those stockholders whose shares are held by a broker or other financial intermediary may receive dividends in cash by notifying their broker or other financial intermediary of their election.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Subsequent Events</w:t>
      </w:r>
    </w:p>
    <w:p>
      <w:pPr>
        <w:pStyle w:val="TextBody"/>
        <w:bidi w:val="0"/>
        <w:jc w:val="left"/>
        <w:rPr>
          <w:rFonts w:ascii="Times New Roman" w:hAnsi="Times New Roman"/>
          <w:color w:val="000000"/>
          <w:sz w:val="20"/>
        </w:rPr>
      </w:pPr>
      <w:r>
        <w:rPr>
          <w:rFonts w:ascii="Times New Roman" w:hAnsi="Times New Roman"/>
          <w:color w:val="000000"/>
          <w:sz w:val="20"/>
        </w:rPr>
        <w:t>On July 24, 2026, we issued an additional $7.5 million in SBA debentures, which will bear interest at a fixed interim interest rate of 4.746% until the pooling date in September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31, 2026, we exited our second lien and subordinated debt investments in Virtex Enterprises, LP, which had been on non-accrual status and previously written down. We received payment of $0.2 million, resulting in an aggregate realized loss of $11.0 million.</w:t>
      </w:r>
    </w:p>
    <w:p>
      <w:pPr>
        <w:pStyle w:val="TextBody"/>
        <w:bidi w:val="0"/>
        <w:spacing w:before="180" w:after="283"/>
        <w:jc w:val="both"/>
        <w:rPr>
          <w:rFonts w:ascii="Times New Roman" w:hAnsi="Times New Roman"/>
          <w:color w:val="000000"/>
          <w:sz w:val="20"/>
          <w:u w:val="single"/>
        </w:rPr>
      </w:pPr>
      <w:r>
        <w:rPr>
          <w:rFonts w:ascii="Times New Roman" w:hAnsi="Times New Roman"/>
          <w:color w:val="000000"/>
          <w:sz w:val="20"/>
          <w:u w:val="single"/>
        </w:rPr>
        <w:t>Second Quarter 2026 Financial Results Conference Call</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Management will host a conference call to discuss the operating and financial results at 9:00am ET on Friday, August 7, 2026. To participate in the conference call, please dial (844) 808-7136 approximately 10 minutes prior to the call. International callers should dial (412) 317-0534. Please ask to be joined into the Fidus Investment Corporation call.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A live webcast of the conference call will be available at </w:t>
      </w:r>
      <w:r>
        <w:rPr>
          <w:rFonts w:ascii="Times New Roman" w:hAnsi="Times New Roman"/>
          <w:sz w:val="20"/>
        </w:rPr>
        <w:t>http://investor.fdus.com/news-events/events-presentations</w:t>
      </w:r>
      <w:r>
        <w:rPr>
          <w:rFonts w:ascii="Times New Roman" w:hAnsi="Times New Roman"/>
          <w:color w:val="000000"/>
          <w:sz w:val="20"/>
        </w:rPr>
        <w:t>. Please access the website 15 minutes prior to the start of the call to download and install any necessary audio software. An archived replay of the conference call will also be available in the investor relations section of the Company’s website.</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ABOUT FIDUS INVESTMENT 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is an externally managed, closed-end, non-diversified management investment company that has elected to be treated as a business development company under the Investment Company Act of 1940, as amended. In addition, for tax purposes, Fidus has elected to be treated as a regulated investment company under Subchapter M of the Internal Revenue Code of 1986, as amended. Fidus was formed in February 2011 to continue and expand the business of Fidus Mezzanine Capital, L.P., which commenced operations in May 2007 and was licensed by the U.S. Small Business Administration as a Small Business Investment Company (SBIC).</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This press release may contain certain forward-looking statements which are based upon current expectations and are inherently uncertain, including, but not limited to, statements about the future performance and financial condition of the Company, the prospects of our existing and prospective portfolio companies, the financial condition and ability of our existing and prospective portfolio companies to achieve their objectives, the timing, form and amount of any distributions or supplemental dividends in the future, and the level of deal activity and investment opportunities available to the Company. Any such statements, other than statements of historical fact, are likely to be affected by other unknowable future events and conditions, including elements of the future that are or are not under the Company’s control, such as changes in the financial and lending markets, the impact of the general economy (including an economic downturn or recession), the impact of current geopolitical conditions, the impact of interest rate volatility, the uncertainty associated with the imposition of tariffs and trade barriers and changes in trade policy and its impact on our portfolio companies and our financial condition, and the impact of elevated levels of inflation on the Company’s business and its portfolio companies; accordingly, such statements cannot be guarantees or assurances of any aspect of future performance. Actual developments and results are highly likely to vary materially from these estimates and projections of the future as a result of a number of factors related to changes in the markets in which the Company invests, changes in the financial, capital, and lending markets, and other factors described from time to time in the Company’s filings with the Securities and Exchange Commission. Such statements speak only as of the time when made, and are based on information available to the Company as of the date hereof and are qualified in their entirety by this cautionary statement. The Company undertakes no obligation to update any such statement now or in the future, except as required by applicable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7080"/>
        <w:gridCol w:w="146"/>
        <w:gridCol w:w="196"/>
        <w:gridCol w:w="146"/>
        <w:gridCol w:w="826"/>
        <w:gridCol w:w="146"/>
        <w:gridCol w:w="146"/>
        <w:gridCol w:w="256"/>
        <w:gridCol w:w="146"/>
        <w:gridCol w:w="826"/>
        <w:gridCol w:w="291"/>
      </w:tblGrid>
      <w:tr>
        <w:trPr/>
        <w:tc>
          <w:tcPr>
            <w:tcW w:w="7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Control investments (cost: $1,610 and $1,610,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Affiliate investments (cost: $77,086 and $75,208,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Non-control/non-affiliate investments (cost: $1,325,735 and $1,222,476,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(cost: $1,404,431 and $1,299,294,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SPV Credit Facility,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net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684,640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$0.001 par value (100,000,000 shares authorized, 37,954,364 and 37,954,364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741,899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62,530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5,995</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6,011</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14,542</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9,448</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39,665</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8,418</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44,942</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35,156,663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34,620,172</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spacing w:before="240" w:after="200"/>
        <w:jc w:val="center"/>
        <w:rPr>
          <w:rFonts w:ascii="Times New Roman" w:hAnsi="Times New Roman"/>
          <w:b/>
          <w:color w:val="000000"/>
          <w:sz w:val="20"/>
        </w:rPr>
      </w:pPr>
      <w:r>
        <w:rPr>
          <w:rFonts w:ascii="Times New Roman" w:hAnsi="Times New Roman"/>
          <w:b/>
          <w:color w:val="000000"/>
          <w:sz w:val="20"/>
        </w:rPr>
        <w:t>Supplemental Information Regarding Adjusted Net Investment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advisor provides that a capital gains incentive fee is determined and paid annually with respect to cumulative realized capital gains (but not unrealized capital gains) to the extent such realized capital gains exceed realized and unrealized losses for such year, less the aggregate amount of any capital gains incentive fees paid in all prior years.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The following table provides a reconciliation of net investment income to adjusted net investment income for the three and six months ended June 30, 2026 and 2025.</w:t>
      </w:r>
    </w:p>
    <w:tbl>
      <w:tblPr>
        <w:tblW w:w="9015" w:type="dxa"/>
        <w:jc w:val="left"/>
        <w:tblInd w:w="0" w:type="dxa"/>
        <w:tblLayout w:type="fixed"/>
        <w:tblCellMar>
          <w:top w:w="28" w:type="dxa"/>
          <w:left w:w="28" w:type="dxa"/>
          <w:bottom w:w="28" w:type="dxa"/>
          <w:right w:w="28" w:type="dxa"/>
        </w:tblCellMar>
      </w:tblPr>
      <w:tblGrid>
        <w:gridCol w:w="3796"/>
        <w:gridCol w:w="146"/>
        <w:gridCol w:w="146"/>
        <w:gridCol w:w="146"/>
        <w:gridCol w:w="146"/>
        <w:gridCol w:w="211"/>
        <w:gridCol w:w="676"/>
        <w:gridCol w:w="146"/>
        <w:gridCol w:w="146"/>
        <w:gridCol w:w="211"/>
        <w:gridCol w:w="676"/>
        <w:gridCol w:w="146"/>
        <w:gridCol w:w="146"/>
        <w:gridCol w:w="211"/>
        <w:gridCol w:w="676"/>
        <w:gridCol w:w="166"/>
        <w:gridCol w:w="146"/>
        <w:gridCol w:w="211"/>
        <w:gridCol w:w="67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pPr>
      <w:r>
        <w:rPr/>
        <w:t> </w:t>
      </w:r>
    </w:p>
    <w:tbl>
      <w:tblPr>
        <w:tblW w:w="8463" w:type="dxa"/>
        <w:jc w:val="left"/>
        <w:tblInd w:w="0" w:type="dxa"/>
        <w:tblLayout w:type="fixed"/>
        <w:tblCellMar>
          <w:top w:w="28" w:type="dxa"/>
          <w:left w:w="28" w:type="dxa"/>
          <w:bottom w:w="28" w:type="dxa"/>
          <w:right w:w="28" w:type="dxa"/>
        </w:tblCellMar>
      </w:tblPr>
      <w:tblGrid>
        <w:gridCol w:w="3796"/>
        <w:gridCol w:w="146"/>
        <w:gridCol w:w="146"/>
        <w:gridCol w:w="146"/>
        <w:gridCol w:w="146"/>
        <w:gridCol w:w="240"/>
        <w:gridCol w:w="531"/>
        <w:gridCol w:w="166"/>
        <w:gridCol w:w="166"/>
        <w:gridCol w:w="240"/>
        <w:gridCol w:w="531"/>
        <w:gridCol w:w="146"/>
        <w:gridCol w:w="146"/>
        <w:gridCol w:w="211"/>
        <w:gridCol w:w="526"/>
        <w:gridCol w:w="166"/>
        <w:gridCol w:w="146"/>
        <w:gridCol w:w="211"/>
        <w:gridCol w:w="46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Adjusted net investment income per share amounts are calculated as adjusted net investment income divided by weighted average shares outstanding for the period. Due to rounding, the sum of net investment income per share and capital gains incentive fee expense (reversal) amounts may not equal the adjusted net investment income per share amount presented here.</w:t>
            </w:r>
          </w:p>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4922" w:type="dxa"/>
        <w:jc w:val="left"/>
        <w:tblInd w:w="0" w:type="dxa"/>
        <w:tblLayout w:type="fixed"/>
        <w:tblCellMar>
          <w:top w:w="28" w:type="dxa"/>
          <w:left w:w="28" w:type="dxa"/>
          <w:bottom w:w="28" w:type="dxa"/>
          <w:right w:w="28" w:type="dxa"/>
        </w:tblCellMar>
      </w:tblPr>
      <w:tblGrid>
        <w:gridCol w:w="2026"/>
        <w:gridCol w:w="2896"/>
      </w:tblGrid>
      <w:tr>
        <w:trPr/>
        <w:tc>
          <w:tcPr>
            <w:tcW w:w="202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 Relations Contact: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Jody Burfening</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Advisors IR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(847) 859-3940</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 838-3777</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ssherard@fidusinv.com</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jburfening@allianceadvisors.com</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4425</Words>
  <Characters>24516</Characters>
  <CharactersWithSpaces>29620</CharactersWithSpaces>
  <Paragraphs>2035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